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_blank.xml" ContentType="application/vnd.openxmlformats-officedocument.wordprocessingml.footer+xml"/>
  <Override PartName="/word/footer_title.xml" ContentType="application/vnd.openxmlformats-officedocument.wordprocessingml.footer+xml"/>
  <Override PartName="/word/footnotes.xml" ContentType="application/vnd.openxmlformats-officedocument.wordprocessingml.footnotes+xml"/>
  <Override PartName="/word/header_blank.xml" ContentType="application/vnd.openxmlformats-officedocument.wordprocessingml.header+xml"/>
  <Override PartName="/word/header_even.xml" ContentType="application/vnd.openxmlformats-officedocument.wordprocessingml.header+xml"/>
  <Override PartName="/word/header_front_matter_even.xml" ContentType="application/vnd.openxmlformats-officedocument.wordprocessingml.header+xml"/>
  <Override PartName="/word/header_front_matter_odd.xml" ContentType="application/vnd.openxmlformats-officedocument.wordprocessingml.header+xml"/>
  <Override PartName="/word/header_odd.xml" ContentType="application/vnd.openxmlformats-officedocument.wordprocessingml.header+xml"/>
  <Override PartName="/word/media/rId105.png" ContentType="image/png;base64"/>
  <Override PartName="/word/media/rId21.png" ContentType="image/png;base64"/>
  <Override PartName="/word/media/rId216.png" ContentType="image/png;base64"/>
  <Override PartName="/word/media/rId335.png" ContentType="image/png;base64"/>
  <Override PartName="/word/media/rId357.png" ContentType="image/png;base64"/>
  <Override PartName="/word/media/rId358.png" ContentType="image/png;base64"/>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CasebookTitle"/>
      </w:pPr>
      <w:r>
        <w:t xml:space="preserve">Corporations Spring 2023</w:t>
      </w:r>
    </w:p>
    <w:p>
      <w:pPr>
        <w:pStyle w:val="CasebookBlurb"/>
      </w:pPr>
      <w:r>
        <w:t xml:space="preserve">This course is intended to convey</w:t>
      </w:r>
      <w:r>
        <w:t xml:space="preserve"> </w:t>
      </w:r>
      <w:r>
        <w:t xml:space="preserve">the basics of,how courts handle, andhow “corporate lawyers” apply,the most important laws relevant to the</w:t>
      </w:r>
      <w:r>
        <w:t xml:space="preserve"> </w:t>
      </w:r>
      <w:r>
        <w:t xml:space="preserve">creation,financing,governance andoperation ofbusiness organizations, especially US public companies, i.e., the most important privately owned organizations in the world.</w:t>
      </w:r>
    </w:p>
    <w:p>
      <w:pPr>
        <w:pStyle w:val="AboutPageTitle"/>
      </w:pPr>
      <w:r>
        <w:t xml:space="preserve">Export Customization Tips</w:t>
      </w:r>
    </w:p>
    <w:p>
      <w:pPr>
        <w:pStyle w:val="AboutPageInstructions"/>
      </w:pPr>
      <w:r>
        <w:t xml:space="preserve">We designed this opencasebook.org export using MS Word Styles to</w:t>
      </w:r>
      <w:r>
        <w:t xml:space="preserve"> </w:t>
      </w:r>
      <w:r>
        <w:t xml:space="preserve">simplify customization. The "Styles Pane" in Word's "Home" tab shows a list of styles in the document, and the</w:t>
      </w:r>
      <w:r>
        <w:t xml:space="preserve"> </w:t>
      </w:r>
      <w:r>
        <w:t xml:space="preserve">active style of your current element or selection.</w:t>
      </w:r>
    </w:p>
    <w:p>
      <w:pPr>
        <w:pStyle w:val="AboutPageInstructions"/>
      </w:pPr>
      <w:r>
        <w:t xml:space="preserve">For example, you can quickly change the case text font for the whole document by modifying the "Case Body" style.</w:t>
      </w:r>
      <w:r>
        <w:t xml:space="preserve"> </w:t>
      </w:r>
      <w:r>
        <w:t xml:space="preserve">The style modification screen also shows which style your style is "Based On." If you modify the style listed</w:t>
      </w:r>
      <w:r>
        <w:t xml:space="preserve"> </w:t>
      </w:r>
      <w:r>
        <w:t xml:space="preserve">there, all styles based on it will also change. Some older documents might use different styles than newer ones—</w:t>
      </w:r>
      <w:r>
        <w:t xml:space="preserve"> </w:t>
      </w:r>
      <w:r>
        <w:t xml:space="preserve">click into an element and check the Styles Pane to confirm its style.</w:t>
      </w:r>
    </w:p>
    <w:p>
      <w:pPr>
        <w:pStyle w:val="AboutPageInstructions"/>
      </w:pPr>
      <w:r>
        <w:t xml:space="preserve">Check out Microsoft's</w:t>
      </w:r>
      <w:r>
        <w:t xml:space="preserve"> </w:t>
      </w:r>
      <w:hyperlink r:id="rId20">
        <w:r>
          <w:rPr>
            <w:rStyle w:val="Hyperlink"/>
          </w:rPr>
          <w:t xml:space="preserve">extensive styles documentation</w:t>
        </w:r>
      </w:hyperlink>
      <w:r>
        <w:t xml:space="preserve"> </w:t>
      </w:r>
      <w:r>
        <w:t xml:space="preserve">for the finer points and caveats.</w:t>
      </w:r>
    </w:p>
    <w:p>
      <w:pPr>
        <w:pStyle w:val="AboutPageInstructions"/>
      </w:pPr>
      <w:r>
        <w:rPr>
          <w:bCs/>
          <w:b/>
        </w:rPr>
        <w:t xml:space="preserve">Remember:</w:t>
      </w:r>
      <w:r>
        <w:t xml:space="preserve"> </w:t>
      </w:r>
      <w:r>
        <w:t xml:space="preserve">style modifications can yield sweeping results that aren't always apparent on the page you're</w:t>
      </w:r>
      <w:r>
        <w:t xml:space="preserve"> </w:t>
      </w:r>
      <w:r>
        <w:t xml:space="preserve">viewing. Make a backup copy of your document before experimenting.</w:t>
      </w:r>
    </w:p>
    <w:sdt>
      <w:sdtPr>
        <w:docPartObj>
          <w:docPartGallery w:val="Table of Contents"/>
          <w:docPartUnique/>
        </w:docPartObj>
      </w:sdtPr>
      <w:sdtContent>
        <w:p>
          <w:pPr>
            <w:pStyle w:val="TOCHeading"/>
          </w:pPr>
          <w:r>
            <w:t>Table of Contents</w:t>
          </w:r>
        </w:p>
        <w:p>
          <w:r>
            <w:rPr>
              <w:b w:val="0"/>
              <w:bCs w:val="0"/>
            </w:rPr>
            <w:fldChar w:fldCharType="begin"/>
          </w:r>
          <w:r>
            <w:instrText xml:space="preserve"> TOC \o "1-3" \h \z \u </w:instrText>
          </w:r>
          <w:r>
            <w:rPr>
              <w:b w:val="0"/>
              <w:bCs w:val="0"/>
            </w:rPr>
            <w:fldChar w:fldCharType="separate"/>
          </w:r>
        </w:p>
        <w:p>
          <w:pPr>
            <w:pStyle w:val="TOC1"/>
            <w:rPr>
              <w:noProof/>
            </w:rPr>
          </w:pPr>
          <w:hyperlink w:anchor="_auto_toc_1" w:history="1">
            <w:r>
              <w:rPr>
                <w:rStyle w:val="TOCOrdinalChar1"/>
                <w:noProof/>
                <w:iCs/>
              </w:rPr>
              <w:t>
            1
          </w:t>
            </w:r>
            <w:r>
              <w:rPr>
                <w:noProof/>
                <w:webHidden/>
              </w:rPr>
              <w:tab/>
            </w:r>
            <w:r>
              <w:rPr>
                <w:rStyle w:val="TOCTitleChar1"/>
                <w:noProof/>
                <w:iCs/>
              </w:rPr>
              <w:t>
            Agency
          </w:t>
            </w:r>
            <w:r>
              <w:rPr>
                <w:noProof/>
                <w:webHidden/>
              </w:rPr>
              <w:tab/>
            </w:r>
            <w:r>
              <w:rPr>
                <w:noProof/>
                <w:webHidden/>
              </w:rPr>
              <w:fldChar w:fldCharType="begin"/>
            </w:r>
            <w:r>
              <w:rPr>
                <w:noProof/>
                <w:webHidden/>
              </w:rPr>
              <w:instrText xml:space="preserve"> PAGEREF _auto_toc_1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2" w:history="1">
            <w:r>
              <w:rPr>
                <w:rStyle w:val="TOCOrdinalChar2"/>
                <w:noProof/>
                <w:iCs/>
              </w:rPr>
              <w:t>
            1.1
          </w:t>
            </w:r>
            <w:r>
              <w:rPr>
                <w:noProof/>
                <w:webHidden/>
              </w:rPr>
              <w:tab/>
            </w:r>
            <w:r>
              <w:rPr>
                <w:rStyle w:val="TOCTitleChar2"/>
                <w:noProof/>
                <w:iCs/>
              </w:rPr>
              <w:t>
            Readings
          </w:t>
            </w:r>
            <w:r>
              <w:rPr>
                <w:noProof/>
                <w:webHidden/>
              </w:rPr>
              <w:tab/>
            </w:r>
            <w:r>
              <w:rPr>
                <w:noProof/>
                <w:webHidden/>
              </w:rPr>
              <w:fldChar w:fldCharType="begin"/>
            </w:r>
            <w:r>
              <w:rPr>
                <w:noProof/>
                <w:webHidden/>
              </w:rPr>
              <w:instrText xml:space="preserve"> PAGEREF _auto_toc_2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3" w:history="1">
            <w:r>
              <w:rPr>
                <w:rStyle w:val="TOCOrdinalChar3"/>
                <w:noProof/>
                <w:iCs/>
              </w:rPr>
              <w:t>
            1.1.1
          </w:t>
            </w:r>
            <w:r>
              <w:rPr>
                <w:noProof/>
                <w:webHidden/>
              </w:rPr>
              <w:tab/>
            </w:r>
            <w:r>
              <w:rPr>
                <w:rStyle w:val="TOCTitleChar3"/>
                <w:noProof/>
                <w:iCs/>
              </w:rPr>
              <w:t>
            White v. Thomas
          </w:t>
            </w:r>
            <w:r>
              <w:rPr>
                <w:noProof/>
                <w:webHidden/>
              </w:rPr>
              <w:tab/>
            </w:r>
            <w:r>
              <w:rPr>
                <w:noProof/>
                <w:webHidden/>
              </w:rPr>
              <w:fldChar w:fldCharType="begin"/>
            </w:r>
            <w:r>
              <w:rPr>
                <w:noProof/>
                <w:webHidden/>
              </w:rPr>
              <w:instrText xml:space="preserve"> PAGEREF _auto_toc_3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4" w:history="1">
            <w:r>
              <w:rPr>
                <w:rStyle w:val="TOCOrdinalChar3"/>
                <w:noProof/>
                <w:iCs/>
              </w:rPr>
              <w:t>
            1.1.2
          </w:t>
            </w:r>
            <w:r>
              <w:rPr>
                <w:noProof/>
                <w:webHidden/>
              </w:rPr>
              <w:tab/>
            </w:r>
            <w:r>
              <w:rPr>
                <w:rStyle w:val="TOCTitleChar3"/>
                <w:noProof/>
                <w:iCs/>
              </w:rPr>
              <w:t>
            Gallant Insurance Co. v. Isaac
          </w:t>
            </w:r>
            <w:r>
              <w:rPr>
                <w:noProof/>
                <w:webHidden/>
              </w:rPr>
              <w:tab/>
            </w:r>
            <w:r>
              <w:rPr>
                <w:noProof/>
                <w:webHidden/>
              </w:rPr>
              <w:fldChar w:fldCharType="begin"/>
            </w:r>
            <w:r>
              <w:rPr>
                <w:noProof/>
                <w:webHidden/>
              </w:rPr>
              <w:instrText xml:space="preserve"> PAGEREF _auto_toc_4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5" w:history="1">
            <w:r>
              <w:rPr>
                <w:rStyle w:val="TOCOrdinalChar3"/>
                <w:noProof/>
                <w:iCs/>
              </w:rPr>
              <w:t>
            1.1.3
          </w:t>
            </w:r>
            <w:r>
              <w:rPr>
                <w:noProof/>
                <w:webHidden/>
              </w:rPr>
              <w:tab/>
            </w:r>
            <w:r>
              <w:rPr>
                <w:rStyle w:val="TOCTitleChar3"/>
                <w:noProof/>
                <w:iCs/>
              </w:rPr>
              <w:t>
            Humble Oil &amp; Refining Co. v. Martin
          </w:t>
            </w:r>
            <w:r>
              <w:rPr>
                <w:noProof/>
                <w:webHidden/>
              </w:rPr>
              <w:tab/>
            </w:r>
            <w:r>
              <w:rPr>
                <w:noProof/>
                <w:webHidden/>
              </w:rPr>
              <w:fldChar w:fldCharType="begin"/>
            </w:r>
            <w:r>
              <w:rPr>
                <w:noProof/>
                <w:webHidden/>
              </w:rPr>
              <w:instrText xml:space="preserve"> PAGEREF _auto_toc_5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6" w:history="1">
            <w:r>
              <w:rPr>
                <w:rStyle w:val="TOCOrdinalChar3"/>
                <w:noProof/>
                <w:iCs/>
              </w:rPr>
              <w:t>
            1.1.4
          </w:t>
            </w:r>
            <w:r>
              <w:rPr>
                <w:noProof/>
                <w:webHidden/>
              </w:rPr>
              <w:tab/>
            </w:r>
            <w:r>
              <w:rPr>
                <w:rStyle w:val="TOCTitleChar3"/>
                <w:noProof/>
                <w:iCs/>
              </w:rPr>
              <w:t>
            Hoover v. Sun Oil Co.
          </w:t>
            </w:r>
            <w:r>
              <w:rPr>
                <w:noProof/>
                <w:webHidden/>
              </w:rPr>
              <w:tab/>
            </w:r>
            <w:r>
              <w:rPr>
                <w:noProof/>
                <w:webHidden/>
              </w:rPr>
              <w:fldChar w:fldCharType="begin"/>
            </w:r>
            <w:r>
              <w:rPr>
                <w:noProof/>
                <w:webHidden/>
              </w:rPr>
              <w:instrText xml:space="preserve"> PAGEREF _auto_toc_6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7" w:history="1">
            <w:r>
              <w:rPr>
                <w:rStyle w:val="TOCOrdinalChar2"/>
                <w:noProof/>
                <w:iCs/>
              </w:rPr>
              <w:t>
            1.2
          </w:t>
            </w:r>
            <w:r>
              <w:rPr>
                <w:noProof/>
                <w:webHidden/>
              </w:rPr>
              <w:tab/>
            </w:r>
            <w:r>
              <w:rPr>
                <w:rStyle w:val="TOCTitleChar2"/>
                <w:noProof/>
                <w:iCs/>
              </w:rPr>
              <w:t>
            Reference Cases
          </w:t>
            </w:r>
            <w:r>
              <w:rPr>
                <w:noProof/>
                <w:webHidden/>
              </w:rPr>
              <w:tab/>
            </w:r>
            <w:r>
              <w:rPr>
                <w:noProof/>
                <w:webHidden/>
              </w:rPr>
              <w:fldChar w:fldCharType="begin"/>
            </w:r>
            <w:r>
              <w:rPr>
                <w:noProof/>
                <w:webHidden/>
              </w:rPr>
              <w:instrText xml:space="preserve"> PAGEREF _auto_toc_7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8" w:history="1">
            <w:r>
              <w:rPr>
                <w:rStyle w:val="TOCOrdinalChar3"/>
                <w:noProof/>
                <w:iCs/>
              </w:rPr>
              <w:t>
            1.2.1
          </w:t>
            </w:r>
            <w:r>
              <w:rPr>
                <w:noProof/>
                <w:webHidden/>
              </w:rPr>
              <w:tab/>
            </w:r>
            <w:r>
              <w:rPr>
                <w:rStyle w:val="TOCTitleChar3"/>
                <w:noProof/>
                <w:iCs/>
              </w:rPr>
              <w:t>
            A. Gay Jenson Farms Co. v. Cargill, Inc.
          </w:t>
            </w:r>
            <w:r>
              <w:rPr>
                <w:noProof/>
                <w:webHidden/>
              </w:rPr>
              <w:tab/>
            </w:r>
            <w:r>
              <w:rPr>
                <w:noProof/>
                <w:webHidden/>
              </w:rPr>
              <w:fldChar w:fldCharType="begin"/>
            </w:r>
            <w:r>
              <w:rPr>
                <w:noProof/>
                <w:webHidden/>
              </w:rPr>
              <w:instrText xml:space="preserve"> PAGEREF _auto_toc_8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9" w:history="1">
            <w:r>
              <w:rPr>
                <w:rStyle w:val="TOCOrdinalChar3"/>
                <w:noProof/>
                <w:iCs/>
              </w:rPr>
              <w:t>
            1.2.2
          </w:t>
            </w:r>
            <w:r>
              <w:rPr>
                <w:noProof/>
                <w:webHidden/>
              </w:rPr>
              <w:tab/>
            </w:r>
            <w:r>
              <w:rPr>
                <w:rStyle w:val="TOCTitleChar3"/>
                <w:noProof/>
                <w:iCs/>
              </w:rPr>
              <w:t>
            Tarnowski v. Resop
          </w:t>
            </w:r>
            <w:r>
              <w:rPr>
                <w:noProof/>
                <w:webHidden/>
              </w:rPr>
              <w:tab/>
            </w:r>
            <w:r>
              <w:rPr>
                <w:noProof/>
                <w:webHidden/>
              </w:rPr>
              <w:fldChar w:fldCharType="begin"/>
            </w:r>
            <w:r>
              <w:rPr>
                <w:noProof/>
                <w:webHidden/>
              </w:rPr>
              <w:instrText xml:space="preserve"> PAGEREF _auto_toc_9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0" w:history="1">
            <w:r>
              <w:rPr>
                <w:rStyle w:val="TOCOrdinalChar3"/>
                <w:noProof/>
                <w:iCs/>
              </w:rPr>
              <w:t>
            1.2.3
          </w:t>
            </w:r>
            <w:r>
              <w:rPr>
                <w:noProof/>
                <w:webHidden/>
              </w:rPr>
              <w:tab/>
            </w:r>
            <w:r>
              <w:rPr>
                <w:rStyle w:val="TOCTitleChar3"/>
                <w:noProof/>
                <w:iCs/>
              </w:rPr>
              <w:t>
            Food Lion, Inc. v. Capital Cities/ABC, Inc.
          </w:t>
            </w:r>
            <w:r>
              <w:rPr>
                <w:noProof/>
                <w:webHidden/>
              </w:rPr>
              <w:tab/>
            </w:r>
            <w:r>
              <w:rPr>
                <w:noProof/>
                <w:webHidden/>
              </w:rPr>
              <w:fldChar w:fldCharType="begin"/>
            </w:r>
            <w:r>
              <w:rPr>
                <w:noProof/>
                <w:webHidden/>
              </w:rPr>
              <w:instrText xml:space="preserve"> PAGEREF _auto_toc_10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1" w:history="1">
            <w:r>
              <w:rPr>
                <w:rStyle w:val="TOCOrdinalChar3"/>
                <w:noProof/>
                <w:iCs/>
              </w:rPr>
              <w:t>
            1.2.4
          </w:t>
            </w:r>
            <w:r>
              <w:rPr>
                <w:noProof/>
                <w:webHidden/>
              </w:rPr>
              <w:tab/>
            </w:r>
            <w:r>
              <w:rPr>
                <w:rStyle w:val="TOCTitleChar3"/>
                <w:noProof/>
                <w:iCs/>
              </w:rPr>
              <w:t>
            Colbrook v. Black
          </w:t>
            </w:r>
            <w:r>
              <w:rPr>
                <w:noProof/>
                <w:webHidden/>
              </w:rPr>
              <w:tab/>
            </w:r>
            <w:r>
              <w:rPr>
                <w:noProof/>
                <w:webHidden/>
              </w:rPr>
              <w:fldChar w:fldCharType="begin"/>
            </w:r>
            <w:r>
              <w:rPr>
                <w:noProof/>
                <w:webHidden/>
              </w:rPr>
              <w:instrText xml:space="preserve"> PAGEREF _auto_toc_11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12" w:history="1">
            <w:r>
              <w:rPr>
                <w:rStyle w:val="TOCOrdinalChar2"/>
                <w:noProof/>
                <w:iCs/>
              </w:rPr>
              <w:t>
            1.3
          </w:t>
            </w:r>
            <w:r>
              <w:rPr>
                <w:noProof/>
                <w:webHidden/>
              </w:rPr>
              <w:tab/>
            </w:r>
            <w:r>
              <w:rPr>
                <w:rStyle w:val="TOCTitleChar2"/>
                <w:noProof/>
                <w:iCs/>
              </w:rPr>
              <w:t>
            Restatement of Agency (Third) Excerpts
          </w:t>
            </w:r>
            <w:r>
              <w:rPr>
                <w:noProof/>
                <w:webHidden/>
              </w:rPr>
              <w:tab/>
            </w:r>
            <w:r>
              <w:rPr>
                <w:noProof/>
                <w:webHidden/>
              </w:rPr>
              <w:fldChar w:fldCharType="begin"/>
            </w:r>
            <w:r>
              <w:rPr>
                <w:noProof/>
                <w:webHidden/>
              </w:rPr>
              <w:instrText xml:space="preserve"> PAGEREF _auto_toc_12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13" w:history="1">
            <w:r>
              <w:rPr>
                <w:rStyle w:val="TOCOrdinalChar2"/>
                <w:noProof/>
                <w:iCs/>
              </w:rPr>
              <w:t>
            1.4
          </w:t>
            </w:r>
            <w:r>
              <w:rPr>
                <w:noProof/>
                <w:webHidden/>
              </w:rPr>
              <w:tab/>
            </w:r>
            <w:r>
              <w:rPr>
                <w:rStyle w:val="TOCTitleChar2"/>
                <w:noProof/>
                <w:iCs/>
              </w:rPr>
              <w:t>
            After the Sale
          </w:t>
            </w:r>
            <w:r>
              <w:rPr>
                <w:noProof/>
                <w:webHidden/>
              </w:rPr>
              <w:tab/>
            </w:r>
            <w:r>
              <w:rPr>
                <w:noProof/>
                <w:webHidden/>
              </w:rPr>
              <w:fldChar w:fldCharType="begin"/>
            </w:r>
            <w:r>
              <w:rPr>
                <w:noProof/>
                <w:webHidden/>
              </w:rPr>
              <w:instrText xml:space="preserve"> PAGEREF _auto_toc_13 \h </w:instrText>
            </w:r>
            <w:r>
              <w:rPr>
                <w:noProof/>
                <w:webHidden/>
              </w:rPr>
            </w:r>
            <w:r>
              <w:rPr>
                <w:noProof/>
                <w:webHidden/>
              </w:rPr>
              <w:fldChar w:fldCharType="separate"/>
            </w:r>
            <w:r>
              <w:rPr>
                <w:noProof/>
                <w:webHidden/>
              </w:rPr>
              <w:t>[ ]</w:t>
            </w:r>
            <w:r>
              <w:rPr>
                <w:noProof/>
                <w:webHidden/>
              </w:rPr>
              <w:fldChar w:fldCharType="end"/>
            </w:r>
          </w:hyperlink>
        </w:p>
        <w:p>
          <w:pPr>
            <w:pStyle w:val="TOC1"/>
            <w:rPr>
              <w:noProof/>
            </w:rPr>
          </w:pPr>
          <w:hyperlink w:anchor="_auto_toc_14" w:history="1">
            <w:r>
              <w:rPr>
                <w:rStyle w:val="TOCOrdinalChar1"/>
                <w:noProof/>
                <w:iCs/>
              </w:rPr>
              <w:t>
            2
          </w:t>
            </w:r>
            <w:r>
              <w:rPr>
                <w:noProof/>
                <w:webHidden/>
              </w:rPr>
              <w:tab/>
            </w:r>
            <w:r>
              <w:rPr>
                <w:rStyle w:val="TOCTitleChar1"/>
                <w:noProof/>
                <w:iCs/>
              </w:rPr>
              <w:t>
            Partners
          </w:t>
            </w:r>
            <w:r>
              <w:rPr>
                <w:noProof/>
                <w:webHidden/>
              </w:rPr>
              <w:tab/>
            </w:r>
            <w:r>
              <w:rPr>
                <w:noProof/>
                <w:webHidden/>
              </w:rPr>
              <w:fldChar w:fldCharType="begin"/>
            </w:r>
            <w:r>
              <w:rPr>
                <w:noProof/>
                <w:webHidden/>
              </w:rPr>
              <w:instrText xml:space="preserve"> PAGEREF _auto_toc_14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15" w:history="1">
            <w:r>
              <w:rPr>
                <w:rStyle w:val="TOCOrdinalChar2"/>
                <w:noProof/>
                <w:iCs/>
              </w:rPr>
              <w:t>
            2.1
          </w:t>
            </w:r>
            <w:r>
              <w:rPr>
                <w:noProof/>
                <w:webHidden/>
              </w:rPr>
              <w:tab/>
            </w:r>
            <w:r>
              <w:rPr>
                <w:rStyle w:val="TOCTitleChar2"/>
                <w:noProof/>
                <w:iCs/>
              </w:rPr>
              <w:t>
            Readings
          </w:t>
            </w:r>
            <w:r>
              <w:rPr>
                <w:noProof/>
                <w:webHidden/>
              </w:rPr>
              <w:tab/>
            </w:r>
            <w:r>
              <w:rPr>
                <w:noProof/>
                <w:webHidden/>
              </w:rPr>
              <w:fldChar w:fldCharType="begin"/>
            </w:r>
            <w:r>
              <w:rPr>
                <w:noProof/>
                <w:webHidden/>
              </w:rPr>
              <w:instrText xml:space="preserve"> PAGEREF _auto_toc_15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6" w:history="1">
            <w:r>
              <w:rPr>
                <w:rStyle w:val="TOCOrdinalChar3"/>
                <w:noProof/>
                <w:iCs/>
              </w:rPr>
              <w:t>
            2.1.1
          </w:t>
            </w:r>
            <w:r>
              <w:rPr>
                <w:noProof/>
                <w:webHidden/>
              </w:rPr>
              <w:tab/>
            </w:r>
            <w:r>
              <w:rPr>
                <w:rStyle w:val="TOCTitleChar3"/>
                <w:noProof/>
                <w:iCs/>
              </w:rPr>
              <w:t>
            Vohland v. Sweet
          </w:t>
            </w:r>
            <w:r>
              <w:rPr>
                <w:noProof/>
                <w:webHidden/>
              </w:rPr>
              <w:tab/>
            </w:r>
            <w:r>
              <w:rPr>
                <w:noProof/>
                <w:webHidden/>
              </w:rPr>
              <w:fldChar w:fldCharType="begin"/>
            </w:r>
            <w:r>
              <w:rPr>
                <w:noProof/>
                <w:webHidden/>
              </w:rPr>
              <w:instrText xml:space="preserve"> PAGEREF _auto_toc_16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7" w:history="1">
            <w:r>
              <w:rPr>
                <w:rStyle w:val="TOCOrdinalChar3"/>
                <w:noProof/>
                <w:iCs/>
              </w:rPr>
              <w:t>
            2.1.2
          </w:t>
            </w:r>
            <w:r>
              <w:rPr>
                <w:noProof/>
                <w:webHidden/>
              </w:rPr>
              <w:tab/>
            </w:r>
            <w:r>
              <w:rPr>
                <w:rStyle w:val="TOCTitleChar3"/>
                <w:noProof/>
                <w:iCs/>
              </w:rPr>
              <w:t>
            National Biscuit Co. v. Stroud
          </w:t>
            </w:r>
            <w:r>
              <w:rPr>
                <w:noProof/>
                <w:webHidden/>
              </w:rPr>
              <w:tab/>
            </w:r>
            <w:r>
              <w:rPr>
                <w:noProof/>
                <w:webHidden/>
              </w:rPr>
              <w:fldChar w:fldCharType="begin"/>
            </w:r>
            <w:r>
              <w:rPr>
                <w:noProof/>
                <w:webHidden/>
              </w:rPr>
              <w:instrText xml:space="preserve"> PAGEREF _auto_toc_17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8" w:history="1">
            <w:r>
              <w:rPr>
                <w:rStyle w:val="TOCOrdinalChar3"/>
                <w:noProof/>
                <w:iCs/>
              </w:rPr>
              <w:t>
            2.1.3
          </w:t>
            </w:r>
            <w:r>
              <w:rPr>
                <w:noProof/>
                <w:webHidden/>
              </w:rPr>
              <w:tab/>
            </w:r>
            <w:r>
              <w:rPr>
                <w:rStyle w:val="TOCTitleChar3"/>
                <w:noProof/>
                <w:iCs/>
              </w:rPr>
              <w:t>
            Adams v. Jarvis
          </w:t>
            </w:r>
            <w:r>
              <w:rPr>
                <w:noProof/>
                <w:webHidden/>
              </w:rPr>
              <w:tab/>
            </w:r>
            <w:r>
              <w:rPr>
                <w:noProof/>
                <w:webHidden/>
              </w:rPr>
              <w:fldChar w:fldCharType="begin"/>
            </w:r>
            <w:r>
              <w:rPr>
                <w:noProof/>
                <w:webHidden/>
              </w:rPr>
              <w:instrText xml:space="preserve"> PAGEREF _auto_toc_18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9" w:history="1">
            <w:r>
              <w:rPr>
                <w:rStyle w:val="TOCOrdinalChar3"/>
                <w:noProof/>
                <w:iCs/>
              </w:rPr>
              <w:t>
            2.1.4
          </w:t>
            </w:r>
            <w:r>
              <w:rPr>
                <w:noProof/>
                <w:webHidden/>
              </w:rPr>
              <w:tab/>
            </w:r>
            <w:r>
              <w:rPr>
                <w:rStyle w:val="TOCTitleChar3"/>
                <w:noProof/>
                <w:iCs/>
              </w:rPr>
              <w:t>
            Page v. H. B. Page
          </w:t>
            </w:r>
            <w:r>
              <w:rPr>
                <w:noProof/>
                <w:webHidden/>
              </w:rPr>
              <w:tab/>
            </w:r>
            <w:r>
              <w:rPr>
                <w:noProof/>
                <w:webHidden/>
              </w:rPr>
              <w:fldChar w:fldCharType="begin"/>
            </w:r>
            <w:r>
              <w:rPr>
                <w:noProof/>
                <w:webHidden/>
              </w:rPr>
              <w:instrText xml:space="preserve"> PAGEREF _auto_toc_19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20" w:history="1">
            <w:r>
              <w:rPr>
                <w:rStyle w:val="TOCOrdinalChar2"/>
                <w:noProof/>
                <w:iCs/>
              </w:rPr>
              <w:t>
            2.2
          </w:t>
            </w:r>
            <w:r>
              <w:rPr>
                <w:noProof/>
                <w:webHidden/>
              </w:rPr>
              <w:tab/>
            </w:r>
            <w:r>
              <w:rPr>
                <w:rStyle w:val="TOCTitleChar2"/>
                <w:noProof/>
                <w:iCs/>
              </w:rPr>
              <w:t>
            Reference Readings
          </w:t>
            </w:r>
            <w:r>
              <w:rPr>
                <w:noProof/>
                <w:webHidden/>
              </w:rPr>
              <w:tab/>
            </w:r>
            <w:r>
              <w:rPr>
                <w:noProof/>
                <w:webHidden/>
              </w:rPr>
              <w:fldChar w:fldCharType="begin"/>
            </w:r>
            <w:r>
              <w:rPr>
                <w:noProof/>
                <w:webHidden/>
              </w:rPr>
              <w:instrText xml:space="preserve"> PAGEREF _auto_toc_20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21" w:history="1">
            <w:r>
              <w:rPr>
                <w:rStyle w:val="TOCOrdinalChar3"/>
                <w:noProof/>
                <w:iCs/>
              </w:rPr>
              <w:t>
            2.2.1
          </w:t>
            </w:r>
            <w:r>
              <w:rPr>
                <w:noProof/>
                <w:webHidden/>
              </w:rPr>
              <w:tab/>
            </w:r>
            <w:r>
              <w:rPr>
                <w:rStyle w:val="TOCTitleChar3"/>
                <w:noProof/>
                <w:iCs/>
              </w:rPr>
              <w:t>
            Meinhard v. Salmon
          </w:t>
            </w:r>
            <w:r>
              <w:rPr>
                <w:noProof/>
                <w:webHidden/>
              </w:rPr>
              <w:tab/>
            </w:r>
            <w:r>
              <w:rPr>
                <w:noProof/>
                <w:webHidden/>
              </w:rPr>
              <w:fldChar w:fldCharType="begin"/>
            </w:r>
            <w:r>
              <w:rPr>
                <w:noProof/>
                <w:webHidden/>
              </w:rPr>
              <w:instrText xml:space="preserve"> PAGEREF _auto_toc_21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22" w:history="1">
            <w:r>
              <w:rPr>
                <w:rStyle w:val="TOCOrdinalChar3"/>
                <w:noProof/>
                <w:iCs/>
              </w:rPr>
              <w:t>
            2.2.2
          </w:t>
            </w:r>
            <w:r>
              <w:rPr>
                <w:noProof/>
                <w:webHidden/>
              </w:rPr>
              <w:tab/>
            </w:r>
            <w:r>
              <w:rPr>
                <w:rStyle w:val="TOCTitleChar3"/>
                <w:noProof/>
                <w:iCs/>
              </w:rPr>
              <w:t>
            Dieckman v. Regency GP LP
          </w:t>
            </w:r>
            <w:r>
              <w:rPr>
                <w:noProof/>
                <w:webHidden/>
              </w:rPr>
              <w:tab/>
            </w:r>
            <w:r>
              <w:rPr>
                <w:noProof/>
                <w:webHidden/>
              </w:rPr>
              <w:fldChar w:fldCharType="begin"/>
            </w:r>
            <w:r>
              <w:rPr>
                <w:noProof/>
                <w:webHidden/>
              </w:rPr>
              <w:instrText xml:space="preserve"> PAGEREF _auto_toc_22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23" w:history="1">
            <w:r>
              <w:rPr>
                <w:rStyle w:val="TOCOrdinalChar3"/>
                <w:noProof/>
                <w:iCs/>
              </w:rPr>
              <w:t>
            2.2.3
          </w:t>
            </w:r>
            <w:r>
              <w:rPr>
                <w:noProof/>
                <w:webHidden/>
              </w:rPr>
              <w:tab/>
            </w:r>
            <w:r>
              <w:rPr>
                <w:rStyle w:val="TOCTitleChar3"/>
                <w:noProof/>
                <w:iCs/>
              </w:rPr>
              <w:t>
            Oxbow Carbon &amp; Minerals Holdings, Inc. v. Crestview-Oxbow Acquisition, LLC
          </w:t>
            </w:r>
            <w:r>
              <w:rPr>
                <w:noProof/>
                <w:webHidden/>
              </w:rPr>
              <w:tab/>
            </w:r>
            <w:r>
              <w:rPr>
                <w:noProof/>
                <w:webHidden/>
              </w:rPr>
              <w:fldChar w:fldCharType="begin"/>
            </w:r>
            <w:r>
              <w:rPr>
                <w:noProof/>
                <w:webHidden/>
              </w:rPr>
              <w:instrText xml:space="preserve"> PAGEREF _auto_toc_23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24" w:history="1">
            <w:r>
              <w:rPr>
                <w:rStyle w:val="TOCOrdinalChar3"/>
                <w:noProof/>
                <w:iCs/>
              </w:rPr>
              <w:t>
            2.2.4
          </w:t>
            </w:r>
            <w:r>
              <w:rPr>
                <w:noProof/>
                <w:webHidden/>
              </w:rPr>
              <w:tab/>
            </w:r>
            <w:r>
              <w:rPr>
                <w:rStyle w:val="TOCTitleChar3"/>
                <w:noProof/>
                <w:iCs/>
              </w:rPr>
              <w:t>
            Sample LLC Operating Agreement 1
          </w:t>
            </w:r>
            <w:r>
              <w:rPr>
                <w:noProof/>
                <w:webHidden/>
              </w:rPr>
              <w:tab/>
            </w:r>
            <w:r>
              <w:rPr>
                <w:noProof/>
                <w:webHidden/>
              </w:rPr>
              <w:fldChar w:fldCharType="begin"/>
            </w:r>
            <w:r>
              <w:rPr>
                <w:noProof/>
                <w:webHidden/>
              </w:rPr>
              <w:instrText xml:space="preserve"> PAGEREF _auto_toc_24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25" w:history="1">
            <w:r>
              <w:rPr>
                <w:rStyle w:val="TOCOrdinalChar3"/>
                <w:noProof/>
                <w:iCs/>
              </w:rPr>
              <w:t>
            2.2.5
          </w:t>
            </w:r>
            <w:r>
              <w:rPr>
                <w:noProof/>
                <w:webHidden/>
              </w:rPr>
              <w:tab/>
            </w:r>
            <w:r>
              <w:rPr>
                <w:rStyle w:val="TOCTitleChar3"/>
                <w:noProof/>
                <w:iCs/>
              </w:rPr>
              <w:t>
            Sample LLC Operating Agreement 2
          </w:t>
            </w:r>
            <w:r>
              <w:rPr>
                <w:noProof/>
                <w:webHidden/>
              </w:rPr>
              <w:tab/>
            </w:r>
            <w:r>
              <w:rPr>
                <w:noProof/>
                <w:webHidden/>
              </w:rPr>
              <w:fldChar w:fldCharType="begin"/>
            </w:r>
            <w:r>
              <w:rPr>
                <w:noProof/>
                <w:webHidden/>
              </w:rPr>
              <w:instrText xml:space="preserve"> PAGEREF _auto_toc_25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26" w:history="1">
            <w:r>
              <w:rPr>
                <w:rStyle w:val="TOCOrdinalChar3"/>
                <w:noProof/>
                <w:iCs/>
              </w:rPr>
              <w:t>
            2.2.6
          </w:t>
            </w:r>
            <w:r>
              <w:rPr>
                <w:noProof/>
                <w:webHidden/>
              </w:rPr>
              <w:tab/>
            </w:r>
            <w:r>
              <w:rPr>
                <w:rStyle w:val="TOCTitleChar3"/>
                <w:noProof/>
                <w:iCs/>
              </w:rPr>
              <w:t>
            Sample LLC Operating Agreement 3
          </w:t>
            </w:r>
            <w:r>
              <w:rPr>
                <w:noProof/>
                <w:webHidden/>
              </w:rPr>
              <w:tab/>
            </w:r>
            <w:r>
              <w:rPr>
                <w:noProof/>
                <w:webHidden/>
              </w:rPr>
              <w:fldChar w:fldCharType="begin"/>
            </w:r>
            <w:r>
              <w:rPr>
                <w:noProof/>
                <w:webHidden/>
              </w:rPr>
              <w:instrText xml:space="preserve"> PAGEREF _auto_toc_26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27" w:history="1">
            <w:r>
              <w:rPr>
                <w:rStyle w:val="TOCOrdinalChar2"/>
                <w:noProof/>
                <w:iCs/>
              </w:rPr>
              <w:t>
            2.3
          </w:t>
            </w:r>
            <w:r>
              <w:rPr>
                <w:noProof/>
                <w:webHidden/>
              </w:rPr>
              <w:tab/>
            </w:r>
            <w:r>
              <w:rPr>
                <w:rStyle w:val="TOCTitleChar2"/>
                <w:noProof/>
                <w:iCs/>
              </w:rPr>
              <w:t>
            Uniform Partnership Act 1917
          </w:t>
            </w:r>
            <w:r>
              <w:rPr>
                <w:noProof/>
                <w:webHidden/>
              </w:rPr>
              <w:tab/>
            </w:r>
            <w:r>
              <w:rPr>
                <w:noProof/>
                <w:webHidden/>
              </w:rPr>
              <w:fldChar w:fldCharType="begin"/>
            </w:r>
            <w:r>
              <w:rPr>
                <w:noProof/>
                <w:webHidden/>
              </w:rPr>
              <w:instrText xml:space="preserve"> PAGEREF _auto_toc_27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28" w:history="1">
            <w:r>
              <w:rPr>
                <w:rStyle w:val="TOCOrdinalChar2"/>
                <w:noProof/>
                <w:iCs/>
              </w:rPr>
              <w:t>
            2.4
          </w:t>
            </w:r>
            <w:r>
              <w:rPr>
                <w:noProof/>
                <w:webHidden/>
              </w:rPr>
              <w:tab/>
            </w:r>
            <w:r>
              <w:rPr>
                <w:rStyle w:val="TOCTitleChar2"/>
                <w:noProof/>
                <w:iCs/>
              </w:rPr>
              <w:t>
            (Revised) Uniform Partnership Act 1997 as revised 2013
          </w:t>
            </w:r>
            <w:r>
              <w:rPr>
                <w:noProof/>
                <w:webHidden/>
              </w:rPr>
              <w:tab/>
            </w:r>
            <w:r>
              <w:rPr>
                <w:noProof/>
                <w:webHidden/>
              </w:rPr>
              <w:fldChar w:fldCharType="begin"/>
            </w:r>
            <w:r>
              <w:rPr>
                <w:noProof/>
                <w:webHidden/>
              </w:rPr>
              <w:instrText xml:space="preserve"> PAGEREF _auto_toc_28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29" w:history="1">
            <w:r>
              <w:rPr>
                <w:rStyle w:val="TOCOrdinalChar2"/>
                <w:noProof/>
                <w:iCs/>
              </w:rPr>
              <w:t>
            2.5
          </w:t>
            </w:r>
            <w:r>
              <w:rPr>
                <w:noProof/>
                <w:webHidden/>
              </w:rPr>
              <w:tab/>
            </w:r>
            <w:r>
              <w:rPr>
                <w:rStyle w:val="TOCTitleChar2"/>
                <w:noProof/>
                <w:iCs/>
              </w:rPr>
              <w:t>
            Brudney's Partnership Problems
          </w:t>
            </w:r>
            <w:r>
              <w:rPr>
                <w:noProof/>
                <w:webHidden/>
              </w:rPr>
              <w:tab/>
            </w:r>
            <w:r>
              <w:rPr>
                <w:noProof/>
                <w:webHidden/>
              </w:rPr>
              <w:fldChar w:fldCharType="begin"/>
            </w:r>
            <w:r>
              <w:rPr>
                <w:noProof/>
                <w:webHidden/>
              </w:rPr>
              <w:instrText xml:space="preserve"> PAGEREF _auto_toc_29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30" w:history="1">
            <w:r>
              <w:rPr>
                <w:rStyle w:val="TOCOrdinalChar2"/>
                <w:noProof/>
                <w:iCs/>
              </w:rPr>
              <w:t>
            2.6
          </w:t>
            </w:r>
            <w:r>
              <w:rPr>
                <w:noProof/>
                <w:webHidden/>
              </w:rPr>
              <w:tab/>
            </w:r>
            <w:r>
              <w:rPr>
                <w:rStyle w:val="TOCTitleChar2"/>
                <w:noProof/>
                <w:iCs/>
              </w:rPr>
              <w:t>
            Delaware LLC Act
          </w:t>
            </w:r>
            <w:r>
              <w:rPr>
                <w:noProof/>
                <w:webHidden/>
              </w:rPr>
              <w:tab/>
            </w:r>
            <w:r>
              <w:rPr>
                <w:noProof/>
                <w:webHidden/>
              </w:rPr>
              <w:fldChar w:fldCharType="begin"/>
            </w:r>
            <w:r>
              <w:rPr>
                <w:noProof/>
                <w:webHidden/>
              </w:rPr>
              <w:instrText xml:space="preserve"> PAGEREF _auto_toc_30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31" w:history="1">
            <w:r>
              <w:rPr>
                <w:rStyle w:val="TOCOrdinalChar2"/>
                <w:noProof/>
                <w:iCs/>
              </w:rPr>
              <w:t>
            2.7
          </w:t>
            </w:r>
            <w:r>
              <w:rPr>
                <w:noProof/>
                <w:webHidden/>
              </w:rPr>
              <w:tab/>
            </w:r>
            <w:r>
              <w:rPr>
                <w:rStyle w:val="TOCTitleChar2"/>
                <w:noProof/>
                <w:iCs/>
              </w:rPr>
              <w:t>
            After the Purchase
          </w:t>
            </w:r>
            <w:r>
              <w:rPr>
                <w:noProof/>
                <w:webHidden/>
              </w:rPr>
              <w:tab/>
            </w:r>
            <w:r>
              <w:rPr>
                <w:noProof/>
                <w:webHidden/>
              </w:rPr>
              <w:fldChar w:fldCharType="begin"/>
            </w:r>
            <w:r>
              <w:rPr>
                <w:noProof/>
                <w:webHidden/>
              </w:rPr>
              <w:instrText xml:space="preserve"> PAGEREF _auto_toc_31 \h </w:instrText>
            </w:r>
            <w:r>
              <w:rPr>
                <w:noProof/>
                <w:webHidden/>
              </w:rPr>
            </w:r>
            <w:r>
              <w:rPr>
                <w:noProof/>
                <w:webHidden/>
              </w:rPr>
              <w:fldChar w:fldCharType="separate"/>
            </w:r>
            <w:r>
              <w:rPr>
                <w:noProof/>
                <w:webHidden/>
              </w:rPr>
              <w:t>[ ]</w:t>
            </w:r>
            <w:r>
              <w:rPr>
                <w:noProof/>
                <w:webHidden/>
              </w:rPr>
              <w:fldChar w:fldCharType="end"/>
            </w:r>
          </w:hyperlink>
        </w:p>
        <w:p>
          <w:pPr>
            <w:pStyle w:val="TOC1"/>
            <w:rPr>
              <w:noProof/>
            </w:rPr>
          </w:pPr>
          <w:hyperlink w:anchor="_auto_toc_32" w:history="1">
            <w:r>
              <w:rPr>
                <w:rStyle w:val="TOCOrdinalChar1"/>
                <w:noProof/>
                <w:iCs/>
              </w:rPr>
              <w:t>
            3
          </w:t>
            </w:r>
            <w:r>
              <w:rPr>
                <w:noProof/>
                <w:webHidden/>
              </w:rPr>
              <w:tab/>
            </w:r>
            <w:r>
              <w:rPr>
                <w:rStyle w:val="TOCTitleChar1"/>
                <w:noProof/>
                <w:iCs/>
              </w:rPr>
              <w:t>
            Entity choice and basic "rules" for corporations
          </w:t>
            </w:r>
            <w:r>
              <w:rPr>
                <w:noProof/>
                <w:webHidden/>
              </w:rPr>
              <w:tab/>
            </w:r>
            <w:r>
              <w:rPr>
                <w:noProof/>
                <w:webHidden/>
              </w:rPr>
              <w:fldChar w:fldCharType="begin"/>
            </w:r>
            <w:r>
              <w:rPr>
                <w:noProof/>
                <w:webHidden/>
              </w:rPr>
              <w:instrText xml:space="preserve"> PAGEREF _auto_toc_32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33" w:history="1">
            <w:r>
              <w:rPr>
                <w:rStyle w:val="TOCOrdinalChar2"/>
                <w:noProof/>
                <w:iCs/>
              </w:rPr>
              <w:t>
            3.1
          </w:t>
            </w:r>
            <w:r>
              <w:rPr>
                <w:noProof/>
                <w:webHidden/>
              </w:rPr>
              <w:tab/>
            </w:r>
            <w:r>
              <w:rPr>
                <w:rStyle w:val="TOCTitleChar2"/>
                <w:noProof/>
                <w:iCs/>
              </w:rPr>
              <w:t>
            Readings
          </w:t>
            </w:r>
            <w:r>
              <w:rPr>
                <w:noProof/>
                <w:webHidden/>
              </w:rPr>
              <w:tab/>
            </w:r>
            <w:r>
              <w:rPr>
                <w:noProof/>
                <w:webHidden/>
              </w:rPr>
              <w:fldChar w:fldCharType="begin"/>
            </w:r>
            <w:r>
              <w:rPr>
                <w:noProof/>
                <w:webHidden/>
              </w:rPr>
              <w:instrText xml:space="preserve"> PAGEREF _auto_toc_33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34" w:history="1">
            <w:r>
              <w:rPr>
                <w:rStyle w:val="TOCOrdinalChar3"/>
                <w:noProof/>
                <w:iCs/>
              </w:rPr>
              <w:t>
            3.1.1
          </w:t>
            </w:r>
            <w:r>
              <w:rPr>
                <w:noProof/>
                <w:webHidden/>
              </w:rPr>
              <w:tab/>
            </w:r>
            <w:r>
              <w:rPr>
                <w:rStyle w:val="TOCTitleChar3"/>
                <w:noProof/>
                <w:iCs/>
              </w:rPr>
              <w:t>
            A. P. Smith Manufacturing Co. v. Barlow
          </w:t>
            </w:r>
            <w:r>
              <w:rPr>
                <w:noProof/>
                <w:webHidden/>
              </w:rPr>
              <w:tab/>
            </w:r>
            <w:r>
              <w:rPr>
                <w:noProof/>
                <w:webHidden/>
              </w:rPr>
              <w:fldChar w:fldCharType="begin"/>
            </w:r>
            <w:r>
              <w:rPr>
                <w:noProof/>
                <w:webHidden/>
              </w:rPr>
              <w:instrText xml:space="preserve"> PAGEREF _auto_toc_34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35" w:history="1">
            <w:r>
              <w:rPr>
                <w:rStyle w:val="TOCOrdinalChar3"/>
                <w:noProof/>
                <w:iCs/>
              </w:rPr>
              <w:t>
            3.1.2
          </w:t>
            </w:r>
            <w:r>
              <w:rPr>
                <w:noProof/>
                <w:webHidden/>
              </w:rPr>
              <w:tab/>
            </w:r>
            <w:r>
              <w:rPr>
                <w:rStyle w:val="TOCTitleChar3"/>
                <w:noProof/>
                <w:iCs/>
              </w:rPr>
              <w:t>
            Citizens United v. Federal Election Commission
          </w:t>
            </w:r>
            <w:r>
              <w:rPr>
                <w:noProof/>
                <w:webHidden/>
              </w:rPr>
              <w:tab/>
            </w:r>
            <w:r>
              <w:rPr>
                <w:noProof/>
                <w:webHidden/>
              </w:rPr>
              <w:fldChar w:fldCharType="begin"/>
            </w:r>
            <w:r>
              <w:rPr>
                <w:noProof/>
                <w:webHidden/>
              </w:rPr>
              <w:instrText xml:space="preserve"> PAGEREF _auto_toc_35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36" w:history="1">
            <w:r>
              <w:rPr>
                <w:rStyle w:val="TOCOrdinalChar3"/>
                <w:noProof/>
                <w:iCs/>
              </w:rPr>
              <w:t>
            3.1.3
          </w:t>
            </w:r>
            <w:r>
              <w:rPr>
                <w:noProof/>
                <w:webHidden/>
              </w:rPr>
              <w:tab/>
            </w:r>
            <w:r>
              <w:rPr>
                <w:rStyle w:val="TOCTitleChar3"/>
                <w:noProof/>
                <w:iCs/>
              </w:rPr>
              <w:t>
            Burwell v. Hobby Lobby Stores, Inc.
          </w:t>
            </w:r>
            <w:r>
              <w:rPr>
                <w:noProof/>
                <w:webHidden/>
              </w:rPr>
              <w:tab/>
            </w:r>
            <w:r>
              <w:rPr>
                <w:noProof/>
                <w:webHidden/>
              </w:rPr>
              <w:fldChar w:fldCharType="begin"/>
            </w:r>
            <w:r>
              <w:rPr>
                <w:noProof/>
                <w:webHidden/>
              </w:rPr>
              <w:instrText xml:space="preserve"> PAGEREF _auto_toc_36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37" w:history="1">
            <w:r>
              <w:rPr>
                <w:rStyle w:val="TOCOrdinalChar2"/>
                <w:noProof/>
                <w:iCs/>
              </w:rPr>
              <w:t>
            3.2
          </w:t>
            </w:r>
            <w:r>
              <w:rPr>
                <w:noProof/>
                <w:webHidden/>
              </w:rPr>
              <w:tab/>
            </w:r>
            <w:r>
              <w:rPr>
                <w:rStyle w:val="TOCTitleChar2"/>
                <w:noProof/>
                <w:iCs/>
              </w:rPr>
              <w:t>
            Core "rules" for the course
          </w:t>
            </w:r>
            <w:r>
              <w:rPr>
                <w:noProof/>
                <w:webHidden/>
              </w:rPr>
              <w:tab/>
            </w:r>
            <w:r>
              <w:rPr>
                <w:noProof/>
                <w:webHidden/>
              </w:rPr>
              <w:fldChar w:fldCharType="begin"/>
            </w:r>
            <w:r>
              <w:rPr>
                <w:noProof/>
                <w:webHidden/>
              </w:rPr>
              <w:instrText xml:space="preserve"> PAGEREF _auto_toc_37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38" w:history="1">
            <w:r>
              <w:rPr>
                <w:rStyle w:val="TOCOrdinalChar3"/>
                <w:noProof/>
                <w:iCs/>
              </w:rPr>
              <w:t>
            3.2.1
          </w:t>
            </w:r>
            <w:r>
              <w:rPr>
                <w:noProof/>
                <w:webHidden/>
              </w:rPr>
              <w:tab/>
            </w:r>
            <w:r>
              <w:rPr>
                <w:rStyle w:val="TOCTitleChar3"/>
                <w:noProof/>
                <w:iCs/>
              </w:rPr>
              <w:t>
            Delaware General Corporation Law
          </w:t>
            </w:r>
            <w:r>
              <w:rPr>
                <w:noProof/>
                <w:webHidden/>
              </w:rPr>
              <w:tab/>
            </w:r>
            <w:r>
              <w:rPr>
                <w:noProof/>
                <w:webHidden/>
              </w:rPr>
              <w:fldChar w:fldCharType="begin"/>
            </w:r>
            <w:r>
              <w:rPr>
                <w:noProof/>
                <w:webHidden/>
              </w:rPr>
              <w:instrText xml:space="preserve"> PAGEREF _auto_toc_38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39" w:history="1">
            <w:r>
              <w:rPr>
                <w:rStyle w:val="TOCOrdinalChar3"/>
                <w:noProof/>
                <w:iCs/>
              </w:rPr>
              <w:t>
            3.2.2
          </w:t>
            </w:r>
            <w:r>
              <w:rPr>
                <w:noProof/>
                <w:webHidden/>
              </w:rPr>
              <w:tab/>
            </w:r>
            <w:r>
              <w:rPr>
                <w:rStyle w:val="TOCTitleChar3"/>
                <w:noProof/>
                <w:iCs/>
              </w:rPr>
              <w:t>
            Securities Exchange Act of 1934
          </w:t>
            </w:r>
            <w:r>
              <w:rPr>
                <w:noProof/>
                <w:webHidden/>
              </w:rPr>
              <w:tab/>
            </w:r>
            <w:r>
              <w:rPr>
                <w:noProof/>
                <w:webHidden/>
              </w:rPr>
              <w:fldChar w:fldCharType="begin"/>
            </w:r>
            <w:r>
              <w:rPr>
                <w:noProof/>
                <w:webHidden/>
              </w:rPr>
              <w:instrText xml:space="preserve"> PAGEREF _auto_toc_39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40" w:history="1">
            <w:r>
              <w:rPr>
                <w:rStyle w:val="TOCOrdinalChar3"/>
                <w:noProof/>
                <w:iCs/>
              </w:rPr>
              <w:t>
            3.2.3
          </w:t>
            </w:r>
            <w:r>
              <w:rPr>
                <w:noProof/>
                <w:webHidden/>
              </w:rPr>
              <w:tab/>
            </w:r>
            <w:r>
              <w:rPr>
                <w:rStyle w:val="TOCTitleChar3"/>
                <w:noProof/>
                <w:iCs/>
              </w:rPr>
              <w:t>
            NYSE Listed Company Manual - Corporate Responsibility
          </w:t>
            </w:r>
            <w:r>
              <w:rPr>
                <w:noProof/>
                <w:webHidden/>
              </w:rPr>
              <w:tab/>
            </w:r>
            <w:r>
              <w:rPr>
                <w:noProof/>
                <w:webHidden/>
              </w:rPr>
              <w:fldChar w:fldCharType="begin"/>
            </w:r>
            <w:r>
              <w:rPr>
                <w:noProof/>
                <w:webHidden/>
              </w:rPr>
              <w:instrText xml:space="preserve"> PAGEREF _auto_toc_40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41" w:history="1">
            <w:r>
              <w:rPr>
                <w:rStyle w:val="TOCOrdinalChar2"/>
                <w:noProof/>
                <w:iCs/>
              </w:rPr>
              <w:t>
            3.3
          </w:t>
            </w:r>
            <w:r>
              <w:rPr>
                <w:noProof/>
                <w:webHidden/>
              </w:rPr>
              <w:tab/>
            </w:r>
            <w:r>
              <w:rPr>
                <w:rStyle w:val="TOCTitleChar2"/>
                <w:noProof/>
                <w:iCs/>
              </w:rPr>
              <w:t>
            Some basics of corporate finance
          </w:t>
            </w:r>
            <w:r>
              <w:rPr>
                <w:noProof/>
                <w:webHidden/>
              </w:rPr>
              <w:tab/>
            </w:r>
            <w:r>
              <w:rPr>
                <w:noProof/>
                <w:webHidden/>
              </w:rPr>
              <w:fldChar w:fldCharType="begin"/>
            </w:r>
            <w:r>
              <w:rPr>
                <w:noProof/>
                <w:webHidden/>
              </w:rPr>
              <w:instrText xml:space="preserve"> PAGEREF _auto_toc_41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42" w:history="1">
            <w:r>
              <w:rPr>
                <w:rStyle w:val="TOCOrdinalChar2"/>
                <w:noProof/>
                <w:iCs/>
              </w:rPr>
              <w:t>
            3.4
          </w:t>
            </w:r>
            <w:r>
              <w:rPr>
                <w:noProof/>
                <w:webHidden/>
              </w:rPr>
              <w:tab/>
            </w:r>
            <w:r>
              <w:rPr>
                <w:rStyle w:val="TOCTitleChar2"/>
                <w:noProof/>
                <w:iCs/>
              </w:rPr>
              <w:t>
            A note on entity choice
          </w:t>
            </w:r>
            <w:r>
              <w:rPr>
                <w:noProof/>
                <w:webHidden/>
              </w:rPr>
              <w:tab/>
            </w:r>
            <w:r>
              <w:rPr>
                <w:noProof/>
                <w:webHidden/>
              </w:rPr>
              <w:fldChar w:fldCharType="begin"/>
            </w:r>
            <w:r>
              <w:rPr>
                <w:noProof/>
                <w:webHidden/>
              </w:rPr>
              <w:instrText xml:space="preserve"> PAGEREF _auto_toc_42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43" w:history="1">
            <w:r>
              <w:rPr>
                <w:rStyle w:val="TOCOrdinalChar2"/>
                <w:noProof/>
                <w:iCs/>
              </w:rPr>
              <w:t>
            3.5
          </w:t>
            </w:r>
            <w:r>
              <w:rPr>
                <w:noProof/>
                <w:webHidden/>
              </w:rPr>
              <w:tab/>
            </w:r>
            <w:r>
              <w:rPr>
                <w:rStyle w:val="TOCTitleChar2"/>
                <w:noProof/>
                <w:iCs/>
              </w:rPr>
              <w:t>
            A note on purpose, profits, non-profits and B corps
          </w:t>
            </w:r>
            <w:r>
              <w:rPr>
                <w:noProof/>
                <w:webHidden/>
              </w:rPr>
              <w:tab/>
            </w:r>
            <w:r>
              <w:rPr>
                <w:noProof/>
                <w:webHidden/>
              </w:rPr>
              <w:fldChar w:fldCharType="begin"/>
            </w:r>
            <w:r>
              <w:rPr>
                <w:noProof/>
                <w:webHidden/>
              </w:rPr>
              <w:instrText xml:space="preserve"> PAGEREF _auto_toc_43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44" w:history="1">
            <w:r>
              <w:rPr>
                <w:rStyle w:val="TOCOrdinalChar2"/>
                <w:noProof/>
                <w:iCs/>
              </w:rPr>
              <w:t>
            3.6
          </w:t>
            </w:r>
            <w:r>
              <w:rPr>
                <w:noProof/>
                <w:webHidden/>
              </w:rPr>
              <w:tab/>
            </w:r>
            <w:r>
              <w:rPr>
                <w:rStyle w:val="TOCTitleChar2"/>
                <w:noProof/>
                <w:iCs/>
              </w:rPr>
              <w:t>
            A note on the "internal affairs doctrine"
          </w:t>
            </w:r>
            <w:r>
              <w:rPr>
                <w:noProof/>
                <w:webHidden/>
              </w:rPr>
              <w:tab/>
            </w:r>
            <w:r>
              <w:rPr>
                <w:noProof/>
                <w:webHidden/>
              </w:rPr>
              <w:fldChar w:fldCharType="begin"/>
            </w:r>
            <w:r>
              <w:rPr>
                <w:noProof/>
                <w:webHidden/>
              </w:rPr>
              <w:instrText xml:space="preserve"> PAGEREF _auto_toc_44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45" w:history="1">
            <w:r>
              <w:rPr>
                <w:rStyle w:val="TOCOrdinalChar2"/>
                <w:noProof/>
                <w:iCs/>
              </w:rPr>
              <w:t>
            3.7
          </w:t>
            </w:r>
            <w:r>
              <w:rPr>
                <w:noProof/>
                <w:webHidden/>
              </w:rPr>
              <w:tab/>
            </w:r>
            <w:r>
              <w:rPr>
                <w:rStyle w:val="TOCTitleChar2"/>
                <w:noProof/>
                <w:iCs/>
              </w:rPr>
              <w:t>
            Creating a corporation -- one take on how to do it
          </w:t>
            </w:r>
            <w:r>
              <w:rPr>
                <w:noProof/>
                <w:webHidden/>
              </w:rPr>
              <w:tab/>
            </w:r>
            <w:r>
              <w:rPr>
                <w:noProof/>
                <w:webHidden/>
              </w:rPr>
              <w:fldChar w:fldCharType="begin"/>
            </w:r>
            <w:r>
              <w:rPr>
                <w:noProof/>
                <w:webHidden/>
              </w:rPr>
              <w:instrText xml:space="preserve"> PAGEREF _auto_toc_45 \h </w:instrText>
            </w:r>
            <w:r>
              <w:rPr>
                <w:noProof/>
                <w:webHidden/>
              </w:rPr>
            </w:r>
            <w:r>
              <w:rPr>
                <w:noProof/>
                <w:webHidden/>
              </w:rPr>
              <w:fldChar w:fldCharType="separate"/>
            </w:r>
            <w:r>
              <w:rPr>
                <w:noProof/>
                <w:webHidden/>
              </w:rPr>
              <w:t>[ ]</w:t>
            </w:r>
            <w:r>
              <w:rPr>
                <w:noProof/>
                <w:webHidden/>
              </w:rPr>
              <w:fldChar w:fldCharType="end"/>
            </w:r>
          </w:hyperlink>
        </w:p>
        <w:p>
          <w:pPr>
            <w:pStyle w:val="TOC1"/>
            <w:rPr>
              <w:noProof/>
            </w:rPr>
          </w:pPr>
          <w:hyperlink w:anchor="_auto_toc_46" w:history="1">
            <w:r>
              <w:rPr>
                <w:rStyle w:val="TOCOrdinalChar1"/>
                <w:noProof/>
                <w:iCs/>
              </w:rPr>
              <w:t>
            4
          </w:t>
            </w:r>
            <w:r>
              <w:rPr>
                <w:noProof/>
                <w:webHidden/>
              </w:rPr>
              <w:tab/>
            </w:r>
            <w:r>
              <w:rPr>
                <w:rStyle w:val="TOCTitleChar1"/>
                <w:noProof/>
                <w:iCs/>
              </w:rPr>
              <w:t>
            Boards
          </w:t>
            </w:r>
            <w:r>
              <w:rPr>
                <w:noProof/>
                <w:webHidden/>
              </w:rPr>
              <w:tab/>
            </w:r>
            <w:r>
              <w:rPr>
                <w:noProof/>
                <w:webHidden/>
              </w:rPr>
              <w:fldChar w:fldCharType="begin"/>
            </w:r>
            <w:r>
              <w:rPr>
                <w:noProof/>
                <w:webHidden/>
              </w:rPr>
              <w:instrText xml:space="preserve"> PAGEREF _auto_toc_46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47" w:history="1">
            <w:r>
              <w:rPr>
                <w:rStyle w:val="TOCOrdinalChar2"/>
                <w:noProof/>
                <w:iCs/>
              </w:rPr>
              <w:t>
            4.1
          </w:t>
            </w:r>
            <w:r>
              <w:rPr>
                <w:noProof/>
                <w:webHidden/>
              </w:rPr>
              <w:tab/>
            </w:r>
            <w:r>
              <w:rPr>
                <w:rStyle w:val="TOCTitleChar2"/>
                <w:noProof/>
                <w:iCs/>
              </w:rPr>
              <w:t>
            Readings
          </w:t>
            </w:r>
            <w:r>
              <w:rPr>
                <w:noProof/>
                <w:webHidden/>
              </w:rPr>
              <w:tab/>
            </w:r>
            <w:r>
              <w:rPr>
                <w:noProof/>
                <w:webHidden/>
              </w:rPr>
              <w:fldChar w:fldCharType="begin"/>
            </w:r>
            <w:r>
              <w:rPr>
                <w:noProof/>
                <w:webHidden/>
              </w:rPr>
              <w:instrText xml:space="preserve"> PAGEREF _auto_toc_47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48" w:history="1">
            <w:r>
              <w:rPr>
                <w:rStyle w:val="TOCOrdinalChar3"/>
                <w:noProof/>
                <w:iCs/>
              </w:rPr>
              <w:t>
            4.1.1
          </w:t>
            </w:r>
            <w:r>
              <w:rPr>
                <w:noProof/>
                <w:webHidden/>
              </w:rPr>
              <w:tab/>
            </w:r>
            <w:r>
              <w:rPr>
                <w:rStyle w:val="TOCTitleChar3"/>
                <w:noProof/>
                <w:iCs/>
              </w:rPr>
              <w:t>
            Automatic Self-Cleansing
          </w:t>
            </w:r>
            <w:r>
              <w:rPr>
                <w:noProof/>
                <w:webHidden/>
              </w:rPr>
              <w:tab/>
            </w:r>
            <w:r>
              <w:rPr>
                <w:noProof/>
                <w:webHidden/>
              </w:rPr>
              <w:fldChar w:fldCharType="begin"/>
            </w:r>
            <w:r>
              <w:rPr>
                <w:noProof/>
                <w:webHidden/>
              </w:rPr>
              <w:instrText xml:space="preserve"> PAGEREF _auto_toc_48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49" w:history="1">
            <w:r>
              <w:rPr>
                <w:rStyle w:val="TOCOrdinalChar3"/>
                <w:noProof/>
                <w:iCs/>
              </w:rPr>
              <w:t>
            4.1.2
          </w:t>
            </w:r>
            <w:r>
              <w:rPr>
                <w:noProof/>
                <w:webHidden/>
              </w:rPr>
              <w:tab/>
            </w:r>
            <w:r>
              <w:rPr>
                <w:rStyle w:val="TOCTitleChar3"/>
                <w:noProof/>
                <w:iCs/>
              </w:rPr>
              <w:t>
            Jennings v. Ptsbg. Mercantile Co., 414 Pa. 641
          </w:t>
            </w:r>
            <w:r>
              <w:rPr>
                <w:noProof/>
                <w:webHidden/>
              </w:rPr>
              <w:tab/>
            </w:r>
            <w:r>
              <w:rPr>
                <w:noProof/>
                <w:webHidden/>
              </w:rPr>
              <w:fldChar w:fldCharType="begin"/>
            </w:r>
            <w:r>
              <w:rPr>
                <w:noProof/>
                <w:webHidden/>
              </w:rPr>
              <w:instrText xml:space="preserve"> PAGEREF _auto_toc_49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50" w:history="1">
            <w:r>
              <w:rPr>
                <w:rStyle w:val="TOCOrdinalChar3"/>
                <w:noProof/>
                <w:iCs/>
              </w:rPr>
              <w:t>
            4.1.3
          </w:t>
            </w:r>
            <w:r>
              <w:rPr>
                <w:noProof/>
                <w:webHidden/>
              </w:rPr>
              <w:tab/>
            </w:r>
            <w:r>
              <w:rPr>
                <w:rStyle w:val="TOCTitleChar3"/>
                <w:noProof/>
                <w:iCs/>
              </w:rPr>
              <w:t>
            Kamin v. American Express Company
          </w:t>
            </w:r>
            <w:r>
              <w:rPr>
                <w:noProof/>
                <w:webHidden/>
              </w:rPr>
              <w:tab/>
            </w:r>
            <w:r>
              <w:rPr>
                <w:noProof/>
                <w:webHidden/>
              </w:rPr>
              <w:fldChar w:fldCharType="begin"/>
            </w:r>
            <w:r>
              <w:rPr>
                <w:noProof/>
                <w:webHidden/>
              </w:rPr>
              <w:instrText xml:space="preserve"> PAGEREF _auto_toc_50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51" w:history="1">
            <w:r>
              <w:rPr>
                <w:rStyle w:val="TOCOrdinalChar3"/>
                <w:noProof/>
                <w:iCs/>
              </w:rPr>
              <w:t>
            4.1.4
          </w:t>
            </w:r>
            <w:r>
              <w:rPr>
                <w:noProof/>
                <w:webHidden/>
              </w:rPr>
              <w:tab/>
            </w:r>
            <w:r>
              <w:rPr>
                <w:rStyle w:val="TOCTitleChar3"/>
                <w:noProof/>
                <w:iCs/>
              </w:rPr>
              <w:t>
            In Re The Goldman Sachs Group, Inc. Shareholder Litigation
          </w:t>
            </w:r>
            <w:r>
              <w:rPr>
                <w:noProof/>
                <w:webHidden/>
              </w:rPr>
              <w:tab/>
            </w:r>
            <w:r>
              <w:rPr>
                <w:noProof/>
                <w:webHidden/>
              </w:rPr>
              <w:fldChar w:fldCharType="begin"/>
            </w:r>
            <w:r>
              <w:rPr>
                <w:noProof/>
                <w:webHidden/>
              </w:rPr>
              <w:instrText xml:space="preserve"> PAGEREF _auto_toc_51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52" w:history="1">
            <w:r>
              <w:rPr>
                <w:rStyle w:val="TOCOrdinalChar3"/>
                <w:noProof/>
                <w:iCs/>
              </w:rPr>
              <w:t>
            4.1.5
          </w:t>
            </w:r>
            <w:r>
              <w:rPr>
                <w:noProof/>
                <w:webHidden/>
              </w:rPr>
              <w:tab/>
            </w:r>
            <w:r>
              <w:rPr>
                <w:rStyle w:val="TOCTitleChar3"/>
                <w:noProof/>
                <w:iCs/>
              </w:rPr>
              <w:t>
            Calma v. Templeton
          </w:t>
            </w:r>
            <w:r>
              <w:rPr>
                <w:noProof/>
                <w:webHidden/>
              </w:rPr>
              <w:tab/>
            </w:r>
            <w:r>
              <w:rPr>
                <w:noProof/>
                <w:webHidden/>
              </w:rPr>
              <w:fldChar w:fldCharType="begin"/>
            </w:r>
            <w:r>
              <w:rPr>
                <w:noProof/>
                <w:webHidden/>
              </w:rPr>
              <w:instrText xml:space="preserve"> PAGEREF _auto_toc_52 \h </w:instrText>
            </w:r>
            <w:r>
              <w:rPr>
                <w:noProof/>
                <w:webHidden/>
              </w:rPr>
            </w:r>
            <w:r>
              <w:rPr>
                <w:noProof/>
                <w:webHidden/>
              </w:rPr>
              <w:fldChar w:fldCharType="separate"/>
            </w:r>
            <w:r>
              <w:rPr>
                <w:noProof/>
                <w:webHidden/>
              </w:rPr>
              <w:t>[ ]</w:t>
            </w:r>
            <w:r>
              <w:rPr>
                <w:noProof/>
                <w:webHidden/>
              </w:rPr>
              <w:fldChar w:fldCharType="end"/>
            </w:r>
          </w:hyperlink>
        </w:p>
        <w:p>
          <w:pPr>
            <w:pStyle w:val="TOC1"/>
            <w:rPr>
              <w:noProof/>
            </w:rPr>
          </w:pPr>
          <w:hyperlink w:anchor="_auto_toc_53" w:history="1">
            <w:r>
              <w:rPr>
                <w:rStyle w:val="TOCOrdinalChar1"/>
                <w:noProof/>
                <w:iCs/>
              </w:rPr>
              <w:t>
            5
          </w:t>
            </w:r>
            <w:r>
              <w:rPr>
                <w:noProof/>
                <w:webHidden/>
              </w:rPr>
              <w:tab/>
            </w:r>
            <w:r>
              <w:rPr>
                <w:rStyle w:val="TOCTitleChar1"/>
                <w:noProof/>
                <w:iCs/>
              </w:rPr>
              <w:t>
            Shareholders
          </w:t>
            </w:r>
            <w:r>
              <w:rPr>
                <w:noProof/>
                <w:webHidden/>
              </w:rPr>
              <w:tab/>
            </w:r>
            <w:r>
              <w:rPr>
                <w:noProof/>
                <w:webHidden/>
              </w:rPr>
              <w:fldChar w:fldCharType="begin"/>
            </w:r>
            <w:r>
              <w:rPr>
                <w:noProof/>
                <w:webHidden/>
              </w:rPr>
              <w:instrText xml:space="preserve"> PAGEREF _auto_toc_53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54" w:history="1">
            <w:r>
              <w:rPr>
                <w:rStyle w:val="TOCOrdinalChar2"/>
                <w:noProof/>
                <w:iCs/>
              </w:rPr>
              <w:t>
            5.1
          </w:t>
            </w:r>
            <w:r>
              <w:rPr>
                <w:noProof/>
                <w:webHidden/>
              </w:rPr>
              <w:tab/>
            </w:r>
            <w:r>
              <w:rPr>
                <w:rStyle w:val="TOCTitleChar2"/>
                <w:noProof/>
                <w:iCs/>
              </w:rPr>
              <w:t>
            Readings
          </w:t>
            </w:r>
            <w:r>
              <w:rPr>
                <w:noProof/>
                <w:webHidden/>
              </w:rPr>
              <w:tab/>
            </w:r>
            <w:r>
              <w:rPr>
                <w:noProof/>
                <w:webHidden/>
              </w:rPr>
              <w:fldChar w:fldCharType="begin"/>
            </w:r>
            <w:r>
              <w:rPr>
                <w:noProof/>
                <w:webHidden/>
              </w:rPr>
              <w:instrText xml:space="preserve"> PAGEREF _auto_toc_54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55" w:history="1">
            <w:r>
              <w:rPr>
                <w:rStyle w:val="TOCOrdinalChar3"/>
                <w:noProof/>
                <w:iCs/>
              </w:rPr>
              <w:t>
            5.1.1
          </w:t>
            </w:r>
            <w:r>
              <w:rPr>
                <w:noProof/>
                <w:webHidden/>
              </w:rPr>
              <w:tab/>
            </w:r>
            <w:r>
              <w:rPr>
                <w:rStyle w:val="TOCTitleChar3"/>
                <w:noProof/>
                <w:iCs/>
              </w:rPr>
              <w:t>
            Rosenfeld v. Fairchild Engine &amp; Airplane Corp.
          </w:t>
            </w:r>
            <w:r>
              <w:rPr>
                <w:noProof/>
                <w:webHidden/>
              </w:rPr>
              <w:tab/>
            </w:r>
            <w:r>
              <w:rPr>
                <w:noProof/>
                <w:webHidden/>
              </w:rPr>
              <w:fldChar w:fldCharType="begin"/>
            </w:r>
            <w:r>
              <w:rPr>
                <w:noProof/>
                <w:webHidden/>
              </w:rPr>
              <w:instrText xml:space="preserve"> PAGEREF _auto_toc_55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56" w:history="1">
            <w:r>
              <w:rPr>
                <w:rStyle w:val="TOCOrdinalChar3"/>
                <w:noProof/>
                <w:iCs/>
              </w:rPr>
              <w:t>
            5.1.2
          </w:t>
            </w:r>
            <w:r>
              <w:rPr>
                <w:noProof/>
                <w:webHidden/>
              </w:rPr>
              <w:tab/>
            </w:r>
            <w:r>
              <w:rPr>
                <w:rStyle w:val="TOCTitleChar3"/>
                <w:noProof/>
                <w:iCs/>
              </w:rPr>
              <w:t>
            Schnell v. Chris-Craft Industries, Inc.
          </w:t>
            </w:r>
            <w:r>
              <w:rPr>
                <w:noProof/>
                <w:webHidden/>
              </w:rPr>
              <w:tab/>
            </w:r>
            <w:r>
              <w:rPr>
                <w:noProof/>
                <w:webHidden/>
              </w:rPr>
              <w:fldChar w:fldCharType="begin"/>
            </w:r>
            <w:r>
              <w:rPr>
                <w:noProof/>
                <w:webHidden/>
              </w:rPr>
              <w:instrText xml:space="preserve"> PAGEREF _auto_toc_56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57" w:history="1">
            <w:r>
              <w:rPr>
                <w:rStyle w:val="TOCOrdinalChar3"/>
                <w:noProof/>
                <w:iCs/>
              </w:rPr>
              <w:t>
            5.1.3
          </w:t>
            </w:r>
            <w:r>
              <w:rPr>
                <w:noProof/>
                <w:webHidden/>
              </w:rPr>
              <w:tab/>
            </w:r>
            <w:r>
              <w:rPr>
                <w:rStyle w:val="TOCTitleChar3"/>
                <w:noProof/>
                <w:iCs/>
              </w:rPr>
              <w:t>
            CA  INC. v. AFSCME Employees Pension Plan
          </w:t>
            </w:r>
            <w:r>
              <w:rPr>
                <w:noProof/>
                <w:webHidden/>
              </w:rPr>
              <w:tab/>
            </w:r>
            <w:r>
              <w:rPr>
                <w:noProof/>
                <w:webHidden/>
              </w:rPr>
              <w:fldChar w:fldCharType="begin"/>
            </w:r>
            <w:r>
              <w:rPr>
                <w:noProof/>
                <w:webHidden/>
              </w:rPr>
              <w:instrText xml:space="preserve"> PAGEREF _auto_toc_57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58" w:history="1">
            <w:r>
              <w:rPr>
                <w:rStyle w:val="TOCOrdinalChar2"/>
                <w:noProof/>
                <w:iCs/>
              </w:rPr>
              <w:t>
            5.2
          </w:t>
            </w:r>
            <w:r>
              <w:rPr>
                <w:noProof/>
                <w:webHidden/>
              </w:rPr>
              <w:tab/>
            </w:r>
            <w:r>
              <w:rPr>
                <w:rStyle w:val="TOCTitleChar2"/>
                <w:noProof/>
                <w:iCs/>
              </w:rPr>
              <w:t>
            Reference Readings
          </w:t>
            </w:r>
            <w:r>
              <w:rPr>
                <w:noProof/>
                <w:webHidden/>
              </w:rPr>
              <w:tab/>
            </w:r>
            <w:r>
              <w:rPr>
                <w:noProof/>
                <w:webHidden/>
              </w:rPr>
              <w:fldChar w:fldCharType="begin"/>
            </w:r>
            <w:r>
              <w:rPr>
                <w:noProof/>
                <w:webHidden/>
              </w:rPr>
              <w:instrText xml:space="preserve"> PAGEREF _auto_toc_58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59" w:history="1">
            <w:r>
              <w:rPr>
                <w:rStyle w:val="TOCOrdinalChar3"/>
                <w:noProof/>
                <w:iCs/>
              </w:rPr>
              <w:t>
            5.2.1
          </w:t>
            </w:r>
            <w:r>
              <w:rPr>
                <w:noProof/>
                <w:webHidden/>
              </w:rPr>
              <w:tab/>
            </w:r>
            <w:r>
              <w:rPr>
                <w:rStyle w:val="TOCTitleChar3"/>
                <w:noProof/>
                <w:iCs/>
              </w:rPr>
              <w:t>
            Aprahamian v. HBO &amp; Co.
          </w:t>
            </w:r>
            <w:r>
              <w:rPr>
                <w:noProof/>
                <w:webHidden/>
              </w:rPr>
              <w:tab/>
            </w:r>
            <w:r>
              <w:rPr>
                <w:noProof/>
                <w:webHidden/>
              </w:rPr>
              <w:fldChar w:fldCharType="begin"/>
            </w:r>
            <w:r>
              <w:rPr>
                <w:noProof/>
                <w:webHidden/>
              </w:rPr>
              <w:instrText xml:space="preserve"> PAGEREF _auto_toc_59 \h </w:instrText>
            </w:r>
            <w:r>
              <w:rPr>
                <w:noProof/>
                <w:webHidden/>
              </w:rPr>
            </w:r>
            <w:r>
              <w:rPr>
                <w:noProof/>
                <w:webHidden/>
              </w:rPr>
              <w:fldChar w:fldCharType="separate"/>
            </w:r>
            <w:r>
              <w:rPr>
                <w:noProof/>
                <w:webHidden/>
              </w:rPr>
              <w:t>[ ]</w:t>
            </w:r>
            <w:r>
              <w:rPr>
                <w:noProof/>
                <w:webHidden/>
              </w:rPr>
              <w:fldChar w:fldCharType="end"/>
            </w:r>
          </w:hyperlink>
        </w:p>
        <w:p>
          <w:pPr>
            <w:pStyle w:val="TOC1"/>
            <w:rPr>
              <w:noProof/>
            </w:rPr>
          </w:pPr>
          <w:hyperlink w:anchor="_auto_toc_60" w:history="1">
            <w:r>
              <w:rPr>
                <w:rStyle w:val="TOCOrdinalChar1"/>
                <w:noProof/>
                <w:iCs/>
              </w:rPr>
              <w:t>
            6
          </w:t>
            </w:r>
            <w:r>
              <w:rPr>
                <w:noProof/>
                <w:webHidden/>
              </w:rPr>
              <w:tab/>
            </w:r>
            <w:r>
              <w:rPr>
                <w:rStyle w:val="TOCTitleChar1"/>
                <w:noProof/>
                <w:iCs/>
              </w:rPr>
              <w:t>
            Public (SEC-registered) companies and federally mandated reporting by private companies
          </w:t>
            </w:r>
            <w:r>
              <w:rPr>
                <w:noProof/>
                <w:webHidden/>
              </w:rPr>
              <w:tab/>
            </w:r>
            <w:r>
              <w:rPr>
                <w:noProof/>
                <w:webHidden/>
              </w:rPr>
              <w:fldChar w:fldCharType="begin"/>
            </w:r>
            <w:r>
              <w:rPr>
                <w:noProof/>
                <w:webHidden/>
              </w:rPr>
              <w:instrText xml:space="preserve"> PAGEREF _auto_toc_60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61" w:history="1">
            <w:r>
              <w:rPr>
                <w:rStyle w:val="TOCOrdinalChar2"/>
                <w:noProof/>
                <w:iCs/>
              </w:rPr>
              <w:t>
            6.1
          </w:t>
            </w:r>
            <w:r>
              <w:rPr>
                <w:noProof/>
                <w:webHidden/>
              </w:rPr>
              <w:tab/>
            </w:r>
            <w:r>
              <w:rPr>
                <w:rStyle w:val="TOCTitleChar2"/>
                <w:noProof/>
                <w:iCs/>
              </w:rPr>
              <w:t>
            Readings
          </w:t>
            </w:r>
            <w:r>
              <w:rPr>
                <w:noProof/>
                <w:webHidden/>
              </w:rPr>
              <w:tab/>
            </w:r>
            <w:r>
              <w:rPr>
                <w:noProof/>
                <w:webHidden/>
              </w:rPr>
              <w:fldChar w:fldCharType="begin"/>
            </w:r>
            <w:r>
              <w:rPr>
                <w:noProof/>
                <w:webHidden/>
              </w:rPr>
              <w:instrText xml:space="preserve"> PAGEREF _auto_toc_61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62" w:history="1">
            <w:r>
              <w:rPr>
                <w:rStyle w:val="TOCOrdinalChar3"/>
                <w:noProof/>
                <w:iCs/>
              </w:rPr>
              <w:t>
            6.1.1
          </w:t>
            </w:r>
            <w:r>
              <w:rPr>
                <w:noProof/>
                <w:webHidden/>
              </w:rPr>
              <w:tab/>
            </w:r>
            <w:r>
              <w:rPr>
                <w:rStyle w:val="TOCTitleChar3"/>
                <w:noProof/>
                <w:iCs/>
              </w:rPr>
              <w:t>
            Basic Inc. et al. v. Levinson et al.
          </w:t>
            </w:r>
            <w:r>
              <w:rPr>
                <w:noProof/>
                <w:webHidden/>
              </w:rPr>
              <w:tab/>
            </w:r>
            <w:r>
              <w:rPr>
                <w:noProof/>
                <w:webHidden/>
              </w:rPr>
              <w:fldChar w:fldCharType="begin"/>
            </w:r>
            <w:r>
              <w:rPr>
                <w:noProof/>
                <w:webHidden/>
              </w:rPr>
              <w:instrText xml:space="preserve"> PAGEREF _auto_toc_62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63" w:history="1">
            <w:r>
              <w:rPr>
                <w:rStyle w:val="TOCOrdinalChar3"/>
                <w:noProof/>
                <w:iCs/>
              </w:rPr>
              <w:t>
            6.1.2
          </w:t>
            </w:r>
            <w:r>
              <w:rPr>
                <w:noProof/>
                <w:webHidden/>
              </w:rPr>
              <w:tab/>
            </w:r>
            <w:r>
              <w:rPr>
                <w:rStyle w:val="TOCTitleChar3"/>
                <w:noProof/>
                <w:iCs/>
              </w:rPr>
              <w:t>
            Santa Fe Industries, Inc. v. Green
          </w:t>
            </w:r>
            <w:r>
              <w:rPr>
                <w:noProof/>
                <w:webHidden/>
              </w:rPr>
              <w:tab/>
            </w:r>
            <w:r>
              <w:rPr>
                <w:noProof/>
                <w:webHidden/>
              </w:rPr>
              <w:fldChar w:fldCharType="begin"/>
            </w:r>
            <w:r>
              <w:rPr>
                <w:noProof/>
                <w:webHidden/>
              </w:rPr>
              <w:instrText xml:space="preserve"> PAGEREF _auto_toc_63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64" w:history="1">
            <w:r>
              <w:rPr>
                <w:rStyle w:val="TOCOrdinalChar3"/>
                <w:noProof/>
                <w:iCs/>
              </w:rPr>
              <w:t>
            6.1.3
          </w:t>
            </w:r>
            <w:r>
              <w:rPr>
                <w:noProof/>
                <w:webHidden/>
              </w:rPr>
              <w:tab/>
            </w:r>
            <w:r>
              <w:rPr>
                <w:rStyle w:val="TOCTitleChar3"/>
                <w:noProof/>
                <w:iCs/>
              </w:rPr>
              <w:t>
            SEC v. Texas Gulf Sulphur Co.
          </w:t>
            </w:r>
            <w:r>
              <w:rPr>
                <w:noProof/>
                <w:webHidden/>
              </w:rPr>
              <w:tab/>
            </w:r>
            <w:r>
              <w:rPr>
                <w:noProof/>
                <w:webHidden/>
              </w:rPr>
              <w:fldChar w:fldCharType="begin"/>
            </w:r>
            <w:r>
              <w:rPr>
                <w:noProof/>
                <w:webHidden/>
              </w:rPr>
              <w:instrText xml:space="preserve"> PAGEREF _auto_toc_64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65" w:history="1">
            <w:r>
              <w:rPr>
                <w:rStyle w:val="TOCOrdinalChar3"/>
                <w:noProof/>
                <w:iCs/>
              </w:rPr>
              <w:t>
            6.1.4
          </w:t>
            </w:r>
            <w:r>
              <w:rPr>
                <w:noProof/>
                <w:webHidden/>
              </w:rPr>
              <w:tab/>
            </w:r>
            <w:r>
              <w:rPr>
                <w:rStyle w:val="TOCTitleChar3"/>
                <w:noProof/>
                <w:iCs/>
              </w:rPr>
              <w:t>
            Dirks v. Securities And Exchange Commission
          </w:t>
            </w:r>
            <w:r>
              <w:rPr>
                <w:noProof/>
                <w:webHidden/>
              </w:rPr>
              <w:tab/>
            </w:r>
            <w:r>
              <w:rPr>
                <w:noProof/>
                <w:webHidden/>
              </w:rPr>
              <w:fldChar w:fldCharType="begin"/>
            </w:r>
            <w:r>
              <w:rPr>
                <w:noProof/>
                <w:webHidden/>
              </w:rPr>
              <w:instrText xml:space="preserve"> PAGEREF _auto_toc_65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66" w:history="1">
            <w:r>
              <w:rPr>
                <w:rStyle w:val="TOCOrdinalChar3"/>
                <w:noProof/>
                <w:iCs/>
              </w:rPr>
              <w:t>
            6.1.5
          </w:t>
            </w:r>
            <w:r>
              <w:rPr>
                <w:noProof/>
                <w:webHidden/>
              </w:rPr>
              <w:tab/>
            </w:r>
            <w:r>
              <w:rPr>
                <w:rStyle w:val="TOCTitleChar3"/>
                <w:noProof/>
                <w:iCs/>
              </w:rPr>
              <w:t>
            United States v. Newman
          </w:t>
            </w:r>
            <w:r>
              <w:rPr>
                <w:noProof/>
                <w:webHidden/>
              </w:rPr>
              <w:tab/>
            </w:r>
            <w:r>
              <w:rPr>
                <w:noProof/>
                <w:webHidden/>
              </w:rPr>
              <w:fldChar w:fldCharType="begin"/>
            </w:r>
            <w:r>
              <w:rPr>
                <w:noProof/>
                <w:webHidden/>
              </w:rPr>
              <w:instrText xml:space="preserve"> PAGEREF _auto_toc_66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67" w:history="1">
            <w:r>
              <w:rPr>
                <w:rStyle w:val="TOCOrdinalChar3"/>
                <w:noProof/>
                <w:iCs/>
              </w:rPr>
              <w:t>
            6.1.6
          </w:t>
            </w:r>
            <w:r>
              <w:rPr>
                <w:noProof/>
                <w:webHidden/>
              </w:rPr>
              <w:tab/>
            </w:r>
            <w:r>
              <w:rPr>
                <w:rStyle w:val="TOCTitleChar3"/>
                <w:noProof/>
                <w:iCs/>
              </w:rPr>
              <w:t>
            U.S. v. O'Hagan
          </w:t>
            </w:r>
            <w:r>
              <w:rPr>
                <w:noProof/>
                <w:webHidden/>
              </w:rPr>
              <w:tab/>
            </w:r>
            <w:r>
              <w:rPr>
                <w:noProof/>
                <w:webHidden/>
              </w:rPr>
              <w:fldChar w:fldCharType="begin"/>
            </w:r>
            <w:r>
              <w:rPr>
                <w:noProof/>
                <w:webHidden/>
              </w:rPr>
              <w:instrText xml:space="preserve"> PAGEREF _auto_toc_67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68" w:history="1">
            <w:r>
              <w:rPr>
                <w:rStyle w:val="TOCOrdinalChar2"/>
                <w:noProof/>
                <w:iCs/>
              </w:rPr>
              <w:t>
            6.2
          </w:t>
            </w:r>
            <w:r>
              <w:rPr>
                <w:noProof/>
                <w:webHidden/>
              </w:rPr>
              <w:tab/>
            </w:r>
            <w:r>
              <w:rPr>
                <w:rStyle w:val="TOCTitleChar2"/>
                <w:noProof/>
                <w:iCs/>
              </w:rPr>
              <w:t>
            Reference Readings
          </w:t>
            </w:r>
            <w:r>
              <w:rPr>
                <w:noProof/>
                <w:webHidden/>
              </w:rPr>
              <w:tab/>
            </w:r>
            <w:r>
              <w:rPr>
                <w:noProof/>
                <w:webHidden/>
              </w:rPr>
              <w:fldChar w:fldCharType="begin"/>
            </w:r>
            <w:r>
              <w:rPr>
                <w:noProof/>
                <w:webHidden/>
              </w:rPr>
              <w:instrText xml:space="preserve"> PAGEREF _auto_toc_68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69" w:history="1">
            <w:r>
              <w:rPr>
                <w:rStyle w:val="TOCOrdinalChar3"/>
                <w:noProof/>
                <w:iCs/>
              </w:rPr>
              <w:t>
            6.2.1
          </w:t>
            </w:r>
            <w:r>
              <w:rPr>
                <w:noProof/>
                <w:webHidden/>
              </w:rPr>
              <w:tab/>
            </w:r>
            <w:r>
              <w:rPr>
                <w:rStyle w:val="TOCTitleChar3"/>
                <w:noProof/>
                <w:iCs/>
              </w:rPr>
              <w:t>
            TSC Industries, Inc. v. Northway, Inc.
          </w:t>
            </w:r>
            <w:r>
              <w:rPr>
                <w:noProof/>
                <w:webHidden/>
              </w:rPr>
              <w:tab/>
            </w:r>
            <w:r>
              <w:rPr>
                <w:noProof/>
                <w:webHidden/>
              </w:rPr>
              <w:fldChar w:fldCharType="begin"/>
            </w:r>
            <w:r>
              <w:rPr>
                <w:noProof/>
                <w:webHidden/>
              </w:rPr>
              <w:instrText xml:space="preserve"> PAGEREF _auto_toc_69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70" w:history="1">
            <w:r>
              <w:rPr>
                <w:rStyle w:val="TOCOrdinalChar3"/>
                <w:noProof/>
                <w:iCs/>
              </w:rPr>
              <w:t>
            6.2.2
          </w:t>
            </w:r>
            <w:r>
              <w:rPr>
                <w:noProof/>
                <w:webHidden/>
              </w:rPr>
              <w:tab/>
            </w:r>
            <w:r>
              <w:rPr>
                <w:rStyle w:val="TOCTitleChar3"/>
                <w:noProof/>
                <w:iCs/>
              </w:rPr>
              <w:t>
            In the Matter of Michael Marchese
          </w:t>
            </w:r>
            <w:r>
              <w:rPr>
                <w:noProof/>
                <w:webHidden/>
              </w:rPr>
              <w:tab/>
            </w:r>
            <w:r>
              <w:rPr>
                <w:noProof/>
                <w:webHidden/>
              </w:rPr>
              <w:fldChar w:fldCharType="begin"/>
            </w:r>
            <w:r>
              <w:rPr>
                <w:noProof/>
                <w:webHidden/>
              </w:rPr>
              <w:instrText xml:space="preserve"> PAGEREF _auto_toc_70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71" w:history="1">
            <w:r>
              <w:rPr>
                <w:rStyle w:val="TOCOrdinalChar3"/>
                <w:noProof/>
                <w:iCs/>
              </w:rPr>
              <w:t>
            6.2.3
          </w:t>
            </w:r>
            <w:r>
              <w:rPr>
                <w:noProof/>
                <w:webHidden/>
              </w:rPr>
              <w:tab/>
            </w:r>
            <w:r>
              <w:rPr>
                <w:rStyle w:val="TOCTitleChar3"/>
                <w:noProof/>
                <w:iCs/>
              </w:rPr>
              <w:t>
            AT&amp;T Settles SEC Charge of Violating Reg FD
          </w:t>
            </w:r>
            <w:r>
              <w:rPr>
                <w:noProof/>
                <w:webHidden/>
              </w:rPr>
              <w:tab/>
            </w:r>
            <w:r>
              <w:rPr>
                <w:noProof/>
                <w:webHidden/>
              </w:rPr>
              <w:fldChar w:fldCharType="begin"/>
            </w:r>
            <w:r>
              <w:rPr>
                <w:noProof/>
                <w:webHidden/>
              </w:rPr>
              <w:instrText xml:space="preserve"> PAGEREF _auto_toc_71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72" w:history="1">
            <w:r>
              <w:rPr>
                <w:rStyle w:val="TOCOrdinalChar3"/>
                <w:noProof/>
                <w:iCs/>
              </w:rPr>
              <w:t>
            6.2.4
          </w:t>
            </w:r>
            <w:r>
              <w:rPr>
                <w:noProof/>
                <w:webHidden/>
              </w:rPr>
              <w:tab/>
            </w:r>
            <w:r>
              <w:rPr>
                <w:rStyle w:val="TOCTitleChar3"/>
                <w:noProof/>
                <w:iCs/>
              </w:rPr>
              <w:t>
            Chiarella v. United States (U.S. 1980)
          </w:t>
            </w:r>
            <w:r>
              <w:rPr>
                <w:noProof/>
                <w:webHidden/>
              </w:rPr>
              <w:tab/>
            </w:r>
            <w:r>
              <w:rPr>
                <w:noProof/>
                <w:webHidden/>
              </w:rPr>
              <w:fldChar w:fldCharType="begin"/>
            </w:r>
            <w:r>
              <w:rPr>
                <w:noProof/>
                <w:webHidden/>
              </w:rPr>
              <w:instrText xml:space="preserve"> PAGEREF _auto_toc_72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73" w:history="1">
            <w:r>
              <w:rPr>
                <w:rStyle w:val="TOCOrdinalChar3"/>
                <w:noProof/>
                <w:iCs/>
              </w:rPr>
              <w:t>
            6.2.5
          </w:t>
            </w:r>
            <w:r>
              <w:rPr>
                <w:noProof/>
                <w:webHidden/>
              </w:rPr>
              <w:tab/>
            </w:r>
            <w:r>
              <w:rPr>
                <w:rStyle w:val="TOCTitleChar3"/>
                <w:noProof/>
                <w:iCs/>
              </w:rPr>
              <w:t>
            Blue Chip Stamps v. Manor Drug Stores
          </w:t>
            </w:r>
            <w:r>
              <w:rPr>
                <w:noProof/>
                <w:webHidden/>
              </w:rPr>
              <w:tab/>
            </w:r>
            <w:r>
              <w:rPr>
                <w:noProof/>
                <w:webHidden/>
              </w:rPr>
              <w:fldChar w:fldCharType="begin"/>
            </w:r>
            <w:r>
              <w:rPr>
                <w:noProof/>
                <w:webHidden/>
              </w:rPr>
              <w:instrText xml:space="preserve"> PAGEREF _auto_toc_73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74" w:history="1">
            <w:r>
              <w:rPr>
                <w:rStyle w:val="TOCOrdinalChar3"/>
                <w:noProof/>
                <w:iCs/>
              </w:rPr>
              <w:t>
            6.2.6
          </w:t>
            </w:r>
            <w:r>
              <w:rPr>
                <w:noProof/>
                <w:webHidden/>
              </w:rPr>
              <w:tab/>
            </w:r>
            <w:r>
              <w:rPr>
                <w:rStyle w:val="TOCTitleChar3"/>
                <w:noProof/>
                <w:iCs/>
              </w:rPr>
              <w:t>
            Dura Pharmaceuticals, Inc. v. Broudo
          </w:t>
            </w:r>
            <w:r>
              <w:rPr>
                <w:noProof/>
                <w:webHidden/>
              </w:rPr>
              <w:tab/>
            </w:r>
            <w:r>
              <w:rPr>
                <w:noProof/>
                <w:webHidden/>
              </w:rPr>
              <w:fldChar w:fldCharType="begin"/>
            </w:r>
            <w:r>
              <w:rPr>
                <w:noProof/>
                <w:webHidden/>
              </w:rPr>
              <w:instrText xml:space="preserve"> PAGEREF _auto_toc_74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75" w:history="1">
            <w:r>
              <w:rPr>
                <w:rStyle w:val="TOCOrdinalChar3"/>
                <w:noProof/>
                <w:iCs/>
              </w:rPr>
              <w:t>
            6.2.7
          </w:t>
            </w:r>
            <w:r>
              <w:rPr>
                <w:noProof/>
                <w:webHidden/>
              </w:rPr>
              <w:tab/>
            </w:r>
            <w:r>
              <w:rPr>
                <w:rStyle w:val="TOCTitleChar3"/>
                <w:noProof/>
                <w:iCs/>
              </w:rPr>
              <w:t>
            Halliburton Supreme Court Decision of June 2014
          </w:t>
            </w:r>
            <w:r>
              <w:rPr>
                <w:noProof/>
                <w:webHidden/>
              </w:rPr>
              <w:tab/>
            </w:r>
            <w:r>
              <w:rPr>
                <w:noProof/>
                <w:webHidden/>
              </w:rPr>
              <w:fldChar w:fldCharType="begin"/>
            </w:r>
            <w:r>
              <w:rPr>
                <w:noProof/>
                <w:webHidden/>
              </w:rPr>
              <w:instrText xml:space="preserve"> PAGEREF _auto_toc_75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76" w:history="1">
            <w:r>
              <w:rPr>
                <w:rStyle w:val="TOCOrdinalChar2"/>
                <w:noProof/>
                <w:iCs/>
              </w:rPr>
              <w:t>
            6.3
          </w:t>
            </w:r>
            <w:r>
              <w:rPr>
                <w:noProof/>
                <w:webHidden/>
              </w:rPr>
              <w:tab/>
            </w:r>
            <w:r>
              <w:rPr>
                <w:rStyle w:val="TOCTitleChar2"/>
                <w:noProof/>
                <w:iCs/>
              </w:rPr>
              <w:t>
            Statutes for all companies
          </w:t>
            </w:r>
            <w:r>
              <w:rPr>
                <w:noProof/>
                <w:webHidden/>
              </w:rPr>
              <w:tab/>
            </w:r>
            <w:r>
              <w:rPr>
                <w:noProof/>
                <w:webHidden/>
              </w:rPr>
              <w:fldChar w:fldCharType="begin"/>
            </w:r>
            <w:r>
              <w:rPr>
                <w:noProof/>
                <w:webHidden/>
              </w:rPr>
              <w:instrText xml:space="preserve"> PAGEREF _auto_toc_76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77" w:history="1">
            <w:r>
              <w:rPr>
                <w:rStyle w:val="TOCOrdinalChar3"/>
                <w:noProof/>
                <w:iCs/>
              </w:rPr>
              <w:t>
            6.3.1
          </w:t>
            </w:r>
            <w:r>
              <w:rPr>
                <w:noProof/>
                <w:webHidden/>
              </w:rPr>
              <w:tab/>
            </w:r>
            <w:r>
              <w:rPr>
                <w:rStyle w:val="TOCTitleChar3"/>
                <w:noProof/>
                <w:iCs/>
              </w:rPr>
              <w:t>
            Foreign Corrupt Practices Act Part I
          </w:t>
            </w:r>
            <w:r>
              <w:rPr>
                <w:noProof/>
                <w:webHidden/>
              </w:rPr>
              <w:tab/>
            </w:r>
            <w:r>
              <w:rPr>
                <w:noProof/>
                <w:webHidden/>
              </w:rPr>
              <w:fldChar w:fldCharType="begin"/>
            </w:r>
            <w:r>
              <w:rPr>
                <w:noProof/>
                <w:webHidden/>
              </w:rPr>
              <w:instrText xml:space="preserve"> PAGEREF _auto_toc_77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78" w:history="1">
            <w:r>
              <w:rPr>
                <w:rStyle w:val="TOCOrdinalChar3"/>
                <w:noProof/>
                <w:iCs/>
              </w:rPr>
              <w:t>
            6.3.2
          </w:t>
            </w:r>
            <w:r>
              <w:rPr>
                <w:noProof/>
                <w:webHidden/>
              </w:rPr>
              <w:tab/>
            </w:r>
            <w:r>
              <w:rPr>
                <w:rStyle w:val="TOCTitleChar3"/>
                <w:noProof/>
                <w:iCs/>
              </w:rPr>
              <w:t>
            Foreign Corrupt Practices Act Part II
          </w:t>
            </w:r>
            <w:r>
              <w:rPr>
                <w:noProof/>
                <w:webHidden/>
              </w:rPr>
              <w:tab/>
            </w:r>
            <w:r>
              <w:rPr>
                <w:noProof/>
                <w:webHidden/>
              </w:rPr>
              <w:fldChar w:fldCharType="begin"/>
            </w:r>
            <w:r>
              <w:rPr>
                <w:noProof/>
                <w:webHidden/>
              </w:rPr>
              <w:instrText xml:space="preserve"> PAGEREF _auto_toc_78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79" w:history="1">
            <w:r>
              <w:rPr>
                <w:rStyle w:val="TOCOrdinalChar3"/>
                <w:noProof/>
                <w:iCs/>
              </w:rPr>
              <w:t>
            6.3.3
          </w:t>
            </w:r>
            <w:r>
              <w:rPr>
                <w:noProof/>
                <w:webHidden/>
              </w:rPr>
              <w:tab/>
            </w:r>
            <w:r>
              <w:rPr>
                <w:rStyle w:val="TOCTitleChar3"/>
                <w:noProof/>
                <w:iCs/>
              </w:rPr>
              <w:t>
            Beneficial ownership reporting requirements for private companies
          </w:t>
            </w:r>
            <w:r>
              <w:rPr>
                <w:noProof/>
                <w:webHidden/>
              </w:rPr>
              <w:tab/>
            </w:r>
            <w:r>
              <w:rPr>
                <w:noProof/>
                <w:webHidden/>
              </w:rPr>
              <w:fldChar w:fldCharType="begin"/>
            </w:r>
            <w:r>
              <w:rPr>
                <w:noProof/>
                <w:webHidden/>
              </w:rPr>
              <w:instrText xml:space="preserve"> PAGEREF _auto_toc_79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80" w:history="1">
            <w:r>
              <w:rPr>
                <w:rStyle w:val="TOCOrdinalChar2"/>
                <w:noProof/>
                <w:iCs/>
              </w:rPr>
              <w:t>
            6.4
          </w:t>
            </w:r>
            <w:r>
              <w:rPr>
                <w:noProof/>
                <w:webHidden/>
              </w:rPr>
              <w:tab/>
            </w:r>
            <w:r>
              <w:rPr>
                <w:rStyle w:val="TOCTitleChar2"/>
                <w:noProof/>
                <w:iCs/>
              </w:rPr>
              <w:t>
            Statutes for public (SEC-registered) companies
          </w:t>
            </w:r>
            <w:r>
              <w:rPr>
                <w:noProof/>
                <w:webHidden/>
              </w:rPr>
              <w:tab/>
            </w:r>
            <w:r>
              <w:rPr>
                <w:noProof/>
                <w:webHidden/>
              </w:rPr>
              <w:fldChar w:fldCharType="begin"/>
            </w:r>
            <w:r>
              <w:rPr>
                <w:noProof/>
                <w:webHidden/>
              </w:rPr>
              <w:instrText xml:space="preserve"> PAGEREF _auto_toc_80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81" w:history="1">
            <w:r>
              <w:rPr>
                <w:rStyle w:val="TOCOrdinalChar3"/>
                <w:noProof/>
                <w:iCs/>
              </w:rPr>
              <w:t>
            6.4.1
          </w:t>
            </w:r>
            <w:r>
              <w:rPr>
                <w:noProof/>
                <w:webHidden/>
              </w:rPr>
              <w:tab/>
            </w:r>
            <w:r>
              <w:rPr>
                <w:rStyle w:val="TOCTitleChar3"/>
                <w:noProof/>
                <w:iCs/>
              </w:rPr>
              <w:t>
            Foreign Corrupt Practices Act Part III
          </w:t>
            </w:r>
            <w:r>
              <w:rPr>
                <w:noProof/>
                <w:webHidden/>
              </w:rPr>
              <w:tab/>
            </w:r>
            <w:r>
              <w:rPr>
                <w:noProof/>
                <w:webHidden/>
              </w:rPr>
              <w:fldChar w:fldCharType="begin"/>
            </w:r>
            <w:r>
              <w:rPr>
                <w:noProof/>
                <w:webHidden/>
              </w:rPr>
              <w:instrText xml:space="preserve"> PAGEREF _auto_toc_81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82" w:history="1">
            <w:r>
              <w:rPr>
                <w:rStyle w:val="TOCOrdinalChar3"/>
                <w:noProof/>
                <w:iCs/>
              </w:rPr>
              <w:t>
            6.4.2
          </w:t>
            </w:r>
            <w:r>
              <w:rPr>
                <w:noProof/>
                <w:webHidden/>
              </w:rPr>
              <w:tab/>
            </w:r>
            <w:r>
              <w:rPr>
                <w:rStyle w:val="TOCTitleChar3"/>
                <w:noProof/>
                <w:iCs/>
              </w:rPr>
              <w:t>
            Sarbanes-Oxley Act
          </w:t>
            </w:r>
            <w:r>
              <w:rPr>
                <w:noProof/>
                <w:webHidden/>
              </w:rPr>
              <w:tab/>
            </w:r>
            <w:r>
              <w:rPr>
                <w:noProof/>
                <w:webHidden/>
              </w:rPr>
              <w:fldChar w:fldCharType="begin"/>
            </w:r>
            <w:r>
              <w:rPr>
                <w:noProof/>
                <w:webHidden/>
              </w:rPr>
              <w:instrText xml:space="preserve"> PAGEREF _auto_toc_82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83" w:history="1">
            <w:r>
              <w:rPr>
                <w:rStyle w:val="TOCOrdinalChar3"/>
                <w:noProof/>
                <w:iCs/>
              </w:rPr>
              <w:t>
            6.4.3
          </w:t>
            </w:r>
            <w:r>
              <w:rPr>
                <w:noProof/>
                <w:webHidden/>
              </w:rPr>
              <w:tab/>
            </w:r>
            <w:r>
              <w:rPr>
                <w:rStyle w:val="TOCTitleChar3"/>
                <w:noProof/>
                <w:iCs/>
              </w:rPr>
              <w:t>
            Dodd-Frank Act
          </w:t>
            </w:r>
            <w:r>
              <w:rPr>
                <w:noProof/>
                <w:webHidden/>
              </w:rPr>
              <w:tab/>
            </w:r>
            <w:r>
              <w:rPr>
                <w:noProof/>
                <w:webHidden/>
              </w:rPr>
              <w:fldChar w:fldCharType="begin"/>
            </w:r>
            <w:r>
              <w:rPr>
                <w:noProof/>
                <w:webHidden/>
              </w:rPr>
              <w:instrText xml:space="preserve"> PAGEREF _auto_toc_83 \h </w:instrText>
            </w:r>
            <w:r>
              <w:rPr>
                <w:noProof/>
                <w:webHidden/>
              </w:rPr>
            </w:r>
            <w:r>
              <w:rPr>
                <w:noProof/>
                <w:webHidden/>
              </w:rPr>
              <w:fldChar w:fldCharType="separate"/>
            </w:r>
            <w:r>
              <w:rPr>
                <w:noProof/>
                <w:webHidden/>
              </w:rPr>
              <w:t>[ ]</w:t>
            </w:r>
            <w:r>
              <w:rPr>
                <w:noProof/>
                <w:webHidden/>
              </w:rPr>
              <w:fldChar w:fldCharType="end"/>
            </w:r>
          </w:hyperlink>
        </w:p>
        <w:p>
          <w:pPr>
            <w:pStyle w:val="TOC1"/>
            <w:rPr>
              <w:noProof/>
            </w:rPr>
          </w:pPr>
          <w:hyperlink w:anchor="_auto_toc_84" w:history="1">
            <w:r>
              <w:rPr>
                <w:rStyle w:val="TOCOrdinalChar1"/>
                <w:noProof/>
                <w:iCs/>
              </w:rPr>
              <w:t>
            7
          </w:t>
            </w:r>
            <w:r>
              <w:rPr>
                <w:noProof/>
                <w:webHidden/>
              </w:rPr>
              <w:tab/>
            </w:r>
            <w:r>
              <w:rPr>
                <w:rStyle w:val="TOCTitleChar1"/>
                <w:noProof/>
                <w:iCs/>
              </w:rPr>
              <w:t>
            Shareholder litigation
          </w:t>
            </w:r>
            <w:r>
              <w:rPr>
                <w:noProof/>
                <w:webHidden/>
              </w:rPr>
              <w:tab/>
            </w:r>
            <w:r>
              <w:rPr>
                <w:noProof/>
                <w:webHidden/>
              </w:rPr>
              <w:fldChar w:fldCharType="begin"/>
            </w:r>
            <w:r>
              <w:rPr>
                <w:noProof/>
                <w:webHidden/>
              </w:rPr>
              <w:instrText xml:space="preserve"> PAGEREF _auto_toc_84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85" w:history="1">
            <w:r>
              <w:rPr>
                <w:rStyle w:val="TOCOrdinalChar2"/>
                <w:noProof/>
                <w:iCs/>
              </w:rPr>
              <w:t>
            7.1
          </w:t>
            </w:r>
            <w:r>
              <w:rPr>
                <w:noProof/>
                <w:webHidden/>
              </w:rPr>
              <w:tab/>
            </w:r>
            <w:r>
              <w:rPr>
                <w:rStyle w:val="TOCTitleChar2"/>
                <w:noProof/>
                <w:iCs/>
              </w:rPr>
              <w:t>
            Reference Readings
          </w:t>
            </w:r>
            <w:r>
              <w:rPr>
                <w:noProof/>
                <w:webHidden/>
              </w:rPr>
              <w:tab/>
            </w:r>
            <w:r>
              <w:rPr>
                <w:noProof/>
                <w:webHidden/>
              </w:rPr>
              <w:fldChar w:fldCharType="begin"/>
            </w:r>
            <w:r>
              <w:rPr>
                <w:noProof/>
                <w:webHidden/>
              </w:rPr>
              <w:instrText xml:space="preserve"> PAGEREF _auto_toc_85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86" w:history="1">
            <w:r>
              <w:rPr>
                <w:rStyle w:val="TOCOrdinalChar3"/>
                <w:noProof/>
                <w:iCs/>
              </w:rPr>
              <w:t>
            7.1.1
          </w:t>
            </w:r>
            <w:r>
              <w:rPr>
                <w:noProof/>
                <w:webHidden/>
              </w:rPr>
              <w:tab/>
            </w:r>
            <w:r>
              <w:rPr>
                <w:rStyle w:val="TOCTitleChar3"/>
                <w:noProof/>
                <w:iCs/>
              </w:rPr>
              <w:t>
            Kandell v. Niv (FXCM) [Knowing Breaches of Law]
          </w:t>
            </w:r>
            <w:r>
              <w:rPr>
                <w:noProof/>
                <w:webHidden/>
              </w:rPr>
              <w:tab/>
            </w:r>
            <w:r>
              <w:rPr>
                <w:noProof/>
                <w:webHidden/>
              </w:rPr>
              <w:fldChar w:fldCharType="begin"/>
            </w:r>
            <w:r>
              <w:rPr>
                <w:noProof/>
                <w:webHidden/>
              </w:rPr>
              <w:instrText xml:space="preserve"> PAGEREF _auto_toc_86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87" w:history="1">
            <w:r>
              <w:rPr>
                <w:rStyle w:val="TOCOrdinalChar3"/>
                <w:noProof/>
                <w:iCs/>
              </w:rPr>
              <w:t>
            7.1.2
          </w:t>
            </w:r>
            <w:r>
              <w:rPr>
                <w:noProof/>
                <w:webHidden/>
              </w:rPr>
              <w:tab/>
            </w:r>
            <w:r>
              <w:rPr>
                <w:rStyle w:val="TOCTitleChar3"/>
                <w:noProof/>
                <w:iCs/>
              </w:rPr>
              <w:t>
            Graham v. Allis-Chalmers Manufacturing Co.
          </w:t>
            </w:r>
            <w:r>
              <w:rPr>
                <w:noProof/>
                <w:webHidden/>
              </w:rPr>
              <w:tab/>
            </w:r>
            <w:r>
              <w:rPr>
                <w:noProof/>
                <w:webHidden/>
              </w:rPr>
              <w:fldChar w:fldCharType="begin"/>
            </w:r>
            <w:r>
              <w:rPr>
                <w:noProof/>
                <w:webHidden/>
              </w:rPr>
              <w:instrText xml:space="preserve"> PAGEREF _auto_toc_87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88" w:history="1">
            <w:r>
              <w:rPr>
                <w:rStyle w:val="TOCOrdinalChar3"/>
                <w:noProof/>
                <w:iCs/>
              </w:rPr>
              <w:t>
            7.1.3
          </w:t>
            </w:r>
            <w:r>
              <w:rPr>
                <w:noProof/>
                <w:webHidden/>
              </w:rPr>
              <w:tab/>
            </w:r>
            <w:r>
              <w:rPr>
                <w:rStyle w:val="TOCTitleChar3"/>
                <w:noProof/>
                <w:iCs/>
              </w:rPr>
              <w:t>
            In re Caremark International Inc. Derivative Litigation
          </w:t>
            </w:r>
            <w:r>
              <w:rPr>
                <w:noProof/>
                <w:webHidden/>
              </w:rPr>
              <w:tab/>
            </w:r>
            <w:r>
              <w:rPr>
                <w:noProof/>
                <w:webHidden/>
              </w:rPr>
              <w:fldChar w:fldCharType="begin"/>
            </w:r>
            <w:r>
              <w:rPr>
                <w:noProof/>
                <w:webHidden/>
              </w:rPr>
              <w:instrText xml:space="preserve"> PAGEREF _auto_toc_88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89" w:history="1">
            <w:r>
              <w:rPr>
                <w:rStyle w:val="TOCOrdinalChar3"/>
                <w:noProof/>
                <w:iCs/>
              </w:rPr>
              <w:t>
            7.1.4
          </w:t>
            </w:r>
            <w:r>
              <w:rPr>
                <w:noProof/>
                <w:webHidden/>
              </w:rPr>
              <w:tab/>
            </w:r>
            <w:r>
              <w:rPr>
                <w:rStyle w:val="TOCTitleChar3"/>
                <w:noProof/>
                <w:iCs/>
              </w:rPr>
              <w:t>
            Stone v. Ritter (Del. 2006)
          </w:t>
            </w:r>
            <w:r>
              <w:rPr>
                <w:noProof/>
                <w:webHidden/>
              </w:rPr>
              <w:tab/>
            </w:r>
            <w:r>
              <w:rPr>
                <w:noProof/>
                <w:webHidden/>
              </w:rPr>
              <w:fldChar w:fldCharType="begin"/>
            </w:r>
            <w:r>
              <w:rPr>
                <w:noProof/>
                <w:webHidden/>
              </w:rPr>
              <w:instrText xml:space="preserve"> PAGEREF _auto_toc_89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90" w:history="1">
            <w:r>
              <w:rPr>
                <w:rStyle w:val="TOCOrdinalChar3"/>
                <w:noProof/>
                <w:iCs/>
              </w:rPr>
              <w:t>
            7.1.5
          </w:t>
            </w:r>
            <w:r>
              <w:rPr>
                <w:noProof/>
                <w:webHidden/>
              </w:rPr>
              <w:tab/>
            </w:r>
            <w:r>
              <w:rPr>
                <w:rStyle w:val="TOCTitleChar3"/>
                <w:noProof/>
                <w:iCs/>
              </w:rPr>
              <w:t>
            UFCWU v. Zuckerberg
          </w:t>
            </w:r>
            <w:r>
              <w:rPr>
                <w:noProof/>
                <w:webHidden/>
              </w:rPr>
              <w:tab/>
            </w:r>
            <w:r>
              <w:rPr>
                <w:noProof/>
                <w:webHidden/>
              </w:rPr>
              <w:fldChar w:fldCharType="begin"/>
            </w:r>
            <w:r>
              <w:rPr>
                <w:noProof/>
                <w:webHidden/>
              </w:rPr>
              <w:instrText xml:space="preserve"> PAGEREF _auto_toc_90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91" w:history="1">
            <w:r>
              <w:rPr>
                <w:rStyle w:val="TOCOrdinalChar3"/>
                <w:noProof/>
                <w:iCs/>
              </w:rPr>
              <w:t>
            7.1.6
          </w:t>
            </w:r>
            <w:r>
              <w:rPr>
                <w:noProof/>
                <w:webHidden/>
              </w:rPr>
              <w:tab/>
            </w:r>
            <w:r>
              <w:rPr>
                <w:rStyle w:val="TOCTitleChar3"/>
                <w:noProof/>
                <w:iCs/>
              </w:rPr>
              <w:t>
            Zapata v. Maldonado
          </w:t>
            </w:r>
            <w:r>
              <w:rPr>
                <w:noProof/>
                <w:webHidden/>
              </w:rPr>
              <w:tab/>
            </w:r>
            <w:r>
              <w:rPr>
                <w:noProof/>
                <w:webHidden/>
              </w:rPr>
              <w:fldChar w:fldCharType="begin"/>
            </w:r>
            <w:r>
              <w:rPr>
                <w:noProof/>
                <w:webHidden/>
              </w:rPr>
              <w:instrText xml:space="preserve"> PAGEREF _auto_toc_91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92" w:history="1">
            <w:r>
              <w:rPr>
                <w:rStyle w:val="TOCOrdinalChar3"/>
                <w:noProof/>
                <w:iCs/>
              </w:rPr>
              <w:t>
            7.1.7
          </w:t>
            </w:r>
            <w:r>
              <w:rPr>
                <w:noProof/>
                <w:webHidden/>
              </w:rPr>
              <w:tab/>
            </w:r>
            <w:r>
              <w:rPr>
                <w:rStyle w:val="TOCTitleChar3"/>
                <w:noProof/>
                <w:iCs/>
              </w:rPr>
              <w:t>
            Americas Mining Corp. v. Theriault (Del. 2012) [Attorney's Fees]
          </w:t>
            </w:r>
            <w:r>
              <w:rPr>
                <w:noProof/>
                <w:webHidden/>
              </w:rPr>
              <w:tab/>
            </w:r>
            <w:r>
              <w:rPr>
                <w:noProof/>
                <w:webHidden/>
              </w:rPr>
              <w:fldChar w:fldCharType="begin"/>
            </w:r>
            <w:r>
              <w:rPr>
                <w:noProof/>
                <w:webHidden/>
              </w:rPr>
              <w:instrText xml:space="preserve"> PAGEREF _auto_toc_92 \h </w:instrText>
            </w:r>
            <w:r>
              <w:rPr>
                <w:noProof/>
                <w:webHidden/>
              </w:rPr>
            </w:r>
            <w:r>
              <w:rPr>
                <w:noProof/>
                <w:webHidden/>
              </w:rPr>
              <w:fldChar w:fldCharType="separate"/>
            </w:r>
            <w:r>
              <w:rPr>
                <w:noProof/>
                <w:webHidden/>
              </w:rPr>
              <w:t>[ ]</w:t>
            </w:r>
            <w:r>
              <w:rPr>
                <w:noProof/>
                <w:webHidden/>
              </w:rPr>
              <w:fldChar w:fldCharType="end"/>
            </w:r>
          </w:hyperlink>
        </w:p>
        <w:p>
          <w:pPr>
            <w:pStyle w:val="TOC1"/>
            <w:rPr>
              <w:noProof/>
            </w:rPr>
          </w:pPr>
          <w:hyperlink w:anchor="_auto_toc_93" w:history="1">
            <w:r>
              <w:rPr>
                <w:rStyle w:val="TOCOrdinalChar1"/>
                <w:noProof/>
                <w:iCs/>
              </w:rPr>
              <w:t>
            8
          </w:t>
            </w:r>
            <w:r>
              <w:rPr>
                <w:noProof/>
                <w:webHidden/>
              </w:rPr>
              <w:tab/>
            </w:r>
            <w:r>
              <w:rPr>
                <w:rStyle w:val="TOCTitleChar1"/>
                <w:noProof/>
                <w:iCs/>
              </w:rPr>
              <w:t>
            Limited liability
          </w:t>
            </w:r>
            <w:r>
              <w:rPr>
                <w:noProof/>
                <w:webHidden/>
              </w:rPr>
              <w:tab/>
            </w:r>
            <w:r>
              <w:rPr>
                <w:noProof/>
                <w:webHidden/>
              </w:rPr>
              <w:fldChar w:fldCharType="begin"/>
            </w:r>
            <w:r>
              <w:rPr>
                <w:noProof/>
                <w:webHidden/>
              </w:rPr>
              <w:instrText xml:space="preserve"> PAGEREF _auto_toc_93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94" w:history="1">
            <w:r>
              <w:rPr>
                <w:rStyle w:val="TOCOrdinalChar2"/>
                <w:noProof/>
                <w:iCs/>
              </w:rPr>
              <w:t>
            8.1
          </w:t>
            </w:r>
            <w:r>
              <w:rPr>
                <w:noProof/>
                <w:webHidden/>
              </w:rPr>
              <w:tab/>
            </w:r>
            <w:r>
              <w:rPr>
                <w:rStyle w:val="TOCTitleChar2"/>
                <w:noProof/>
                <w:iCs/>
              </w:rPr>
              <w:t>
            Readings
          </w:t>
            </w:r>
            <w:r>
              <w:rPr>
                <w:noProof/>
                <w:webHidden/>
              </w:rPr>
              <w:tab/>
            </w:r>
            <w:r>
              <w:rPr>
                <w:noProof/>
                <w:webHidden/>
              </w:rPr>
              <w:fldChar w:fldCharType="begin"/>
            </w:r>
            <w:r>
              <w:rPr>
                <w:noProof/>
                <w:webHidden/>
              </w:rPr>
              <w:instrText xml:space="preserve"> PAGEREF _auto_toc_94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95" w:history="1">
            <w:r>
              <w:rPr>
                <w:rStyle w:val="TOCOrdinalChar3"/>
                <w:noProof/>
                <w:iCs/>
              </w:rPr>
              <w:t>
            8.1.1
          </w:t>
            </w:r>
            <w:r>
              <w:rPr>
                <w:noProof/>
                <w:webHidden/>
              </w:rPr>
              <w:tab/>
            </w:r>
            <w:r>
              <w:rPr>
                <w:rStyle w:val="TOCTitleChar3"/>
                <w:noProof/>
                <w:iCs/>
              </w:rPr>
              <w:t>
            Costello v. Fazio
          </w:t>
            </w:r>
            <w:r>
              <w:rPr>
                <w:noProof/>
                <w:webHidden/>
              </w:rPr>
              <w:tab/>
            </w:r>
            <w:r>
              <w:rPr>
                <w:noProof/>
                <w:webHidden/>
              </w:rPr>
              <w:fldChar w:fldCharType="begin"/>
            </w:r>
            <w:r>
              <w:rPr>
                <w:noProof/>
                <w:webHidden/>
              </w:rPr>
              <w:instrText xml:space="preserve"> PAGEREF _auto_toc_95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96" w:history="1">
            <w:r>
              <w:rPr>
                <w:rStyle w:val="TOCOrdinalChar3"/>
                <w:noProof/>
                <w:iCs/>
              </w:rPr>
              <w:t>
            8.1.2
          </w:t>
            </w:r>
            <w:r>
              <w:rPr>
                <w:noProof/>
                <w:webHidden/>
              </w:rPr>
              <w:tab/>
            </w:r>
            <w:r>
              <w:rPr>
                <w:rStyle w:val="TOCTitleChar3"/>
                <w:noProof/>
                <w:iCs/>
              </w:rPr>
              <w:t>
            Sea-Land Services, Inc. v. Pepper Source
          </w:t>
            </w:r>
            <w:r>
              <w:rPr>
                <w:noProof/>
                <w:webHidden/>
              </w:rPr>
              <w:tab/>
            </w:r>
            <w:r>
              <w:rPr>
                <w:noProof/>
                <w:webHidden/>
              </w:rPr>
              <w:fldChar w:fldCharType="begin"/>
            </w:r>
            <w:r>
              <w:rPr>
                <w:noProof/>
                <w:webHidden/>
              </w:rPr>
              <w:instrText xml:space="preserve"> PAGEREF _auto_toc_96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97" w:history="1">
            <w:r>
              <w:rPr>
                <w:rStyle w:val="TOCOrdinalChar3"/>
                <w:noProof/>
                <w:iCs/>
              </w:rPr>
              <w:t>
            8.1.3
          </w:t>
            </w:r>
            <w:r>
              <w:rPr>
                <w:noProof/>
                <w:webHidden/>
              </w:rPr>
              <w:tab/>
            </w:r>
            <w:r>
              <w:rPr>
                <w:rStyle w:val="TOCTitleChar3"/>
                <w:noProof/>
                <w:iCs/>
              </w:rPr>
              <w:t>
            Kinney Shoe Corp. v. Polan
          </w:t>
            </w:r>
            <w:r>
              <w:rPr>
                <w:noProof/>
                <w:webHidden/>
              </w:rPr>
              <w:tab/>
            </w:r>
            <w:r>
              <w:rPr>
                <w:noProof/>
                <w:webHidden/>
              </w:rPr>
              <w:fldChar w:fldCharType="begin"/>
            </w:r>
            <w:r>
              <w:rPr>
                <w:noProof/>
                <w:webHidden/>
              </w:rPr>
              <w:instrText xml:space="preserve"> PAGEREF _auto_toc_97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98" w:history="1">
            <w:r>
              <w:rPr>
                <w:rStyle w:val="TOCOrdinalChar3"/>
                <w:noProof/>
                <w:iCs/>
              </w:rPr>
              <w:t>
            8.1.4
          </w:t>
            </w:r>
            <w:r>
              <w:rPr>
                <w:noProof/>
                <w:webHidden/>
              </w:rPr>
              <w:tab/>
            </w:r>
            <w:r>
              <w:rPr>
                <w:rStyle w:val="TOCTitleChar3"/>
                <w:noProof/>
                <w:iCs/>
              </w:rPr>
              <w:t>
            Walkovszky v. Carlton
          </w:t>
            </w:r>
            <w:r>
              <w:rPr>
                <w:noProof/>
                <w:webHidden/>
              </w:rPr>
              <w:tab/>
            </w:r>
            <w:r>
              <w:rPr>
                <w:noProof/>
                <w:webHidden/>
              </w:rPr>
              <w:fldChar w:fldCharType="begin"/>
            </w:r>
            <w:r>
              <w:rPr>
                <w:noProof/>
                <w:webHidden/>
              </w:rPr>
              <w:instrText xml:space="preserve"> PAGEREF _auto_toc_98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99" w:history="1">
            <w:r>
              <w:rPr>
                <w:rStyle w:val="TOCOrdinalChar2"/>
                <w:noProof/>
                <w:iCs/>
              </w:rPr>
              <w:t>
            8.2
          </w:t>
            </w:r>
            <w:r>
              <w:rPr>
                <w:noProof/>
                <w:webHidden/>
              </w:rPr>
              <w:tab/>
            </w:r>
            <w:r>
              <w:rPr>
                <w:rStyle w:val="TOCTitleChar2"/>
                <w:noProof/>
                <w:iCs/>
              </w:rPr>
              <w:t>
            Reference Readings
          </w:t>
            </w:r>
            <w:r>
              <w:rPr>
                <w:noProof/>
                <w:webHidden/>
              </w:rPr>
              <w:tab/>
            </w:r>
            <w:r>
              <w:rPr>
                <w:noProof/>
                <w:webHidden/>
              </w:rPr>
              <w:fldChar w:fldCharType="begin"/>
            </w:r>
            <w:r>
              <w:rPr>
                <w:noProof/>
                <w:webHidden/>
              </w:rPr>
              <w:instrText xml:space="preserve"> PAGEREF _auto_toc_99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00" w:history="1">
            <w:r>
              <w:rPr>
                <w:rStyle w:val="TOCOrdinalChar3"/>
                <w:noProof/>
                <w:iCs/>
              </w:rPr>
              <w:t>
            8.2.1
          </w:t>
            </w:r>
            <w:r>
              <w:rPr>
                <w:noProof/>
                <w:webHidden/>
              </w:rPr>
              <w:tab/>
            </w:r>
            <w:r>
              <w:rPr>
                <w:rStyle w:val="TOCTitleChar3"/>
                <w:noProof/>
                <w:iCs/>
              </w:rPr>
              <w:t>
            Credit Lyonnais v. Pathe
          </w:t>
            </w:r>
            <w:r>
              <w:rPr>
                <w:noProof/>
                <w:webHidden/>
              </w:rPr>
              <w:tab/>
            </w:r>
            <w:r>
              <w:rPr>
                <w:noProof/>
                <w:webHidden/>
              </w:rPr>
              <w:fldChar w:fldCharType="begin"/>
            </w:r>
            <w:r>
              <w:rPr>
                <w:noProof/>
                <w:webHidden/>
              </w:rPr>
              <w:instrText xml:space="preserve"> PAGEREF _auto_toc_100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01" w:history="1">
            <w:r>
              <w:rPr>
                <w:rStyle w:val="TOCOrdinalChar3"/>
                <w:noProof/>
                <w:iCs/>
              </w:rPr>
              <w:t>
            8.2.2
          </w:t>
            </w:r>
            <w:r>
              <w:rPr>
                <w:noProof/>
                <w:webHidden/>
              </w:rPr>
              <w:tab/>
            </w:r>
            <w:r>
              <w:rPr>
                <w:rStyle w:val="TOCTitleChar3"/>
                <w:noProof/>
                <w:iCs/>
              </w:rPr>
              <w:t>
            North American Catholic Educational Prog... v. Gheewalla
          </w:t>
            </w:r>
            <w:r>
              <w:rPr>
                <w:noProof/>
                <w:webHidden/>
              </w:rPr>
              <w:tab/>
            </w:r>
            <w:r>
              <w:rPr>
                <w:noProof/>
                <w:webHidden/>
              </w:rPr>
              <w:fldChar w:fldCharType="begin"/>
            </w:r>
            <w:r>
              <w:rPr>
                <w:noProof/>
                <w:webHidden/>
              </w:rPr>
              <w:instrText xml:space="preserve"> PAGEREF _auto_toc_101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102" w:history="1">
            <w:r>
              <w:rPr>
                <w:rStyle w:val="TOCOrdinalChar2"/>
                <w:noProof/>
                <w:iCs/>
              </w:rPr>
              <w:t>
            8.3
          </w:t>
            </w:r>
            <w:r>
              <w:rPr>
                <w:noProof/>
                <w:webHidden/>
              </w:rPr>
              <w:tab/>
            </w:r>
            <w:r>
              <w:rPr>
                <w:rStyle w:val="TOCTitleChar2"/>
                <w:noProof/>
                <w:iCs/>
              </w:rPr>
              <w:t>
            Mass. UFTA
          </w:t>
            </w:r>
            <w:r>
              <w:rPr>
                <w:noProof/>
                <w:webHidden/>
              </w:rPr>
              <w:tab/>
            </w:r>
            <w:r>
              <w:rPr>
                <w:noProof/>
                <w:webHidden/>
              </w:rPr>
              <w:fldChar w:fldCharType="begin"/>
            </w:r>
            <w:r>
              <w:rPr>
                <w:noProof/>
                <w:webHidden/>
              </w:rPr>
              <w:instrText xml:space="preserve"> PAGEREF _auto_toc_102 \h </w:instrText>
            </w:r>
            <w:r>
              <w:rPr>
                <w:noProof/>
                <w:webHidden/>
              </w:rPr>
            </w:r>
            <w:r>
              <w:rPr>
                <w:noProof/>
                <w:webHidden/>
              </w:rPr>
              <w:fldChar w:fldCharType="separate"/>
            </w:r>
            <w:r>
              <w:rPr>
                <w:noProof/>
                <w:webHidden/>
              </w:rPr>
              <w:t>[ ]</w:t>
            </w:r>
            <w:r>
              <w:rPr>
                <w:noProof/>
                <w:webHidden/>
              </w:rPr>
              <w:fldChar w:fldCharType="end"/>
            </w:r>
          </w:hyperlink>
        </w:p>
        <w:p>
          <w:pPr>
            <w:pStyle w:val="TOC1"/>
            <w:rPr>
              <w:noProof/>
            </w:rPr>
          </w:pPr>
          <w:hyperlink w:anchor="_auto_toc_103" w:history="1">
            <w:r>
              <w:rPr>
                <w:rStyle w:val="TOCOrdinalChar1"/>
                <w:noProof/>
                <w:iCs/>
              </w:rPr>
              <w:t>
            9
          </w:t>
            </w:r>
            <w:r>
              <w:rPr>
                <w:noProof/>
                <w:webHidden/>
              </w:rPr>
              <w:tab/>
            </w:r>
            <w:r>
              <w:rPr>
                <w:rStyle w:val="TOCTitleChar1"/>
                <w:noProof/>
                <w:iCs/>
              </w:rPr>
              <w:t>
            Basic M&amp;A
          </w:t>
            </w:r>
            <w:r>
              <w:rPr>
                <w:noProof/>
                <w:webHidden/>
              </w:rPr>
              <w:tab/>
            </w:r>
            <w:r>
              <w:rPr>
                <w:noProof/>
                <w:webHidden/>
              </w:rPr>
              <w:fldChar w:fldCharType="begin"/>
            </w:r>
            <w:r>
              <w:rPr>
                <w:noProof/>
                <w:webHidden/>
              </w:rPr>
              <w:instrText xml:space="preserve"> PAGEREF _auto_toc_103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104" w:history="1">
            <w:r>
              <w:rPr>
                <w:rStyle w:val="TOCOrdinalChar2"/>
                <w:noProof/>
                <w:iCs/>
              </w:rPr>
              <w:t>
            9.1
          </w:t>
            </w:r>
            <w:r>
              <w:rPr>
                <w:noProof/>
                <w:webHidden/>
              </w:rPr>
              <w:tab/>
            </w:r>
            <w:r>
              <w:rPr>
                <w:rStyle w:val="TOCTitleChar2"/>
                <w:noProof/>
                <w:iCs/>
              </w:rPr>
              <w:t>
            Readings
          </w:t>
            </w:r>
            <w:r>
              <w:rPr>
                <w:noProof/>
                <w:webHidden/>
              </w:rPr>
              <w:tab/>
            </w:r>
            <w:r>
              <w:rPr>
                <w:noProof/>
                <w:webHidden/>
              </w:rPr>
              <w:fldChar w:fldCharType="begin"/>
            </w:r>
            <w:r>
              <w:rPr>
                <w:noProof/>
                <w:webHidden/>
              </w:rPr>
              <w:instrText xml:space="preserve"> PAGEREF _auto_toc_104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05" w:history="1">
            <w:r>
              <w:rPr>
                <w:rStyle w:val="TOCOrdinalChar3"/>
                <w:noProof/>
                <w:iCs/>
              </w:rPr>
              <w:t>
            9.1.1
          </w:t>
            </w:r>
            <w:r>
              <w:rPr>
                <w:noProof/>
                <w:webHidden/>
              </w:rPr>
              <w:tab/>
            </w:r>
            <w:r>
              <w:rPr>
                <w:rStyle w:val="TOCTitleChar3"/>
                <w:noProof/>
                <w:iCs/>
              </w:rPr>
              <w:t>
            Zetlin v. Hanson Holdings, Inc.
          </w:t>
            </w:r>
            <w:r>
              <w:rPr>
                <w:noProof/>
                <w:webHidden/>
              </w:rPr>
              <w:tab/>
            </w:r>
            <w:r>
              <w:rPr>
                <w:noProof/>
                <w:webHidden/>
              </w:rPr>
              <w:fldChar w:fldCharType="begin"/>
            </w:r>
            <w:r>
              <w:rPr>
                <w:noProof/>
                <w:webHidden/>
              </w:rPr>
              <w:instrText xml:space="preserve"> PAGEREF _auto_toc_105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06" w:history="1">
            <w:r>
              <w:rPr>
                <w:rStyle w:val="TOCOrdinalChar3"/>
                <w:noProof/>
                <w:iCs/>
              </w:rPr>
              <w:t>
            9.1.2
          </w:t>
            </w:r>
            <w:r>
              <w:rPr>
                <w:noProof/>
                <w:webHidden/>
              </w:rPr>
              <w:tab/>
            </w:r>
            <w:r>
              <w:rPr>
                <w:rStyle w:val="TOCTitleChar3"/>
                <w:noProof/>
                <w:iCs/>
              </w:rPr>
              <w:t>
            Perlman v. Feldmann
          </w:t>
            </w:r>
            <w:r>
              <w:rPr>
                <w:noProof/>
                <w:webHidden/>
              </w:rPr>
              <w:tab/>
            </w:r>
            <w:r>
              <w:rPr>
                <w:noProof/>
                <w:webHidden/>
              </w:rPr>
              <w:fldChar w:fldCharType="begin"/>
            </w:r>
            <w:r>
              <w:rPr>
                <w:noProof/>
                <w:webHidden/>
              </w:rPr>
              <w:instrText xml:space="preserve"> PAGEREF _auto_toc_106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07" w:history="1">
            <w:r>
              <w:rPr>
                <w:rStyle w:val="TOCOrdinalChar3"/>
                <w:noProof/>
                <w:iCs/>
              </w:rPr>
              <w:t>
            9.1.3
          </w:t>
            </w:r>
            <w:r>
              <w:rPr>
                <w:noProof/>
                <w:webHidden/>
              </w:rPr>
              <w:tab/>
            </w:r>
            <w:r>
              <w:rPr>
                <w:rStyle w:val="TOCTitleChar3"/>
                <w:noProof/>
                <w:iCs/>
              </w:rPr>
              <w:t>
            In re Delphi Financial Group Shareholder Litigation.
          </w:t>
            </w:r>
            <w:r>
              <w:rPr>
                <w:noProof/>
                <w:webHidden/>
              </w:rPr>
              <w:tab/>
            </w:r>
            <w:r>
              <w:rPr>
                <w:noProof/>
                <w:webHidden/>
              </w:rPr>
              <w:fldChar w:fldCharType="begin"/>
            </w:r>
            <w:r>
              <w:rPr>
                <w:noProof/>
                <w:webHidden/>
              </w:rPr>
              <w:instrText xml:space="preserve"> PAGEREF _auto_toc_107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08" w:history="1">
            <w:r>
              <w:rPr>
                <w:rStyle w:val="TOCOrdinalChar3"/>
                <w:noProof/>
                <w:iCs/>
              </w:rPr>
              <w:t>
            9.1.4
          </w:t>
            </w:r>
            <w:r>
              <w:rPr>
                <w:noProof/>
                <w:webHidden/>
              </w:rPr>
              <w:tab/>
            </w:r>
            <w:r>
              <w:rPr>
                <w:rStyle w:val="TOCTitleChar3"/>
                <w:noProof/>
                <w:iCs/>
              </w:rPr>
              <w:t>
            Speiser v. Baker
          </w:t>
            </w:r>
            <w:r>
              <w:rPr>
                <w:noProof/>
                <w:webHidden/>
              </w:rPr>
              <w:tab/>
            </w:r>
            <w:r>
              <w:rPr>
                <w:noProof/>
                <w:webHidden/>
              </w:rPr>
              <w:fldChar w:fldCharType="begin"/>
            </w:r>
            <w:r>
              <w:rPr>
                <w:noProof/>
                <w:webHidden/>
              </w:rPr>
              <w:instrText xml:space="preserve"> PAGEREF _auto_toc_108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09" w:history="1">
            <w:r>
              <w:rPr>
                <w:rStyle w:val="TOCOrdinalChar3"/>
                <w:noProof/>
                <w:iCs/>
              </w:rPr>
              <w:t>
            9.1.5
          </w:t>
            </w:r>
            <w:r>
              <w:rPr>
                <w:noProof/>
                <w:webHidden/>
              </w:rPr>
              <w:tab/>
            </w:r>
            <w:r>
              <w:rPr>
                <w:rStyle w:val="TOCTitleChar3"/>
                <w:noProof/>
                <w:iCs/>
              </w:rPr>
              <w:t>
            Schreiber v. Carney
          </w:t>
            </w:r>
            <w:r>
              <w:rPr>
                <w:noProof/>
                <w:webHidden/>
              </w:rPr>
              <w:tab/>
            </w:r>
            <w:r>
              <w:rPr>
                <w:noProof/>
                <w:webHidden/>
              </w:rPr>
              <w:fldChar w:fldCharType="begin"/>
            </w:r>
            <w:r>
              <w:rPr>
                <w:noProof/>
                <w:webHidden/>
              </w:rPr>
              <w:instrText xml:space="preserve"> PAGEREF _auto_toc_109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110" w:history="1">
            <w:r>
              <w:rPr>
                <w:rStyle w:val="TOCOrdinalChar2"/>
                <w:noProof/>
                <w:iCs/>
              </w:rPr>
              <w:t>
            9.2
          </w:t>
            </w:r>
            <w:r>
              <w:rPr>
                <w:noProof/>
                <w:webHidden/>
              </w:rPr>
              <w:tab/>
            </w:r>
            <w:r>
              <w:rPr>
                <w:rStyle w:val="TOCTitleChar2"/>
                <w:noProof/>
                <w:iCs/>
              </w:rPr>
              <w:t>
            Reference Readings
          </w:t>
            </w:r>
            <w:r>
              <w:rPr>
                <w:noProof/>
                <w:webHidden/>
              </w:rPr>
              <w:tab/>
            </w:r>
            <w:r>
              <w:rPr>
                <w:noProof/>
                <w:webHidden/>
              </w:rPr>
              <w:fldChar w:fldCharType="begin"/>
            </w:r>
            <w:r>
              <w:rPr>
                <w:noProof/>
                <w:webHidden/>
              </w:rPr>
              <w:instrText xml:space="preserve"> PAGEREF _auto_toc_110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11" w:history="1">
            <w:r>
              <w:rPr>
                <w:rStyle w:val="TOCOrdinalChar3"/>
                <w:noProof/>
                <w:iCs/>
              </w:rPr>
              <w:t>
            9.2.1
          </w:t>
            </w:r>
            <w:r>
              <w:rPr>
                <w:noProof/>
                <w:webHidden/>
              </w:rPr>
              <w:tab/>
            </w:r>
            <w:r>
              <w:rPr>
                <w:rStyle w:val="TOCTitleChar3"/>
                <w:noProof/>
                <w:iCs/>
              </w:rPr>
              <w:t>
            Brecher v. Gregg
          </w:t>
            </w:r>
            <w:r>
              <w:rPr>
                <w:noProof/>
                <w:webHidden/>
              </w:rPr>
              <w:tab/>
            </w:r>
            <w:r>
              <w:rPr>
                <w:noProof/>
                <w:webHidden/>
              </w:rPr>
              <w:fldChar w:fldCharType="begin"/>
            </w:r>
            <w:r>
              <w:rPr>
                <w:noProof/>
                <w:webHidden/>
              </w:rPr>
              <w:instrText xml:space="preserve"> PAGEREF _auto_toc_111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12" w:history="1">
            <w:r>
              <w:rPr>
                <w:rStyle w:val="TOCOrdinalChar3"/>
                <w:noProof/>
                <w:iCs/>
              </w:rPr>
              <w:t>
            9.2.2
          </w:t>
            </w:r>
            <w:r>
              <w:rPr>
                <w:noProof/>
                <w:webHidden/>
              </w:rPr>
              <w:tab/>
            </w:r>
            <w:r>
              <w:rPr>
                <w:rStyle w:val="TOCTitleChar3"/>
                <w:noProof/>
                <w:iCs/>
              </w:rPr>
              <w:t>
            Carter v. Muscat
          </w:t>
            </w:r>
            <w:r>
              <w:rPr>
                <w:noProof/>
                <w:webHidden/>
              </w:rPr>
              <w:tab/>
            </w:r>
            <w:r>
              <w:rPr>
                <w:noProof/>
                <w:webHidden/>
              </w:rPr>
              <w:fldChar w:fldCharType="begin"/>
            </w:r>
            <w:r>
              <w:rPr>
                <w:noProof/>
                <w:webHidden/>
              </w:rPr>
              <w:instrText xml:space="preserve"> PAGEREF _auto_toc_112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13" w:history="1">
            <w:r>
              <w:rPr>
                <w:rStyle w:val="TOCOrdinalChar3"/>
                <w:noProof/>
                <w:iCs/>
              </w:rPr>
              <w:t>
            9.2.3
          </w:t>
            </w:r>
            <w:r>
              <w:rPr>
                <w:noProof/>
                <w:webHidden/>
              </w:rPr>
              <w:tab/>
            </w:r>
            <w:r>
              <w:rPr>
                <w:rStyle w:val="TOCTitleChar3"/>
                <w:noProof/>
                <w:iCs/>
              </w:rPr>
              <w:t>
            Brascan Ltd. v. Edper Equities Ltd.
          </w:t>
            </w:r>
            <w:r>
              <w:rPr>
                <w:noProof/>
                <w:webHidden/>
              </w:rPr>
              <w:tab/>
            </w:r>
            <w:r>
              <w:rPr>
                <w:noProof/>
                <w:webHidden/>
              </w:rPr>
              <w:fldChar w:fldCharType="begin"/>
            </w:r>
            <w:r>
              <w:rPr>
                <w:noProof/>
                <w:webHidden/>
              </w:rPr>
              <w:instrText xml:space="preserve"> PAGEREF _auto_toc_113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14" w:history="1">
            <w:r>
              <w:rPr>
                <w:rStyle w:val="TOCOrdinalChar3"/>
                <w:noProof/>
                <w:iCs/>
              </w:rPr>
              <w:t>
            9.2.4
          </w:t>
            </w:r>
            <w:r>
              <w:rPr>
                <w:noProof/>
                <w:webHidden/>
              </w:rPr>
              <w:tab/>
            </w:r>
            <w:r>
              <w:rPr>
                <w:rStyle w:val="TOCTitleChar3"/>
                <w:noProof/>
                <w:iCs/>
              </w:rPr>
              <w:t>
            In re Digex, Inc. Shareholders Litigation
          </w:t>
            </w:r>
            <w:r>
              <w:rPr>
                <w:noProof/>
                <w:webHidden/>
              </w:rPr>
              <w:tab/>
            </w:r>
            <w:r>
              <w:rPr>
                <w:noProof/>
                <w:webHidden/>
              </w:rPr>
              <w:fldChar w:fldCharType="begin"/>
            </w:r>
            <w:r>
              <w:rPr>
                <w:noProof/>
                <w:webHidden/>
              </w:rPr>
              <w:instrText xml:space="preserve"> PAGEREF _auto_toc_114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115" w:history="1">
            <w:r>
              <w:rPr>
                <w:rStyle w:val="TOCOrdinalChar2"/>
                <w:noProof/>
                <w:iCs/>
              </w:rPr>
              <w:t>
            9.3
          </w:t>
            </w:r>
            <w:r>
              <w:rPr>
                <w:noProof/>
                <w:webHidden/>
              </w:rPr>
              <w:tab/>
            </w:r>
            <w:r>
              <w:rPr>
                <w:rStyle w:val="TOCTitleChar2"/>
                <w:noProof/>
                <w:iCs/>
              </w:rPr>
              <w:t>
            15 USC 18a Hart-Scott-Rodino Antitrust Improvements Act
          </w:t>
            </w:r>
            <w:r>
              <w:rPr>
                <w:noProof/>
                <w:webHidden/>
              </w:rPr>
              <w:tab/>
            </w:r>
            <w:r>
              <w:rPr>
                <w:noProof/>
                <w:webHidden/>
              </w:rPr>
              <w:fldChar w:fldCharType="begin"/>
            </w:r>
            <w:r>
              <w:rPr>
                <w:noProof/>
                <w:webHidden/>
              </w:rPr>
              <w:instrText xml:space="preserve"> PAGEREF _auto_toc_115 \h </w:instrText>
            </w:r>
            <w:r>
              <w:rPr>
                <w:noProof/>
                <w:webHidden/>
              </w:rPr>
            </w:r>
            <w:r>
              <w:rPr>
                <w:noProof/>
                <w:webHidden/>
              </w:rPr>
              <w:fldChar w:fldCharType="separate"/>
            </w:r>
            <w:r>
              <w:rPr>
                <w:noProof/>
                <w:webHidden/>
              </w:rPr>
              <w:t>[ ]</w:t>
            </w:r>
            <w:r>
              <w:rPr>
                <w:noProof/>
                <w:webHidden/>
              </w:rPr>
              <w:fldChar w:fldCharType="end"/>
            </w:r>
          </w:hyperlink>
        </w:p>
        <w:p>
          <w:pPr>
            <w:pStyle w:val="TOC1"/>
            <w:rPr>
              <w:noProof/>
            </w:rPr>
          </w:pPr>
          <w:hyperlink w:anchor="_auto_toc_116" w:history="1">
            <w:r>
              <w:rPr>
                <w:rStyle w:val="TOCOrdinalChar1"/>
                <w:noProof/>
                <w:iCs/>
              </w:rPr>
              <w:t>
            10
          </w:t>
            </w:r>
            <w:r>
              <w:rPr>
                <w:noProof/>
                <w:webHidden/>
              </w:rPr>
              <w:tab/>
            </w:r>
            <w:r>
              <w:rPr>
                <w:rStyle w:val="TOCTitleChar1"/>
                <w:noProof/>
                <w:iCs/>
              </w:rPr>
              <w:t>
            Control contests
          </w:t>
            </w:r>
            <w:r>
              <w:rPr>
                <w:noProof/>
                <w:webHidden/>
              </w:rPr>
              <w:tab/>
            </w:r>
            <w:r>
              <w:rPr>
                <w:noProof/>
                <w:webHidden/>
              </w:rPr>
              <w:fldChar w:fldCharType="begin"/>
            </w:r>
            <w:r>
              <w:rPr>
                <w:noProof/>
                <w:webHidden/>
              </w:rPr>
              <w:instrText xml:space="preserve"> PAGEREF _auto_toc_116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117" w:history="1">
            <w:r>
              <w:rPr>
                <w:rStyle w:val="TOCOrdinalChar2"/>
                <w:noProof/>
                <w:iCs/>
              </w:rPr>
              <w:t>
            10.1
          </w:t>
            </w:r>
            <w:r>
              <w:rPr>
                <w:noProof/>
                <w:webHidden/>
              </w:rPr>
              <w:tab/>
            </w:r>
            <w:r>
              <w:rPr>
                <w:rStyle w:val="TOCTitleChar2"/>
                <w:noProof/>
                <w:iCs/>
              </w:rPr>
              <w:t>
            Readings
          </w:t>
            </w:r>
            <w:r>
              <w:rPr>
                <w:noProof/>
                <w:webHidden/>
              </w:rPr>
              <w:tab/>
            </w:r>
            <w:r>
              <w:rPr>
                <w:noProof/>
                <w:webHidden/>
              </w:rPr>
              <w:fldChar w:fldCharType="begin"/>
            </w:r>
            <w:r>
              <w:rPr>
                <w:noProof/>
                <w:webHidden/>
              </w:rPr>
              <w:instrText xml:space="preserve"> PAGEREF _auto_toc_117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18" w:history="1">
            <w:r>
              <w:rPr>
                <w:rStyle w:val="TOCOrdinalChar3"/>
                <w:noProof/>
                <w:iCs/>
              </w:rPr>
              <w:t>
            10.1.1
          </w:t>
            </w:r>
            <w:r>
              <w:rPr>
                <w:noProof/>
                <w:webHidden/>
              </w:rPr>
              <w:tab/>
            </w:r>
            <w:r>
              <w:rPr>
                <w:rStyle w:val="TOCTitleChar3"/>
                <w:noProof/>
                <w:iCs/>
              </w:rPr>
              <w:t>
            Unocal v. Mesa Petroleum (Del. 1985)
          </w:t>
            </w:r>
            <w:r>
              <w:rPr>
                <w:noProof/>
                <w:webHidden/>
              </w:rPr>
              <w:tab/>
            </w:r>
            <w:r>
              <w:rPr>
                <w:noProof/>
                <w:webHidden/>
              </w:rPr>
              <w:fldChar w:fldCharType="begin"/>
            </w:r>
            <w:r>
              <w:rPr>
                <w:noProof/>
                <w:webHidden/>
              </w:rPr>
              <w:instrText xml:space="preserve"> PAGEREF _auto_toc_118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19" w:history="1">
            <w:r>
              <w:rPr>
                <w:rStyle w:val="TOCOrdinalChar3"/>
                <w:noProof/>
                <w:iCs/>
              </w:rPr>
              <w:t>
            10.1.2
          </w:t>
            </w:r>
            <w:r>
              <w:rPr>
                <w:noProof/>
                <w:webHidden/>
              </w:rPr>
              <w:tab/>
            </w:r>
            <w:r>
              <w:rPr>
                <w:rStyle w:val="TOCTitleChar3"/>
                <w:noProof/>
                <w:iCs/>
              </w:rPr>
              <w:t>
            Smith v. Van Gorkom (Del. 1985)
          </w:t>
            </w:r>
            <w:r>
              <w:rPr>
                <w:noProof/>
                <w:webHidden/>
              </w:rPr>
              <w:tab/>
            </w:r>
            <w:r>
              <w:rPr>
                <w:noProof/>
                <w:webHidden/>
              </w:rPr>
              <w:fldChar w:fldCharType="begin"/>
            </w:r>
            <w:r>
              <w:rPr>
                <w:noProof/>
                <w:webHidden/>
              </w:rPr>
              <w:instrText xml:space="preserve"> PAGEREF _auto_toc_119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20" w:history="1">
            <w:r>
              <w:rPr>
                <w:rStyle w:val="TOCOrdinalChar3"/>
                <w:noProof/>
                <w:iCs/>
              </w:rPr>
              <w:t>
            10.1.3
          </w:t>
            </w:r>
            <w:r>
              <w:rPr>
                <w:noProof/>
                <w:webHidden/>
              </w:rPr>
              <w:tab/>
            </w:r>
            <w:r>
              <w:rPr>
                <w:rStyle w:val="TOCTitleChar3"/>
                <w:noProof/>
                <w:iCs/>
              </w:rPr>
              <w:t>
            Blasius Industries, Inc. v. Atlas Corp. (Del. Ch. 1988)
          </w:t>
            </w:r>
            <w:r>
              <w:rPr>
                <w:noProof/>
                <w:webHidden/>
              </w:rPr>
              <w:tab/>
            </w:r>
            <w:r>
              <w:rPr>
                <w:noProof/>
                <w:webHidden/>
              </w:rPr>
              <w:fldChar w:fldCharType="begin"/>
            </w:r>
            <w:r>
              <w:rPr>
                <w:noProof/>
                <w:webHidden/>
              </w:rPr>
              <w:instrText xml:space="preserve"> PAGEREF _auto_toc_120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21" w:history="1">
            <w:r>
              <w:rPr>
                <w:rStyle w:val="TOCOrdinalChar3"/>
                <w:noProof/>
                <w:iCs/>
              </w:rPr>
              <w:t>
            10.1.4
          </w:t>
            </w:r>
            <w:r>
              <w:rPr>
                <w:noProof/>
                <w:webHidden/>
              </w:rPr>
              <w:tab/>
            </w:r>
            <w:r>
              <w:rPr>
                <w:rStyle w:val="TOCTitleChar3"/>
                <w:noProof/>
                <w:iCs/>
              </w:rPr>
              <w:t>
            Revlon v. MacAndrews &amp; Forbes (Del. 1986)
          </w:t>
            </w:r>
            <w:r>
              <w:rPr>
                <w:noProof/>
                <w:webHidden/>
              </w:rPr>
              <w:tab/>
            </w:r>
            <w:r>
              <w:rPr>
                <w:noProof/>
                <w:webHidden/>
              </w:rPr>
              <w:fldChar w:fldCharType="begin"/>
            </w:r>
            <w:r>
              <w:rPr>
                <w:noProof/>
                <w:webHidden/>
              </w:rPr>
              <w:instrText xml:space="preserve"> PAGEREF _auto_toc_121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22" w:history="1">
            <w:r>
              <w:rPr>
                <w:rStyle w:val="TOCOrdinalChar3"/>
                <w:noProof/>
                <w:iCs/>
              </w:rPr>
              <w:t>
            10.1.5
          </w:t>
            </w:r>
            <w:r>
              <w:rPr>
                <w:noProof/>
                <w:webHidden/>
              </w:rPr>
              <w:tab/>
            </w:r>
            <w:r>
              <w:rPr>
                <w:rStyle w:val="TOCTitleChar3"/>
                <w:noProof/>
                <w:iCs/>
              </w:rPr>
              <w:t>
            Lyondell Chemical Co. v. Ryan
          </w:t>
            </w:r>
            <w:r>
              <w:rPr>
                <w:noProof/>
                <w:webHidden/>
              </w:rPr>
              <w:tab/>
            </w:r>
            <w:r>
              <w:rPr>
                <w:noProof/>
                <w:webHidden/>
              </w:rPr>
              <w:fldChar w:fldCharType="begin"/>
            </w:r>
            <w:r>
              <w:rPr>
                <w:noProof/>
                <w:webHidden/>
              </w:rPr>
              <w:instrText xml:space="preserve"> PAGEREF _auto_toc_122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23" w:history="1">
            <w:r>
              <w:rPr>
                <w:rStyle w:val="TOCOrdinalChar3"/>
                <w:noProof/>
                <w:iCs/>
              </w:rPr>
              <w:t>
            10.1.6
          </w:t>
            </w:r>
            <w:r>
              <w:rPr>
                <w:noProof/>
                <w:webHidden/>
              </w:rPr>
              <w:tab/>
            </w:r>
            <w:r>
              <w:rPr>
                <w:rStyle w:val="TOCTitleChar3"/>
                <w:noProof/>
                <w:iCs/>
              </w:rPr>
              <w:t>
            C &amp; J Energy Services, Inc. v. City of Miami General Employees'
          </w:t>
            </w:r>
            <w:r>
              <w:rPr>
                <w:noProof/>
                <w:webHidden/>
              </w:rPr>
              <w:tab/>
            </w:r>
            <w:r>
              <w:rPr>
                <w:noProof/>
                <w:webHidden/>
              </w:rPr>
              <w:fldChar w:fldCharType="begin"/>
            </w:r>
            <w:r>
              <w:rPr>
                <w:noProof/>
                <w:webHidden/>
              </w:rPr>
              <w:instrText xml:space="preserve"> PAGEREF _auto_toc_123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124" w:history="1">
            <w:r>
              <w:rPr>
                <w:rStyle w:val="TOCOrdinalChar2"/>
                <w:noProof/>
                <w:iCs/>
              </w:rPr>
              <w:t>
            10.2
          </w:t>
            </w:r>
            <w:r>
              <w:rPr>
                <w:noProof/>
                <w:webHidden/>
              </w:rPr>
              <w:tab/>
            </w:r>
            <w:r>
              <w:rPr>
                <w:rStyle w:val="TOCTitleChar2"/>
                <w:noProof/>
                <w:iCs/>
              </w:rPr>
              <w:t>
            Reference Readings
          </w:t>
            </w:r>
            <w:r>
              <w:rPr>
                <w:noProof/>
                <w:webHidden/>
              </w:rPr>
              <w:tab/>
            </w:r>
            <w:r>
              <w:rPr>
                <w:noProof/>
                <w:webHidden/>
              </w:rPr>
              <w:fldChar w:fldCharType="begin"/>
            </w:r>
            <w:r>
              <w:rPr>
                <w:noProof/>
                <w:webHidden/>
              </w:rPr>
              <w:instrText xml:space="preserve"> PAGEREF _auto_toc_124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25" w:history="1">
            <w:r>
              <w:rPr>
                <w:rStyle w:val="TOCOrdinalChar3"/>
                <w:noProof/>
                <w:iCs/>
              </w:rPr>
              <w:t>
            10.2.1
          </w:t>
            </w:r>
            <w:r>
              <w:rPr>
                <w:noProof/>
                <w:webHidden/>
              </w:rPr>
              <w:tab/>
            </w:r>
            <w:r>
              <w:rPr>
                <w:rStyle w:val="TOCTitleChar3"/>
                <w:noProof/>
                <w:iCs/>
              </w:rPr>
              <w:t>
            Moran v. Household International (Del. 1985)
          </w:t>
            </w:r>
            <w:r>
              <w:rPr>
                <w:noProof/>
                <w:webHidden/>
              </w:rPr>
              <w:tab/>
            </w:r>
            <w:r>
              <w:rPr>
                <w:noProof/>
                <w:webHidden/>
              </w:rPr>
              <w:fldChar w:fldCharType="begin"/>
            </w:r>
            <w:r>
              <w:rPr>
                <w:noProof/>
                <w:webHidden/>
              </w:rPr>
              <w:instrText xml:space="preserve"> PAGEREF _auto_toc_125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26" w:history="1">
            <w:r>
              <w:rPr>
                <w:rStyle w:val="TOCOrdinalChar3"/>
                <w:noProof/>
                <w:iCs/>
              </w:rPr>
              <w:t>
            10.2.2
          </w:t>
            </w:r>
            <w:r>
              <w:rPr>
                <w:noProof/>
                <w:webHidden/>
              </w:rPr>
              <w:tab/>
            </w:r>
            <w:r>
              <w:rPr>
                <w:rStyle w:val="TOCTitleChar3"/>
                <w:noProof/>
                <w:iCs/>
              </w:rPr>
              <w:t>
            City Capital Associates Ltd. Partnership v. Interco Inc.
          </w:t>
            </w:r>
            <w:r>
              <w:rPr>
                <w:noProof/>
                <w:webHidden/>
              </w:rPr>
              <w:tab/>
            </w:r>
            <w:r>
              <w:rPr>
                <w:noProof/>
                <w:webHidden/>
              </w:rPr>
              <w:fldChar w:fldCharType="begin"/>
            </w:r>
            <w:r>
              <w:rPr>
                <w:noProof/>
                <w:webHidden/>
              </w:rPr>
              <w:instrText xml:space="preserve"> PAGEREF _auto_toc_126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27" w:history="1">
            <w:r>
              <w:rPr>
                <w:rStyle w:val="TOCOrdinalChar3"/>
                <w:noProof/>
                <w:iCs/>
              </w:rPr>
              <w:t>
            10.2.3
          </w:t>
            </w:r>
            <w:r>
              <w:rPr>
                <w:noProof/>
                <w:webHidden/>
              </w:rPr>
              <w:tab/>
            </w:r>
            <w:r>
              <w:rPr>
                <w:rStyle w:val="TOCTitleChar3"/>
                <w:noProof/>
                <w:iCs/>
              </w:rPr>
              <w:t>
            Air Products &amp; Chemicals, Inc. v. Airgas, Inc.
          </w:t>
            </w:r>
            <w:r>
              <w:rPr>
                <w:noProof/>
                <w:webHidden/>
              </w:rPr>
              <w:tab/>
            </w:r>
            <w:r>
              <w:rPr>
                <w:noProof/>
                <w:webHidden/>
              </w:rPr>
              <w:fldChar w:fldCharType="begin"/>
            </w:r>
            <w:r>
              <w:rPr>
                <w:noProof/>
                <w:webHidden/>
              </w:rPr>
              <w:instrText xml:space="preserve"> PAGEREF _auto_toc_127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28" w:history="1">
            <w:r>
              <w:rPr>
                <w:rStyle w:val="TOCOrdinalChar3"/>
                <w:noProof/>
                <w:iCs/>
              </w:rPr>
              <w:t>
            10.2.4
          </w:t>
            </w:r>
            <w:r>
              <w:rPr>
                <w:noProof/>
                <w:webHidden/>
              </w:rPr>
              <w:tab/>
            </w:r>
            <w:r>
              <w:rPr>
                <w:rStyle w:val="TOCTitleChar3"/>
                <w:noProof/>
                <w:iCs/>
              </w:rPr>
              <w:t>
            Airgas, Inc. v. Air Products &amp; Chemicals, Inc.
          </w:t>
            </w:r>
            <w:r>
              <w:rPr>
                <w:noProof/>
                <w:webHidden/>
              </w:rPr>
              <w:tab/>
            </w:r>
            <w:r>
              <w:rPr>
                <w:noProof/>
                <w:webHidden/>
              </w:rPr>
              <w:fldChar w:fldCharType="begin"/>
            </w:r>
            <w:r>
              <w:rPr>
                <w:noProof/>
                <w:webHidden/>
              </w:rPr>
              <w:instrText xml:space="preserve"> PAGEREF _auto_toc_128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29" w:history="1">
            <w:r>
              <w:rPr>
                <w:rStyle w:val="TOCOrdinalChar3"/>
                <w:noProof/>
                <w:iCs/>
              </w:rPr>
              <w:t>
            10.2.5
          </w:t>
            </w:r>
            <w:r>
              <w:rPr>
                <w:noProof/>
                <w:webHidden/>
              </w:rPr>
              <w:tab/>
            </w:r>
            <w:r>
              <w:rPr>
                <w:rStyle w:val="TOCTitleChar3"/>
                <w:noProof/>
                <w:iCs/>
              </w:rPr>
              <w:t>
            Arnold v. Society for Savings Bancorp, Inc.
          </w:t>
            </w:r>
            <w:r>
              <w:rPr>
                <w:noProof/>
                <w:webHidden/>
              </w:rPr>
              <w:tab/>
            </w:r>
            <w:r>
              <w:rPr>
                <w:noProof/>
                <w:webHidden/>
              </w:rPr>
              <w:fldChar w:fldCharType="begin"/>
            </w:r>
            <w:r>
              <w:rPr>
                <w:noProof/>
                <w:webHidden/>
              </w:rPr>
              <w:instrText xml:space="preserve"> PAGEREF _auto_toc_129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30" w:history="1">
            <w:r>
              <w:rPr>
                <w:rStyle w:val="TOCOrdinalChar3"/>
                <w:noProof/>
                <w:iCs/>
              </w:rPr>
              <w:t>
            10.2.6
          </w:t>
            </w:r>
            <w:r>
              <w:rPr>
                <w:noProof/>
                <w:webHidden/>
              </w:rPr>
              <w:tab/>
            </w:r>
            <w:r>
              <w:rPr>
                <w:rStyle w:val="TOCTitleChar3"/>
                <w:noProof/>
                <w:iCs/>
              </w:rPr>
              <w:t>
            Paramount Communications, Inc. v. QVC Network, Inc.
          </w:t>
            </w:r>
            <w:r>
              <w:rPr>
                <w:noProof/>
                <w:webHidden/>
              </w:rPr>
              <w:tab/>
            </w:r>
            <w:r>
              <w:rPr>
                <w:noProof/>
                <w:webHidden/>
              </w:rPr>
              <w:fldChar w:fldCharType="begin"/>
            </w:r>
            <w:r>
              <w:rPr>
                <w:noProof/>
                <w:webHidden/>
              </w:rPr>
              <w:instrText xml:space="preserve"> PAGEREF _auto_toc_130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31" w:history="1">
            <w:r>
              <w:rPr>
                <w:rStyle w:val="TOCOrdinalChar3"/>
                <w:noProof/>
                <w:iCs/>
              </w:rPr>
              <w:t>
            10.2.7
          </w:t>
            </w:r>
            <w:r>
              <w:rPr>
                <w:noProof/>
                <w:webHidden/>
              </w:rPr>
              <w:tab/>
            </w:r>
            <w:r>
              <w:rPr>
                <w:rStyle w:val="TOCTitleChar3"/>
                <w:noProof/>
                <w:iCs/>
              </w:rPr>
              <w:t>
            In re Smurfit-Stone Container Corp. Shareholder Litigation
          </w:t>
            </w:r>
            <w:r>
              <w:rPr>
                <w:noProof/>
                <w:webHidden/>
              </w:rPr>
              <w:tab/>
            </w:r>
            <w:r>
              <w:rPr>
                <w:noProof/>
                <w:webHidden/>
              </w:rPr>
              <w:fldChar w:fldCharType="begin"/>
            </w:r>
            <w:r>
              <w:rPr>
                <w:noProof/>
                <w:webHidden/>
              </w:rPr>
              <w:instrText xml:space="preserve"> PAGEREF _auto_toc_131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32" w:history="1">
            <w:r>
              <w:rPr>
                <w:rStyle w:val="TOCOrdinalChar3"/>
                <w:noProof/>
                <w:iCs/>
              </w:rPr>
              <w:t>
            10.2.8
          </w:t>
            </w:r>
            <w:r>
              <w:rPr>
                <w:noProof/>
                <w:webHidden/>
              </w:rPr>
              <w:tab/>
            </w:r>
            <w:r>
              <w:rPr>
                <w:rStyle w:val="TOCTitleChar3"/>
                <w:noProof/>
                <w:iCs/>
              </w:rPr>
              <w:t>
            In re Lukens Inc. Shareholders Litigation
          </w:t>
            </w:r>
            <w:r>
              <w:rPr>
                <w:noProof/>
                <w:webHidden/>
              </w:rPr>
              <w:tab/>
            </w:r>
            <w:r>
              <w:rPr>
                <w:noProof/>
                <w:webHidden/>
              </w:rPr>
              <w:fldChar w:fldCharType="begin"/>
            </w:r>
            <w:r>
              <w:rPr>
                <w:noProof/>
                <w:webHidden/>
              </w:rPr>
              <w:instrText xml:space="preserve"> PAGEREF _auto_toc_132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33" w:history="1">
            <w:r>
              <w:rPr>
                <w:rStyle w:val="TOCOrdinalChar3"/>
                <w:noProof/>
                <w:iCs/>
              </w:rPr>
              <w:t>
            10.2.9
          </w:t>
            </w:r>
            <w:r>
              <w:rPr>
                <w:noProof/>
                <w:webHidden/>
              </w:rPr>
              <w:tab/>
            </w:r>
            <w:r>
              <w:rPr>
                <w:rStyle w:val="TOCTitleChar3"/>
                <w:noProof/>
                <w:iCs/>
              </w:rPr>
              <w:t>
            In re Santa Fe Pacific Corp. Shareholder Litigation
          </w:t>
            </w:r>
            <w:r>
              <w:rPr>
                <w:noProof/>
                <w:webHidden/>
              </w:rPr>
              <w:tab/>
            </w:r>
            <w:r>
              <w:rPr>
                <w:noProof/>
                <w:webHidden/>
              </w:rPr>
              <w:fldChar w:fldCharType="begin"/>
            </w:r>
            <w:r>
              <w:rPr>
                <w:noProof/>
                <w:webHidden/>
              </w:rPr>
              <w:instrText xml:space="preserve"> PAGEREF _auto_toc_133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34" w:history="1">
            <w:r>
              <w:rPr>
                <w:rStyle w:val="TOCOrdinalChar3"/>
                <w:noProof/>
                <w:iCs/>
              </w:rPr>
              <w:t>
            10.2.10
          </w:t>
            </w:r>
            <w:r>
              <w:rPr>
                <w:noProof/>
                <w:webHidden/>
              </w:rPr>
              <w:tab/>
            </w:r>
            <w:r>
              <w:rPr>
                <w:rStyle w:val="TOCTitleChar3"/>
                <w:noProof/>
                <w:iCs/>
              </w:rPr>
              <w:t>
            Corwin v. KKR Financial Co.
          </w:t>
            </w:r>
            <w:r>
              <w:rPr>
                <w:noProof/>
                <w:webHidden/>
              </w:rPr>
              <w:tab/>
            </w:r>
            <w:r>
              <w:rPr>
                <w:noProof/>
                <w:webHidden/>
              </w:rPr>
              <w:fldChar w:fldCharType="begin"/>
            </w:r>
            <w:r>
              <w:rPr>
                <w:noProof/>
                <w:webHidden/>
              </w:rPr>
              <w:instrText xml:space="preserve"> PAGEREF _auto_toc_134 \h </w:instrText>
            </w:r>
            <w:r>
              <w:rPr>
                <w:noProof/>
                <w:webHidden/>
              </w:rPr>
            </w:r>
            <w:r>
              <w:rPr>
                <w:noProof/>
                <w:webHidden/>
              </w:rPr>
              <w:fldChar w:fldCharType="separate"/>
            </w:r>
            <w:r>
              <w:rPr>
                <w:noProof/>
                <w:webHidden/>
              </w:rPr>
              <w:t>[ ]</w:t>
            </w:r>
            <w:r>
              <w:rPr>
                <w:noProof/>
                <w:webHidden/>
              </w:rPr>
              <w:fldChar w:fldCharType="end"/>
            </w:r>
          </w:hyperlink>
        </w:p>
        <w:p>
          <w:pPr>
            <w:pStyle w:val="TOC1"/>
            <w:rPr>
              <w:noProof/>
            </w:rPr>
          </w:pPr>
          <w:hyperlink w:anchor="_auto_toc_135" w:history="1">
            <w:r>
              <w:rPr>
                <w:rStyle w:val="TOCOrdinalChar1"/>
                <w:noProof/>
                <w:iCs/>
              </w:rPr>
              <w:t>
            11
          </w:t>
            </w:r>
            <w:r>
              <w:rPr>
                <w:noProof/>
                <w:webHidden/>
              </w:rPr>
              <w:tab/>
            </w:r>
            <w:r>
              <w:rPr>
                <w:rStyle w:val="TOCTitleChar1"/>
                <w:noProof/>
                <w:iCs/>
              </w:rPr>
              <w:t>
            Conflict transactions - loyalty
          </w:t>
            </w:r>
            <w:r>
              <w:rPr>
                <w:noProof/>
                <w:webHidden/>
              </w:rPr>
              <w:tab/>
            </w:r>
            <w:r>
              <w:rPr>
                <w:noProof/>
                <w:webHidden/>
              </w:rPr>
              <w:fldChar w:fldCharType="begin"/>
            </w:r>
            <w:r>
              <w:rPr>
                <w:noProof/>
                <w:webHidden/>
              </w:rPr>
              <w:instrText xml:space="preserve"> PAGEREF _auto_toc_135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136" w:history="1">
            <w:r>
              <w:rPr>
                <w:rStyle w:val="TOCOrdinalChar2"/>
                <w:noProof/>
                <w:iCs/>
              </w:rPr>
              <w:t>
            11.1
          </w:t>
            </w:r>
            <w:r>
              <w:rPr>
                <w:noProof/>
                <w:webHidden/>
              </w:rPr>
              <w:tab/>
            </w:r>
            <w:r>
              <w:rPr>
                <w:rStyle w:val="TOCTitleChar2"/>
                <w:noProof/>
                <w:iCs/>
              </w:rPr>
              <w:t>
            Readings
          </w:t>
            </w:r>
            <w:r>
              <w:rPr>
                <w:noProof/>
                <w:webHidden/>
              </w:rPr>
              <w:tab/>
            </w:r>
            <w:r>
              <w:rPr>
                <w:noProof/>
                <w:webHidden/>
              </w:rPr>
              <w:fldChar w:fldCharType="begin"/>
            </w:r>
            <w:r>
              <w:rPr>
                <w:noProof/>
                <w:webHidden/>
              </w:rPr>
              <w:instrText xml:space="preserve"> PAGEREF _auto_toc_136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37" w:history="1">
            <w:r>
              <w:rPr>
                <w:rStyle w:val="TOCOrdinalChar3"/>
                <w:noProof/>
                <w:iCs/>
              </w:rPr>
              <w:t>
            11.1.1
          </w:t>
            </w:r>
            <w:r>
              <w:rPr>
                <w:noProof/>
                <w:webHidden/>
              </w:rPr>
              <w:tab/>
            </w:r>
            <w:r>
              <w:rPr>
                <w:rStyle w:val="TOCTitleChar3"/>
                <w:noProof/>
                <w:iCs/>
              </w:rPr>
              <w:t>
            State ex rel. Hayes Oyster Co. v. Keypoint Oyster Co.
          </w:t>
            </w:r>
            <w:r>
              <w:rPr>
                <w:noProof/>
                <w:webHidden/>
              </w:rPr>
              <w:tab/>
            </w:r>
            <w:r>
              <w:rPr>
                <w:noProof/>
                <w:webHidden/>
              </w:rPr>
              <w:fldChar w:fldCharType="begin"/>
            </w:r>
            <w:r>
              <w:rPr>
                <w:noProof/>
                <w:webHidden/>
              </w:rPr>
              <w:instrText xml:space="preserve"> PAGEREF _auto_toc_137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38" w:history="1">
            <w:r>
              <w:rPr>
                <w:rStyle w:val="TOCOrdinalChar3"/>
                <w:noProof/>
                <w:iCs/>
              </w:rPr>
              <w:t>
            11.1.2
          </w:t>
            </w:r>
            <w:r>
              <w:rPr>
                <w:noProof/>
                <w:webHidden/>
              </w:rPr>
              <w:tab/>
            </w:r>
            <w:r>
              <w:rPr>
                <w:rStyle w:val="TOCTitleChar3"/>
                <w:noProof/>
                <w:iCs/>
              </w:rPr>
              <w:t>
            Cookies Food Products, Inc. v. Lakes Warehouse Distributing, Inc.
          </w:t>
            </w:r>
            <w:r>
              <w:rPr>
                <w:noProof/>
                <w:webHidden/>
              </w:rPr>
              <w:tab/>
            </w:r>
            <w:r>
              <w:rPr>
                <w:noProof/>
                <w:webHidden/>
              </w:rPr>
              <w:fldChar w:fldCharType="begin"/>
            </w:r>
            <w:r>
              <w:rPr>
                <w:noProof/>
                <w:webHidden/>
              </w:rPr>
              <w:instrText xml:space="preserve"> PAGEREF _auto_toc_138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39" w:history="1">
            <w:r>
              <w:rPr>
                <w:rStyle w:val="TOCOrdinalChar3"/>
                <w:noProof/>
                <w:iCs/>
              </w:rPr>
              <w:t>
            11.1.3
          </w:t>
            </w:r>
            <w:r>
              <w:rPr>
                <w:noProof/>
                <w:webHidden/>
              </w:rPr>
              <w:tab/>
            </w:r>
            <w:r>
              <w:rPr>
                <w:rStyle w:val="TOCTitleChar3"/>
                <w:noProof/>
                <w:iCs/>
              </w:rPr>
              <w:t>
            Sinclair Oil Corp. v. Levien
          </w:t>
            </w:r>
            <w:r>
              <w:rPr>
                <w:noProof/>
                <w:webHidden/>
              </w:rPr>
              <w:tab/>
            </w:r>
            <w:r>
              <w:rPr>
                <w:noProof/>
                <w:webHidden/>
              </w:rPr>
              <w:fldChar w:fldCharType="begin"/>
            </w:r>
            <w:r>
              <w:rPr>
                <w:noProof/>
                <w:webHidden/>
              </w:rPr>
              <w:instrText xml:space="preserve"> PAGEREF _auto_toc_139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40" w:history="1">
            <w:r>
              <w:rPr>
                <w:rStyle w:val="TOCOrdinalChar3"/>
                <w:noProof/>
                <w:iCs/>
              </w:rPr>
              <w:t>
            11.1.4
          </w:t>
            </w:r>
            <w:r>
              <w:rPr>
                <w:noProof/>
                <w:webHidden/>
              </w:rPr>
              <w:tab/>
            </w:r>
            <w:r>
              <w:rPr>
                <w:rStyle w:val="TOCTitleChar3"/>
                <w:noProof/>
                <w:iCs/>
              </w:rPr>
              <w:t>
            Weinberger v. UOP, Inc.
          </w:t>
            </w:r>
            <w:r>
              <w:rPr>
                <w:noProof/>
                <w:webHidden/>
              </w:rPr>
              <w:tab/>
            </w:r>
            <w:r>
              <w:rPr>
                <w:noProof/>
                <w:webHidden/>
              </w:rPr>
              <w:fldChar w:fldCharType="begin"/>
            </w:r>
            <w:r>
              <w:rPr>
                <w:noProof/>
                <w:webHidden/>
              </w:rPr>
              <w:instrText xml:space="preserve"> PAGEREF _auto_toc_140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41" w:history="1">
            <w:r>
              <w:rPr>
                <w:rStyle w:val="TOCOrdinalChar3"/>
                <w:noProof/>
                <w:iCs/>
              </w:rPr>
              <w:t>
            11.1.5
          </w:t>
            </w:r>
            <w:r>
              <w:rPr>
                <w:noProof/>
                <w:webHidden/>
              </w:rPr>
              <w:tab/>
            </w:r>
            <w:r>
              <w:rPr>
                <w:rStyle w:val="TOCTitleChar3"/>
                <w:noProof/>
                <w:iCs/>
              </w:rPr>
              <w:t>
            Kahn v. Lynch Communication Systems, Inc.
          </w:t>
            </w:r>
            <w:r>
              <w:rPr>
                <w:noProof/>
                <w:webHidden/>
              </w:rPr>
              <w:tab/>
            </w:r>
            <w:r>
              <w:rPr>
                <w:noProof/>
                <w:webHidden/>
              </w:rPr>
              <w:fldChar w:fldCharType="begin"/>
            </w:r>
            <w:r>
              <w:rPr>
                <w:noProof/>
                <w:webHidden/>
              </w:rPr>
              <w:instrText xml:space="preserve"> PAGEREF _auto_toc_141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42" w:history="1">
            <w:r>
              <w:rPr>
                <w:rStyle w:val="TOCOrdinalChar3"/>
                <w:noProof/>
                <w:iCs/>
              </w:rPr>
              <w:t>
            11.1.6
          </w:t>
            </w:r>
            <w:r>
              <w:rPr>
                <w:noProof/>
                <w:webHidden/>
              </w:rPr>
              <w:tab/>
            </w:r>
            <w:r>
              <w:rPr>
                <w:rStyle w:val="TOCTitleChar3"/>
                <w:noProof/>
                <w:iCs/>
              </w:rPr>
              <w:t>
            Guth et al. v. Loft, Inc.
          </w:t>
            </w:r>
            <w:r>
              <w:rPr>
                <w:noProof/>
                <w:webHidden/>
              </w:rPr>
              <w:tab/>
            </w:r>
            <w:r>
              <w:rPr>
                <w:noProof/>
                <w:webHidden/>
              </w:rPr>
              <w:fldChar w:fldCharType="begin"/>
            </w:r>
            <w:r>
              <w:rPr>
                <w:noProof/>
                <w:webHidden/>
              </w:rPr>
              <w:instrText xml:space="preserve"> PAGEREF _auto_toc_142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143" w:history="1">
            <w:r>
              <w:rPr>
                <w:rStyle w:val="TOCOrdinalChar2"/>
                <w:noProof/>
                <w:iCs/>
              </w:rPr>
              <w:t>
            11.2
          </w:t>
            </w:r>
            <w:r>
              <w:rPr>
                <w:noProof/>
                <w:webHidden/>
              </w:rPr>
              <w:tab/>
            </w:r>
            <w:r>
              <w:rPr>
                <w:rStyle w:val="TOCTitleChar2"/>
                <w:noProof/>
                <w:iCs/>
              </w:rPr>
              <w:t>
            Hypo: board service?
          </w:t>
            </w:r>
            <w:r>
              <w:rPr>
                <w:noProof/>
                <w:webHidden/>
              </w:rPr>
              <w:tab/>
            </w:r>
            <w:r>
              <w:rPr>
                <w:noProof/>
                <w:webHidden/>
              </w:rPr>
              <w:fldChar w:fldCharType="begin"/>
            </w:r>
            <w:r>
              <w:rPr>
                <w:noProof/>
                <w:webHidden/>
              </w:rPr>
              <w:instrText xml:space="preserve"> PAGEREF _auto_toc_143 \h </w:instrText>
            </w:r>
            <w:r>
              <w:rPr>
                <w:noProof/>
                <w:webHidden/>
              </w:rPr>
            </w:r>
            <w:r>
              <w:rPr>
                <w:noProof/>
                <w:webHidden/>
              </w:rPr>
              <w:fldChar w:fldCharType="separate"/>
            </w:r>
            <w:r>
              <w:rPr>
                <w:noProof/>
                <w:webHidden/>
              </w:rPr>
              <w:t>[ ]</w:t>
            </w:r>
            <w:r>
              <w:rPr>
                <w:noProof/>
                <w:webHidden/>
              </w:rPr>
              <w:fldChar w:fldCharType="end"/>
            </w:r>
          </w:hyperlink>
        </w:p>
        <w:p>
          <w:pPr>
            <w:pStyle w:val="TOC2"/>
            <w:rPr>
              <w:noProof/>
            </w:rPr>
          </w:pPr>
          <w:hyperlink w:anchor="_auto_toc_144" w:history="1">
            <w:r>
              <w:rPr>
                <w:rStyle w:val="TOCOrdinalChar2"/>
                <w:noProof/>
                <w:iCs/>
              </w:rPr>
              <w:t>
            11.3
          </w:t>
            </w:r>
            <w:r>
              <w:rPr>
                <w:noProof/>
                <w:webHidden/>
              </w:rPr>
              <w:tab/>
            </w:r>
            <w:r>
              <w:rPr>
                <w:rStyle w:val="TOCTitleChar2"/>
                <w:noProof/>
                <w:iCs/>
              </w:rPr>
              <w:t>
            Reference Readings
          </w:t>
            </w:r>
            <w:r>
              <w:rPr>
                <w:noProof/>
                <w:webHidden/>
              </w:rPr>
              <w:tab/>
            </w:r>
            <w:r>
              <w:rPr>
                <w:noProof/>
                <w:webHidden/>
              </w:rPr>
              <w:fldChar w:fldCharType="begin"/>
            </w:r>
            <w:r>
              <w:rPr>
                <w:noProof/>
                <w:webHidden/>
              </w:rPr>
              <w:instrText xml:space="preserve"> PAGEREF _auto_toc_144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45" w:history="1">
            <w:r>
              <w:rPr>
                <w:rStyle w:val="TOCOrdinalChar3"/>
                <w:noProof/>
                <w:iCs/>
              </w:rPr>
              <w:t>
            11.3.1
          </w:t>
            </w:r>
            <w:r>
              <w:rPr>
                <w:noProof/>
                <w:webHidden/>
              </w:rPr>
              <w:tab/>
            </w:r>
            <w:r>
              <w:rPr>
                <w:rStyle w:val="TOCTitleChar3"/>
                <w:noProof/>
                <w:iCs/>
              </w:rPr>
              <w:t>
            Kahn v. Sullivan
          </w:t>
            </w:r>
            <w:r>
              <w:rPr>
                <w:noProof/>
                <w:webHidden/>
              </w:rPr>
              <w:tab/>
            </w:r>
            <w:r>
              <w:rPr>
                <w:noProof/>
                <w:webHidden/>
              </w:rPr>
              <w:fldChar w:fldCharType="begin"/>
            </w:r>
            <w:r>
              <w:rPr>
                <w:noProof/>
                <w:webHidden/>
              </w:rPr>
              <w:instrText xml:space="preserve"> PAGEREF _auto_toc_145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46" w:history="1">
            <w:r>
              <w:rPr>
                <w:rStyle w:val="TOCOrdinalChar3"/>
                <w:noProof/>
                <w:iCs/>
              </w:rPr>
              <w:t>
            11.3.2
          </w:t>
            </w:r>
            <w:r>
              <w:rPr>
                <w:noProof/>
                <w:webHidden/>
              </w:rPr>
              <w:tab/>
            </w:r>
            <w:r>
              <w:rPr>
                <w:rStyle w:val="TOCTitleChar3"/>
                <w:noProof/>
                <w:iCs/>
              </w:rPr>
              <w:t>
            Kahn v. M&amp;F Worldwide
          </w:t>
            </w:r>
            <w:r>
              <w:rPr>
                <w:noProof/>
                <w:webHidden/>
              </w:rPr>
              <w:tab/>
            </w:r>
            <w:r>
              <w:rPr>
                <w:noProof/>
                <w:webHidden/>
              </w:rPr>
              <w:fldChar w:fldCharType="begin"/>
            </w:r>
            <w:r>
              <w:rPr>
                <w:noProof/>
                <w:webHidden/>
              </w:rPr>
              <w:instrText xml:space="preserve"> PAGEREF _auto_toc_146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47" w:history="1">
            <w:r>
              <w:rPr>
                <w:rStyle w:val="TOCOrdinalChar3"/>
                <w:noProof/>
                <w:iCs/>
              </w:rPr>
              <w:t>
            11.3.3
          </w:t>
            </w:r>
            <w:r>
              <w:rPr>
                <w:noProof/>
                <w:webHidden/>
              </w:rPr>
              <w:tab/>
            </w:r>
            <w:r>
              <w:rPr>
                <w:rStyle w:val="TOCTitleChar3"/>
                <w:noProof/>
                <w:iCs/>
              </w:rPr>
              <w:t>
            In re Southern Peru Copper Corp. Shareholder Derivative Litigation
          </w:t>
            </w:r>
            <w:r>
              <w:rPr>
                <w:noProof/>
                <w:webHidden/>
              </w:rPr>
              <w:tab/>
            </w:r>
            <w:r>
              <w:rPr>
                <w:noProof/>
                <w:webHidden/>
              </w:rPr>
              <w:fldChar w:fldCharType="begin"/>
            </w:r>
            <w:r>
              <w:rPr>
                <w:noProof/>
                <w:webHidden/>
              </w:rPr>
              <w:instrText xml:space="preserve"> PAGEREF _auto_toc_147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48" w:history="1">
            <w:r>
              <w:rPr>
                <w:rStyle w:val="TOCOrdinalChar3"/>
                <w:noProof/>
                <w:iCs/>
              </w:rPr>
              <w:t>
            11.3.4
          </w:t>
            </w:r>
            <w:r>
              <w:rPr>
                <w:noProof/>
                <w:webHidden/>
              </w:rPr>
              <w:tab/>
            </w:r>
            <w:r>
              <w:rPr>
                <w:rStyle w:val="TOCTitleChar3"/>
                <w:noProof/>
                <w:iCs/>
              </w:rPr>
              <w:t>
            In re CNX Gas Corp. Shareholders Litigation
          </w:t>
            </w:r>
            <w:r>
              <w:rPr>
                <w:noProof/>
                <w:webHidden/>
              </w:rPr>
              <w:tab/>
            </w:r>
            <w:r>
              <w:rPr>
                <w:noProof/>
                <w:webHidden/>
              </w:rPr>
              <w:fldChar w:fldCharType="begin"/>
            </w:r>
            <w:r>
              <w:rPr>
                <w:noProof/>
                <w:webHidden/>
              </w:rPr>
              <w:instrText xml:space="preserve"> PAGEREF _auto_toc_148 \h </w:instrText>
            </w:r>
            <w:r>
              <w:rPr>
                <w:noProof/>
                <w:webHidden/>
              </w:rPr>
            </w:r>
            <w:r>
              <w:rPr>
                <w:noProof/>
                <w:webHidden/>
              </w:rPr>
              <w:fldChar w:fldCharType="separate"/>
            </w:r>
            <w:r>
              <w:rPr>
                <w:noProof/>
                <w:webHidden/>
              </w:rPr>
              <w:t>[ ]</w:t>
            </w:r>
            <w:r>
              <w:rPr>
                <w:noProof/>
                <w:webHidden/>
              </w:rPr>
              <w:fldChar w:fldCharType="end"/>
            </w:r>
          </w:hyperlink>
        </w:p>
        <w:p>
          <w:pPr>
            <w:pStyle w:val="TOC3"/>
            <w:rPr>
              <w:noProof/>
            </w:rPr>
          </w:pPr>
          <w:hyperlink w:anchor="_auto_toc_149" w:history="1">
            <w:r>
              <w:rPr>
                <w:rStyle w:val="TOCOrdinalChar3"/>
                <w:noProof/>
                <w:iCs/>
              </w:rPr>
              <w:t>
            11.3.5
          </w:t>
            </w:r>
            <w:r>
              <w:rPr>
                <w:noProof/>
                <w:webHidden/>
              </w:rPr>
              <w:tab/>
            </w:r>
            <w:r>
              <w:rPr>
                <w:rStyle w:val="TOCTitleChar3"/>
                <w:noProof/>
                <w:iCs/>
              </w:rPr>
              <w:t>
            Glassman v. Unocal Exploration Corp.
          </w:t>
            </w:r>
            <w:r>
              <w:rPr>
                <w:noProof/>
                <w:webHidden/>
              </w:rPr>
              <w:tab/>
            </w:r>
            <w:r>
              <w:rPr>
                <w:noProof/>
                <w:webHidden/>
              </w:rPr>
              <w:fldChar w:fldCharType="begin"/>
            </w:r>
            <w:r>
              <w:rPr>
                <w:noProof/>
                <w:webHidden/>
              </w:rPr>
              <w:instrText xml:space="preserve"> PAGEREF _auto_toc_149 \h </w:instrText>
            </w:r>
            <w:r>
              <w:rPr>
                <w:noProof/>
                <w:webHidden/>
              </w:rPr>
            </w:r>
            <w:r>
              <w:rPr>
                <w:noProof/>
                <w:webHidden/>
              </w:rPr>
              <w:fldChar w:fldCharType="separate"/>
            </w:r>
            <w:r>
              <w:rPr>
                <w:noProof/>
                <w:webHidden/>
              </w:rPr>
              <w:t>[ ]</w:t>
            </w:r>
            <w:r>
              <w:rPr>
                <w:noProof/>
                <w:webHidden/>
              </w:rPr>
              <w:fldChar w:fldCharType="end"/>
            </w:r>
          </w:hyperlink>
        </w:p>
        <w:p>
          <w:r>
            <w:fldChar w:fldCharType="end"/>
          </w:r>
        </w:p>
      </w:sdtContent>
    </w:sdt>
    <w:p>
      <w:pPr>
        <w:pStyle w:val="FrontMatterEnd"/>
        <w:sectPr>
          <w:footerReference w:type="even" r:id="rId14"/>
          <w:footerReference w:type="default" r:id="rId14"/>
          <w:headerReference w:type="even" r:id="rId9"/>
          <w:headerReference w:type="default" r:id="rId10"/>
          <w:footerReference w:type="first" r:id="rId15"/>
          <w:headerReference w:type="first" r:id="rId13"/>
          <w:type w:val="continuous"/>
          <w:pgSz w:h="15840" w:w="12240"/>
          <w:pgMar w:bottom="1440" w:gutter="720" w:header="1440" w:left="1440" w:right="1440" w:top="1800"/>
          <w:pgNumType w:pgNumType="decimal" w:fmt="lowerRoman" w:start="0"/>
          <w:titlePg/>
        </w:sectPr>
      </w:pPr>
      <w:r>
        <w:t xml:space="preserve"> </w:t>
      </w:r>
    </w:p>
    <w:p>
      <w:pPr>
        <w:pStyle w:val="NodeStart"/>
      </w:pPr>
      <w:r>
        <w:t xml:space="preserve"> </w:t>
      </w:r>
    </w:p>
    <w:p>
      <w:pPr>
        <w:pStyle w:val="HeadSeparator"/>
      </w:pPr>
      <w:r>
        <w:t xml:space="preserve"> </w:t>
      </w:r>
    </w:p>
    <w:p>
      <w:pPr>
        <w:pStyle w:val="ChapterSpacer"/>
      </w:pPr>
      <w:r>
        <w:t xml:space="preserve"> </w:t>
      </w:r>
    </w:p>
    <w:bookmarkStart w:id="1" w:name="_auto_toc_1"/>
    <w:bookmarkEnd w:id="1"/>
    <w:p>
      <w:pPr>
        <w:pStyle w:val="ChapterNumber"/>
      </w:pPr>
      <w:r>
        <w:t xml:space="preserve">1</w:t>
      </w:r>
    </w:p>
    <w:p>
      <w:pPr>
        <w:pStyle w:val="ChapterTitle"/>
      </w:pPr>
      <w:r>
        <w:t xml:space="preserve">Agency</w:t>
      </w:r>
    </w:p>
    <w:p>
      <w:pPr>
        <w:pStyle w:val="HeadEnd"/>
        <w:sectPr>
          <w:footerReference w:type="even" r:id="rId14"/>
          <w:footerReference w:type="default" r:id="rId14"/>
          <w:headerReference w:type="even" r:id="rId11"/>
          <w:headerReference w:type="default" r:id="rId12"/>
          <w:type w:val="oddPage"/>
          <w:pgSz w:h="15840" w:w="12240"/>
          <w:pgMar w:bottom="1440" w:gutter="720" w:header="1440" w:left="1440" w:right="1440" w:top="1800"/>
          <w:pgNumType w:start="1" w:pgNumType="decimal"/>
        </w:sectPr>
      </w:pPr>
      <w:r>
        <w:t xml:space="preserve"> </w:t>
      </w:r>
    </w:p>
    <w:p>
      <w:pPr>
        <w:pStyle w:val="NodeEnd"/>
      </w:pPr>
      <w:r>
        <w:t xml:space="preserve"> </w:t>
      </w:r>
    </w:p>
    <w:p>
      <w:pPr>
        <w:pStyle w:val="NodeStart"/>
      </w:pPr>
      <w:r>
        <w:t xml:space="preserve"> </w:t>
      </w:r>
    </w:p>
    <w:p>
      <w:pPr>
        <w:pStyle w:val="HeadSeparator"/>
      </w:pPr>
      <w:r>
        <w:t xml:space="preserve"> </w:t>
      </w:r>
    </w:p>
    <w:bookmarkStart w:id="2" w:name="_auto_toc_2"/>
    <w:bookmarkEnd w:id="2"/>
    <w:p>
      <w:pPr>
        <w:pStyle w:val="SectionNumber"/>
      </w:pPr>
      <w:r>
        <w:t xml:space="preserve">1.1</w:t>
      </w:r>
    </w:p>
    <w:p>
      <w:pPr>
        <w:pStyle w:val="SectionTitle"/>
      </w:pPr>
      <w:r>
        <w:t xml:space="preserve">Readings</w:t>
      </w:r>
    </w:p>
    <w:p>
      <w:pPr>
        <w:pStyle w:val="HeadFieldSeparator"/>
      </w:pPr>
      <w:r>
        <w:t xml:space="preserve"> </w:t>
      </w:r>
    </w:p>
    <w:p>
      <w:pPr>
        <w:pStyle w:val="SectionHeadnote"/>
      </w:pPr>
      <w:r>
        <w:t xml:space="preserve">Throughout, "Readings" are intended to be read for discussion in class, while "Reference" materials re just that -- for reference (to skim, to note, to use later in practice, etc.).</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3" w:name="_auto_toc_3"/>
    <w:bookmarkEnd w:id="3"/>
    <w:p>
      <w:pPr>
        <w:pStyle w:val="ResourceNumber"/>
      </w:pPr>
      <w:r>
        <w:t xml:space="preserve">1.1.1</w:t>
      </w:r>
    </w:p>
    <w:p>
      <w:pPr>
        <w:pStyle w:val="ResourceTitle"/>
      </w:pPr>
      <w:r>
        <w:t xml:space="preserve">White v. Thomas</w:t>
      </w:r>
    </w:p>
    <w:p>
      <w:pPr>
        <w:pStyle w:val="HeadEnd"/>
      </w:pPr>
      <w:r>
        <w:t xml:space="preserve"> </w:t>
      </w:r>
    </w:p>
    <w:p>
      <w:pPr>
        <w:pStyle w:val="BodyText"/>
      </w:pPr>
      <w:r>
        <w:t xml:space="preserve">White v. Thomas (Ark. Ct. App. 1991)</w:t>
      </w:r>
    </w:p>
    <w:p>
      <w:pPr>
        <w:pStyle w:val="BodyText"/>
      </w:pPr>
      <w:r>
        <w:t xml:space="preserve">Appellants Bradford White, Sr., and Northwest National Bank appeal from an order of the Washington County Chancery Court requiring White to specifically perform a contract to convey real estate to Stanley Thomas and Mary Thomas, and directing the bank to release the property from the lien of the mortgage it held.</w:t>
      </w:r>
    </w:p>
    <w:p>
      <w:pPr>
        <w:pStyle w:val="BodyText"/>
      </w:pPr>
      <w:r>
        <w:t xml:space="preserve">Appellant Bradford White had employed Betty Simpson on a part-time basis for nearly two years. During her employment, Ms. Simpson answered appellant's telephone, watched his house when he was out of town, did some typing, and "fixed up" two houses. She had once signed, on appellant's behalf and under a power of attorney, the closing papers on a piece of property appellant was purchasing. She also had brought appellant information about other properties for sale, but had never negotiated sales or purchases of land for appellant and had never before gone to an auction to buy property.</w:t>
      </w:r>
    </w:p>
    <w:p>
      <w:pPr>
        <w:pStyle w:val="BodyText"/>
      </w:pPr>
      <w:r>
        <w:t xml:space="preserve">In December 1988, appellant White instructed Simpson to attend a land auction and bid, in his behalf, up to $ 250,000.00 on an entire 220-acre farm, except for the three acres on which a house sat. He signed a blank check for her to use in depositing the required ten percent of the bid. Simpson was given no other instructions, and White left for a trip to Europe before the sale was held.</w:t>
      </w:r>
    </w:p>
    <w:p>
      <w:pPr>
        <w:pStyle w:val="BodyText"/>
      </w:pPr>
      <w:r>
        <w:t xml:space="preserve">Appellees attended the auction and were the successful bidders on the three-acre tract on which the residence was located. They also unsuccessfully bid on acreage adjoining the homesite. The 217-acre balance of the land, including that additional acreage in which appellees had shown an interest, was struck off and sold to Ms. Simpson for $ 327,500.00. When Ms. Simpson realized that her bid had exceeded the amount authorized by appellant, she approached appellees about purchasing from her some of the lands surrounding their house. She signed the agreement with the auctioneer to purchase the 217-acre tract. She then entered into an offer and acceptance with appellees in which she agreed to sell to appellees approximately forty-five acres of the land that she had just purchased for appellant White. The contract was signed by appellees and by "Betty Simpson, POA, Power of Attorney for Brad White."</w:t>
      </w:r>
    </w:p>
    <w:p>
      <w:pPr>
        <w:pStyle w:val="BodyText"/>
      </w:pPr>
      <w:r>
        <w:t xml:space="preserve">Appellant White returned from Europe on Friday, December 9. The following Monday, Ms. Simpson told him that she had paid $ 327,500.00 for the property and he "almost had a heart attack. I was upset but I still went through with the closing." Ms. Simpson later told appellant White that appellees wanted to buy part of the property. This was the first information he had concerning it. He immediately repudiated Ms. Simpson's action in signing the offer and acceptance and so informed appellees. The following day, appellant White's purchase of the 217-acre tract was consummated in part with the proceeds of a purchase-money loan, secured by a lien on the real estate, from the appellant bank.</w:t>
      </w:r>
    </w:p>
    <w:p>
      <w:pPr>
        <w:pStyle w:val="BodyText"/>
      </w:pPr>
      <w:r>
        <w:t xml:space="preserve">Appellees then began this action seeking specific performance of the contract and release of the land embraced in the contract from the mortgage.  Appellant White and Simpson both denied that Simpson was expressly authorized to enter into a contract of sale on White's behalf, and appellees do not contend otherwise. The only relevant factual dispute centered around Simpson's representations as to her authority. Appellee Stanley Thomas testified that "at one point in time, before the offer and acceptance, I asked Ms. Simpson whether she had the authority or something, and she said was the power of attorney [sic]. At some point in time, the question crossed my mind as to whether or not Ms. Simpson could convey the property, but I was satisfied with her statement that she had a power of attorney." Ms. Simpson, on the other hand, testified that the auctioneer asked her if she had a power of attorney and "I said, 'No.' Then he asked me if I would send one. There was no more conversation about it." It is undisputed that no such power of attorney actually existed.</w:t>
      </w:r>
    </w:p>
    <w:p>
      <w:pPr>
        <w:pStyle w:val="BodyText"/>
      </w:pPr>
      <w:r>
        <w:t xml:space="preserve">At the conclusion of the evidence, the court found that Ms. Simpson had in fact informed appellees that she had a power of attorney granting her the authority she had exercised and that appellees had relied on Ms. Simpson's representations as to her authority. The court concluded that the offer and acceptance was a valid and binding contract, complete in its terms, that the reliance by appellees on the representations of Ms. Simpson was reasonable, and that appellant White was estopped from denying the authority of Ms. Simpson and was legally bound to the terms of the contract as her principal and employer. The court also concluded that it would be inequitable to allow appellant White to ratify Ms. Simpson's act of purchasing the farm, despite her having exceeded his express instructions, but allow him to disaffirm her action in entering into the offer and acceptance with appellees. Finally, the court found that the appellant bank had actual and constructive notice of appellees' claim, and ordered it to release its mortgage lien as to that portion of the lands ordered to be conveyed to appellees.</w:t>
      </w:r>
    </w:p>
    <w:p>
      <w:pPr>
        <w:pStyle w:val="BodyText"/>
      </w:pPr>
      <w:r>
        <w:t xml:space="preserve">Appellants first contend that the trial court erred in concluding, essentially, that:</w:t>
      </w:r>
    </w:p>
    <w:p>
      <w:pPr>
        <w:pStyle w:val="BodyText"/>
      </w:pPr>
      <w:r>
        <w:t xml:space="preserve">(1) Ms. Simpson was cloaked with apparent authority to bind her principal to an agreement to sell his property; and</w:t>
      </w:r>
    </w:p>
    <w:p>
      <w:pPr>
        <w:pStyle w:val="BodyText"/>
      </w:pPr>
      <w:r>
        <w:t xml:space="preserve">(2) in any event, appellant White had ratified the contract of sale.</w:t>
      </w:r>
    </w:p>
    <w:p>
      <w:pPr>
        <w:pStyle w:val="BodyText"/>
      </w:pPr>
      <w:r>
        <w:t xml:space="preserve">Generally speaking, an agent cannot bind his principal to a contract with a third person unless the agent acts within the scope of his express, implied, or apparent authority. In a purchaser's suit for specific performance of a contract to sell real estate made by an agent of the seller, the burden of proving the agent's authority to enter into the contract is upon the purchaser. It is well settled that the authority of an agent must be shown by positive proof or by circumstances justifying the inference that the principal has assented to the agent's acts.  A person dealing with a known agent is not authorized under any circumstances to blindly trust the agent's statements as to the extent of his power; such person must not act negligently, but must use reasonable prudence to ascertain whether the agent is acting within the scope of his powers. </w:t>
      </w:r>
    </w:p>
    <w:p>
      <w:pPr>
        <w:pStyle w:val="BodyText"/>
      </w:pPr>
      <w:r>
        <w:t xml:space="preserve">Here, it is undisputed that Ms. Simpson was not expressly authorized to sell appellant White's property; she was expressly authorized only to purchase a 217-acre tract of land for her principal if she could do so for no more than $ 250,000.00. Nor did she have the implied authority to contract to sell to appellees a portion of the property that she had purchased, as that act was not necessary to accomplish her assigned task of purchasing the entire tract.  Therefore, in order for appellant White to be liable for Simpson's actions in entering into the offer and acceptance with appellees, her actions must have fallen within the scope of her apparent authority.</w:t>
      </w:r>
    </w:p>
    <w:p>
      <w:pPr>
        <w:pStyle w:val="BodyText"/>
      </w:pPr>
      <w:r>
        <w:t xml:space="preserve">The doctrine of apparent authority is grounded on the theory of estoppel. Apparent authority of an agent is such authority as the principal knowingly permits the agent to assume or which he holds the agent out as possessing; such authority as he appears to have by reason of the actual authority that he has; such authority as a reasonably prudent man using diligence and discretion in view of the principal's conduct would naturally suppose the agent to possess. </w:t>
      </w:r>
    </w:p>
    <w:p>
      <w:pPr>
        <w:pStyle w:val="BodyText"/>
      </w:pPr>
      <w:r>
        <w:t xml:space="preserve">In order for a principal to be bound by his agent's act under the theory that the act came within the scope of the agent's apparent authority, it is essential that two important facts be clearly established:</w:t>
      </w:r>
    </w:p>
    <w:p>
      <w:pPr>
        <w:pStyle w:val="BodyText"/>
      </w:pPr>
      <w:r>
        <w:t xml:space="preserve">(1) that the principal held the agent out to the public as possessing sufficient authority to embrace the particular act in question, or knowingly permitted him to act as having such authority; and</w:t>
      </w:r>
    </w:p>
    <w:p>
      <w:pPr>
        <w:pStyle w:val="BodyText"/>
      </w:pPr>
      <w:r>
        <w:t xml:space="preserve">(2) that the third person dealing with the agent knew of such conduct by the principal and had reason to believe, did believe, and acted in reliance on the belief that the agent possessed the necessary authority.</w:t>
      </w:r>
    </w:p>
    <w:p>
      <w:pPr>
        <w:pStyle w:val="BodyText"/>
      </w:pPr>
      <w:r>
        <w:t xml:space="preserve">Here, it is undisputed that appellees knew that Simpson's actions at the auction were purportedly being taken on behalf of appellant White. While Simpson's possession of a blank check signed by White may have indicated some limited authority on her part to make a purchase for him, there is no evidence that White knowingly permitted Simpson to enter into a contract to sell or that he ever held her out as having such authority.</w:t>
      </w:r>
    </w:p>
    <w:p>
      <w:pPr>
        <w:pStyle w:val="BodyText"/>
      </w:pPr>
      <w:r>
        <w:t xml:space="preserve">Nor can we conclude that the two types of transactions, purchasing and selling, are so closely related that a third person could reasonably believe that authority to do the one carried with it authority to do the other. Indeed, appellees were sufficiently concerned about Simpson's authority to contract to sell White's property that they specifically asked her whether she was so authorized. Appellees made no attempt to contact White concerning Simpson's authority and did not even demand to see the alleged written power of attorney under which Simpson claimed to be acting. Instead, they chose to rely solely upon an admitted agent's own declarations as to her 0 authority.</w:t>
      </w:r>
    </w:p>
    <w:p>
      <w:pPr>
        <w:pStyle w:val="BodyText"/>
      </w:pPr>
      <w:r>
        <w:t xml:space="preserve">While the declarations of an alleged agent may be used to corroborate other evidence of the scope of agency, neither agency nor the extent of the agent's authority can be shown solely by his own declarations or actions in the absence of the party to be affected.  From our review of the record, we cannot conclude that there is any evidence in this case to support Simpson's statements as to her authority to sell White's property. </w:t>
      </w:r>
    </w:p>
    <w:p>
      <w:pPr>
        <w:pStyle w:val="BodyText"/>
      </w:pPr>
      <w:r>
        <w:t xml:space="preserve">Therefore, we must conclude that the chancellor's conclusion that appellant White was bound under the contract due to Simpson's apparent authority to enter into it is clearly erroneous. There could be no basis for finding White estopped to deny Simpson's authority either, for, as noted above, there is no evidence that he knew or should have known of her action or declarations. </w:t>
      </w:r>
    </w:p>
    <w:p>
      <w:pPr>
        <w:pStyle w:val="BodyText"/>
      </w:pPr>
      <w:r>
        <w:t xml:space="preserve">Nor do we find merit in the argument that because appellant White ratified Simpson's contract to purchase the 217-acre tract, it would be inequitable to allow him to deny the burdens 1 of her action in agreeing to sell forty-five acres of it. It is a general rule that where a party has accepted the benefit of an agreement, he may not be permitted in an action founded on it to question its validity. One cannot accept the benefits under a contract and at the same time avoid his obligations under it. </w:t>
      </w:r>
    </w:p>
    <w:p>
      <w:pPr>
        <w:pStyle w:val="BodyText"/>
      </w:pPr>
      <w:r>
        <w:t xml:space="preserve">Here, however, Simpson entered into two separate contracts involving different parties. One was for the purchase of 217 acres of land from the owner of the tract. Although her principal was disturbed by her violation of his instructions as to price, he elected to ratify this agreement. The second was an agreement to sell to appellees a portion of the land that she had purchased for appellant. According to the evidence, appellant White repudiated Simpson's act in selling the land immediately upon learning of it. We conclude that there is no evidence in this record on which to base a finding of ratification of the offer and acceptance.</w:t>
      </w:r>
    </w:p>
    <w:p>
      <w:pPr>
        <w:pStyle w:val="BodyText"/>
      </w:pPr>
      <w:r>
        <w:t xml:space="preserve">In view of our conclusion that appellant 2 was not bound by the agreement to sell to appellees, we reverse the order of specific performance and the order that the appellant bank release the property from its mortgage lien. We need not address the other arguments made by appellants.</w:t>
      </w:r>
    </w:p>
    <w:p>
      <w:pPr>
        <w:pStyle w:val="BodyText"/>
      </w:pPr>
      <w:r>
        <w:t xml:space="preserve">Reversed and dismissed.</w:t>
      </w:r>
    </w:p>
    <w:p>
      <w:pPr>
        <w:pStyle w:val="BodyText"/>
      </w:pPr>
      <w:r>
        <w:t xml:space="preserve"> </w:t>
      </w:r>
    </w:p>
    <w:p>
      <w:pPr>
        <w:pStyle w:val="NodeEnd"/>
      </w:pPr>
      <w:r>
        <w:t xml:space="preserve"> </w:t>
      </w:r>
    </w:p>
    <w:p>
      <w:pPr>
        <w:pStyle w:val="NodeStart"/>
      </w:pPr>
      <w:r>
        <w:t xml:space="preserve"> </w:t>
      </w:r>
    </w:p>
    <w:p>
      <w:pPr>
        <w:pStyle w:val="HeadSeparator"/>
      </w:pPr>
      <w:r>
        <w:t xml:space="preserve"> </w:t>
      </w:r>
    </w:p>
    <w:bookmarkStart w:id="4" w:name="_auto_toc_4"/>
    <w:bookmarkEnd w:id="4"/>
    <w:p>
      <w:pPr>
        <w:pStyle w:val="ResourceNumber"/>
      </w:pPr>
      <w:r>
        <w:t xml:space="preserve">1.1.2</w:t>
      </w:r>
    </w:p>
    <w:p>
      <w:pPr>
        <w:pStyle w:val="ResourceTitle"/>
      </w:pPr>
      <w:r>
        <w:t xml:space="preserve">Gallant Insurance Co. v. Isaac</w:t>
      </w:r>
    </w:p>
    <w:p>
      <w:pPr>
        <w:pStyle w:val="HeadEnd"/>
      </w:pPr>
      <w:r>
        <w:t xml:space="preserve"> </w:t>
      </w:r>
    </w:p>
    <w:p>
      <w:pPr>
        <w:pStyle w:val="CaseHeader"/>
      </w:pPr>
      <w:r>
        <w:t xml:space="preserve">Supreme Court of Indiana</w:t>
      </w:r>
    </w:p>
    <w:p>
      <w:pPr>
        <w:pStyle w:val="CaseHeader"/>
      </w:pPr>
      <w:r>
        <w:t xml:space="preserve">751 N.E.2d 672</w:t>
      </w:r>
    </w:p>
    <w:p>
      <w:pPr>
        <w:pStyle w:val="CaseHeader"/>
      </w:pPr>
      <w:r>
        <w:t xml:space="preserve">No. 49S02-0011-CV-718</w:t>
      </w:r>
    </w:p>
    <w:p>
      <w:pPr>
        <w:pStyle w:val="CaseHeader"/>
      </w:pPr>
      <w:r>
        <w:t xml:space="preserve">2001-07-23</w:t>
      </w:r>
    </w:p>
    <w:p>
      <w:pPr>
        <w:pStyle w:val="CaseBody"/>
      </w:pPr>
      <w:r>
        <w:rPr>
          <w:rStyle w:val="Elision"/>
        </w:rPr>
        <w:t xml:space="preserve">[ … ]</w:t>
      </w:r>
    </w:p>
    <w:p>
      <w:pPr>
        <w:pStyle w:val="CaseBody"/>
      </w:pPr>
      <w:r>
        <w:t xml:space="preserve">SULLIVAN, Justice.</w:t>
      </w:r>
    </w:p>
    <w:p>
      <w:pPr>
        <w:pStyle w:val="CaseBody"/>
      </w:pPr>
      <w:r>
        <w:t xml:space="preserve">Christina Isaac filed an auto insurance claim with Gallant Insurance Company. Gallant contends that she had no coverage because the insurance agency where she purchased the policy, Thompson-Harris Company, did not have authority to bind it. The Court of Appeals held that Thompson-Harris had "inherent authority" to bind Gallant. The doctrine of "inherent authority" has no application in this case. However, Gallant's dealings with Isaac did establish coverage under the doctrine of "apparent authority."</w:t>
      </w:r>
    </w:p>
    <w:p>
      <w:pPr>
        <w:pStyle w:val="CaseBody"/>
      </w:pPr>
      <w:r>
        <w:t xml:space="preserve">Background</w:t>
      </w:r>
    </w:p>
    <w:p>
      <w:pPr>
        <w:pStyle w:val="CaseBody"/>
      </w:pPr>
      <w:r>
        <w:t xml:space="preserve">In this insurance coverage dispute, Gallant Insurance Company sought a declaratory judgment that automobile insurance coverage was not in effect in respect of a claim filed by Christina Isaac. Isaac and a second plaintiff, Loretta Davis, sought summary judgment on the same issue.</w:t>
      </w:r>
    </w:p>
    <w:p>
      <w:pPr>
        <w:pStyle w:val="CaseBody"/>
      </w:pPr>
      <w:r>
        <w:t xml:space="preserve">Isaac had acquired insurance on a Pontiac Fiero through Gallant's independent agent, Thompson-Harris Company, in 1994. On the last day that that coverage was in effect, Isaac traded the Fiero for a Pontiac Grand Prix. As explained by the Court of Appeals in its opinion in this case:</w:t>
      </w:r>
    </w:p>
    <w:p>
      <w:pPr>
        <w:pStyle w:val="BlockText"/>
      </w:pPr>
      <w:r>
        <w:t xml:space="preserve">To obtain the newly purchased car, the financing bank required Isaac to obtain full coverage on it. That same day, Isaac contacted Thompson-Harris to notify it that she was purchasing the new - car, and to discuss enhancing the existing insurance policy to meet bank requirements. Isaac told a Thompson-Harris employee that she must obtain 'full insurance coverage' as a condition to receiving a loan. She also told the employee at Thompson-Harris that her current coverage expires on December 3, 1994, the next day.</w:t>
      </w:r>
    </w:p>
    <w:p>
      <w:pPr>
        <w:pStyle w:val="BlockText"/>
      </w:pPr>
      <w:r>
        <w:t xml:space="preserve">In response, the Thompson-Harris employee informed Isaac that because their ageney was about to close for the weekend, she would immediately 'bind' coverage on the 1988 Grand Prix. They decided that Isaac would come in to Thompson-Harris on Monday, December 5, 1994, to complete the paperwork and pay the down payment on the premium. The employee also informed Isaac that the new coverage on her Pontiac Grand Prix would include the same coverage existing from her Pontiac Fie-ro, along with additional coverage to comply with conditions set by the bank.</w:t>
      </w:r>
    </w:p>
    <w:p>
      <w:pPr>
        <w:pStyle w:val="BlockText"/>
      </w:pPr>
      <w:r>
        <w:t xml:space="preserve">The next day, on December 3, 1994, a different employee completed the 'Personal Policy Change Request! This form deleted the 1987 Pontiac Fiero from Isaac's Policy and replaced it with the 1988 Pontiac Grand Prix. It also added additional coverage to the policy as well as additional loss payee/lienholder. The Personal Policy Change Request listed the 'Agency' and 'Producer' as Thompson-Harris, and stated that the 'effective date of change' was December 3, 1994. Towards the bottom of the form, the Thompson-Harris employee typed '[slhe will be in at 9:00 a.m. Monday, 12/5/94, to [sic] down [sic] on renewal. What is [sic] new rate? Thanks' (R. 380). This form, which requested the listed changes, was faxed to Insurance Brokers of Indiana, Inc., on December 3, 1994.</w:t>
      </w:r>
    </w:p>
    <w:p>
      <w:pPr>
        <w:pStyle w:val="BlockText"/>
      </w:pPr>
      <w:r>
        <w:t xml:space="preserve">On December 4, 1994, while driving her Pontiac Grand Prix, Isaac collided with another car in which Davis was a passenger. The next day, as planned, Isaac went to Thompson-Harris and paid $133.00 down payment on the new insurance policy. She also reported the accident. Thompson-Harris completed an 'Indiana Operator's Vehicle Crash Report, which notified the State Police that Isaac had insurance coverage at the time of the accident, on December, 4, 1994. Thompson-Harris completed that form on behalf of Gallant. Later, on or about December 22, 1994, Gallant renewed Isaac's insurance policy, with an effective period of December 6, 1994 to June 6, 1995.</w:t>
      </w:r>
    </w:p>
    <w:p>
      <w:pPr>
        <w:pStyle w:val="CaseBody"/>
      </w:pPr>
      <w:r>
        <w:rPr>
          <w:rStyle w:val="Elision"/>
        </w:rPr>
        <w:t xml:space="preserve">[ … ]</w:t>
      </w:r>
      <w:r>
        <w:t xml:space="preserve"> </w:t>
      </w:r>
      <w:r>
        <w:t xml:space="preserve">When Isaac submitted a claim to Gallant in respect of the December 4 'accident, Gallant took the position that no coverage was in foree on that date. As noted, the company sought a declaratory judgment to that effect. Isaac and Davis (who had been a passenger in the vehicle which collided with Isaac's) each sought summary judgment on that question, which the trial court granted.</w:t>
      </w:r>
    </w:p>
    <w:p>
      <w:pPr>
        <w:pStyle w:val="CaseBody"/>
      </w:pPr>
      <w:r>
        <w:t xml:space="preserve">The Court of Appeals affirmed.</w:t>
      </w:r>
      <w:r>
        <w:t xml:space="preserve"> </w:t>
      </w:r>
      <w:r>
        <w:rPr>
          <w:rStyle w:val="Elision"/>
        </w:rPr>
        <w:t xml:space="preserve">[ … ]</w:t>
      </w:r>
      <w:r>
        <w:t xml:space="preserve">In doing so, it held that Thompson-Harris had "inherent authority" to bind Gallant,</w:t>
      </w:r>
      <w:r>
        <w:t xml:space="preserve"> </w:t>
      </w:r>
      <w:r>
        <w:rPr>
          <w:rStyle w:val="Elision"/>
        </w:rPr>
        <w:t xml:space="preserve">[ … ]</w:t>
      </w:r>
      <w:r>
        <w:t xml:space="preserve">. While we agree with the result reached by the trial court and Court of Appeals, we do so for reasons different than those given by the Court of Appeals. We granted transfer to explain why the concept of "apparent authority," rather than the concept of "inherent authority"</w:t>
      </w:r>
      <w:r>
        <w:t xml:space="preserve"> </w:t>
      </w:r>
      <w:r>
        <w:rPr>
          <w:rStyle w:val="Elision"/>
        </w:rPr>
        <w:t xml:space="preserve">[ … ]</w:t>
      </w:r>
      <w:r>
        <w:t xml:space="preserve">is applicable in this case.</w:t>
      </w:r>
      <w:r>
        <w:t xml:space="preserve"> </w:t>
      </w:r>
      <w:r>
        <w:rPr>
          <w:rStyle w:val="Elision"/>
        </w:rPr>
        <w:t xml:space="preserve">[ … ]</w:t>
      </w:r>
    </w:p>
    <w:p>
      <w:pPr>
        <w:pStyle w:val="CaseBody"/>
      </w:pPr>
      <w:r>
        <w:t xml:space="preserve">Menard was a dispute over whether the president of a corporation who signed an agreement to sell certain corporate-owned real estate had authority to do so. We began our analysis of the question by recognizing the two main classifications of authority: "actual authority" and "apparent authority."</w:t>
      </w:r>
      <w:r>
        <w:t xml:space="preserve"> </w:t>
      </w:r>
      <w:r>
        <w:rPr>
          <w:rStyle w:val="Elision"/>
        </w:rPr>
        <w:t xml:space="preserve">[ … ]</w:t>
      </w:r>
      <w:r>
        <w:t xml:space="preserve">Actual authority, we said, is created "by written or spoken words or other conduct of the principal which, reasonably interpreted, causes the agent to believe that the principal desires him so to act on the principal's account."</w:t>
      </w:r>
      <w:r>
        <w:t xml:space="preserve"> </w:t>
      </w:r>
      <w:r>
        <w:rPr>
          <w:rStyle w:val="Elision"/>
        </w:rPr>
        <w:t xml:space="preserve">[ … ]</w:t>
      </w:r>
      <w:r>
        <w:t xml:space="preserve"> </w:t>
      </w:r>
      <w:r>
        <w:t xml:space="preserve">And we said that apparent authority refers to a third party's reasonable belief that the principal has authorized the acts of its agent; it arises from the principal's indirect or direct manifestations to a third party and not from the representations or acts of the agent.</w:t>
      </w:r>
      <w:r>
        <w:t xml:space="preserve"> </w:t>
      </w:r>
      <w:r>
        <w:rPr>
          <w:rStyle w:val="Elision"/>
        </w:rPr>
        <w:t xml:space="preserve">[ … ]</w:t>
      </w:r>
    </w:p>
    <w:p>
      <w:pPr>
        <w:pStyle w:val="CaseBody"/>
      </w:pPr>
      <w:r>
        <w:t xml:space="preserve">In Menard, we also discussed a third form of agency relationship-"inherent authority"-which is grounded in neither the principal's conduct toward the agent nor the principal's representation to a third party, but rather in the very status of the agent.</w:t>
      </w:r>
      <w:r>
        <w:t xml:space="preserve"> </w:t>
      </w:r>
      <w:r>
        <w:rPr>
          <w:rStyle w:val="Elision"/>
        </w:rPr>
        <w:t xml:space="preserve">[ … ]</w:t>
      </w:r>
      <w:r>
        <w:t xml:space="preserve"> </w:t>
      </w:r>
      <w:r>
        <w:t xml:space="preserve">The concept of inherent authority "originates from the customary authority of a person in the particular type of agency relationship."</w:t>
      </w:r>
      <w:r>
        <w:t xml:space="preserve"> </w:t>
      </w:r>
      <w:r>
        <w:rPr>
          <w:rStyle w:val="Elision"/>
        </w:rPr>
        <w:t xml:space="preserve">[ … ]</w:t>
      </w:r>
    </w:p>
    <w:p>
      <w:pPr>
        <w:pStyle w:val="CaseBody"/>
      </w:pPr>
      <w:r>
        <w:t xml:space="preserve">Because the agent at issue in Menard was the president of the company, we found the concept of inherent authority-rather than actual or apparent authority-controlled our analysis. We said that the purchaser "did not negotiate and ultimately contract with a lower-tiered employee or a prototypical 'general' or 'special agent, with respect to whom actual or apparent authority might be at issue. [The purchaser] dealt with the president of the corporation, whom [tlhe law recognizes ... [as one of] the officers [who] are the means, the hands and the head, by which corporations normally act."</w:t>
      </w:r>
      <w:r>
        <w:t xml:space="preserve"> </w:t>
      </w:r>
      <w:r>
        <w:rPr>
          <w:rStyle w:val="Elision"/>
        </w:rPr>
        <w:t xml:space="preserve">[ … ]</w:t>
      </w:r>
    </w:p>
    <w:p>
      <w:pPr>
        <w:pStyle w:val="CaseBody"/>
      </w:pPr>
      <w:r>
        <w:t xml:space="preserve">Thompson-Harris, the insurance agency with which Isaac dealt in this case, was, in our view, the "prototypical 'general' or 'special' agent, with respect to whom actual or apparent authority might be at issue."</w:t>
      </w:r>
      <w:r>
        <w:t xml:space="preserve"> </w:t>
      </w:r>
      <w:r>
        <w:rPr>
          <w:rStyle w:val="Elision"/>
        </w:rPr>
        <w:t xml:space="preserve">[ … ]</w:t>
      </w:r>
      <w:r>
        <w:t xml:space="preserve">It was not an agent with inherent authority, i.e., a person with a particular status like president. CJ. id. (holding that the president of the company had inherent authority);</w:t>
      </w:r>
      <w:r>
        <w:t xml:space="preserve"> </w:t>
      </w:r>
      <w:r>
        <w:rPr>
          <w:rStyle w:val="Elision"/>
        </w:rPr>
        <w:t xml:space="preserve">[ … ]</w:t>
      </w:r>
      <w:r>
        <w:t xml:space="preserve">. The Court of Appeals erred in holding that Thompson-Harris had inherent authority to bind Gallant.</w:t>
      </w:r>
      <w:r>
        <w:rPr>
          <w:rStyle w:val="FootnoteReference"/>
        </w:rPr>
        <w:footnoteReference w:customMarkFollows="1" w:id="9"/>
        <w:t xml:space="preserve">1</w:t>
      </w:r>
    </w:p>
    <w:p>
      <w:pPr>
        <w:pStyle w:val="CaseBody"/>
      </w:pPr>
      <w:r>
        <w:rPr>
          <w:rStyle w:val="Elision"/>
        </w:rPr>
        <w:t xml:space="preserve">[ … ]</w:t>
      </w:r>
    </w:p>
    <w:p>
      <w:pPr>
        <w:pStyle w:val="CaseBody"/>
      </w:pPr>
      <w:r>
        <w:t xml:space="preserve">Although we find no basis for concluding that Thompson-Harris had inherent authority to bind Gallant, we do conclude from our review of the designated evidence that there was no genuine issue of material fact on the issue of whether Thompson-Harris had apparent authority to bind Gallant and therefore that the plaintiffs were entitled to summary judgment on the coverage issue as a matter of law.</w:t>
      </w:r>
      <w:r>
        <w:t xml:space="preserve"> </w:t>
      </w:r>
      <w:r>
        <w:rPr>
          <w:rStyle w:val="Elision"/>
        </w:rPr>
        <w:t xml:space="preserve">[ … ]</w:t>
      </w:r>
    </w:p>
    <w:p>
      <w:pPr>
        <w:pStyle w:val="CaseBody"/>
      </w:pPr>
      <w:r>
        <w:t xml:space="preserve">This court last dealt with the question of apparent authority in the insurance context in Pepkowski v. Life of Indiana Ins. Co.,</w:t>
      </w:r>
      <w:r>
        <w:t xml:space="preserve"> </w:t>
      </w:r>
      <w:r>
        <w:t xml:space="preserve">535 N.E.2d 1164</w:t>
      </w:r>
      <w:r>
        <w:t xml:space="preserve"> </w:t>
      </w:r>
      <w:r>
        <w:t xml:space="preserve">(Ind. 1989). In that case, the question was whether an employee of the plaintiff's employer who handled group health insurance for the employer had apparent authority to bind the insurance company providing the group coverage. In finding the employee not to have apparent authority, we described apparent authority as follows:</w:t>
      </w:r>
    </w:p>
    <w:p>
      <w:pPr>
        <w:pStyle w:val="BlockText"/>
      </w:pPr>
      <w:r>
        <w:t xml:space="preserve">Apparent authority is the authority that a third person reasonably believes an agent to possess because of some manifestation from his principal.</w:t>
      </w:r>
      <w:r>
        <w:t xml:space="preserve"> </w:t>
      </w:r>
      <w:r>
        <w:rPr>
          <w:rStyle w:val="Elision"/>
        </w:rPr>
        <w:t xml:space="preserve">[ … ]</w:t>
      </w:r>
      <w:r>
        <w:t xml:space="preserve"> </w:t>
      </w:r>
      <w:r>
        <w:t xml:space="preserve">It is essential that there be some form of communication, direct or indirect, by the principal, which instills a reasonable belief in the mind of the third party.</w:t>
      </w:r>
      <w:r>
        <w:t xml:space="preserve"> </w:t>
      </w:r>
      <w:r>
        <w:rPr>
          <w:rStyle w:val="Elision"/>
        </w:rPr>
        <w:t xml:space="preserve">[ … ]</w:t>
      </w:r>
      <w:r>
        <w:t xml:space="preserve"> </w:t>
      </w:r>
      <w:r>
        <w:t xml:space="preserve">Statements or manifestations made by the agent are not sufficient to create an apparent agency relationship.</w:t>
      </w:r>
      <w:r>
        <w:t xml:space="preserve"> </w:t>
      </w:r>
      <w:r>
        <w:rPr>
          <w:rStyle w:val="Elision"/>
        </w:rPr>
        <w:t xml:space="preserve">[ … ]</w:t>
      </w:r>
      <w:r>
        <w:rPr>
          <w:rStyle w:val="Elision"/>
        </w:rPr>
        <w:t xml:space="preserve">[ … ]</w:t>
      </w:r>
    </w:p>
    <w:p>
      <w:pPr>
        <w:pStyle w:val="CaseBody"/>
      </w:pPr>
      <w:r>
        <w:t xml:space="preserve">Applying these principles 'to the case at hand, it seems to us that the key is determining whether Gallant made the "necessary manifestation" to "instill a reasonable belief in the mind of" Isaac that Thompson-Harris had authority to transfer the coverage from her Fiero to her Grand Prix and renew the policy. There are several additional cases, some cited in Pepkowski, that help us with this determination.</w:t>
      </w:r>
    </w:p>
    <w:p>
      <w:pPr>
        <w:pStyle w:val="CaseBody"/>
      </w:pPr>
      <w:r>
        <w:t xml:space="preserve">First, it is clear that the "manifestations" referred to in Pepkowski need not be in the form of direct communications, "but rather the placing of the agent in a position to perform acts or make representations which appear reasonable to a third person is a sufficient manifestation to endow the agent with apparent authority."</w:t>
      </w:r>
      <w:r>
        <w:t xml:space="preserve"> </w:t>
      </w:r>
      <w:r>
        <w:rPr>
          <w:rStyle w:val="Elision"/>
        </w:rPr>
        <w:t xml:space="preserve">[ … ]</w:t>
      </w:r>
    </w:p>
    <w:p>
      <w:pPr>
        <w:pStyle w:val="CaseBody"/>
      </w:pPr>
      <w:r>
        <w:rPr>
          <w:rStyle w:val="Elision"/>
        </w:rPr>
        <w:t xml:space="preserve">[ … ]</w:t>
      </w:r>
      <w:r>
        <w:t xml:space="preserve">"[sluch a manifestation by the principal may be found .... where the principal clothes or allows a special agent to act with the appearance of possessing more authority than is actually conferred."</w:t>
      </w:r>
      <w:r>
        <w:rPr>
          <w:rStyle w:val="Elision"/>
        </w:rPr>
        <w:t xml:space="preserve">[ … ]</w:t>
      </w:r>
      <w:r>
        <w:t xml:space="preserve">. In the Coffin case, an insured had called his auto insurer's home office and said that he wanted to transfer his insurance from a Chevrolet to a Buick and increase his coverage. He was connected with one James R. Pierson who told him that he had the coverage he sought as of that moment. As it turned out, Pierson was not an insurance agent but the Typing Supervisor in the Auto Underwriters Department. The insured subsequently presented a claim, which the insurer denied on the basis that Pierson had no authority to bind the company. The Court of Appeals held that the insurer had "clothed Pierson with apparent authority,. [Insured] called the [insurer's] home office and stated that he wanted to transfer his insurance. Employees of the [insurer] (principal) then connected [insured] (third party) with Pierson (apparent general agent)."</w:t>
      </w:r>
      <w:r>
        <w:t xml:space="preserve"> </w:t>
      </w:r>
      <w:r>
        <w:rPr>
          <w:rStyle w:val="Elision"/>
        </w:rPr>
        <w:t xml:space="preserve">[ … ]</w:t>
      </w:r>
      <w:r>
        <w:rPr>
          <w:rStyle w:val="Elision"/>
        </w:rPr>
        <w:t xml:space="preserve">[ … ]</w:t>
      </w:r>
    </w:p>
    <w:p>
      <w:pPr>
        <w:pStyle w:val="CaseBody"/>
      </w:pPr>
      <w:r>
        <w:rPr>
          <w:rStyle w:val="Elision"/>
        </w:rPr>
        <w:t xml:space="preserve">[ … ]</w:t>
      </w:r>
      <w:r>
        <w:rPr>
          <w:rStyle w:val="Elision"/>
        </w:rPr>
        <w:t xml:space="preserve">[ … ]</w:t>
      </w:r>
    </w:p>
    <w:p>
      <w:pPr>
        <w:pStyle w:val="CaseBody"/>
      </w:pPr>
      <w:r>
        <w:t xml:space="preserve">In the case before us today, the undisputed facts show that when Isaac first acquired the Gallant policy on her Fiero, a Thompson-Harris employee filled out Gallant's pre-printed insurance application form. After the pre-printed application form and a pre-application checklist were signed by Isaac and the employee, the employee told Isaac that her coverage with Gallant would be "bound" as of June 2, 1994. The employee further told Isaac that she would receive the actual insurance policy from Gallant in the near future. Isaac did in fact receive Gallant Indiana Personal Auto Policy No. IN 04151290 shortly thereafter. When one of Isaac's premiums was not received on time, Gallant issued a written "Notice of Cancellation" indicating that the policy would be canceled if the premium was not received by a particular date. When payment was received before that date, Insurance Premium Company, which received Isaac's premium payments on behalf of Gallant, issued an "Agent Notification of Reinstatement" to Thompson-Harris and a reinstatement notice to Isaac.</w:t>
      </w:r>
    </w:p>
    <w:p>
      <w:pPr>
        <w:pStyle w:val="CaseBody"/>
      </w:pPr>
      <w:r>
        <w:t xml:space="preserve">While Gallant argues that some of the designated evidence raises an issue of fact concerning Thompson-Harris's actual authority to bind Gallant, the evidence appears to us without dispute that Thompson-Harris had apparent authority to bind Gallant, eg., Gallant's dealings with Isaac just recited contained the manifestations required under applicable case law to cause Isaac reasonably to believe that Thompson-Harris had authority to bind Gallant.</w:t>
      </w:r>
    </w:p>
    <w:p>
      <w:pPr>
        <w:pStyle w:val="CaseBody"/>
      </w:pPr>
      <w:r>
        <w:t xml:space="preserve">We have already recounted under Background, supra, Isaacs contacts with Thompson-Harris at the time of the purchase of the Grand Prix and the accident. While Gallant again argues that there are some factual disputes surrounding these events, the evidence appears to us uncon-troverted that no Thompson-Harris employee gave Isaac any indication that coverage on the Grand Prix was not in force. Cf. Michigan Mut. Ins. Co. v. Sports, Inc.,</w:t>
      </w:r>
      <w:r>
        <w:t xml:space="preserve"> </w:t>
      </w:r>
      <w:r>
        <w:rPr>
          <w:rStyle w:val="Elision"/>
        </w:rPr>
        <w:t xml:space="preserve">[ … ]</w:t>
      </w:r>
      <w:r>
        <w:t xml:space="preserve"> </w:t>
      </w:r>
      <w:r>
        <w:t xml:space="preserve">(Ind.Ct.App.1998) ("If the third person knows, or in the exercise of reasonable care should know, that the agent is exceeding the agent's actual authority, the principal will not be bound"),</w:t>
      </w:r>
      <w:r>
        <w:t xml:space="preserve"> </w:t>
      </w:r>
      <w:r>
        <w:rPr>
          <w:rStyle w:val="Elision"/>
        </w:rPr>
        <w:t xml:space="preserve">[ … ]</w:t>
      </w:r>
      <w:r>
        <w:t xml:space="preserve">.</w:t>
      </w:r>
    </w:p>
    <w:p>
      <w:pPr>
        <w:pStyle w:val="CaseBody"/>
      </w:pPr>
      <w:r>
        <w:t xml:space="preserve">Because we find that Thompson-Harris had apparent authority to bind Gallant with respect to Isaac, we hold that it was appropriate for the trial court to grant summary judgment to the plaintiffs on the question of whether Isaac had coverage under the Gallant policy at the time of her accident.</w:t>
      </w:r>
    </w:p>
    <w:p>
      <w:pPr>
        <w:pStyle w:val="CaseBody"/>
      </w:pPr>
      <w:r>
        <w:rPr>
          <w:rStyle w:val="Elision"/>
        </w:rPr>
        <w:t xml:space="preserve">[ … ]</w:t>
      </w:r>
    </w:p>
    <w:p>
      <w:pPr>
        <w:pStyle w:val="CaseBody"/>
      </w:pPr>
      <w:r>
        <w:rPr>
          <w:rStyle w:val="Elision"/>
        </w:rPr>
        <w:t xml:space="preserve">[ … ]</w:t>
      </w:r>
    </w:p>
    <w:p>
      <w:pPr>
        <w:pStyle w:val="NodeEnd"/>
      </w:pPr>
      <w:r>
        <w:t xml:space="preserve"> </w:t>
      </w:r>
    </w:p>
    <w:p>
      <w:pPr>
        <w:pStyle w:val="NodeStart"/>
      </w:pPr>
      <w:r>
        <w:t xml:space="preserve"> </w:t>
      </w:r>
    </w:p>
    <w:p>
      <w:pPr>
        <w:pStyle w:val="HeadSeparator"/>
      </w:pPr>
      <w:r>
        <w:t xml:space="preserve"> </w:t>
      </w:r>
    </w:p>
    <w:bookmarkStart w:id="5" w:name="_auto_toc_5"/>
    <w:bookmarkEnd w:id="5"/>
    <w:p>
      <w:pPr>
        <w:pStyle w:val="ResourceNumber"/>
      </w:pPr>
      <w:r>
        <w:t xml:space="preserve">1.1.3</w:t>
      </w:r>
    </w:p>
    <w:p>
      <w:pPr>
        <w:pStyle w:val="ResourceTitle"/>
      </w:pPr>
      <w:r>
        <w:t xml:space="preserve">Humble Oil &amp; Refining Co. v. Martin</w:t>
      </w:r>
    </w:p>
    <w:p>
      <w:pPr>
        <w:pStyle w:val="HeadEnd"/>
      </w:pPr>
      <w:r>
        <w:t xml:space="preserve"> </w:t>
      </w:r>
    </w:p>
    <w:p>
      <w:pPr>
        <w:pStyle w:val="CaseHeader"/>
      </w:pPr>
      <w:r>
        <w:t xml:space="preserve">Supreme Court of Texas</w:t>
      </w:r>
    </w:p>
    <w:p>
      <w:pPr>
        <w:pStyle w:val="CaseHeader"/>
      </w:pPr>
      <w:r>
        <w:t xml:space="preserve">148 Tex. 175, 222 S.W.2d 995</w:t>
      </w:r>
    </w:p>
    <w:p>
      <w:pPr>
        <w:pStyle w:val="CaseHeader"/>
      </w:pPr>
      <w:r>
        <w:t xml:space="preserve">No. A-2052</w:t>
      </w:r>
    </w:p>
    <w:p>
      <w:pPr>
        <w:pStyle w:val="CaseHeader"/>
      </w:pPr>
      <w:r>
        <w:t xml:space="preserve">1949-06-15</w:t>
      </w:r>
    </w:p>
    <w:p>
      <w:pPr>
        <w:pStyle w:val="CaseBody"/>
      </w:pPr>
      <w:r>
        <w:rPr>
          <w:rStyle w:val="Elision"/>
        </w:rPr>
        <w:t xml:space="preserve">[ … ]</w:t>
      </w:r>
    </w:p>
    <w:p>
      <w:pPr>
        <w:pStyle w:val="CaseBody"/>
      </w:pPr>
      <w:r>
        <w:t xml:space="preserve">Petitioners Humble Oil &amp; Refining Company and Mrs. A. C. Love and husband complain here of the judgments of the trial court and the Court of Civil Appeals in which they were held in damages for personal injuries following a special issue verdict at the suit of respondent George F. Martin acting for himself and his two minor daughters. The injuries were inflicted on the three Martins about the noon hour on May 12, 1947, in the City of Austin, by an unoccupied automobile belonging to the petitioners Love, which, just prior to the accident, had been left by Mrs. Love at a filling station owned by petitioner Humble for servicing and thereafter, before any station employee had touched it, rolled by gravity off the premises into and obliquely across the abutting street, striking Mr. Martin and his children from behind as they were walking into the yard of their home, a short distance downhill from the station.</w:t>
      </w:r>
    </w:p>
    <w:p>
      <w:pPr>
        <w:pStyle w:val="CaseBody"/>
      </w:pPr>
      <w:r>
        <w:t xml:space="preserve">The trial court rendered judgment against petitioners Humble and Mrs. Love jointly and severally and gave the latter judgment over against Humble for whatever she might pay the respondents. The Court of Civil Appeals affirmed the judgment after reforming it to eliminate the judgment over in favor of Mrs. Love, without prejudice to the right of contribution by either defendant under Article 2212, Vernon’s Ann. Civ. Stat.,</w:t>
      </w:r>
      <w:r>
        <w:t xml:space="preserve"> </w:t>
      </w:r>
      <w:r>
        <w:t xml:space="preserve">216 S. W. (2d) 251</w:t>
      </w:r>
      <w:r>
        <w:t xml:space="preserve">. The petitioners here respectively complain of the judgment in favor of the Martins, and each seeks full indemnity (as distinguished from contribution) from the other.</w:t>
      </w:r>
    </w:p>
    <w:p>
      <w:pPr>
        <w:pStyle w:val="CaseBody"/>
      </w:pPr>
      <w:r>
        <w:t xml:space="preserve">The apparently principal contention of petitioner, Humble, is that it is liable neither to respondent Martin nor to petitioner Mrs. Love, since the station was in effect operated by an independent contractor, W. T. Schneider, and Humble is accordingly not responsible for his negligence nor that of W. V. Manís, who was the only station employee or representative present when the Love car was left and rolled away. In this conncetion, the jury convicted petitioner Humble of the following acts of negligence proximately causing the injuries in question: (a) Failure to inspect the Love car to see that the emergency brake was set or the gears engaged; (b) failure to set the emergency brake on the Love car; (c) leaving the Love car unattended on the driveway. The verdict also included findings that Mrs. Love “had delivered her car to the custody of the defendant Humble Oil &amp; Refining Company, before her car started rolling from the position in which she had parked it”; that the accident was not unavoidable; and that no negligent act of either of petitioners was the sole proximate cause of the injuries in question. We think the Court of Civil Appeals properly held Humble responsible for the operation of the station, which admittedly it owned, as it did also the principal products there sold by Schneider under the so-called “Commission Agency Agreement” between him and Humble which was in evidence. The facts that neither Humble, Schneider nor the station employees considered Humble as an employer or master; that the employees were paid and directed by Schneider individually as their “boss”, and that a provision of the agreement expressly repudiates any authority of Humble over the employees, are not conclusive against the master-servant relationship, since there is other evidence bearing on the right or power of Humble to control the details of the station work as regards Schneider himself and therefore as to employees which it was expressly contemplated that he would hire. The question is ordinarily one of fact, and where there are items of evidence indicating a master-servant relationship, contrary items such as those above mentioned cannot be given conclusive effect.</w:t>
      </w:r>
      <w:r>
        <w:t xml:space="preserve"> </w:t>
      </w:r>
      <w:r>
        <w:rPr>
          <w:rStyle w:val="Elision"/>
        </w:rPr>
        <w:t xml:space="preserve">[ … ]</w:t>
      </w:r>
      <w:r>
        <w:t xml:space="preserve"> </w:t>
      </w:r>
      <w:r>
        <w:t xml:space="preserve">Even if the contract between Humble and Schneider were the only evidence on the question, the instrument as a whole indicates a master-servant relationship quite as much as, if not more than, it suggests an arrangement between independent contractors, For example, paragraph 1 includes a provision requiring Schneider “to make reports</w:t>
      </w:r>
      <w:r>
        <w:t xml:space="preserve"> </w:t>
      </w:r>
      <w:r>
        <w:rPr>
          <w:iCs/>
          <w:i/>
        </w:rPr>
        <w:t xml:space="preserve">and perform other duties in connection with the operation of said station that may be required of him from time to time by Company."</w:t>
      </w:r>
      <w:r>
        <w:t xml:space="preserve"> </w:t>
      </w:r>
      <w:r>
        <w:t xml:space="preserve">(Emphasis supplied). And while paragraph 2 purports to require Schneider to pay all operational expenses, the schedule of commissions forming part of the agreement does just the opposite in its paragraph (F), which gives Schneider a 75% “commission” on “the net public utility bills paid” by him and thus requires Humble to pay three-fourths of one of the most important operational expense items. Obviously the main object' of the enterprise was the retail marketing of Humble’s products with title remaining in Humble until delivery to the consumer. This was done under a strict system of financial control and supervision by Humble, with little or no business discretion reposed in Schneider except as to hiring, discharge, payment and supervision of a few station employees of a more or less laborer status. Humble furnished the all important station location and equipment, the advertising media, the products and a substantial part of the current operating costs. The hours of operation were controlled by Humble. The “Commission Agency Agreement”, which evidently was Schneider’s only title to occupancy of the premise, was terminable at the will of Humble. The so-called “rentals” were, at least in part, based on the amount of Humble’s products sold, being, therefore, involved with the matter of Schneider’s remuneration and not rentals in the usual sense. And, as above shown, the agreement required Schneider in effect to do anything Humble might tell him to do. All in all, aside from the stipulation regarding Schneider’s assistants, there is essentially little difference between his situation and that of a mere store clerk who happens to be paid a commission instead of a salary. The business was Humble’s business, just as the store clerk’s business would be that of the store owner. Schneider was Humble’s servant, and so accordingly were Schneider’s assistants who were contemplated by the contract.</w:t>
      </w:r>
      <w:r>
        <w:t xml:space="preserve"> </w:t>
      </w:r>
      <w:r>
        <w:rPr>
          <w:rStyle w:val="Elision"/>
        </w:rPr>
        <w:t xml:space="preserve">[ … ]</w:t>
      </w:r>
      <w:r>
        <w:rPr>
          <w:rStyle w:val="Elision"/>
        </w:rPr>
        <w:t xml:space="preserve">[ … ]</w:t>
      </w:r>
    </w:p>
    <w:p>
      <w:pPr>
        <w:pStyle w:val="CaseBody"/>
      </w:pPr>
      <w:r>
        <w:rPr>
          <w:rStyle w:val="Elision"/>
        </w:rPr>
        <w:t xml:space="preserve">[ … ]</w:t>
      </w:r>
    </w:p>
    <w:p>
      <w:pPr>
        <w:pStyle w:val="CaseBody"/>
      </w:pPr>
      <w:r>
        <w:t xml:space="preserve">The judgment of the Court of Civil Appeals is reversed as to that portion of it which merely eliminates the part of the trial court judgment granting recovery over against petitioner Humble Oil &amp; Refining Company</w:t>
      </w:r>
      <w:r>
        <w:t xml:space="preserve"> </w:t>
      </w:r>
      <w:r>
        <w:rPr>
          <w:rStyle w:val="Elision"/>
        </w:rPr>
        <w:t xml:space="preserve">[ … ]</w:t>
      </w:r>
      <w:r>
        <w:rPr>
          <w:rStyle w:val="Elision"/>
        </w:rPr>
        <w:t xml:space="preserve">[ … ]</w:t>
      </w:r>
    </w:p>
    <w:p>
      <w:pPr>
        <w:pStyle w:val="CaseBody"/>
      </w:pPr>
      <w:r>
        <w:rPr>
          <w:rStyle w:val="Elision"/>
        </w:rPr>
        <w:t xml:space="preserve">[ … ]</w:t>
      </w:r>
    </w:p>
    <w:p>
      <w:pPr>
        <w:pStyle w:val="CaseBody"/>
      </w:pPr>
      <w:r>
        <w:rPr>
          <w:rStyle w:val="Elision"/>
        </w:rPr>
        <w:t xml:space="preserve">[ … ]</w:t>
      </w:r>
    </w:p>
    <w:p>
      <w:pPr>
        <w:pStyle w:val="CaseBody"/>
      </w:pPr>
      <w:r>
        <w:t xml:space="preserve">Opinion delivered June 15, 1949.</w:t>
      </w:r>
    </w:p>
    <w:p>
      <w:pPr>
        <w:pStyle w:val="CaseBody"/>
      </w:pPr>
      <w:r>
        <w:rPr>
          <w:rStyle w:val="Elision"/>
        </w:rPr>
        <w:t xml:space="preserve">[ … ]</w:t>
      </w:r>
    </w:p>
    <w:p>
      <w:pPr>
        <w:pStyle w:val="NodeEnd"/>
      </w:pPr>
      <w:r>
        <w:t xml:space="preserve"> </w:t>
      </w:r>
    </w:p>
    <w:p>
      <w:pPr>
        <w:pStyle w:val="NodeStart"/>
      </w:pPr>
      <w:r>
        <w:t xml:space="preserve"> </w:t>
      </w:r>
    </w:p>
    <w:p>
      <w:pPr>
        <w:pStyle w:val="HeadSeparator"/>
      </w:pPr>
      <w:r>
        <w:t xml:space="preserve"> </w:t>
      </w:r>
    </w:p>
    <w:bookmarkStart w:id="6" w:name="_auto_toc_6"/>
    <w:bookmarkEnd w:id="6"/>
    <w:p>
      <w:pPr>
        <w:pStyle w:val="ResourceNumber"/>
      </w:pPr>
      <w:r>
        <w:t xml:space="preserve">1.1.4</w:t>
      </w:r>
    </w:p>
    <w:p>
      <w:pPr>
        <w:pStyle w:val="ResourceTitle"/>
      </w:pPr>
      <w:r>
        <w:t xml:space="preserve">Hoover v. Sun Oil Co.</w:t>
      </w:r>
    </w:p>
    <w:p>
      <w:pPr>
        <w:pStyle w:val="HeadEnd"/>
      </w:pPr>
      <w:r>
        <w:t xml:space="preserve"> </w:t>
      </w:r>
    </w:p>
    <w:p>
      <w:pPr>
        <w:pStyle w:val="CaseHeader"/>
      </w:pPr>
      <w:r>
        <w:t xml:space="preserve">Delaware Superior Court</w:t>
      </w:r>
    </w:p>
    <w:p>
      <w:pPr>
        <w:pStyle w:val="CaseHeader"/>
      </w:pPr>
      <w:r>
        <w:t xml:space="preserve">58 Del. 553</w:t>
      </w:r>
    </w:p>
    <w:p>
      <w:pPr>
        <w:pStyle w:val="CaseHeader"/>
      </w:pPr>
      <w:r>
        <w:t xml:space="preserve">No. 368</w:t>
      </w:r>
    </w:p>
    <w:p>
      <w:pPr>
        <w:pStyle w:val="CaseHeader"/>
      </w:pPr>
      <w:r>
        <w:t xml:space="preserve">1965-07-20</w:t>
      </w:r>
    </w:p>
    <w:p>
      <w:pPr>
        <w:pStyle w:val="CaseBody"/>
      </w:pPr>
      <w:r>
        <w:rPr>
          <w:rStyle w:val="Elision"/>
        </w:rPr>
        <w:t xml:space="preserve">[ … ]</w:t>
      </w:r>
    </w:p>
    <w:p>
      <w:pPr>
        <w:pStyle w:val="CaseBody"/>
      </w:pPr>
      <w:r>
        <w:t xml:space="preserve">This case is concerned with injuries received as the result of a fire on August 16,1962 at the service station operated by James F. Barone. The fire started at the rear of plaintiffs car where it was being filled with gasoline and was allegedly caused by the negligence of John Smilyk an employee of Barone. Plaintiffs brought suit against Smilyk, Barone and Sun Oil Company (Sun) which owned the service station.</w:t>
      </w:r>
    </w:p>
    <w:p>
      <w:pPr>
        <w:pStyle w:val="CaseBody"/>
      </w:pPr>
      <w:r>
        <w:t xml:space="preserve">Sun has moved for summary judgment as to it on the basis that Barone was an independent contractor and therefore the alleged negligence of his employee could not result in liability as to Sun. The plaintiffs contend instead that Barone was acting as Sun’s agent and that Sun may therefore be responsible for plaintiffs injuries.</w:t>
      </w:r>
    </w:p>
    <w:p>
      <w:pPr>
        <w:pStyle w:val="CaseBody"/>
      </w:pPr>
      <w:r>
        <w:t xml:space="preserve">Barone began operating this business in October of 1960 pursuant to a lease dated October 17, 1960. The station and all of its equipment, with the exception of a tire-stand and rack, certain advertising displays and miscellaneous hand tools, were owned by Sun. The lease was subject .to termination by either party upon thirty days’ written notice after the first six months and at the anniversary date thereafter. The rental was partially determined by the volume of gasoline purchased but there was also a minimum and a maximum monthly rental.</w:t>
      </w:r>
    </w:p>
    <w:p>
      <w:pPr>
        <w:pStyle w:val="CaseBody"/>
      </w:pPr>
      <w:r>
        <w:t xml:space="preserve">At the same time, Sun and Barone also entered into a dealer’s agreement under which Barone was to purchase petroleum products from Sun and Sun was to loan necessary equipment and advertising materials. Barone was required to maintain this equipment and to use it solely for Sun products. Barone was permitted under the agreement to sell competitive products but chose to do so only in a few minor areas As to Sun products, Barone was prohibited from selling .them except under the Sunoco label and from blending them with products not supplied by Sun.</w:t>
      </w:r>
    </w:p>
    <w:p>
      <w:pPr>
        <w:pStyle w:val="CaseBody"/>
      </w:pPr>
      <w:r>
        <w:t xml:space="preserve">Barone’s station had the usual large signs indicating that Sunoco products were sold there. His advertising in the classified section of the telephone book was under a Sunoco heading and his employees wore uniforms with the Sun emblem, the uniforms being owned by Barone or rented from an independent company.</w:t>
      </w:r>
    </w:p>
    <w:p>
      <w:pPr>
        <w:pStyle w:val="CaseBody"/>
      </w:pPr>
      <w:r>
        <w:t xml:space="preserve">Barone, upon the urging of Robert B. Peterson, Sun’s area sales representative, attended a Sun school for service station operators in 1961. The school’s curriculum was designed to familiarize the station operator with bookkeeping and merchandising, the appearance and proper maintenance of a Sun station, and the Sun Oil products. The course concluded with the operator working at Sun’s model station in order to gain work experience in the use of the policy and techniques taught at the school.</w:t>
      </w:r>
    </w:p>
    <w:p>
      <w:pPr>
        <w:pStyle w:val="CaseBody"/>
      </w:pPr>
      <w:r>
        <w:t xml:space="preserve">Other facts typifying the company-service station relationship were the weekly visits of Sun’s sales representative, Peterson, who would take orders for Sun products, inspect the restrooms, communicate customer complaints, make various suggestions to improve sales and discuss any problems that Barone might be having. Besides the weekly visits, Peterson was in contact with Barone on other occasions in order to implement Sun’s “competitive allowance system” which enabled Barone to meet local price competition by giving him a rebate on the gasoline in his inventory roughly equivalent to the price decline and a similarly reduced price on his next order of gasoline.</w:t>
      </w:r>
    </w:p>
    <w:p>
      <w:pPr>
        <w:pStyle w:val="CaseBody"/>
      </w:pPr>
      <w:r>
        <w:t xml:space="preserve">While Peterson did offer advice to Barone on all phases of his operation, it was usually done on request and Barone was under no obligation to follow the advice. Barone’s contacts and dealings with Sun were many and their relationship intricate, but he made no written reports to Sun and he alone assumed the overall risk of profit or loss in his business operation. Barone independently determined his own hours of operation and the identity, pay scale and working conditions of his employees, and it was his name that was posted as proprietor.</w:t>
      </w:r>
    </w:p>
    <w:p>
      <w:pPr>
        <w:pStyle w:val="CaseBody"/>
      </w:pPr>
      <w:r>
        <w:t xml:space="preserve">Plaintiffs contend in effect that the aforegoing facts indicate that Sun controlled the day-to-day operation of the station and consequently Sun is responsible for the negligent acts of Barone’s employee. Specifically, plaintiffs contend that there is an issue of fact for the jury to determine as to whether or not there was an agency relationship.</w:t>
      </w:r>
    </w:p>
    <w:p>
      <w:pPr>
        <w:pStyle w:val="CaseBody"/>
      </w:pPr>
      <w:r>
        <w:rPr>
          <w:rStyle w:val="Elision"/>
        </w:rPr>
        <w:t xml:space="preserve">[ … ]</w:t>
      </w:r>
    </w:p>
    <w:p>
      <w:pPr>
        <w:pStyle w:val="CaseBody"/>
      </w:pPr>
      <w:r>
        <w:t xml:space="preserve">In some situations traditional definitions of principal and agent and of employer and independent contractor may be difficult to apply to service station operations, but the undisputed facts of the case at bar make it clear that Barone was an independent contractor.</w:t>
      </w:r>
    </w:p>
    <w:p>
      <w:pPr>
        <w:pStyle w:val="CaseBody"/>
      </w:pPr>
      <w:r>
        <w:t xml:space="preserve">Barone’s service station, unlike retail outlets for many products, is basically a one-company outlet and represents to the public, through Sunoco’s national and local advertising, that it sells not only Sun’s quality products but Sun’s quality service. Many people undoubtedly come to the service station because of that latter representation.</w:t>
      </w:r>
    </w:p>
    <w:p>
      <w:pPr>
        <w:pStyle w:val="CaseBody"/>
      </w:pPr>
      <w:r>
        <w:t xml:space="preserve">However, the lease contract and dealer’s agreement fail to establish any relationship other than landlord- tenant, and independent contractor. Nor is there anything in the conduct of the individuals which is inconsistent with that relationship so as to indicate that the contracts were mere subterfuge or sham. The areas of close contact between Sun and Barone stem from the fact that both have a mutual interest in the sale of Sun products and in the success of Barone’s business.</w:t>
      </w:r>
    </w:p>
    <w:p>
      <w:pPr>
        <w:pStyle w:val="CaseBody"/>
      </w:pPr>
      <w:r>
        <w:rPr>
          <w:rStyle w:val="Elision"/>
        </w:rPr>
        <w:t xml:space="preserve">[ … ]</w:t>
      </w:r>
    </w:p>
    <w:p>
      <w:pPr>
        <w:pStyle w:val="CaseBody"/>
      </w:pPr>
      <w:r>
        <w:t xml:space="preserve">The facts of this case differ markedly from those in which the oil company was held liable for the tortious conduct of its service station operator or his employees. Sun had no control over the retails of Barone’s day-to-day operation. Therefore, no liability can be imputed to Sun from the allegedly negligent acts of Smilyk. Sun’s motion for summary judgment is granted.</w:t>
      </w:r>
    </w:p>
    <w:p>
      <w:pPr>
        <w:pStyle w:val="CaseBody"/>
      </w:pPr>
      <w:r>
        <w:t xml:space="preserve">It is so ordered.</w:t>
      </w:r>
    </w:p>
    <w:p>
      <w:pPr>
        <w:pStyle w:val="NodeEnd"/>
      </w:pPr>
      <w:r>
        <w:t xml:space="preserve"> </w:t>
      </w:r>
    </w:p>
    <w:p>
      <w:pPr>
        <w:pStyle w:val="NodeStart"/>
      </w:pPr>
      <w:r>
        <w:t xml:space="preserve"> </w:t>
      </w:r>
    </w:p>
    <w:p>
      <w:pPr>
        <w:pStyle w:val="HeadSeparator"/>
      </w:pPr>
      <w:r>
        <w:t xml:space="preserve"> </w:t>
      </w:r>
    </w:p>
    <w:bookmarkStart w:id="7" w:name="_auto_toc_7"/>
    <w:bookmarkEnd w:id="7"/>
    <w:p>
      <w:pPr>
        <w:pStyle w:val="SectionNumber"/>
      </w:pPr>
      <w:r>
        <w:t xml:space="preserve">1.2</w:t>
      </w:r>
    </w:p>
    <w:p>
      <w:pPr>
        <w:pStyle w:val="SectionTitle"/>
      </w:pPr>
      <w:r>
        <w:t xml:space="preserve">Reference Cases</w:t>
      </w:r>
    </w:p>
    <w:p>
      <w:pPr>
        <w:pStyle w:val="HeadFieldSeparator"/>
      </w:pPr>
      <w:r>
        <w:t xml:space="preserve"> </w:t>
      </w:r>
    </w:p>
    <w:p>
      <w:pPr>
        <w:pStyle w:val="SectionHeadnote"/>
      </w:pPr>
      <w:r>
        <w:t xml:space="preserve">Throughout, "Readings" are intended to be read for discussion in class, while "Reference" materials re just that -- for reference (to skim, to note, to use later in practice, etc.).</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8" w:name="_auto_toc_8"/>
    <w:bookmarkEnd w:id="8"/>
    <w:p>
      <w:pPr>
        <w:pStyle w:val="ResourceNumber"/>
      </w:pPr>
      <w:r>
        <w:t xml:space="preserve">1.2.1</w:t>
      </w:r>
    </w:p>
    <w:p>
      <w:pPr>
        <w:pStyle w:val="ResourceTitle"/>
      </w:pPr>
      <w:r>
        <w:t xml:space="preserve">A. Gay Jenson Farms Co. v. Cargill, Inc.</w:t>
      </w:r>
    </w:p>
    <w:p>
      <w:pPr>
        <w:pStyle w:val="HeadEnd"/>
      </w:pPr>
      <w:r>
        <w:t xml:space="preserve"> </w:t>
      </w:r>
    </w:p>
    <w:p>
      <w:pPr>
        <w:pStyle w:val="CaseHeader"/>
      </w:pPr>
      <w:r>
        <w:t xml:space="preserve">Minnesota Supreme Court</w:t>
      </w:r>
    </w:p>
    <w:p>
      <w:pPr>
        <w:pStyle w:val="CaseHeader"/>
      </w:pPr>
      <w:r>
        <w:t xml:space="preserve">309 N.W.2d 285</w:t>
      </w:r>
    </w:p>
    <w:p>
      <w:pPr>
        <w:pStyle w:val="CaseHeader"/>
      </w:pPr>
      <w:r>
        <w:t xml:space="preserve">No. 50744</w:t>
      </w:r>
    </w:p>
    <w:p>
      <w:pPr>
        <w:pStyle w:val="CaseHeader"/>
      </w:pPr>
      <w:r>
        <w:t xml:space="preserve">1981-08-14</w:t>
      </w:r>
    </w:p>
    <w:p>
      <w:pPr>
        <w:pStyle w:val="CaseBody"/>
      </w:pPr>
      <w:r>
        <w:t xml:space="preserve">Rehearing Denied Oct. 8, 1981.</w:t>
      </w:r>
    </w:p>
    <w:p>
      <w:pPr>
        <w:pStyle w:val="CaseBody"/>
      </w:pPr>
      <w:r>
        <w:t xml:space="preserve">Lowe &amp; Schmidthuber, Robert L. Lowe and James E. Lindell, Minneapolis, for appellant.</w:t>
      </w:r>
    </w:p>
    <w:p>
      <w:pPr>
        <w:pStyle w:val="CaseBody"/>
      </w:pPr>
      <w:r>
        <w:t xml:space="preserve">Gordon J. Berg and John G. Berg, Minneapolis, for respondents.</w:t>
      </w:r>
    </w:p>
    <w:p>
      <w:pPr>
        <w:pStyle w:val="CaseBody"/>
      </w:pPr>
      <w:r>
        <w:t xml:space="preserve">Meagher, Geer, Markham, Anderson, Ad-amson, Flaskamp &amp; Brennan, O. C. Adam-son II, Clyde F. Anderson and James F. Roegge, Minneapolis, for respondents.</w:t>
      </w:r>
    </w:p>
    <w:p>
      <w:pPr>
        <w:pStyle w:val="CaseBody"/>
      </w:pPr>
      <w:r>
        <w:t xml:space="preserve">Faegre &amp; Benson, Lawrence C. Brown and Michael R. Stewart, Minneapolis, for Northwestern Nat. Bank of Minneapolis.</w:t>
      </w:r>
    </w:p>
    <w:p>
      <w:pPr>
        <w:pStyle w:val="CaseBody"/>
      </w:pPr>
      <w:r>
        <w:t xml:space="preserve">Nelson, Njus &amp; Nettles, Jerold 0. Nelson and Alan R. Nettles, Minneapolis, for Northwest Country Elevator Association and North Dakota Grain Dealers Association.</w:t>
      </w:r>
    </w:p>
    <w:p>
      <w:pPr>
        <w:pStyle w:val="CaseBody"/>
      </w:pPr>
      <w:r>
        <w:t xml:space="preserve">OPINION</w:t>
      </w:r>
    </w:p>
    <w:p>
      <w:pPr>
        <w:pStyle w:val="CaseBody"/>
      </w:pPr>
      <w:r>
        <w:t xml:space="preserve">PETERSON, Justice.</w:t>
      </w:r>
    </w:p>
    <w:p>
      <w:pPr>
        <w:pStyle w:val="CaseBody"/>
      </w:pPr>
      <w:r>
        <w:t xml:space="preserve">Plaintiffs, 86 individual, partnership or corporate farmers, brought this action against defendant Cargill, Inc. (Cargill) and defendant Warren Grain &amp; Seed Co. (Warren) to recover losses sustained when Warren defaulted on the contracts made with plaintiffs for the sale of grain. After a trial by jury, judgment was entered in favor of plaintiffs, and Cargill brought this appeal. We affirm.</w:t>
      </w:r>
    </w:p>
    <w:p>
      <w:pPr>
        <w:pStyle w:val="CaseBody"/>
      </w:pPr>
      <w:r>
        <w:t xml:space="preserve">This case arose out of the financial collapse of defendant Warren Seed &amp; Grain Co., and its failure to satisfy its indebtedness to plaintiffs. Warren, which was located in Warren, Minnesota, was operated by Lloyd Hill and his son, Gary Hill. Warren operated a grain elevator and as a result was involved in the purchase of cash or market grain from local farmers. The cash grain would be resold through the Minneapolis Grain Exchange or to the terminal grain companies directly. Warren also stored grain for farmers and sold chemicals, fertilizer and steel storage bins. In addition, it operated a seed business which involved buying seed grain from farmers, processing it and reselling it for seed to farmers and local elevators.</w:t>
      </w:r>
    </w:p>
    <w:p>
      <w:pPr>
        <w:pStyle w:val="CaseBody"/>
      </w:pPr>
      <w:r>
        <w:t xml:space="preserve">Lloyd Hill decided in 1964 to apply for financing from Cargill.</w:t>
      </w:r>
      <w:r>
        <w:rPr>
          <w:rStyle w:val="FootnoteReference"/>
        </w:rPr>
        <w:footnoteReference w:customMarkFollows="1" w:id="10"/>
        <w:t xml:space="preserve">1</w:t>
      </w:r>
      <w:r>
        <w:t xml:space="preserve"> </w:t>
      </w:r>
      <w:r>
        <w:t xml:space="preserve">Cargill’s officials from the Moorhead regional office investigated Warren’s operations and recommended that Cargill finance Warren.</w:t>
      </w:r>
    </w:p>
    <w:p>
      <w:pPr>
        <w:pStyle w:val="CaseBody"/>
      </w:pPr>
      <w:r>
        <w:t xml:space="preserve">Warren and Cargill thereafter entered into a security agreement which provided that Cargill would loan money for working capital to Warren on “open account” financing up to a stated limit, which was originally set as $175,000.</w:t>
      </w:r>
      <w:r>
        <w:rPr>
          <w:rStyle w:val="FootnoteReference"/>
        </w:rPr>
        <w:footnoteReference w:customMarkFollows="1" w:id="41"/>
        <w:t xml:space="preserve">2</w:t>
      </w:r>
      <w:r>
        <w:t xml:space="preserve"> </w:t>
      </w:r>
      <w:r>
        <w:t xml:space="preserve">Under this contract, Warren would receive funds and pay its expenses by issuing drafts drawn on Cargill through Minneapolis banks. The drafts were imprinted with both Warren’s and Cargill’s names. Proceeds from Warren’s sales would be deposited with Cargill and credited to its account. In return for this financing, Warren appointed Cargill as its grain agent for transaction with the Commodity Credit Corporation. Cargill was also given a right of first refusal to purchase market grain sold by Warren to the terminal market.</w:t>
      </w:r>
    </w:p>
    <w:p>
      <w:pPr>
        <w:pStyle w:val="CaseBody"/>
      </w:pPr>
      <w:r>
        <w:t xml:space="preserve">A new contract was negotiated in 1967, extending Warren’s credit line to $300,000 and incorporating the provisions of the original contract. It was also stated in the contract that Warren would provide Cargill with annual financial statements and that either Cargill would keep the books for Warren or an audit would be conducted by an independent firm. Cargill was given the right of access to Warren’s books for inspection.</w:t>
      </w:r>
    </w:p>
    <w:p>
      <w:pPr>
        <w:pStyle w:val="CaseBody"/>
      </w:pPr>
      <w:r>
        <w:t xml:space="preserve">In addition, the agreement provided that Warren was not to make capital improvements or repairs in excess of $5,000 without Cargill’s prior consent. Further, it was not to become liable as guarantor on another’s indebtedness, or encumber its assets except with Cargill’s permission. Consent by Car-gill was required before Warren would be allowed to declare a dividend or sell and purchase stock.</w:t>
      </w:r>
    </w:p>
    <w:p>
      <w:pPr>
        <w:pStyle w:val="CaseBody"/>
      </w:pPr>
      <w:r>
        <w:t xml:space="preserve">Officials from Cargill’s regional office made a brief visit to Warren shortly after the agreement was executed. They examined the annual statement and the accounts receivable, expenses, inventory, seed, machinery and other financial matters. Warren was informed that it would be reminded periodically to make the improvements recommended by Cargill.</w:t>
      </w:r>
      <w:r>
        <w:rPr>
          <w:rStyle w:val="FootnoteReference"/>
        </w:rPr>
        <w:footnoteReference w:customMarkFollows="1" w:id="70"/>
        <w:t xml:space="preserve">3</w:t>
      </w:r>
      <w:r>
        <w:t xml:space="preserve"> </w:t>
      </w:r>
      <w:r>
        <w:t xml:space="preserve">At approximately this time, a memo was given to the Cargill official in charge of the Warren account, Erhart Becker, which stated in part: “This organization [Warren] needs very strong paternal guidance.”</w:t>
      </w:r>
    </w:p>
    <w:p>
      <w:pPr>
        <w:pStyle w:val="CaseBody"/>
      </w:pPr>
      <w:r>
        <w:t xml:space="preserve">In 1970, Cargill contracted with Warren and other elevators to act as its agent to seek growers for a new type of wheat called Bounty 208. Warren, as Cargill’s agent for this project, entered into contracts for the growing of the wheat seed, with Cargill named as the contracting party. Farmers were paid directly by Cargill for the seed and all contracts were performed in full. In 1971, pursuant to an agency contract, Warren contracted on Cargill’s behalf with various farmers for the growing of sunflower seeds for Cargill. The arrangements were similar to those made in the Bounty 208 contracts, and all those contracts were also completed. Both these agreements were unrelated to the open account financing contract. In addition, Warren, as Car-gill’s agent in the sunflower seed business, cleaned and packaged the seed in Cargill bags.</w:t>
      </w:r>
    </w:p>
    <w:p>
      <w:pPr>
        <w:pStyle w:val="CaseBody"/>
      </w:pPr>
      <w:r>
        <w:t xml:space="preserve">During this period, Cargill continued to review Warren’s operations and expenses and recommend that certain actions should be taken.</w:t>
      </w:r>
      <w:r>
        <w:rPr>
          <w:rStyle w:val="FootnoteReference"/>
        </w:rPr>
        <w:footnoteReference w:customMarkFollows="1" w:id="95"/>
        <w:t xml:space="preserve">4</w:t>
      </w:r>
      <w:r>
        <w:t xml:space="preserve"> </w:t>
      </w:r>
      <w:r>
        <w:t xml:space="preserve">Warren purchased from Cargill various business forms printed by Cargill and received sample forms from Cargill which Warren used to develop its own business forms.</w:t>
      </w:r>
    </w:p>
    <w:p>
      <w:pPr>
        <w:pStyle w:val="CaseBody"/>
      </w:pPr>
      <w:r>
        <w:t xml:space="preserve">Cargill wrote to its regional office in 1970 expressing its concern that the pattern of increased use of funds allowed to develop at Warren was similar to that involved in two other cases in which Cargill experienced severe losses. Cargill did not refuse to hon- or drafts or call the loan, however. A new security agreement which increased the credit line to $750,000 was executed in 1972, and a subsequent agreement which raised the limit to $1,250,000 was entered into in 1976.</w:t>
      </w:r>
    </w:p>
    <w:p>
      <w:pPr>
        <w:pStyle w:val="CaseBody"/>
      </w:pPr>
      <w:r>
        <w:t xml:space="preserve">Warren was at that time shipping Cargill 90% of its cash grain. When Cargill’s facilities were full, Warren shipped its grain to other companies. Approximately 25% of Warren’s total sales was seed grain which was sold directly by Warren to its customers.</w:t>
      </w:r>
    </w:p>
    <w:p>
      <w:pPr>
        <w:pStyle w:val="CaseBody"/>
      </w:pPr>
      <w:r>
        <w:t xml:space="preserve">As Warren’s indebtedness continued to be in excess of its credit line, Cargill began to contact Warren daily regarding its financial affairs. Cargill headquarters informed its regional office in 1973 that, since Cargill money was being used, Warren should realize that Cargill had the right to make some critical decisions regarding the use of the funds. Cargill headquarters also told Warren that a regional manager would be working with Warren on a day-to-day basis as well as in monthly planning meetings. In 1975, Cargill’s regional office began to keep a daily debit position on Warren. A bank account was opened in Warren’s name on which Warren could draw checks in 1976. The account was to be funded by drafts drawn on Cargill by the local bank.</w:t>
      </w:r>
    </w:p>
    <w:p>
      <w:pPr>
        <w:pStyle w:val="CaseBody"/>
      </w:pPr>
      <w:r>
        <w:t xml:space="preserve">In early 1977, it became evident that Warren had serious financial problems. Several farmers, who had heard that Warren’s checks were not being paid, inquired or had their agents inquire at Cargill regarding Warren’s status and were initially told that there would be no problem with payment. In April 1977, an audit of Warren revealed that Warren was $4 million in debt. After Cargill was informed that Warren’s financial statements had been deliberately falsified, Warren’s request for additional financing was refused. In the final days of Warren’s operation, Cargill sent an official to supervise the elevator, including disbursement of funds and income generated by the elevator.</w:t>
      </w:r>
    </w:p>
    <w:p>
      <w:pPr>
        <w:pStyle w:val="CaseBody"/>
      </w:pPr>
      <w:r>
        <w:t xml:space="preserve">After Warren ceased operations, it was found to be indebted to Cargill in the amount of $3.6 million. Warren was also determined to be indebted to plaintiffs in the amount of $2 million, and plaintiffs brought this action in 1977 to seek recovery of that sum. Plaintiffs alleged that Cargill was jointly liable for Warren’s indebtedness as it had acted as principal for the grain elevator.</w:t>
      </w:r>
      <w:r>
        <w:rPr>
          <w:rStyle w:val="FootnoteReference"/>
        </w:rPr>
        <w:footnoteReference w:customMarkFollows="1" w:id="118"/>
        <w:t xml:space="preserve">5</w:t>
      </w:r>
    </w:p>
    <w:p>
      <w:pPr>
        <w:pStyle w:val="CaseBody"/>
      </w:pPr>
      <w:r>
        <w:t xml:space="preserve">The matter was bifurcated for trial in Marshall County District Court. In the first phase, the amount of damages sustained by each farmer was determined by the court. The second phase of the action, dealing with the issue of Cargill’s liability for the indebtedness of Warren, was tried before a jury.</w:t>
      </w:r>
    </w:p>
    <w:p>
      <w:pPr>
        <w:pStyle w:val="CaseBody"/>
      </w:pPr>
      <w:r>
        <w:t xml:space="preserve">The jury found that Cargill’s conduct between 1973 and 1977 had made it Warren’s principal.</w:t>
      </w:r>
      <w:r>
        <w:rPr>
          <w:rStyle w:val="FootnoteReference"/>
        </w:rPr>
        <w:footnoteReference w:customMarkFollows="1" w:id="142"/>
        <w:t xml:space="preserve">6</w:t>
      </w:r>
      <w:r>
        <w:t xml:space="preserve"> </w:t>
      </w:r>
      <w:r>
        <w:t xml:space="preserve">Warren was found to be the agent of Cargill with regard to contracts for:</w:t>
      </w:r>
    </w:p>
    <w:p>
      <w:pPr>
        <w:pStyle w:val="CaseBody"/>
      </w:pPr>
      <w:r>
        <w:t xml:space="preserve">1. The purchase and sale of grain for market.</w:t>
      </w:r>
    </w:p>
    <w:p>
      <w:pPr>
        <w:pStyle w:val="CaseBody"/>
      </w:pPr>
      <w:r>
        <w:t xml:space="preserve">2. The purchase and sale of seed grain.</w:t>
      </w:r>
    </w:p>
    <w:p>
      <w:pPr>
        <w:pStyle w:val="CaseBody"/>
      </w:pPr>
      <w:r>
        <w:t xml:space="preserve">3. The storage of grain.</w:t>
      </w:r>
    </w:p>
    <w:p>
      <w:pPr>
        <w:pStyle w:val="CaseBody"/>
      </w:pPr>
      <w:r>
        <w:t xml:space="preserve">The court determined that Cargill was the disclosed principal of Warren. It was concluded that Cargill was jointly liable with Warren for plaintiffs’ losses, and judgment was entered for plaintiffs.</w:t>
      </w:r>
    </w:p>
    <w:p>
      <w:pPr>
        <w:pStyle w:val="CaseBody"/>
      </w:pPr>
      <w:r>
        <w:t xml:space="preserve">Cargill seeks a reversal of the jury’s findings or, if the jury findings are upheld, a reversal of the trial court’s determination that Cargill was a disclosed principal. In the alternative, Cargill requests that the court order a new trial based upon the trial court’s error in (1) denying Cargill’s requested jury instructions; (2) refusing to admit relevant evidence; and (3) denying Cargill’s motion for change of venue. Northwestern County Elevator Association, North Dakota Grain Dealers Association and Northwestern National Bank of Minneapolis have all filed briefs on appeal as amici curiae, seeking to have the jury verdict reversed.</w:t>
      </w:r>
    </w:p>
    <w:p>
      <w:pPr>
        <w:pStyle w:val="CaseBody"/>
      </w:pPr>
      <w:r>
        <w:t xml:space="preserve">1. The major issue in this case is whether Cargill, by its course of dealing with Warren, became liable as a principal on contracts made by Warren with plaintiffs. Cargill contends that no agency relationship was established with Warren, notwithstanding its financing of Warren’s operation and its purchase of the majority of Warren’s grain. However, we conclude that Cargill, by its control and influence over Warren, became a principal with liability for the transactions entered into by its agent Warren.</w:t>
      </w:r>
    </w:p>
    <w:p>
      <w:pPr>
        <w:pStyle w:val="CaseBody"/>
      </w:pPr>
      <w:r>
        <w:t xml:space="preserve">Agency is the fiduciary relationship that results from the manifestation of consent by one person to another that the other shall act on his behalf and subject to his control, and consent by the other so to act.</w:t>
      </w:r>
      <w:r>
        <w:t xml:space="preserve"> </w:t>
      </w:r>
      <w:r>
        <w:rPr>
          <w:iCs/>
          <w:i/>
        </w:rPr>
        <w:t xml:space="preserve">Jurek v. Thompson,</w:t>
      </w:r>
      <w:r>
        <w:t xml:space="preserve"> </w:t>
      </w:r>
      <w:r>
        <w:t xml:space="preserve">308 Minn. 191</w:t>
      </w:r>
      <w:r>
        <w:t xml:space="preserve">,</w:t>
      </w:r>
      <w:r>
        <w:t xml:space="preserve"> </w:t>
      </w:r>
      <w:r>
        <w:t xml:space="preserve">241 N.W.2d 788</w:t>
      </w:r>
      <w:r>
        <w:t xml:space="preserve"> </w:t>
      </w:r>
      <w:r>
        <w:t xml:space="preserve">(1976);</w:t>
      </w:r>
      <w:r>
        <w:t xml:space="preserve"> </w:t>
      </w:r>
      <w:r>
        <w:rPr>
          <w:iCs/>
          <w:i/>
        </w:rPr>
        <w:t xml:space="preserve">Lee v. Peoples Cooperative Sales Agency,</w:t>
      </w:r>
      <w:r>
        <w:t xml:space="preserve"> </w:t>
      </w:r>
      <w:r>
        <w:t xml:space="preserve">201 Minn. 266</w:t>
      </w:r>
      <w:r>
        <w:t xml:space="preserve">,</w:t>
      </w:r>
      <w:r>
        <w:t xml:space="preserve"> </w:t>
      </w:r>
      <w:r>
        <w:t xml:space="preserve">276 N.W. 214</w:t>
      </w:r>
      <w:r>
        <w:t xml:space="preserve"> </w:t>
      </w:r>
      <w:r>
        <w:t xml:space="preserve">(1937); Restatement (Second) of Agency § 1 (1958). In order to create an agency there must be an agreement, but not necessarily a contract between the parties. Restatement (Second) of Agency § 1, comment b (1958). An agreement may result in the creation of an agency relationship although the parties did not call it an agency and did not intend the legal consequences of the relation to follow.</w:t>
      </w:r>
      <w:r>
        <w:t xml:space="preserve"> </w:t>
      </w:r>
      <w:r>
        <w:rPr>
          <w:iCs/>
          <w:i/>
        </w:rPr>
        <w:t xml:space="preserve">Id.</w:t>
      </w:r>
      <w:r>
        <w:t xml:space="preserve"> </w:t>
      </w:r>
      <w:r>
        <w:t xml:space="preserve">The existence of the agency may be proved by circumstantial evidence which shows a course of dealing between the two parties.</w:t>
      </w:r>
      <w:r>
        <w:t xml:space="preserve"> </w:t>
      </w:r>
      <w:r>
        <w:rPr>
          <w:iCs/>
          <w:i/>
        </w:rPr>
        <w:t xml:space="preserve">Rausch v. Aronson,</w:t>
      </w:r>
      <w:r>
        <w:t xml:space="preserve"> </w:t>
      </w:r>
      <w:r>
        <w:t xml:space="preserve">211 Minn. 272</w:t>
      </w:r>
      <w:r>
        <w:t xml:space="preserve">,</w:t>
      </w:r>
      <w:r>
        <w:t xml:space="preserve"> </w:t>
      </w:r>
      <w:r>
        <w:t xml:space="preserve">1 N.W.2d 371</w:t>
      </w:r>
      <w:r>
        <w:t xml:space="preserve"> </w:t>
      </w:r>
      <w:r>
        <w:t xml:space="preserve">(1941). When an agency relationship is to be proven by circumstantial evidence, the principal must be shown to have consented to the agency since one cannot be the agent of another except by consent of the latter.</w:t>
      </w:r>
      <w:r>
        <w:t xml:space="preserve"> </w:t>
      </w:r>
      <w:r>
        <w:rPr>
          <w:iCs/>
          <w:i/>
        </w:rPr>
        <w:t xml:space="preserve">Larkin v. McCabe,</w:t>
      </w:r>
      <w:r>
        <w:rPr>
          <w:iCs/>
          <w:i/>
        </w:rPr>
        <w:t xml:space="preserve"> </w:t>
      </w:r>
      <w:r>
        <w:rPr>
          <w:iCs/>
          <w:i/>
        </w:rPr>
        <w:t xml:space="preserve">211</w:t>
      </w:r>
      <w:r>
        <w:rPr>
          <w:iCs/>
          <w:i/>
        </w:rPr>
        <w:t xml:space="preserve"> </w:t>
      </w:r>
      <w:r>
        <w:t xml:space="preserve">Minn. 11</w:t>
      </w:r>
      <w:r>
        <w:t xml:space="preserve">,</w:t>
      </w:r>
      <w:r>
        <w:t xml:space="preserve"> </w:t>
      </w:r>
      <w:r>
        <w:t xml:space="preserve">299 N.W. 649</w:t>
      </w:r>
      <w:r>
        <w:t xml:space="preserve"> </w:t>
      </w:r>
      <w:r>
        <w:t xml:space="preserve">(1941).</w:t>
      </w:r>
    </w:p>
    <w:p>
      <w:pPr>
        <w:pStyle w:val="CaseBody"/>
      </w:pPr>
      <w:r>
        <w:t xml:space="preserve">Cargill contends that the prerequisites of an agency relationship did not exist because Cargill never consented to the agency, Warren did not act on behalf of Cargill, and Cargill did not exercise control over Warren. We hold that all three elements of agency could be found in the particular circumstances of this case. By directing Warren to implement its recommendations, Cargill manifested its consent that Warren would be its agent. Warren acted on Cargill’s behalf in procuring grain for Cargill as the part of its normal operations which were totally financed by Car-gill.</w:t>
      </w:r>
      <w:r>
        <w:rPr>
          <w:rStyle w:val="FootnoteReference"/>
        </w:rPr>
        <w:footnoteReference w:customMarkFollows="1" w:id="163"/>
        <w:t xml:space="preserve">7</w:t>
      </w:r>
      <w:r>
        <w:t xml:space="preserve"> </w:t>
      </w:r>
      <w:r>
        <w:t xml:space="preserve">Further, an agency relationship was established by Cargill’s interference with the internal affairs of Warren, which constituted de facto control of the elevator.</w:t>
      </w:r>
    </w:p>
    <w:p>
      <w:pPr>
        <w:pStyle w:val="CaseBody"/>
      </w:pPr>
      <w:r>
        <w:t xml:space="preserve">A creditor who assumes control of his debtor’s business may become liable as principal for the acts of the debtor in connection with the business. Restatement (Second) of Agency § 14 0 (1958). It is noted in comment a to section 14 0 that:</w:t>
      </w:r>
    </w:p>
    <w:p>
      <w:pPr>
        <w:pStyle w:val="BlockText"/>
      </w:pPr>
      <w:r>
        <w:t xml:space="preserve">A security holder who merely exercises a veto power over the business acts of his debtor by preventing purchases or sales above specified amounts does not thereby become a principal. However, if he takes over the management of the debtor’s business either in person or through an agent, and directs what contracts may or may not be made, he becomes a principal, liable as a principal for the obligations incurred thereafter in the normal course of business by the debtor who has now become his general agent. The point at which the creditor becomes a principal is that at which he assumes de facto control over the conduct of his debtor, whatever the terms of the formal contract with his debtor may be.</w:t>
      </w:r>
    </w:p>
    <w:p>
      <w:pPr>
        <w:pStyle w:val="CaseBody"/>
      </w:pPr>
      <w:r>
        <w:t xml:space="preserve">A number of factors indicate Cargill’s control over Warren, including the following:</w:t>
      </w:r>
    </w:p>
    <w:p>
      <w:pPr>
        <w:pStyle w:val="CaseBody"/>
      </w:pPr>
      <w:r>
        <w:t xml:space="preserve">(1) Cargill’s constant recommendations to Warren by telephone;</w:t>
      </w:r>
    </w:p>
    <w:p>
      <w:pPr>
        <w:pStyle w:val="CaseBody"/>
      </w:pPr>
      <w:r>
        <w:t xml:space="preserve">(2) Cargill’s right of first refusal on grain;</w:t>
      </w:r>
    </w:p>
    <w:p>
      <w:pPr>
        <w:pStyle w:val="CaseBody"/>
      </w:pPr>
      <w:r>
        <w:t xml:space="preserve">(3) Warren’s inability to enter into mortgages, to purchase stock or to pay dividends without Cargill’s approval;</w:t>
      </w:r>
    </w:p>
    <w:p>
      <w:pPr>
        <w:pStyle w:val="CaseBody"/>
      </w:pPr>
      <w:r>
        <w:t xml:space="preserve">(4) Cargill’s right of entry onto Warren’s premises to carry on periodic checks and audits;</w:t>
      </w:r>
    </w:p>
    <w:p>
      <w:pPr>
        <w:pStyle w:val="CaseBody"/>
      </w:pPr>
      <w:r>
        <w:t xml:space="preserve">(5) Cargill’s correspondence and criticism regarding Warren’s finances, officers salaries and inventory;</w:t>
      </w:r>
    </w:p>
    <w:p>
      <w:pPr>
        <w:pStyle w:val="CaseBody"/>
      </w:pPr>
      <w:r>
        <w:t xml:space="preserve">(6) Cargill’s determination that Warren needed “strong paternal guidance”;</w:t>
      </w:r>
    </w:p>
    <w:p>
      <w:pPr>
        <w:pStyle w:val="CaseBody"/>
      </w:pPr>
      <w:r>
        <w:t xml:space="preserve">(7) Provision of drafts and forms to Warren upon which Cargill’s name was imprinted;</w:t>
      </w:r>
    </w:p>
    <w:p>
      <w:pPr>
        <w:pStyle w:val="CaseBody"/>
      </w:pPr>
      <w:r>
        <w:t xml:space="preserve">(8) Financing of all Warren’s purchases of grain and operating expenses; and</w:t>
      </w:r>
    </w:p>
    <w:p>
      <w:pPr>
        <w:pStyle w:val="CaseBody"/>
      </w:pPr>
      <w:r>
        <w:t xml:space="preserve">(9) Cargill’s power to discontinue the financing of Warren’s operations.</w:t>
      </w:r>
    </w:p>
    <w:p>
      <w:pPr>
        <w:pStyle w:val="CaseBody"/>
      </w:pPr>
      <w:r>
        <w:t xml:space="preserve">We recognize that some of these elements, as Cargill contends, are found in an ordinary debtor-creditor relationship. However, these factors cannot be considered in isolation, but, rather, they must be viewed in light of all the circumstances surrounding Cargill’s aggressive financing of Warren.</w:t>
      </w:r>
    </w:p>
    <w:p>
      <w:pPr>
        <w:pStyle w:val="CaseBody"/>
      </w:pPr>
      <w:r>
        <w:t xml:space="preserve">It is also Cargill’s position that the relationship between Cargill and Warren was that of buyer-supplier rather than principal-agent. Restatement (Second) of Agency § 14K (1958) compares an agent with a supplier as follows:</w:t>
      </w:r>
    </w:p>
    <w:p>
      <w:pPr>
        <w:pStyle w:val="BlockText"/>
      </w:pPr>
      <w:r>
        <w:t xml:space="preserve">One who contracts to acquire property from a third person and convey it to another is the agent of the other only if it is agreed that he is to act primarily for the benefit of the other and not for himself.</w:t>
      </w:r>
    </w:p>
    <w:p>
      <w:pPr>
        <w:pStyle w:val="CaseBody"/>
      </w:pPr>
      <w:r>
        <w:t xml:space="preserve">Factors indicating that one is a supplier, rather than an agent, are:</w:t>
      </w:r>
    </w:p>
    <w:p>
      <w:pPr>
        <w:pStyle w:val="BlockText"/>
      </w:pPr>
      <w:r>
        <w:t xml:space="preserve">(1) That he is to receive a fixed price for the property irrespective of price paid by him. This is the most important. (2) That he acts in his own name and receives the title to the property which he thereafter is to transfer. (3) That he has an independent business in buying and selling similar property.</w:t>
      </w:r>
    </w:p>
    <w:p>
      <w:pPr>
        <w:pStyle w:val="CaseBody"/>
      </w:pPr>
      <w:r>
        <w:t xml:space="preserve">Restatement (Second) of Agency § 14K, comment a (1958).</w:t>
      </w:r>
    </w:p>
    <w:p>
      <w:pPr>
        <w:pStyle w:val="CaseBody"/>
      </w:pPr>
      <w:r>
        <w:t xml:space="preserve">Under the Restatement approach, it must be shown that the supplier has an independent business before it can be concluded that he is not an agent. The record establishes that all portions of Warren’s operation were financed by Cargill and that Warren sold almost all of its market grain to Cargill. Thus, the relationship which existed between the parties was not merely that of buyer and supplier.</w:t>
      </w:r>
    </w:p>
    <w:p>
      <w:pPr>
        <w:pStyle w:val="CaseBody"/>
      </w:pPr>
      <w:r>
        <w:t xml:space="preserve">A case analogous to the present one is</w:t>
      </w:r>
      <w:r>
        <w:t xml:space="preserve"> </w:t>
      </w:r>
      <w:r>
        <w:rPr>
          <w:iCs/>
          <w:i/>
        </w:rPr>
        <w:t xml:space="preserve">Butler v. Bunge Corporation,</w:t>
      </w:r>
      <w:r>
        <w:t xml:space="preserve"> </w:t>
      </w:r>
      <w:r>
        <w:t xml:space="preserve">329 F.Supp. 47</w:t>
      </w:r>
      <w:r>
        <w:t xml:space="preserve"> </w:t>
      </w:r>
      <w:r>
        <w:t xml:space="preserve">(N.D.Miss.1971). In</w:t>
      </w:r>
      <w:r>
        <w:t xml:space="preserve"> </w:t>
      </w:r>
      <w:r>
        <w:rPr>
          <w:iCs/>
          <w:i/>
        </w:rPr>
        <w:t xml:space="preserve">Butler,</w:t>
      </w:r>
      <w:r>
        <w:t xml:space="preserve"> </w:t>
      </w:r>
      <w:r>
        <w:t xml:space="preserve">the plaintiff brought an action to recover the price of a soybean crop sold to an elevator that was operated by Bayles, a purported agent of the defendant Bunge Corporation. Bayles had agreed to operate a former Bunge elevator pursuant to an agreement in which Bayles was designated as manager. Although Bunge contended that Bayles was an independent contractor, the court determined that the elevator was an agent of Bunge.</w:t>
      </w:r>
      <w:r>
        <w:rPr>
          <w:rStyle w:val="FootnoteReference"/>
        </w:rPr>
        <w:footnoteReference w:customMarkFollows="1" w:id="183"/>
        <w:t xml:space="preserve">8</w:t>
      </w:r>
    </w:p>
    <w:p>
      <w:pPr>
        <w:pStyle w:val="CaseBody"/>
      </w:pPr>
      <w:r>
        <w:t xml:space="preserve">In this case, as in</w:t>
      </w:r>
      <w:r>
        <w:t xml:space="preserve"> </w:t>
      </w:r>
      <w:r>
        <w:rPr>
          <w:iCs/>
          <w:i/>
        </w:rPr>
        <w:t xml:space="preserve">Butler,</w:t>
      </w:r>
      <w:r>
        <w:t xml:space="preserve"> </w:t>
      </w:r>
      <w:r>
        <w:t xml:space="preserve">Cargill furnished substantially all funds received by the elevator. Cargill did have a right of entry on Warren’s premises, and it, like Bunge, required maintenance of insurance against hazards of operation. Warren’s activities, like Bayles’ operations, formed a substantial part of Cargill’s business that was developed in that area. In addition, Cargill did not think of Warren as an operator who was free to become Cargill’s competitor, but rather conceded that it believed that Warren owed a duty of loyalty to Cargill. The decisions made by Warren were not independent of Cargill’s interest or its control.</w:t>
      </w:r>
    </w:p>
    <w:p>
      <w:pPr>
        <w:pStyle w:val="CaseBody"/>
      </w:pPr>
      <w:r>
        <w:t xml:space="preserve">Further, we are not persuaded by the fact that Warren was not one of the “line” elevators that Cargill operated in its own name. The Warren operation, like the line elevator, was financially dependent on Car-gill’s continual infusion of capital. The arrangement with Warren presented a convenient alternative to the establishment of a line elevator. Cargill became, in essence, the owner of the operation without the accompanying legal indicia.</w:t>
      </w:r>
    </w:p>
    <w:p>
      <w:pPr>
        <w:pStyle w:val="CaseBody"/>
      </w:pPr>
      <w:r>
        <w:t xml:space="preserve">The amici curiae assert that, if the jury verdict is upheld, firms and banks which have provided business loans to county elevators will decline to make further loans. The decision in this case should give no cause for such concern. We deal here with a business enterprise markedly different from an ordinary bank financing, since Car-gill was an active participant in Warren’s operations rather than simply a financier. Cargill’s course of dealing with Warren was, by its own admission, a paternalistic relationship in which Cargill made the key economic decisions and kept Warren in existence.</w:t>
      </w:r>
    </w:p>
    <w:p>
      <w:pPr>
        <w:pStyle w:val="CaseBody"/>
      </w:pPr>
      <w:r>
        <w:t xml:space="preserve">Although considerable interest was paid by Warren on the loan, the reason for Car-gill’s'financing of Warren was not to make money as a lender but, rather, to establish a source of market grain for its business. As one Cargill manager noted, “We were staying in there because we wanted the grain.” For this reason, Cargill was willing to extend the credit line far beyond the amount originally allocated to Warren. It is noteworthy that Cargill was receiving significant amounts of grain and that, notwithstanding the risk that was recognized by Cargill, the operation was considered profitable.</w:t>
      </w:r>
    </w:p>
    <w:p>
      <w:pPr>
        <w:pStyle w:val="CaseBody"/>
      </w:pPr>
      <w:r>
        <w:t xml:space="preserve">On the whole, there was a unique fabric in the relationship between Cargill and Warren which varies from that found in normal debtor-creditor situations. We conclude that, on the facts of this case, there was sufficient evidence from which the jury could find that Cargill was the principal of Warren within the definitions of agency set forth in Restatement (Second) of Agency §§ 1 and 140.</w:t>
      </w:r>
    </w:p>
    <w:p>
      <w:pPr>
        <w:pStyle w:val="CaseBody"/>
      </w:pPr>
      <w:r>
        <w:t xml:space="preserve">2. Cargill argues that even if it were established that Cargill was Warren’s principal in regard to this transaction, Car-gill could only be an undisclosed principal because plaintiffs failed to establish that they had notice of a principal.</w:t>
      </w:r>
      <w:r>
        <w:t xml:space="preserve"> </w:t>
      </w:r>
      <w:r>
        <w:rPr>
          <w:iCs/>
          <w:i/>
        </w:rPr>
        <w:t xml:space="preserve">See</w:t>
      </w:r>
      <w:r>
        <w:t xml:space="preserve"> </w:t>
      </w:r>
      <w:r>
        <w:t xml:space="preserve">Restatement (Second) of Agency § 4 (1958). It asserts that, as an undisclosed principal, it should not be held liable on contracts made by its agent since it settled with the purported agent prior to notice of any third-party claims.</w:t>
      </w:r>
    </w:p>
    <w:p>
      <w:pPr>
        <w:pStyle w:val="CaseBody"/>
      </w:pPr>
      <w:r>
        <w:t xml:space="preserve">By consent of the parties, the trial court agreed to decide the issue regarding whether Cargill was an undisclosed or disclosed principal. Although the court noted that it could reasonably refuse to make the requested finding, it chose to rule that, as a matter of fact, Cargill was a disclosed principal.</w:t>
      </w:r>
    </w:p>
    <w:p>
      <w:pPr>
        <w:pStyle w:val="CaseBody"/>
      </w:pPr>
      <w:r>
        <w:t xml:space="preserve">From the facts in the record, it is unclear whether plaintiffs were on notice that Warren was acting on Cargill’s behalf. However, it is not necessary to decide whether Cargill was a disclosed or undisclosed principal. We believe that Cargill cannot avoid its liability to plaintiffs by payment to its agent even if it had operated as an undisclosed principal.</w:t>
      </w:r>
    </w:p>
    <w:p>
      <w:pPr>
        <w:pStyle w:val="CaseBody"/>
      </w:pPr>
      <w:r>
        <w:t xml:space="preserve">The question of whether payment in good faith to an agent relieves a principal of liability to a third party has not previously been decided in Minnesota. Although there is little recent authority, a majority of jurisdictions recognize the English or older rule that payment by an undisclosed principal without notice is a good defense to any claim asserted by a third party.</w:t>
      </w:r>
      <w:r>
        <w:rPr>
          <w:rStyle w:val="FootnoteReference"/>
        </w:rPr>
        <w:footnoteReference w:customMarkFollows="1" w:id="202"/>
        <w:t xml:space="preserve">9</w:t>
      </w:r>
      <w:r>
        <w:t xml:space="preserve"> </w:t>
      </w:r>
      <w:r>
        <w:rPr>
          <w:iCs/>
          <w:i/>
        </w:rPr>
        <w:t xml:space="preserve">See Shasta Livestock Auction Yard, Inc.</w:t>
      </w:r>
      <w:r>
        <w:t xml:space="preserve"> </w:t>
      </w:r>
      <w:r>
        <w:t xml:space="preserve">v.</w:t>
      </w:r>
      <w:r>
        <w:t xml:space="preserve"> </w:t>
      </w:r>
      <w:r>
        <w:rPr>
          <w:iCs/>
          <w:i/>
        </w:rPr>
        <w:t xml:space="preserve">Bill Evans Cattle Management Corp.,</w:t>
      </w:r>
      <w:r>
        <w:t xml:space="preserve"> </w:t>
      </w:r>
      <w:r>
        <w:t xml:space="preserve">375 F.Supp. 1027</w:t>
      </w:r>
      <w:r>
        <w:t xml:space="preserve"> </w:t>
      </w:r>
      <w:r>
        <w:t xml:space="preserve">(D. Idaho 1974). The modern view, which has been adopted by a minority of states, is expressed in Restatement (Second) of Agency § 208 (1958), which provides:</w:t>
      </w:r>
    </w:p>
    <w:p>
      <w:pPr>
        <w:pStyle w:val="BlockText"/>
      </w:pPr>
      <w:r>
        <w:t xml:space="preserve">An undisclosed principal is not discharged from liability to the other party to a transaction conducted by an agent by payment to, or settlement of accounts with, the agent, unless he does so in reasonable reliance upon conduct of the other party which is not induced by the agent’s misrepresentations and which indicates that the agent has settled the account.</w:t>
      </w:r>
    </w:p>
    <w:p>
      <w:pPr>
        <w:pStyle w:val="CaseBody"/>
      </w:pPr>
      <w:r>
        <w:rPr>
          <w:iCs/>
          <w:i/>
        </w:rPr>
        <w:t xml:space="preserve">See Poretta v. Superior Dowel Company,</w:t>
      </w:r>
      <w:r>
        <w:t xml:space="preserve"> </w:t>
      </w:r>
      <w:r>
        <w:t xml:space="preserve">153 Me. 308</w:t>
      </w:r>
      <w:r>
        <w:t xml:space="preserve">,</w:t>
      </w:r>
      <w:r>
        <w:t xml:space="preserve"> </w:t>
      </w:r>
      <w:r>
        <w:t xml:space="preserve">137 A.2d 361</w:t>
      </w:r>
      <w:r>
        <w:t xml:space="preserve"> </w:t>
      </w:r>
      <w:r>
        <w:t xml:space="preserve">(1958).</w:t>
      </w:r>
    </w:p>
    <w:p>
      <w:pPr>
        <w:pStyle w:val="CaseBody"/>
      </w:pPr>
      <w:r>
        <w:t xml:space="preserve">We now adopt the modern position set forth in the Restatement rule. We believe that this rule is the better principle to be followed since the undisclosed principal is aware that he will become liable under the original transaction, and he should not be able to escape his liability by payment to the agent. Seavey,</w:t>
      </w:r>
      <w:r>
        <w:t xml:space="preserve"> </w:t>
      </w:r>
      <w:r>
        <w:rPr>
          <w:iCs/>
          <w:i/>
        </w:rPr>
        <w:t xml:space="preserve">Undisclosed Principal; Unsettled Problems,</w:t>
      </w:r>
      <w:r>
        <w:t xml:space="preserve"> </w:t>
      </w:r>
      <w:r>
        <w:t xml:space="preserve">1 Howard L.J. 79, 84 (1955). As one commentator observed:</w:t>
      </w:r>
    </w:p>
    <w:p>
      <w:pPr>
        <w:pStyle w:val="BlockText"/>
      </w:pPr>
      <w:r>
        <w:t xml:space="preserve">[T]he [modern] rule of Park, B., seems on the whole to be reasonable and just. If the principal sends an agent to buy goods for him and on his account, it is not unreasonable that he should see that they are paid for. Although the seller may consider the agent to be the principal, the actual principal knows better. He can easily protect himself by insisting upon evidence that the goods have been paid for or that the seller with full knowledge of the facts has elected to rely upon the responsibility of the agent, and if he does not, but, except where misled by some action of the seller, voluntarily pays to the agent without knowing that he has paid the seller, there is no hardship in requiring him to pay again.</w:t>
      </w:r>
    </w:p>
    <w:p>
      <w:pPr>
        <w:pStyle w:val="CaseBody"/>
      </w:pPr>
      <w:r>
        <w:t xml:space="preserve">2 F. Mechem,</w:t>
      </w:r>
      <w:r>
        <w:t xml:space="preserve"> </w:t>
      </w:r>
      <w:r>
        <w:rPr>
          <w:iCs/>
          <w:i/>
        </w:rPr>
        <w:t xml:space="preserve">A Treatise on the Law of Agency</w:t>
      </w:r>
      <w:r>
        <w:t xml:space="preserve"> </w:t>
      </w:r>
      <w:r>
        <w:t xml:space="preserve">§ 1749 (1914).</w:t>
      </w:r>
    </w:p>
    <w:p>
      <w:pPr>
        <w:pStyle w:val="CaseBody"/>
      </w:pPr>
      <w:r>
        <w:t xml:space="preserve">Since plaintiffs did not indicate to Cargill that Warren had settled their accounts, Cargill, as principal, is not discharged from liability to plaintiffs by payment to Warren.</w:t>
      </w:r>
    </w:p>
    <w:p>
      <w:pPr>
        <w:pStyle w:val="CaseBody"/>
      </w:pPr>
      <w:r>
        <w:t xml:space="preserve">3. It is also Cargill’s position that the trial court erred in failing to submit certain requested jury instructions.</w:t>
      </w:r>
    </w:p>
    <w:p>
      <w:pPr>
        <w:pStyle w:val="CaseBody"/>
      </w:pPr>
      <w:r>
        <w:t xml:space="preserve">Cargill claims, first, that Restatement (Second) of Agency § 1 should have been given instead of 4 Minn. Dist. Judges Ass’n, Minnesota Practice, JIG II, § 250 (2d ed. 1974) as the latter instruction specifically states that it is to be used for tort cases only and that it must be modified before it can be used in contract cases. The essence of Restatement (Second) of Agency § 1 (1958) and JIG, § 250 are the same. In fact, since the latter provision requires actual physical control as an element, it was favorable rather than harmful to Cargill.</w:t>
      </w:r>
      <w:r>
        <w:t xml:space="preserve"> </w:t>
      </w:r>
      <w:r>
        <w:rPr>
          <w:iCs/>
          <w:i/>
        </w:rPr>
        <w:t xml:space="preserve">See Jurek v. Thompson,</w:t>
      </w:r>
      <w:r>
        <w:t xml:space="preserve"> </w:t>
      </w:r>
      <w:r>
        <w:t xml:space="preserve">308 Minn, at</w:t>
      </w:r>
      <w:r>
        <w:t xml:space="preserve"> </w:t>
      </w:r>
      <w:r>
        <w:t xml:space="preserve">199 n.4,</w:t>
      </w:r>
      <w:r>
        <w:t xml:space="preserve"> </w:t>
      </w:r>
      <w:r>
        <w:t xml:space="preserve">241 N.W.2d at</w:t>
      </w:r>
      <w:r>
        <w:t xml:space="preserve"> </w:t>
      </w:r>
      <w:r>
        <w:t xml:space="preserve">792 n.4. Consequently, Car-gill’s contention on this issue is without merit.</w:t>
      </w:r>
    </w:p>
    <w:p>
      <w:pPr>
        <w:pStyle w:val="CaseBody"/>
      </w:pPr>
      <w:r>
        <w:t xml:space="preserve">Cargill asserts, second, that the trial court erred in refusing to instruct on the issue that agency to perform a particular act cannot be inferred by the existence of agency relationship at another time and in a different capacity. Cargill is concerned that the testimony regarding the agency relationship in the sunflower and Bounty 208 program between Cargill and Warren created an inference that this relationship extended to other aspects of Warren’s operations. The court, however, is not required to instruct against every improper inference that a jury could draw. Also, it was pointed out by Cargill’s counsel in closing argument that the Bounty 208 contracts were completed in 1970-1971, and the relevant time period for the agency in this case was stated by the court as 1973 to 1977. Thus, the failure to give the requested instruction was not reversible error.</w:t>
      </w:r>
    </w:p>
    <w:p>
      <w:pPr>
        <w:pStyle w:val="CaseBody"/>
      </w:pPr>
      <w:r>
        <w:t xml:space="preserve">Cargill’s third contention is that the trial court erred in not submitting to the jury an instruction, in the form of Restatement (Second) of Agency § 14K and comment a to that section, which would serve to focus on some, but not all, of the applicable factors. The instruction could have confused the jury since Cargill asserted only a buyer-supplier relationship to the part of Warren’s operation involving purchase and resale of market grain. The court’s instruction on general agency law was adequate to inform the jury of the applicable principle of law. This is especially true in light of the fact that there are no recent Minnesota cases which interpret section 14K or apply it to situations similar to those in the instant case. Thus, the court gave a proper instruction in accordance with the controlling case law.</w:t>
      </w:r>
    </w:p>
    <w:p>
      <w:pPr>
        <w:pStyle w:val="CaseBody"/>
      </w:pPr>
      <w:r>
        <w:t xml:space="preserve">4. Cargill asserts that it was error for the trial court to exclude evidence that Warren had been sued in prior years by farmers for breach of contract, and Warren had neither asked Cargill to defend these suits nor notified Cargill that these suits had been brought. One customer who had previously brought an action against Warren was A. Gay Jenson, a plaintiff in this case.</w:t>
      </w:r>
    </w:p>
    <w:p>
      <w:pPr>
        <w:pStyle w:val="CaseBody"/>
      </w:pPr>
      <w:r>
        <w:t xml:space="preserve">The trial court properly determined that the particular transaction involved had no probative evidentiary value on the issues involved in this case. Any relevance, which would have required detailed evidence to find similarity between cases so as to create an inference useable in the present case, was outweighed by the likelihood of confusion of the jury. As the trial court noted, evidence would have been submitted on lawsuits concerning contracts which were not involved in this case. It could be concluded, therefore, that the court did not err in excluding this collateral evidence.</w:t>
      </w:r>
    </w:p>
    <w:p>
      <w:pPr>
        <w:pStyle w:val="CaseBody"/>
      </w:pPr>
      <w:r>
        <w:t xml:space="preserve">5. Finally, Cargill claims that the trial court’s denial of its motion for a change of venue was improper. Cargill moved for a change of venue pursuant to Minn.Stat. § 542.11 (1980), because it was not satisfied with the impartiality of the jury. Section 542.11 permits the trial court to exercise its discretion in determining when a change of venue is appropriate.</w:t>
      </w:r>
    </w:p>
    <w:p>
      <w:pPr>
        <w:pStyle w:val="CaseBody"/>
      </w:pPr>
      <w:r>
        <w:t xml:space="preserve">Minnesota District Court Rule 29 states:</w:t>
      </w:r>
    </w:p>
    <w:p>
      <w:pPr>
        <w:pStyle w:val="BlockText"/>
      </w:pPr>
      <w:r>
        <w:t xml:space="preserve">A change of venue shall not be granted under the provisions of section 542.11, unless the party applying therefor uses due diligence to procure the same within a reasonable time after issue has been joined in the action and the ground for the change has come to the knowledge of the applicant. Nor shall a change be granted where the other party will lose the benefit of a term, unless the party asking for such change shall move therefor at the earliest reasonable opportunity after issue has been joined and he has information of the ground of such change.</w:t>
      </w:r>
    </w:p>
    <w:p>
      <w:pPr>
        <w:pStyle w:val="CaseBody"/>
      </w:pPr>
      <w:r>
        <w:t xml:space="preserve">Cargill’s motion was made during the jury selection process. On group examination, 26 of the 60 veniremen were excused for cause, either because of relationship to the parties or because of prejudice. Of the 14 jurors who were seated, 2 were excused for cause. Several of the jurors said that they had information concerning the case. The trial court noted that all 14 jurors, including the 2 excused for cause, said that they would lay aside their impressions and opinions and. render a fair and impartial decision.</w:t>
      </w:r>
    </w:p>
    <w:p>
      <w:pPr>
        <w:pStyle w:val="CaseBody"/>
      </w:pPr>
      <w:r>
        <w:t xml:space="preserve">The mere fact that the jury had knowledge of the financial collapse of Warren and its connection with Cargill does not indicate that it could not render a fair decision.</w:t>
      </w:r>
      <w:r>
        <w:rPr>
          <w:rStyle w:val="FootnoteReference"/>
        </w:rPr>
        <w:footnoteReference w:customMarkFollows="1" w:id="220"/>
        <w:t xml:space="preserve">10</w:t>
      </w:r>
      <w:r>
        <w:t xml:space="preserve"> </w:t>
      </w:r>
      <w:r>
        <w:t xml:space="preserve">Further, Cargill had 13 months from the filing of the lawsuit to commencement of the trial to ascertain that Warren was a small community and that jurors from that area could be presumed to have some association with the elevator or with one of the 86 plaintiffs. Also, Cargill’s counsel, as well as plaintiffs’ counsel, referred to the economic impact of the decision on the community. Thus, the trial court’s denial of a change of venue was a proper exercise of discretion.</w:t>
      </w:r>
    </w:p>
    <w:p>
      <w:pPr>
        <w:pStyle w:val="CaseBody"/>
      </w:pPr>
      <w:r>
        <w:t xml:space="preserve">Affirmed.</w:t>
      </w:r>
    </w:p>
    <w:p>
      <w:pPr>
        <w:pStyle w:val="CaseBody"/>
      </w:pPr>
      <w:r>
        <w:t xml:space="preserve">SIMONETT, J., took no part in the consideration or decision of this case.</w:t>
      </w:r>
    </w:p>
    <w:bookmarkStart w:id="9" w:name="_auto_toc_9"/>
    <w:bookmarkEnd w:id="9"/>
    <w:p>
      <w:pPr>
        <w:pStyle w:val="ResourceNumber"/>
      </w:pPr>
      <w:r>
        <w:t xml:space="preserve">1.2.2</w:t>
      </w:r>
    </w:p>
    <w:p>
      <w:pPr>
        <w:pStyle w:val="ResourceTitle"/>
      </w:pPr>
      <w:r>
        <w:t xml:space="preserve">Tarnowski v. Resop</w:t>
      </w:r>
    </w:p>
    <w:p>
      <w:pPr>
        <w:pStyle w:val="HeadEnd"/>
      </w:pPr>
      <w:r>
        <w:t xml:space="preserve"> </w:t>
      </w:r>
    </w:p>
    <w:p>
      <w:pPr>
        <w:pStyle w:val="CaseHeader"/>
      </w:pPr>
      <w:r>
        <w:t xml:space="preserve">Minnesota Supreme Court</w:t>
      </w:r>
    </w:p>
    <w:p>
      <w:pPr>
        <w:pStyle w:val="CaseHeader"/>
      </w:pPr>
      <w:r>
        <w:t xml:space="preserve">236 Minn. 33</w:t>
      </w:r>
    </w:p>
    <w:p>
      <w:pPr>
        <w:pStyle w:val="CaseHeader"/>
      </w:pPr>
      <w:r>
        <w:t xml:space="preserve">No. 35,669</w:t>
      </w:r>
    </w:p>
    <w:p>
      <w:pPr>
        <w:pStyle w:val="CaseHeader"/>
      </w:pPr>
      <w:r>
        <w:t xml:space="preserve">1952-02-08</w:t>
      </w:r>
    </w:p>
    <w:p>
      <w:pPr>
        <w:pStyle w:val="CaseBody"/>
      </w:pPr>
      <w:r>
        <w:rPr>
          <w:iCs/>
          <w:i/>
        </w:rPr>
        <w:t xml:space="preserve">Christensen &amp; Johnson, Richard Converse,</w:t>
      </w:r>
      <w:r>
        <w:t xml:space="preserve"> </w:t>
      </w:r>
      <w:r>
        <w:t xml:space="preserve">and</w:t>
      </w:r>
      <w:r>
        <w:t xml:space="preserve"> </w:t>
      </w:r>
      <w:r>
        <w:rPr>
          <w:iCs/>
          <w:i/>
        </w:rPr>
        <w:t xml:space="preserve">Bauers &amp; Carlson,</w:t>
      </w:r>
      <w:r>
        <w:t xml:space="preserve"> </w:t>
      </w:r>
      <w:r>
        <w:t xml:space="preserve">for appellant.</w:t>
      </w:r>
    </w:p>
    <w:p>
      <w:pPr>
        <w:pStyle w:val="CaseBody"/>
      </w:pPr>
      <w:r>
        <w:rPr>
          <w:iCs/>
          <w:i/>
        </w:rPr>
        <w:t xml:space="preserve">Cronin, Mitchell &amp; Spooner,</w:t>
      </w:r>
      <w:r>
        <w:t xml:space="preserve"> </w:t>
      </w:r>
      <w:r>
        <w:t xml:space="preserve">for respondent.</w:t>
      </w:r>
    </w:p>
    <w:p>
      <w:pPr>
        <w:pStyle w:val="CaseBody"/>
      </w:pPr>
      <w:r>
        <w:t xml:space="preserve">Knutson, Justice.</w:t>
      </w:r>
    </w:p>
    <w:p>
      <w:pPr>
        <w:pStyle w:val="CaseBody"/>
      </w:pPr>
      <w:r>
        <w:t xml:space="preserve">Plaintiff desired to make a business investment. He engaged defendant as his agent to investigate and negotiate for the purchase of a route of coin-operated music machines. On June 2, 1947, relying upon the advice of defendant and the investigation he had made, plaintiff purchased such a business from Phillip Loechler and Lyle Mayer of Rochester, Minnesota, who will be referred to hereinafter as the sellers. The business was located at La Crosse, Wisconsin, and throughout the surrounding territory. Plaintiff alleges that defendant represented to him that he had made a thorough investigation of the route; that it had 75 locations in operation; that one or more machines were at each location; that the equipment at each location was not more than six months old; and that the gross income from all locations amounted to more than $3,000 per month. As a matter of fact, defendant had made only a superficial investigation and had investigated only five of the locations. Other than that, he had adopted false representations of the sellers as to the other locations and had passed them on to plaintiff as his own. Plaintiff was to pay $30,620 for the business. He paid $11,000 down. About six weeks after the purchase, plaintiff discovered that the representations made to him by defendant were false, in that there were not more than 47 locations; that at some of the locations there were no machines and at others there were machines more than six months old, some of them being seven years old; and that the gross income was far less than $3,000 per month. Upon discovering the falsity of defendant’s representations and those of the sellers, plaintiff rescinded the sale. He offered to return what he had received, and he demanded the return of his money. The sellers refused to comply, and he brought suit against them in the district court of Olmsted county. The action was tried, resulting in a verdict of $10,000 for plaintiff. Thereafter, the sellers paid plaintiff $9,500, after which the action was dismissed with prejudice pursuant to a stipulation of the parties.</w:t>
      </w:r>
    </w:p>
    <w:p>
      <w:pPr>
        <w:pStyle w:val="CaseBody"/>
      </w:pPr>
      <w:r>
        <w:t xml:space="preserve">In this action, brought in Hennepin county, plaintiff alleges that defendant, while acting as agent for him, collected a secret commission from the sellers for consummating the sale, which plaintiff seeks to recover under his first cause of action. In his second cause of action, he seeks to recover damages for (1) losses suffered in operating the route prior to rescission; (2) loss of time devoted to operation; (3) expenses in connection with rescission of the sale and his investigation in connection therewith; (4) nontaxable expenses in connection with prosecution of the suit against the sellers; and (5) attorneys’ fees in connection with the suit. The case was tried to a jury, and plaintiff recovered a verdict of $5,200. This appeal is from the judgment entered pursuant thereto.</w:t>
      </w:r>
    </w:p>
    <w:p>
      <w:pPr>
        <w:pStyle w:val="CaseBody"/>
      </w:pPr>
      <w:r>
        <w:t xml:space="preserve">Defendant contends that after recovery of a verdict by plaintiff in his action for rescission against the sellers he cannot maintain this action against defendant. Principally, defendant argues that recovery in the action against the sellers is a bar to this action for the following reasons: (1) That plaintiff has elected one of alternative remedies and cannot thereafter pursue another; (2) that successful pursuit of one remedy constitutes a bar to another remedy for the same wrong, even though the outcome of the first action did not make plaintiff whole in point of actual loss; (3) that the satisfied verdict in the rescission case is a bar; and (4) that defendant and the sellers were joint tortfeasors, and the discharge of one discharged them all.</w:t>
      </w:r>
    </w:p>
    <w:p>
      <w:pPr>
        <w:pStyle w:val="CaseBody"/>
      </w:pPr>
      <w:r>
        <w:t xml:space="preserve">With respect to plaintiff’s first cause of action, the principle that all profits made by an agent in the course of an agency belong to the principal, whether they are the fruits of performance or the violation of an agent’s duty, is firmly established and universally-recognized. Smitz v. Leopold,</w:t>
      </w:r>
      <w:r>
        <w:t xml:space="preserve"> </w:t>
      </w:r>
      <w:r>
        <w:t xml:space="preserve">51 Minn. 455</w:t>
      </w:r>
      <w:r>
        <w:t xml:space="preserve">,</w:t>
      </w:r>
      <w:r>
        <w:t xml:space="preserve"> </w:t>
      </w:r>
      <w:r>
        <w:t xml:space="preserve">53 N. W. 719</w:t>
      </w:r>
      <w:r>
        <w:t xml:space="preserve">; Crump v. Ingersoll,</w:t>
      </w:r>
      <w:r>
        <w:t xml:space="preserve"> </w:t>
      </w:r>
      <w:r>
        <w:t xml:space="preserve">44 Minn. 84</w:t>
      </w:r>
      <w:r>
        <w:t xml:space="preserve">,</w:t>
      </w:r>
      <w:r>
        <w:t xml:space="preserve"> </w:t>
      </w:r>
      <w:r>
        <w:t xml:space="preserve">46 N. W. 141</w:t>
      </w:r>
      <w:r>
        <w:t xml:space="preserve">; Kingsley v. Wheeler,</w:t>
      </w:r>
      <w:r>
        <w:t xml:space="preserve"> </w:t>
      </w:r>
      <w:r>
        <w:t xml:space="preserve">95 Minn. 360</w:t>
      </w:r>
      <w:r>
        <w:t xml:space="preserve">,</w:t>
      </w:r>
      <w:r>
        <w:t xml:space="preserve"> </w:t>
      </w:r>
      <w:r>
        <w:t xml:space="preserve">104 N. W. 543</w:t>
      </w:r>
      <w:r>
        <w:t xml:space="preserve">; Goodhue Farmers’ Warehouse Co. v. Davis,</w:t>
      </w:r>
      <w:r>
        <w:t xml:space="preserve"> </w:t>
      </w:r>
      <w:r>
        <w:t xml:space="preserve">81 Minn. 210</w:t>
      </w:r>
      <w:r>
        <w:t xml:space="preserve">,</w:t>
      </w:r>
      <w:r>
        <w:t xml:space="preserve"> </w:t>
      </w:r>
      <w:r>
        <w:t xml:space="preserve">83 N. W. 531</w:t>
      </w:r>
      <w:r>
        <w:t xml:space="preserve">; Snell v. Goodlander,</w:t>
      </w:r>
      <w:r>
        <w:t xml:space="preserve"> </w:t>
      </w:r>
      <w:r>
        <w:t xml:space="preserve">90 Minn. 533</w:t>
      </w:r>
      <w:r>
        <w:t xml:space="preserve">,</w:t>
      </w:r>
      <w:r>
        <w:t xml:space="preserve"> </w:t>
      </w:r>
      <w:r>
        <w:t xml:space="preserve">97 N. W. 421</w:t>
      </w:r>
      <w:r>
        <w:t xml:space="preserve">; City of Minneapolis v. Canterbury,</w:t>
      </w:r>
      <w:r>
        <w:t xml:space="preserve"> </w:t>
      </w:r>
      <w:r>
        <w:t xml:space="preserve">122 Minn. 301</w:t>
      </w:r>
      <w:r>
        <w:t xml:space="preserve">,</w:t>
      </w:r>
      <w:r>
        <w:t xml:space="preserve"> </w:t>
      </w:r>
      <w:r>
        <w:t xml:space="preserve">142 N. W. 812</w:t>
      </w:r>
      <w:r>
        <w:t xml:space="preserve">,</w:t>
      </w:r>
      <w:r>
        <w:t xml:space="preserve"> </w:t>
      </w:r>
      <w:r>
        <w:t xml:space="preserve">48 L.R.A.(N.S.) 842</w:t>
      </w:r>
      <w:r>
        <w:t xml:space="preserve">; Doyen v. Bauer,</w:t>
      </w:r>
      <w:r>
        <w:t xml:space="preserve"> </w:t>
      </w:r>
      <w:r>
        <w:t xml:space="preserve">211 Minn. 140</w:t>
      </w:r>
      <w:r>
        <w:t xml:space="preserve">,</w:t>
      </w:r>
      <w:r>
        <w:t xml:space="preserve"> </w:t>
      </w:r>
      <w:r>
        <w:t xml:space="preserve">300 N. W. 451</w:t>
      </w:r>
      <w:r>
        <w:t xml:space="preserve">; Magee v. Odden,</w:t>
      </w:r>
      <w:r>
        <w:t xml:space="preserve"> </w:t>
      </w:r>
      <w:r>
        <w:t xml:space="preserve">220 Minn. 498</w:t>
      </w:r>
      <w:r>
        <w:t xml:space="preserve">,</w:t>
      </w:r>
      <w:r>
        <w:t xml:space="preserve"> </w:t>
      </w:r>
      <w:r>
        <w:t xml:space="preserve">20 N. W. (2d) 87</w:t>
      </w:r>
      <w:r>
        <w:t xml:space="preserve">.</w:t>
      </w:r>
    </w:p>
    <w:p>
      <w:pPr>
        <w:pStyle w:val="CaseBody"/>
      </w:pPr>
      <w:r>
        <w:t xml:space="preserve">It matters not that the principal has suffered no damage or even that the transaction has been profitable to him. Raymond Farmers Elev. Co. v. American Surety Co.</w:t>
      </w:r>
      <w:r>
        <w:t xml:space="preserve"> </w:t>
      </w:r>
      <w:r>
        <w:t xml:space="preserve">207 Minn. 117</w:t>
      </w:r>
      <w:r>
        <w:t xml:space="preserve">,</w:t>
      </w:r>
      <w:r>
        <w:t xml:space="preserve"> </w:t>
      </w:r>
      <w:r>
        <w:t xml:space="preserve">290 N. W. 231</w:t>
      </w:r>
      <w:r>
        <w:t xml:space="preserve">,</w:t>
      </w:r>
      <w:r>
        <w:t xml:space="preserve"> </w:t>
      </w:r>
      <w:r>
        <w:t xml:space="preserve">126 A. L. R. 1351</w:t>
      </w:r>
      <w:r>
        <w:t xml:space="preserve">.</w:t>
      </w:r>
    </w:p>
    <w:p>
      <w:pPr>
        <w:pStyle w:val="CaseBody"/>
      </w:pPr>
      <w:r>
        <w:t xml:space="preserve">The rule and the basis therefor are well stated in Lum v. McEwen,</w:t>
      </w:r>
      <w:r>
        <w:t xml:space="preserve"> </w:t>
      </w:r>
      <w:r>
        <w:t xml:space="preserve">56 Minn. 278</w:t>
      </w:r>
      <w:r>
        <w:t xml:space="preserve">, 282,</w:t>
      </w:r>
      <w:r>
        <w:t xml:space="preserve"> </w:t>
      </w:r>
      <w:r>
        <w:t xml:space="preserve">57 N. W. 662</w:t>
      </w:r>
      <w:r>
        <w:t xml:space="preserve">, where, speaking through Mr. Justice Mitchell, we said:</w:t>
      </w:r>
    </w:p>
    <w:p>
      <w:pPr>
        <w:pStyle w:val="BlockText"/>
      </w:pPr>
      <w:r>
        <w:t xml:space="preserve">“Actual injury is not the principle the law proceeds on, in holding such transactions void. Fidelity in the agent is what is aimed at, and, as a means of securing it, the law will not permit him to place himself in a position in which he may be tempted by his own private interests to disregard those of his principal. * * * It is not material that no actual injury to the company [principal] resulted, or that the policy recommended may have been for its best interest. Courts will not inquire into these matters. It is enough to know that the agent in fact placed himself in such relations that he might be tempted by his own interests to disregard those of his principal.</w:t>
      </w:r>
    </w:p>
    <w:p>
      <w:pPr>
        <w:pStyle w:val="BlockText"/>
      </w:pPr>
      <w:r>
        <w:t xml:space="preserve">“The transaction was nothing more or less than the acceptance by the agent of a bribe to perform his duties in the manner desired by the person who gave the bribe. Such a contract is void.</w:t>
      </w:r>
    </w:p>
    <w:p>
      <w:pPr>
        <w:pStyle w:val="BlockText"/>
      </w:pPr>
      <w:r>
        <w:t xml:space="preserve">“This doctrine rests on such plain principles of law, as well as common business honesty, that the citation of authorities is unnecessary.”</w:t>
      </w:r>
    </w:p>
    <w:p>
      <w:pPr>
        <w:pStyle w:val="CaseBody"/>
      </w:pPr>
      <w:r>
        <w:t xml:space="preserve">The right to recover profits made by the agent in the course of the agency is not affected by the fact that the principal, upon discovering a fraud, has rescinded the contract and recovered that with which he parted. Restatement, Agency, § 407(2).</w:t>
      </w:r>
      <w:r>
        <w:t xml:space="preserve"> </w:t>
      </w:r>
      <w:r>
        <w:rPr>
          <w:iCs/>
          <w:i/>
        </w:rPr>
        <w:t xml:space="preserve">Comment e on Subsection</w:t>
      </w:r>
      <w:r>
        <w:t xml:space="preserve"> </w:t>
      </w:r>
      <w:r>
        <w:t xml:space="preserve">(2) reads:</w:t>
      </w:r>
    </w:p>
    <w:p>
      <w:pPr>
        <w:pStyle w:val="BlockText"/>
      </w:pPr>
      <w:r>
        <w:t xml:space="preserve">“If an agent has violated a duty of loyalty to the principal so that the principal is entitled to profits which the agent has thereby made, the fact that the principal has brought an action against a third person and has been made whole by such action does not prevent the principal from recovering from the agent the profits which the agent has made. Thus, if the other contracting party has given a bribe to the agent to make a contract with him on behalf of the principal, the principal can rescind the transaction, recovering from the other party anything received by him, or he can maintain an action for damages against him; in either event the principal may recover from the agent the amount of the bribe.”</w:t>
      </w:r>
    </w:p>
    <w:p>
      <w:pPr>
        <w:pStyle w:val="CaseBody"/>
      </w:pPr>
      <w:r>
        <w:t xml:space="preserve">It follows that, insofar as the secret commission of $2,000 received by the agent is concerned, plaintiff had an absolute right thereto, irrespective of any recovery resulting from the action against the sellers for rescission.</w:t>
      </w:r>
    </w:p>
    <w:p>
      <w:pPr>
        <w:pStyle w:val="CaseBody"/>
      </w:pPr>
      <w:r>
        <w:t xml:space="preserve">Plaintiff’s second cause of action is brought to recover damages for (1) losses suffered in the operation of the business prior to rescission; (2) loss of time devoted to operation; (3) expenses in connection with rescission of the sale and investigation therewith; (4) nontaxable expenses in connection with the prosecution of the suit against the sellers; and (5)</w:t>
      </w:r>
      <w:r>
        <w:t xml:space="preserve"> </w:t>
      </w:r>
      <w:r>
        <w:rPr>
          <w:iCs/>
          <w:i/>
        </w:rPr>
        <w:t xml:space="preserve">attorneys’</w:t>
      </w:r>
      <w:r>
        <w:t xml:space="preserve"> </w:t>
      </w:r>
      <w:r>
        <w:t xml:space="preserve">fees in connection with the suit.</w:t>
      </w:r>
    </w:p>
    <w:p>
      <w:pPr>
        <w:pStyle w:val="CaseBody"/>
      </w:pPr>
      <w:r>
        <w:t xml:space="preserve">The case comes to us on a bill of exceptions. No part of the testimony of the witnesses is included, so we must assume that the evidence establishes the items of damage claimed by plaintiff. Our inquiry is limited to a consideration of the question whether a principal may recover of an agent who has breached his trust the items of damage mentioned after a successful prosecution of an action for rescission against the third parties with whom the agent dealt for his principal.</w:t>
      </w:r>
    </w:p>
    <w:p>
      <w:pPr>
        <w:pStyle w:val="CaseBody"/>
      </w:pPr>
      <w:r>
        <w:t xml:space="preserve">The general rule is stated in Restatement, Agency, § 407(1), as follows:</w:t>
      </w:r>
    </w:p>
    <w:p>
      <w:pPr>
        <w:pStyle w:val="BlockText"/>
      </w:pPr>
      <w:r>
        <w:t xml:space="preserve">“If an agent has received a benefit as a result of violating his duty of loyalty, the principal is entitled to recover from him what he has so received, its value, or its proceeds, and also the amount of damage thereby caused, except that if the violation consists of the wrongful disposal of the principal’s property, the principal cannot recover its value and also what the agent received in exchange therefor.”</w:t>
      </w:r>
    </w:p>
    <w:p>
      <w:pPr>
        <w:pStyle w:val="CaseBody"/>
      </w:pPr>
      <w:r>
        <w:t xml:space="preserve">In</w:t>
      </w:r>
      <w:r>
        <w:t xml:space="preserve"> </w:t>
      </w:r>
      <w:r>
        <w:rPr>
          <w:iCs/>
          <w:i/>
        </w:rPr>
        <w:t xml:space="preserve">Comment a on Subsection</w:t>
      </w:r>
      <w:r>
        <w:t xml:space="preserve"> </w:t>
      </w:r>
      <w:r>
        <w:t xml:space="preserve">(1) we find the following:</w:t>
      </w:r>
    </w:p>
    <w:p>
      <w:pPr>
        <w:pStyle w:val="BlockText"/>
      </w:pPr>
      <w:r>
        <w:t xml:space="preserve">“* * * In either event, whether or not the principal elects to get back the thing improperly dealt with or to recover from the agent its value or the amount of benefit which the agent has improperly received, he is, in addition, entitled to be indemnified by the agent for any loss which has been caused to his interests by the improper transaction. Thus, if the purchasing agent for a restaurant purchases with the principal’s money defective food, receiving a bonus therefor, and the use of the food in the restaurant damages the business, the principal can recover from the agent the amount of money improperly expended by him, the bonus which the agent received, and the amount which will compensate for the injury to the business.”</w:t>
      </w:r>
    </w:p>
    <w:p>
      <w:pPr>
        <w:pStyle w:val="CaseBody"/>
      </w:pPr>
      <w:r>
        <w:t xml:space="preserve">The general rule with respect to damages for a tortious act is that—</w:t>
      </w:r>
    </w:p>
    <w:p>
      <w:pPr>
        <w:pStyle w:val="BlockText"/>
      </w:pPr>
      <w:r>
        <w:t xml:space="preserve">“The wrong-doer is answerable for all the injurious consequences of his tortious act which, according to the usual course of events and general experience, were likely to ensue and which, therefore, when the act was committed, he may reasonably be supposed to have foreseen and anticipated.” 1 Sutherland, Damages (4 ed.) § 45, quoted with approval in Sargent v. Mason,</w:t>
      </w:r>
      <w:r>
        <w:t xml:space="preserve"> </w:t>
      </w:r>
      <w:r>
        <w:t xml:space="preserve">101 Minn. 319</w:t>
      </w:r>
      <w:r>
        <w:t xml:space="preserve">, 323,</w:t>
      </w:r>
      <w:r>
        <w:t xml:space="preserve"> </w:t>
      </w:r>
      <w:r>
        <w:t xml:space="preserve">112 N. W. 255</w:t>
      </w:r>
      <w:r>
        <w:t xml:space="preserve">, 257.</w:t>
      </w:r>
    </w:p>
    <w:p>
      <w:pPr>
        <w:pStyle w:val="CaseBody"/>
      </w:pPr>
      <w:r>
        <w:t xml:space="preserve">The general rule is given in Eestatement, Torts, § 910, as follows:</w:t>
      </w:r>
    </w:p>
    <w:p>
      <w:pPr>
        <w:pStyle w:val="BlockText"/>
      </w:pPr>
      <w:r>
        <w:t xml:space="preserve">“A person, injured by the tort of another is entitled to recover damages from him for all harm, past, present and prospective, legally caused by the tort.”</w:t>
      </w:r>
    </w:p>
    <w:p>
      <w:pPr>
        <w:pStyle w:val="CaseBody"/>
      </w:pPr>
      <w:r>
        <w:t xml:space="preserve">Bergquist v. Kreidler,</w:t>
      </w:r>
      <w:r>
        <w:t xml:space="preserve"> </w:t>
      </w:r>
      <w:r>
        <w:t xml:space="preserve">158 Minn. 127</w:t>
      </w:r>
      <w:r>
        <w:t xml:space="preserve">,</w:t>
      </w:r>
      <w:r>
        <w:t xml:space="preserve"> </w:t>
      </w:r>
      <w:r>
        <w:t xml:space="preserve">196 N. W. 964</w:t>
      </w:r>
      <w:r>
        <w:t xml:space="preserve">, involved an action to recover attorneys’ fees expended by plaintiffs in an action seeking to enforce and protect their right to the possession of real estate. Defendant, acting as the owner’s agent, had falsely represented to plaintiffs that they could have possession on August 1, 1920. It developed after plaintiffs had purchased the premises that a tenant had a lease running to August 1, 1922, on a rental much lower than the actual value of the premises. Defendant (the agent) conceded that plaintiffs were entitled to recover the loss in rent, but contended that attorneys’ fees and disbursements expended by plaintiffs in testing the validity of the tenant’s lease were not recoverable. In affirming plaintiffs’ right to recover we said (</w:t>
      </w:r>
      <w:r>
        <w:t xml:space="preserve">158 Minn. 132</w:t>
      </w:r>
      <w:r>
        <w:t xml:space="preserve">,</w:t>
      </w:r>
      <w:r>
        <w:t xml:space="preserve"> </w:t>
      </w:r>
      <w:r>
        <w:t xml:space="preserve">196 N. W. 966</w:t>
      </w:r>
      <w:r>
        <w:t xml:space="preserve">):</w:t>
      </w:r>
    </w:p>
    <w:p>
      <w:pPr>
        <w:pStyle w:val="BlockText"/>
      </w:pPr>
      <w:r>
        <w:t xml:space="preserve">“* * * the litigation in which plaintiffs became involved was the direct, legitimate and a to-be-expected result of appellant’s misrepresentation. The loss sustained by plaintiffs in conducting that litigation ‘is plainly traceable’ to appellant’s wrong and he should make compensation accordingly.”</w:t>
      </w:r>
    </w:p>
    <w:p>
      <w:pPr>
        <w:pStyle w:val="CaseBody"/>
      </w:pPr>
      <w:r>
        <w:t xml:space="preserve">So far as the right to recover attorneys’ fees is concerned, the same may be said in this case. Plaintiff sought to return what had been received and demanded a return of his down payment. The sellers refused. He thereupon sued to accomplish this purpose, as he had a right to do, and was successful. His attorneys’ fees and expenses of suit were directly traceable to the harm caused by defendant’s wrongful act. As such, they are recoverable.</w:t>
      </w:r>
    </w:p>
    <w:p>
      <w:pPr>
        <w:pStyle w:val="CaseBody"/>
      </w:pPr>
      <w:r>
        <w:t xml:space="preserve">The Bergquist case is distinguished in the later case of Stickney v. Goward,</w:t>
      </w:r>
      <w:r>
        <w:t xml:space="preserve"> </w:t>
      </w:r>
      <w:r>
        <w:t xml:space="preserve">161 Minn. 457</w:t>
      </w:r>
      <w:r>
        <w:t xml:space="preserve">,</w:t>
      </w:r>
      <w:r>
        <w:t xml:space="preserve"> </w:t>
      </w:r>
      <w:r>
        <w:t xml:space="preserve">201 N. W. 630</w:t>
      </w:r>
      <w:r>
        <w:t xml:space="preserve">,</w:t>
      </w:r>
      <w:r>
        <w:t xml:space="preserve"> </w:t>
      </w:r>
      <w:r>
        <w:t xml:space="preserve">39 A. L. R. 1216</w:t>
      </w:r>
      <w:r>
        <w:t xml:space="preserve">, where we held that attorneys’ fees might not be recovered in a separate suit against the same parties that were involved in a prior suit. That situation does not prevail here. In this case, defendant was not a party to the suit against the sellers. As in the Bergquist case, the attorneys’ fees and expenses of litigation against the sellers became necessary because of defendant’s tortious conduct. The general rule applicable here is stated in 15 Am. Jur., Damages, § 144, as follows:</w:t>
      </w:r>
    </w:p>
    <w:p>
      <w:pPr>
        <w:pStyle w:val="BlockText"/>
      </w:pPr>
      <w:r>
        <w:t xml:space="preserve">“It is generally held that where the wrongful act of the defendant has involved the plaintiff in litigation with others or placed him in such relation with others as makes it necessary to incur expense to protect his interest, such costs and expenses, including attorneys’ fees, should be treated as the legal consequences of the original wrongful act and may be recovered as damages.”</w:t>
      </w:r>
    </w:p>
    <w:p>
      <w:pPr>
        <w:pStyle w:val="CaseBody"/>
      </w:pPr>
      <w:r>
        <w:t xml:space="preserve">The same is true of the other elements of damage involved. See, generally, 15 Am. Jur., Damages, § 138.</w:t>
      </w:r>
    </w:p>
    <w:p>
      <w:pPr>
        <w:pStyle w:val="CaseBody"/>
      </w:pPr>
      <w:r>
        <w:t xml:space="preserve">Defendant contends that plaintiff had an election of remedies and, having elected to proceed against the sellers to recover what he had paid, is now barred from proceeding against defendant. It is true that upon discovery of the fraud plaintiff had an election of remedies against the sellers. It is not true, however, that, having elected to sue for recovery of that with which he had parted, he is barred from proceeding against his agent to recover damages for his tortious conduct. While some of the allegations in plaintiff’s complaint against the sellers are similar to or identical with those in his complaint in this case, insofar as the fraud is concerned, the right of recovery here against the agent goes much further than the action against the sellers. Many of the elements of damage against the agent are not available to plaintiff against the sellers. For instance, he has no right to recover attorneys’ fees and expenses of the litigation against the sellers. He has that right against the agent. Plaintiff may recover profits made by the agent, irrespective of his recovery against the sellers. Losses directly flowing from the agent’s tortious conduct are not recoverable against the sellers in an action for rescission, but they may be recovered against the agent, whose breach of faith has caused such losses.</w:t>
      </w:r>
    </w:p>
    <w:p>
      <w:pPr>
        <w:pStyle w:val="CaseBody"/>
      </w:pPr>
      <w:r>
        <w:t xml:space="preserve">Nor is the settlement and dismissal of the action against the sellers a bar to an action against the agent, for the same reasons as stated above. The sellers and agent are not joint tortfeasors in the sense that their wrongful conduct necessarily grows out of the same wrong. Their individual torts may have been based on the same fraud, but their liabilities to plaintiff do not have the same limitations. In simple terms, the causes of action are not the same.</w:t>
      </w:r>
    </w:p>
    <w:p>
      <w:pPr>
        <w:pStyle w:val="CaseBody"/>
      </w:pPr>
      <w:r>
        <w:t xml:space="preserve">Defendant relies principally upon Martin v. Setter,</w:t>
      </w:r>
      <w:r>
        <w:t xml:space="preserve"> </w:t>
      </w:r>
      <w:r>
        <w:t xml:space="preserve">184 Minn. 457</w:t>
      </w:r>
      <w:r>
        <w:t xml:space="preserve">,</w:t>
      </w:r>
      <w:r>
        <w:t xml:space="preserve"> </w:t>
      </w:r>
      <w:r>
        <w:t xml:space="preserve">239 N. W. 219</w:t>
      </w:r>
      <w:r>
        <w:t xml:space="preserve">,</w:t>
      </w:r>
      <w:r>
        <w:t xml:space="preserve"> </w:t>
      </w:r>
      <w:r>
        <w:t xml:space="preserve">80 A. L. R. 471</w:t>
      </w:r>
      <w:r>
        <w:t xml:space="preserve">. In that case, plaintiffs and defendant contracted to exchange land. One Eieger acted as agent for defendant in the transaction. In a suit to recover for a default, defendant interposed a counterclaim for damages alleged to have resulted from fraudulent representations as to the value of the land which defendant received in the trade. It developed that defendant had instituted an action against his agent, Eieger, to recover damages for the identical misrepresentations plaintiffs were charged with, and that defendant had made a settlement with Eieger and had dismissed his action against Eieger with prejudice. We held that Eieger and plaintiffs were joint tortfeasors; that the action asserted against Eieger and the one against plaintiffs were one and the same; consequently, that a release of Eieger released plaintiffs.</w:t>
      </w:r>
    </w:p>
    <w:p>
      <w:pPr>
        <w:pStyle w:val="CaseBody"/>
      </w:pPr>
      <w:r>
        <w:t xml:space="preserve">The case is readily distinguishable from the instant case. The Martin case was not one for rescission. There, defendant’s counterclaim sought to recover his damages, he retaining what he had received. He had previously settled an action brought against his agent to recover the same damages. In the case now before us, the two actions, though based on the same fraud, are not the same, as we have pointed out above. The Martin case is not authority for the proposition for which defendant now contends. Settlement of the action for rescission against the sellers is not a bar to an action against the agent to recover those elements of damages not involved in the action for rescission brought against the sellers.</w:t>
      </w:r>
    </w:p>
    <w:p>
      <w:pPr>
        <w:pStyle w:val="CaseBody"/>
      </w:pPr>
      <w:r>
        <w:t xml:space="preserve">Affirmed.</w:t>
      </w:r>
    </w:p>
    <w:p>
      <w:pPr>
        <w:pStyle w:val="NodeEnd"/>
      </w:pPr>
      <w:r>
        <w:t xml:space="preserve"> </w:t>
      </w:r>
    </w:p>
    <w:p>
      <w:pPr>
        <w:pStyle w:val="NodeStart"/>
      </w:pPr>
      <w:r>
        <w:t xml:space="preserve"> </w:t>
      </w:r>
    </w:p>
    <w:p>
      <w:pPr>
        <w:pStyle w:val="HeadSeparator"/>
      </w:pPr>
      <w:r>
        <w:t xml:space="preserve"> </w:t>
      </w:r>
    </w:p>
    <w:bookmarkStart w:id="10" w:name="_auto_toc_10"/>
    <w:bookmarkEnd w:id="10"/>
    <w:p>
      <w:pPr>
        <w:pStyle w:val="ResourceNumber"/>
      </w:pPr>
      <w:r>
        <w:t xml:space="preserve">1.2.3</w:t>
      </w:r>
    </w:p>
    <w:p>
      <w:pPr>
        <w:pStyle w:val="ResourceTitle"/>
      </w:pPr>
      <w:r>
        <w:t xml:space="preserve">Food Lion, Inc. v. Capital Cities/ABC, Inc.</w:t>
      </w:r>
    </w:p>
    <w:p>
      <w:pPr>
        <w:pStyle w:val="HeadEnd"/>
      </w:pPr>
      <w:r>
        <w:t xml:space="preserve"> </w:t>
      </w:r>
    </w:p>
    <w:p>
      <w:pPr>
        <w:pStyle w:val="CaseHeader"/>
      </w:pPr>
      <w:r>
        <w:t xml:space="preserve">United States Court of Appeals for the Fourth Circuit</w:t>
      </w:r>
    </w:p>
    <w:p>
      <w:pPr>
        <w:pStyle w:val="CaseHeader"/>
      </w:pPr>
      <w:r>
        <w:t xml:space="preserve">194 F.3d 505</w:t>
      </w:r>
    </w:p>
    <w:p>
      <w:pPr>
        <w:pStyle w:val="CaseHeader"/>
      </w:pPr>
      <w:r>
        <w:t xml:space="preserve">Nos. 97-2492, 97-2564</w:t>
      </w:r>
    </w:p>
    <w:p>
      <w:pPr>
        <w:pStyle w:val="CaseHeader"/>
      </w:pPr>
      <w:r>
        <w:t xml:space="preserve">1999-10-20</w:t>
      </w:r>
    </w:p>
    <w:p>
      <w:pPr>
        <w:pStyle w:val="CaseBody"/>
      </w:pPr>
      <w:r>
        <w:t xml:space="preserve">Argued: June 4, 1998.</w:t>
      </w:r>
    </w:p>
    <w:p>
      <w:pPr>
        <w:pStyle w:val="CaseBody"/>
      </w:pPr>
      <w:r>
        <w:t xml:space="preserve">ARGUED: Bruce J. Ennis, Jr., Jenner</w:t>
      </w:r>
      <w:r>
        <w:t xml:space="preserve"> </w:t>
      </w:r>
      <w:r>
        <w:rPr>
          <w:iCs/>
          <w:i/>
        </w:rPr>
        <w:t xml:space="preserve">&amp;</w:t>
      </w:r>
      <w:r>
        <w:t xml:space="preserve"> </w:t>
      </w:r>
      <w:r>
        <w:t xml:space="preserve">Block, Washington, D.C., for Appellants. Richard L. Wyatt, Jr., Akin, Gump, Strauss, Hauer &amp; Feld, L.L.P., Washington, D.C., for Appellee. ON BRIEF: Paul M. Smith, Mark.D. Schneider, Deanne E. Maynard, Michelle B. Goodman, Christopher A. Bracey, Jenner</w:t>
      </w:r>
      <w:r>
        <w:t xml:space="preserve"> </w:t>
      </w:r>
      <w:r>
        <w:rPr>
          <w:iCs/>
          <w:i/>
        </w:rPr>
        <w:t xml:space="preserve">&amp;</w:t>
      </w:r>
      <w:r>
        <w:t xml:space="preserve"> </w:t>
      </w:r>
      <w:r>
        <w:t xml:space="preserve">Block, Washington, D.C.; William H. Jeffress, Jr., Randall J. Turk, Miller, Cassidy, Larroca &amp; Lewin, Washington, D.C.; Alan N. Braverman, Nathan Siegel, ABC, Incorporated, New York, New York; Kathleen M. Sullivan, Stanford Law School, Stanford, California; Hugh Stevens, Everett, Gaskins, Hancock &amp; Stevens, Raleigh, North Carolina, for Appellants. Michael J. Mueller, Thomas P. McLish, Akin, Gump, Strauss, Hauer</w:t>
      </w:r>
      <w:r>
        <w:t xml:space="preserve"> </w:t>
      </w:r>
      <w:r>
        <w:rPr>
          <w:iCs/>
          <w:i/>
        </w:rPr>
        <w:t xml:space="preserve">&amp;</w:t>
      </w:r>
      <w:r>
        <w:t xml:space="preserve"> </w:t>
      </w:r>
      <w:r>
        <w:t xml:space="preserve">Feld, L.L.P., Washington, D.C.; W. Andrew Copenhaver, Timothy G. Barber, Womble, Carlyle, Sandridge &amp; Rice, P.L.L.C., Winston-Salem, North Carolina, for Appellee.- Floyd Abrams, Gail Johnston, Cahill, Gordon</w:t>
      </w:r>
      <w:r>
        <w:t xml:space="preserve"> </w:t>
      </w:r>
      <w:r>
        <w:rPr>
          <w:iCs/>
          <w:i/>
        </w:rPr>
        <w:t xml:space="preserve">&amp;</w:t>
      </w:r>
      <w:r>
        <w:t xml:space="preserve"> </w:t>
      </w:r>
      <w:r>
        <w:t xml:space="preserve">Reindel, P.C., New York, - New York, for Amici Curiae Advance Publications, et al. David B. Small-man, Simpson, Thacher &amp; Bartlett, New York, New York, for Amicus Curiae Investigative Reporters. Thomas F. Wenning, Ronald A. Bloch, National Grocers Association, Reston, Virginia; Christopher A. Weals, Donald L. Rosenthal, Seyfarth, Shaw, Fairweather &amp; Geraldson, Washington, D.C., for Amicus Curiae Grocers. Neal Goldfarb, Tighe,' Patton, Tabackman &amp; Babbin, L.L.C., Washington, D.C., for Amici Curiae Lee, et al. Martin S. Kaufman, Edwin L. Lewis, Douglas Foster, Atlantic Legal Foundation, Inc., New York, New York, for Amicus Curiae Foundation. Valle Simms Dutcher, Southeastern Legal Foundation, Atlanta, Georgia; Charles J. Cooper, Michael W. Kirk, Cooper, Carvin &amp; Rosenthal, P.L.L.C., Washington, D.C., for Amicus Curiae Southeastern Legal.</w:t>
      </w:r>
    </w:p>
    <w:p>
      <w:pPr>
        <w:pStyle w:val="CaseBody"/>
      </w:pPr>
      <w:r>
        <w:t xml:space="preserve">Before NIEMEYER, MICHAEL, and MOTZ, Circuit Judges.</w:t>
      </w:r>
    </w:p>
    <w:p>
      <w:pPr>
        <w:pStyle w:val="CaseBody"/>
      </w:pPr>
      <w:r>
        <w:t xml:space="preserve">Affirmed in part and reversed in part by published opinion. Judge NIEMEYER wrote a separate opinion, concurring in part and dissenting in part.</w:t>
      </w:r>
    </w:p>
    <w:p>
      <w:pPr>
        <w:pStyle w:val="CaseBody"/>
      </w:pPr>
      <w:r>
        <w:t xml:space="preserve">OPINION</w:t>
      </w:r>
    </w:p>
    <w:p>
      <w:pPr>
        <w:pStyle w:val="CaseBody"/>
      </w:pPr>
      <w:r>
        <w:t xml:space="preserve">MICHAEL, Circuit Judge:</w:t>
      </w:r>
    </w:p>
    <w:p>
      <w:pPr>
        <w:pStyle w:val="CaseBody"/>
      </w:pPr>
      <w:r>
        <w:t xml:space="preserve">Two ABC television reporters, after using false resumes to get jobs at Food Lion, Inc. supermarkets, secretly videotaped what appeared to be unwholesome food handling practices. Some of the video footage was used by ABC in a</w:t>
      </w:r>
      <w:r>
        <w:t xml:space="preserve"> </w:t>
      </w:r>
      <w:r>
        <w:rPr>
          <w:iCs/>
          <w:i/>
        </w:rPr>
        <w:t xml:space="preserve">PrimeTime Live</w:t>
      </w:r>
      <w:r>
        <w:t xml:space="preserve"> </w:t>
      </w:r>
      <w:r>
        <w:t xml:space="preserve">broadcast that was sharply critical of Food Lion. The grocery chain sued Capital Cities/ABC, Inc., American Broadcasting Companies, Inc., Richard Kaplan and Ira Rosen, producers of</w:t>
      </w:r>
      <w:r>
        <w:t xml:space="preserve"> </w:t>
      </w:r>
      <w:r>
        <w:rPr>
          <w:iCs/>
          <w:i/>
        </w:rPr>
        <w:t xml:space="preserve">PrimeTime Live,</w:t>
      </w:r>
      <w:r>
        <w:t xml:space="preserve"> </w:t>
      </w:r>
      <w:r>
        <w:t xml:space="preserve">and Lynne Dale and Susan Barnett, two reporters for the program (collectively, “ABC” or the “ABC defendants”). Food Lion did not sue for defamation, but focused on how ABC gathered its information through claims for fraud, breach of duty of loyalty, trespass, and unfair trade practices. Food Lion won at trial, and judgment for compensatory damages of $1,402 was entered on the various claims. Following a substantial (over $5 million) remittitur, the judgment provided for $315,000 in punitive damages. The ABC defendants appeal the district court’s denial of their motion for judgment as a matter of law, and Food Lion appeals the court’s ruling that prevented it from proving publication damages. Having considered the case, we (1) reverse the judgment that the ABC defendants committed fraud and unfair trade practices, (2) affirm the judgment that Dale and Barnett breached their duty of loyalty and committed a trespass, and (3) affirm, on First Amendment grounds, the district court’s refusal to allow Food Lion to prove publication damages.</w:t>
      </w:r>
    </w:p>
    <w:p>
      <w:pPr>
        <w:pStyle w:val="CaseBody"/>
      </w:pPr>
      <w:r>
        <w:t xml:space="preserve">I.</w:t>
      </w:r>
    </w:p>
    <w:p>
      <w:pPr>
        <w:pStyle w:val="CaseBody"/>
      </w:pPr>
      <w:r>
        <w:t xml:space="preserve">In early 1992 producers of ABC’s</w:t>
      </w:r>
      <w:r>
        <w:t xml:space="preserve"> </w:t>
      </w:r>
      <w:r>
        <w:rPr>
          <w:iCs/>
          <w:i/>
        </w:rPr>
        <w:t xml:space="preserve">PrimeTime Live</w:t>
      </w:r>
      <w:r>
        <w:t xml:space="preserve"> </w:t>
      </w:r>
      <w:r>
        <w:t xml:space="preserve">program received a report alleging that Food Lion stores were engaging in unsanitary meat-handling practices. The allegations were that Food Lion employees ground out-of-date beef together with new beef, bleached rank meat to remove its odor, and re-dated (and offered for sale) products not sold before their printed expiration date. The producers recognized that these allegations presented the potential for a powerful news story, and they decided to conduct an undercover investigation of Food Lion. ABC reporters Lynne Dale (Lynne Litt at the time) and Susan Barnett concluded that they would have a better chance of investigating the allegations if they could become Food Lion employees. With the approval of their superiors, they proceeded to apply for jobs with the grocery chain, submitting applications with false identities and references and fictitious local addresses. Notably, the applications failed to mention the reporters’ concurrent employment with ABC and otherwise misrepresented then* educational and employment experiences. Based on these applications, a South Carolina Food Lion store hired Barnett as a deli clerk in April 1992, and a North Carolina Food Lion store hired Dale as a meat wrapper trainee in May 1992.</w:t>
      </w:r>
    </w:p>
    <w:p>
      <w:pPr>
        <w:pStyle w:val="CaseBody"/>
      </w:pPr>
      <w:r>
        <w:t xml:space="preserve">Barnett worked for Food Lion for two weeks, and Dale for only one week. As they went about their assigned tasks for Food Lion, Dale and Barnett used tiny cameras (“lipstick” cameras, for example) and microphones concealed on their bodies to secretly record Food Lion employees treating, wrapping and labeling meat, cleaning machinery, and discussing the practices of the meat department. They gathered footage from the meat cutting room, the deli counter, the employee break room, and a manager’s office. .All told, in their three collective weeks as Food Lion employees, Dale and Barnett recorded approximately 45 hours of concealed camera footage.</w:t>
      </w:r>
    </w:p>
    <w:p>
      <w:pPr>
        <w:pStyle w:val="CaseBody"/>
      </w:pPr>
      <w:r>
        <w:t xml:space="preserve">Some of the videotape was eventually used in a November 5, .1992, broadcast of</w:t>
      </w:r>
      <w:r>
        <w:t xml:space="preserve"> </w:t>
      </w:r>
      <w:r>
        <w:rPr>
          <w:iCs/>
          <w:i/>
        </w:rPr>
        <w:t xml:space="preserve">PrimeTime Live.</w:t>
      </w:r>
      <w:r>
        <w:t xml:space="preserve"> </w:t>
      </w:r>
      <w:r>
        <w:t xml:space="preserve">ABC contends the footage confirmed many of the allegations initially leveled against Food Lion. The broadcast included, for example, videotape that appeared to show Food Lion employees repackaging and redating fish that had passed the expiration date, grinding expired beef with fresh beef, and applying barbeque sauce to chicken past its expiration date in order to mask the smell and sell it as fresh in the gourmet food section. The program included statements by former Food Lion employees alleging even more serious mishandling of meat at Food Lion stores across several states. The truth of the</w:t>
      </w:r>
      <w:r>
        <w:t xml:space="preserve"> </w:t>
      </w:r>
      <w:r>
        <w:rPr>
          <w:iCs/>
          <w:i/>
        </w:rPr>
        <w:t xml:space="preserve">PrimeTime Live</w:t>
      </w:r>
      <w:r>
        <w:t xml:space="preserve"> </w:t>
      </w:r>
      <w:r>
        <w:t xml:space="preserve">broadcast was not an issue in the litigation we now describe.</w:t>
      </w:r>
    </w:p>
    <w:p>
      <w:pPr>
        <w:pStyle w:val="CaseBody"/>
      </w:pPr>
      <w:r>
        <w:t xml:space="preserve">Food Lion sued ABC and the</w:t>
      </w:r>
      <w:r>
        <w:t xml:space="preserve"> </w:t>
      </w:r>
      <w:r>
        <w:rPr>
          <w:iCs/>
          <w:i/>
        </w:rPr>
        <w:t xml:space="preserve">Prime-Time Live</w:t>
      </w:r>
      <w:r>
        <w:t xml:space="preserve"> </w:t>
      </w:r>
      <w:r>
        <w:t xml:space="preserve">producers and reporters. Food Lion’s suit focused not on the broadcast, as a defamation suit would, but on the methods ABC used to obtain the video footage. The grocery chain asserted claims of fraud, breach of the duty of loyalty, trespass, and unfair trade practices, seeking millions in compensatory damages. Specifically, Food Lion sought to recover (1) administrative costs and wages paid in connection with the employment of Dale and Barnett and (2) broadcast (publication) damages for matters such as loss of good will, lost sales and profits, and diminished stock value. Punitive damages were also requested by Food Lion.</w:t>
      </w:r>
    </w:p>
    <w:p>
      <w:pPr>
        <w:pStyle w:val="CaseBody"/>
      </w:pPr>
      <w:r>
        <w:t xml:space="preserve">The district court, in a remarkably efficient effort, tried the case with a jury in three phases. At the liability phase, the jury found all of the ABC defendants liable to Food Lion for fraud and two of them, Dale and Barnett, additionally liable for breach of the duty of loyalty and trespass. Based on the jury’s fraud verdict and its special interrogatory findings that the ABC defendants had engaged in deceptive acts, the district court determined that the ABC defendants had violated the North Carolina Unfair and Deceptive Trade Practices Act (UTPA). Prior to the compensatory damages phase, the district court ruled that damages allegedly incurred by Food Lion as a result of ABC’s broadcast of</w:t>
      </w:r>
      <w:r>
        <w:t xml:space="preserve"> </w:t>
      </w:r>
      <w:r>
        <w:rPr>
          <w:iCs/>
          <w:i/>
        </w:rPr>
        <w:t xml:space="preserve">PrimeTime Live</w:t>
      </w:r>
      <w:r>
        <w:t xml:space="preserve"> </w:t>
      </w:r>
      <w:r>
        <w:t xml:space="preserve">— “lost profits, lost sales, diminished stock value or anything of that nature” — could not be recovered because these damages were not proximately caused by the acts (fraud, trespass, etc.) attributed to the ABC defendants in this case.</w:t>
      </w:r>
      <w:r>
        <w:t xml:space="preserve"> </w:t>
      </w:r>
      <w:r>
        <w:rPr>
          <w:iCs/>
          <w:i/>
        </w:rPr>
        <w:t xml:space="preserve">See Food Lion, Inc. v. Capital Cities/ABC, Inc.,</w:t>
      </w:r>
      <w:r>
        <w:t xml:space="preserve"> </w:t>
      </w:r>
      <w:r>
        <w:t xml:space="preserve">964 F.Supp. 956</w:t>
      </w:r>
      <w:r>
        <w:t xml:space="preserve">, 958 (M.D.N.C.1997) (setting forth rationale for ruling at trial). Operating within this constraint, the jury in the second phase awarded Food Lion $1,400 in compensatory damages on its fraud claim, $1.00 each on its duty of loyalty and trespass claims, and $1,500 on its UTPA claim. (The court required Food Lion to make an election between the fraud and UTPA damages, and the grocery chain elected to take the $1,400 in fraud damages.) At the final stage the jury lowered the boom, and awarded $5,545,750 in punitive damages on the fraud claim against ABC and its two producers, Kaplan and Rosen. The jury refused to award punitive damages against the reporters, Dale and Barnett. In post-trial proceedings the district court ruled that the punitive damages award was excessive, and Food Lion accepted a remitti-tur to a total of $315,000.</w:t>
      </w:r>
    </w:p>
    <w:p>
      <w:pPr>
        <w:pStyle w:val="CaseBody"/>
      </w:pPr>
      <w:r>
        <w:t xml:space="preserve">After trial the ABC defendants moved for judgment as a .'matter of law on all claims, the motion was denied, and the defendants now appeal. Food Lion cross-appeals, contesting the district court’s ruling that the damages the grocery chain sought as a result of the</w:t>
      </w:r>
      <w:r>
        <w:t xml:space="preserve"> </w:t>
      </w:r>
      <w:r>
        <w:rPr>
          <w:iCs/>
          <w:i/>
        </w:rPr>
        <w:t xml:space="preserve">PrimeTime Live</w:t>
      </w:r>
      <w:r>
        <w:t xml:space="preserve"> </w:t>
      </w:r>
      <w:r>
        <w:t xml:space="preserve">broadcast were not recoverable in this action. We now turn to the legal issues.</w:t>
      </w:r>
    </w:p>
    <w:p>
      <w:pPr>
        <w:pStyle w:val="CaseBody"/>
      </w:pPr>
      <w:r>
        <w:t xml:space="preserve">II.</w:t>
      </w:r>
    </w:p>
    <w:p>
      <w:pPr>
        <w:pStyle w:val="CaseBody"/>
      </w:pPr>
      <w:r>
        <w:t xml:space="preserve">A.</w:t>
      </w:r>
    </w:p>
    <w:p>
      <w:pPr>
        <w:pStyle w:val="CaseBody"/>
      </w:pPr>
      <w:r>
        <w:t xml:space="preserve">We must first consider whether the ABC defendants can be held liable for fraud, breach of the duty of loyalty, and trespass as a matter of North Carolina and South Carolina law and whether the North Carolina UTPA applies. As a federal court sitting in diversity, we are obliged to interpret and apply the substantive law of each state.</w:t>
      </w:r>
      <w:r>
        <w:t xml:space="preserve"> </w:t>
      </w:r>
      <w:r>
        <w:rPr>
          <w:iCs/>
          <w:i/>
        </w:rPr>
        <w:t xml:space="preserve">See Erie R.R. Co. v. Tompkins,</w:t>
      </w:r>
      <w:r>
        <w:t xml:space="preserve"> </w:t>
      </w:r>
      <w:r>
        <w:t xml:space="preserve">304 U.S. 64</w:t>
      </w:r>
      <w:r>
        <w:t xml:space="preserve">,</w:t>
      </w:r>
      <w:r>
        <w:t xml:space="preserve"> </w:t>
      </w:r>
      <w:r>
        <w:t xml:space="preserve">58 S.Ct. 817</w:t>
      </w:r>
      <w:r>
        <w:t xml:space="preserve">,</w:t>
      </w:r>
      <w:r>
        <w:t xml:space="preserve"> </w:t>
      </w:r>
      <w:r>
        <w:t xml:space="preserve">82 L.Ed. 1188</w:t>
      </w:r>
      <w:r>
        <w:t xml:space="preserve"> </w:t>
      </w:r>
      <w:r>
        <w:t xml:space="preserve">(1938). This process is more complicated here because neither state’s highest court has applied its law to circumstances exactly like those presented in this case. Thus, we must offer our best judgment about what we believe those courts would do if faced with Food Lion’s claims today.</w:t>
      </w:r>
      <w:r>
        <w:t xml:space="preserve"> </w:t>
      </w:r>
      <w:r>
        <w:rPr>
          <w:iCs/>
          <w:i/>
        </w:rPr>
        <w:t xml:space="preserve">See Hatfield v. Palles,</w:t>
      </w:r>
      <w:r>
        <w:t xml:space="preserve"> </w:t>
      </w:r>
      <w:r>
        <w:t xml:space="preserve">537 F.2d 1245</w:t>
      </w:r>
      <w:r>
        <w:t xml:space="preserve">, 1248 (4th Cir.1976) (noting that when “[tjhere have been no decisions by the South Carolina Supreme Court ... [a] federal court must ... endeavor to decide the issue in the way it believes the South Carolina Supreme Court would decide it.”). In conducting our analysis, we may of course consider all of the authority that the state high courts would, and we should give appropriate weight to the opinions of their intermediate appellate courts.</w:t>
      </w:r>
      <w:r>
        <w:t xml:space="preserve"> </w:t>
      </w:r>
      <w:r>
        <w:rPr>
          <w:iCs/>
          <w:i/>
        </w:rPr>
        <w:t xml:space="preserve">Commissioner v. Estate of Bosch,</w:t>
      </w:r>
      <w:r>
        <w:t xml:space="preserve"> </w:t>
      </w:r>
      <w:r>
        <w:t xml:space="preserve">387 U.S. 456</w:t>
      </w:r>
      <w:r>
        <w:t xml:space="preserve">, 465,</w:t>
      </w:r>
      <w:r>
        <w:t xml:space="preserve"> </w:t>
      </w:r>
      <w:r>
        <w:t xml:space="preserve">87 S.Ct. 1776</w:t>
      </w:r>
      <w:r>
        <w:t xml:space="preserve">,</w:t>
      </w:r>
      <w:r>
        <w:t xml:space="preserve"> </w:t>
      </w:r>
      <w:r>
        <w:t xml:space="preserve">18 L.Ed.2d 886</w:t>
      </w:r>
      <w:r>
        <w:t xml:space="preserve"> </w:t>
      </w:r>
      <w:r>
        <w:t xml:space="preserve">(1967) (noting that when there is no decision by a state’s highest court, federal court must apply what it “find[sj to be the state law after giving 'proper regard’ to relevant rulings of other courts of the State.”);</w:t>
      </w:r>
      <w:r>
        <w:t xml:space="preserve"> </w:t>
      </w:r>
      <w:r>
        <w:rPr>
          <w:iCs/>
          <w:i/>
        </w:rPr>
        <w:t xml:space="preserve">Sanderson v. Rice,</w:t>
      </w:r>
      <w:r>
        <w:t xml:space="preserve"> </w:t>
      </w:r>
      <w:r>
        <w:t xml:space="preserve">777 F.2d 902</w:t>
      </w:r>
      <w:r>
        <w:t xml:space="preserve">, 905 (4th Cir.1985) (noting that “[ajn opinion of an intermediate appellate court is persuasive in situations where the highest state court has not spoken”). Finally, we review</w:t>
      </w:r>
      <w:r>
        <w:t xml:space="preserve"> </w:t>
      </w:r>
      <w:r>
        <w:rPr>
          <w:iCs/>
          <w:i/>
        </w:rPr>
        <w:t xml:space="preserve">de novo</w:t>
      </w:r>
      <w:r>
        <w:t xml:space="preserve"> </w:t>
      </w:r>
      <w:r>
        <w:t xml:space="preserve">the district court’s determinations on these questions of state law.</w:t>
      </w:r>
      <w:r>
        <w:t xml:space="preserve"> </w:t>
      </w:r>
      <w:r>
        <w:rPr>
          <w:iCs/>
          <w:i/>
        </w:rPr>
        <w:t xml:space="preserve">Salve Regina College v. Russell,</w:t>
      </w:r>
      <w:r>
        <w:t xml:space="preserve"> </w:t>
      </w:r>
      <w:r>
        <w:t xml:space="preserve">499 U.S. 225</w:t>
      </w:r>
      <w:r>
        <w:t xml:space="preserve">, 231,</w:t>
      </w:r>
      <w:r>
        <w:t xml:space="preserve"> </w:t>
      </w:r>
      <w:r>
        <w:t xml:space="preserve">111 S.Ct. 1217</w:t>
      </w:r>
      <w:r>
        <w:t xml:space="preserve">,</w:t>
      </w:r>
      <w:r>
        <w:t xml:space="preserve"> </w:t>
      </w:r>
      <w:r>
        <w:t xml:space="preserve">113 L.Ed.2d 190</w:t>
      </w:r>
      <w:r>
        <w:t xml:space="preserve"> </w:t>
      </w:r>
      <w:r>
        <w:t xml:space="preserve">(1991).</w:t>
      </w:r>
    </w:p>
    <w:p>
      <w:pPr>
        <w:pStyle w:val="CaseBody"/>
      </w:pPr>
      <w:r>
        <w:t xml:space="preserve">1.</w:t>
      </w:r>
    </w:p>
    <w:p>
      <w:pPr>
        <w:pStyle w:val="CaseBody"/>
      </w:pPr>
      <w:r>
        <w:t xml:space="preserve">Food Lion, proceeding under the proof limitations on damages, sought $2,432.35 in compensatory damages on its fraud claim and the jury awarded $1,400. According to ABC, the district court erred in upholding the verdict on this claim because Food Lion did not prove injury caused by reasonable reliance on the misrepresentations made by Dale and Barnett on their job applications. We agree.</w:t>
      </w:r>
    </w:p>
    <w:p>
      <w:pPr>
        <w:pStyle w:val="CaseBody"/>
      </w:pPr>
      <w:r>
        <w:t xml:space="preserve">To prove fraud under North Carolina law, the plaintiff must establish that the defendant (1) made a false representation of material fact, (2) knew it was false (or made it with reckless disregard of its truth or falsity), and (3) intended that the plaintiff rely upon it. In addition, (4) the plaintiff must be injured by reasonably relying on the false representation.</w:t>
      </w:r>
      <w:r>
        <w:t xml:space="preserve"> </w:t>
      </w:r>
      <w:r>
        <w:rPr>
          <w:iCs/>
          <w:i/>
        </w:rPr>
        <w:t xml:space="preserve">See Ragsdale v. Kennedy,</w:t>
      </w:r>
      <w:r>
        <w:t xml:space="preserve"> </w:t>
      </w:r>
      <w:r>
        <w:t xml:space="preserve">286 N.C. 130</w:t>
      </w:r>
      <w:r>
        <w:t xml:space="preserve">,</w:t>
      </w:r>
      <w:r>
        <w:t xml:space="preserve"> </w:t>
      </w:r>
      <w:r>
        <w:t xml:space="preserve">209 S.E.2d 494</w:t>
      </w:r>
      <w:r>
        <w:t xml:space="preserve">, 500 (N.C.1974);</w:t>
      </w:r>
      <w:r>
        <w:t xml:space="preserve"> </w:t>
      </w:r>
      <w:r>
        <w:rPr>
          <w:iCs/>
          <w:i/>
        </w:rPr>
        <w:t xml:space="preserve">Britt v. Britt,</w:t>
      </w:r>
      <w:r>
        <w:t xml:space="preserve"> </w:t>
      </w:r>
      <w:r>
        <w:t xml:space="preserve">320 N.C. 573</w:t>
      </w:r>
      <w:r>
        <w:t xml:space="preserve">,</w:t>
      </w:r>
      <w:r>
        <w:t xml:space="preserve"> </w:t>
      </w:r>
      <w:r>
        <w:t xml:space="preserve">359 S.E.2d 467</w:t>
      </w:r>
      <w:r>
        <w:t xml:space="preserve">, 471 (N.C.1987),</w:t>
      </w:r>
      <w:r>
        <w:t xml:space="preserve"> </w:t>
      </w:r>
      <w:r>
        <w:rPr>
          <w:iCs/>
          <w:i/>
        </w:rPr>
        <w:t xml:space="preserve">criticized on other grounds, Myers &amp; Chapman, Inc. v. Thomas G. Evans, Inc.,</w:t>
      </w:r>
      <w:r>
        <w:t xml:space="preserve"> </w:t>
      </w:r>
      <w:r>
        <w:t xml:space="preserve">323 N.C. 559</w:t>
      </w:r>
      <w:r>
        <w:t xml:space="preserve">,</w:t>
      </w:r>
      <w:r>
        <w:t xml:space="preserve"> </w:t>
      </w:r>
      <w:r>
        <w:t xml:space="preserve">374 S.E.2d 385</w:t>
      </w:r>
      <w:r>
        <w:t xml:space="preserve">, 391-92 (N.C.1988). The elements of fraud in South Carolina are essentially the same.</w:t>
      </w:r>
      <w:r>
        <w:t xml:space="preserve"> </w:t>
      </w:r>
      <w:r>
        <w:rPr>
          <w:iCs/>
          <w:i/>
        </w:rPr>
        <w:t xml:space="preserve">See Florentine Corp., Inc. v. PEDA I, Inc.,</w:t>
      </w:r>
      <w:r>
        <w:t xml:space="preserve"> </w:t>
      </w:r>
      <w:r>
        <w:t xml:space="preserve">287 S.C. 382</w:t>
      </w:r>
      <w:r>
        <w:t xml:space="preserve">,</w:t>
      </w:r>
      <w:r>
        <w:t xml:space="preserve"> </w:t>
      </w:r>
      <w:r>
        <w:t xml:space="preserve">339 S.E.2d 112</w:t>
      </w:r>
      <w:r>
        <w:t xml:space="preserve">, 113-114 (S.C.1985). It is undisputed that Dale and Barnett knowingly made misrepresentations with the aim that Food Lion rely on them. Thus, only the fourth element of fraud, injurious reliance, is at issue. Food Lion claimed two categories of injury resulting from the lies on the job applications: the costs associated with hiring and training new employees (administrative costs) and the wages it paid to Dale and Barnett.</w:t>
      </w:r>
    </w:p>
    <w:p>
      <w:pPr>
        <w:pStyle w:val="CaseBody"/>
      </w:pPr>
      <w:r>
        <w:t xml:space="preserve">The main component of Food Lion’s claim for fraud damages relates to administrative costs resulting from its employment of Dale and Barnett. These are routine costs associated with any new employee, including the costs of screening applications, interviewing, completing forms, and entering data into the payroll system. Also included are estimated costs attributable to trainees for lower productivity and customer dissatisfaction. Food Lion offered testimony that these costs totaled $1,944.62. It is undisputed that the jobs held by Dale and Barnett, meat wrapper trainee and deli clerk, were ones with high turnover. Still, Food Lion claims that because of the reporters’ misrepresentations on their employment applications, it was forced to “incur these [administrative] costs for two more employees,” Appellee’s Opening Br. at 15, because the reporters quit their jobs after one or two weeks.</w:t>
      </w:r>
    </w:p>
    <w:p>
      <w:pPr>
        <w:pStyle w:val="CaseBody"/>
      </w:pPr>
      <w:r>
        <w:t xml:space="preserve">As indicated, under North and South Carolina law a plaintiff claiming fraud must show injury proximately caused by its reasonable reliance on a misrepresentation.</w:t>
      </w:r>
      <w:r>
        <w:t xml:space="preserve"> </w:t>
      </w:r>
      <w:r>
        <w:rPr>
          <w:iCs/>
          <w:i/>
        </w:rPr>
        <w:t xml:space="preserve">See Britt,</w:t>
      </w:r>
      <w:r>
        <w:t xml:space="preserve"> </w:t>
      </w:r>
      <w:r>
        <w:t xml:space="preserve">359 S.E.2d at 471</w:t>
      </w:r>
      <w:r>
        <w:t xml:space="preserve"> </w:t>
      </w:r>
      <w:r>
        <w:t xml:space="preserve">(requiring that plaintiff be “injured by reasonably relying on the false representation.”);</w:t>
      </w:r>
      <w:r>
        <w:t xml:space="preserve"> </w:t>
      </w:r>
      <w:r>
        <w:rPr>
          <w:iCs/>
          <w:i/>
        </w:rPr>
        <w:t xml:space="preserve">Florentine Corp.,</w:t>
      </w:r>
      <w:r>
        <w:t xml:space="preserve"> </w:t>
      </w:r>
      <w:r>
        <w:t xml:space="preserve">339 S.E.2d at 114</w:t>
      </w:r>
      <w:r>
        <w:t xml:space="preserve"> </w:t>
      </w:r>
      <w:r>
        <w:t xml:space="preserve">(same). In this case, therefore, Food Lion had to show (1) that it hired Dale and Barnett (and incurred the administrative costs incident to their employment) because it believed they would work longer than a week or two and (2) that in forming this belief it reasonably relied on misrepresentations made by Dale and Barnett.</w:t>
      </w:r>
    </w:p>
    <w:p>
      <w:pPr>
        <w:pStyle w:val="CaseBody"/>
      </w:pPr>
      <w:r>
        <w:t xml:space="preserve">On their job applications Dale and Barnett did misrepresent matters such as them backgrounds, experience, and other employment. They did not, however, make any representations about how long they would work, and Food Lion did not ask for any. To the contrary, the applications signed by Dale and Barnett expressly provided that either side — company or employee — could terminate the employment at any time. Each application contained the same provision, written in no uncertain terms: “I also understand and agree that if employed, employment is for an indefinite period of time, and that I have the right to terminate my employment at any time for any reason, as does the Company.” Food Lion also understood what this meant. As one of its payroll managers acknowledged on cross-examination, “when Food Lion hires a new deli clerk or a new meat clerk ... it assume[s] the risk that that person might stay only a few days.” Dale and Barnett were, in short, at-will employees.</w:t>
      </w:r>
    </w:p>
    <w:p>
      <w:pPr>
        <w:pStyle w:val="CaseBody"/>
      </w:pPr>
      <w:r>
        <w:t xml:space="preserve">Because Dale and Barnett did not make any express representations about how long they would work, Food Lion is left to contend that misrepresentations in the employment applications led it to believe the two would work for some extended period. There is a fundamental problem with that contention, however. North and South Carolina are at-will employment states, and under the at-will doctrine it is unreasonable for either the employer or the employee to rely on any assumptions about the duration of employment. At-will employment means that (absent an express agreement) employers are free to discharge employees at any time for any reason, and employees are free to quit.</w:t>
      </w:r>
      <w:r>
        <w:t xml:space="preserve"> </w:t>
      </w:r>
      <w:r>
        <w:rPr>
          <w:iCs/>
          <w:i/>
        </w:rPr>
        <w:t xml:space="preserve">See Kurtzman v. Applied Analytical Indus., Inc.,</w:t>
      </w:r>
      <w:r>
        <w:t xml:space="preserve"> </w:t>
      </w:r>
      <w:r>
        <w:t xml:space="preserve">347 N.C. 329</w:t>
      </w:r>
      <w:r>
        <w:t xml:space="preserve">,</w:t>
      </w:r>
      <w:r>
        <w:t xml:space="preserve"> </w:t>
      </w:r>
      <w:r>
        <w:t xml:space="preserve">493 S.E.2d 420</w:t>
      </w:r>
      <w:r>
        <w:t xml:space="preserve">, 422 (N.C.1997) (“in the absence of a contractual agreement between an employer and an employee establishing a definite term of employment, the relationship is presumed to be terminable at the will of either party without regard to the quality of performance of either party”);</w:t>
      </w:r>
      <w:r>
        <w:t xml:space="preserve"> </w:t>
      </w:r>
      <w:r>
        <w:rPr>
          <w:iCs/>
          <w:i/>
        </w:rPr>
        <w:t xml:space="preserve">Small v. Springs Indus., Inc.,</w:t>
      </w:r>
      <w:r>
        <w:t xml:space="preserve"> </w:t>
      </w:r>
      <w:r>
        <w:t xml:space="preserve">300 S.C. 481</w:t>
      </w:r>
      <w:r>
        <w:t xml:space="preserve">,</w:t>
      </w:r>
      <w:r>
        <w:t xml:space="preserve"> </w:t>
      </w:r>
      <w:r>
        <w:t xml:space="preserve">388 S.E.2d 808</w:t>
      </w:r>
      <w:r>
        <w:t xml:space="preserve">, 810 (S.C.1990) (“An individual working for an employer under a contract of employment for an indefinite period can be terminated at will. At-will employment is generally terminable by either party at any time, for any reason or for no reason at all.”) (citations omitted).</w:t>
      </w:r>
    </w:p>
    <w:p>
      <w:pPr>
        <w:pStyle w:val="CaseBody"/>
      </w:pPr>
      <w:r>
        <w:t xml:space="preserve">Food Lion’s claim for administrative costs attributable to Dale and Barnett is simply inconsistent with the at-will employment doctrine. Under that doctrine Food Lion could not reasonably rely on the sort of misrepresentations (about background, experience, etc.) made by the reporters to conclude that they would work for any extended period. As a result, Food Lion did not show that the administrative costs were an injury caused by reasonable reliance on the misrepresentations.</w:t>
      </w:r>
    </w:p>
    <w:p>
      <w:pPr>
        <w:pStyle w:val="CaseBody"/>
      </w:pPr>
      <w:r>
        <w:t xml:space="preserve">Food Lion also sought to recover the full amount ($487.73) of the wages it paid to Dale and Barnett, arguing that it was fraudulently induced to pay the wages because of the misrepresentations on the reporters’ employment applications. The last (proximate cause) element of fraud is again the only one at issue: Food Lion had to show that it paid the wages in reasonable reliance on the misrepresentations.</w:t>
      </w:r>
    </w:p>
    <w:p>
      <w:pPr>
        <w:pStyle w:val="CaseBody"/>
      </w:pPr>
      <w:r>
        <w:t xml:space="preserve">Food Lion relies on the jury’s findings on a separate claim, the finding that Dale and Barnett breached their duty of loyalty to Food Lion, to argue that it proved fraud damages for the wages it paid. Specifically, Food Lion says that “it is apparent[from the disloyalty verdict] that the jury found Food Lion did not receive adequate services for the wages it paid Dale and Barnett.” Appellee’s Opening Br. at 14. However, proof of the breach of duty of loyalty, for which the jury awarded nominal damages of $1.00, does not equal proof of fraud damages for inadequate services. That is because it is possible to perform the assigned tasks of a job adequately and still breach the duty of loyalty. For fraud damages Food Lion still had to prove reliance on the misrepresentations.</w:t>
      </w:r>
    </w:p>
    <w:p>
      <w:pPr>
        <w:pStyle w:val="CaseBody"/>
      </w:pPr>
      <w:r>
        <w:t xml:space="preserve">The question is what was the proximate cause of the issuance of paychecks to Dale and Barnett. Was it the resume misrepresentations or was it something else? It was something else. Dale and Barnett were paid because they showed up for work and performed their assigned tasks as Food Lion employees. Their performance was at a level suitable to their status as new, entry-level employees. Indeed, shortly before Dale quit, her supervisor said she would “make a good meat wrapper.” And, when Barnett quit, her supervisor recommended that she be rehired if she sought reemployment with Food Lion in the future. In sum, Dale and Barnett were not paid then* wages because of misrepresentations on their job applications. Food Lion therefore cannot assert wage payment to satisfy the injurious reliance element of fraud.</w:t>
      </w:r>
      <w:r>
        <w:rPr>
          <w:rStyle w:val="FootnoteReference"/>
        </w:rPr>
        <w:footnoteReference w:customMarkFollows="1" w:id="11"/>
        <w:t xml:space="preserve">1</w:t>
      </w:r>
      <w:r>
        <w:t xml:space="preserve"> </w:t>
      </w:r>
      <w:r>
        <w:t xml:space="preserve">The fraud verdict must be reversed.</w:t>
      </w:r>
      <w:r>
        <w:rPr>
          <w:rStyle w:val="FootnoteReference"/>
        </w:rPr>
        <w:footnoteReference w:customMarkFollows="1" w:id="42"/>
        <w:t xml:space="preserve">2</w:t>
      </w:r>
    </w:p>
    <w:p>
      <w:pPr>
        <w:pStyle w:val="CaseBody"/>
      </w:pPr>
      <w:r>
        <w:t xml:space="preserve">2.</w:t>
      </w:r>
    </w:p>
    <w:p>
      <w:pPr>
        <w:pStyle w:val="CaseBody"/>
      </w:pPr>
      <w:r>
        <w:t xml:space="preserve">ABC argues that Dale and Barnett cannot be held liable for a breach of duty of loyalty to Food Lion under existing tort law in North and South Carolina. It is undisputed that both reporters, on behalf of ABC, wore hidden cameras to make a video and audio record of what they saw and heard while they were employed by Food Lion. Specifically, they sought to document, for ABC’s</w:t>
      </w:r>
      <w:r>
        <w:t xml:space="preserve"> </w:t>
      </w:r>
      <w:r>
        <w:rPr>
          <w:iCs/>
          <w:i/>
        </w:rPr>
        <w:t xml:space="preserve">PrimeTime Live</w:t>
      </w:r>
      <w:r>
        <w:t xml:space="preserve"> </w:t>
      </w:r>
      <w:r>
        <w:t xml:space="preserve">program, Food Lion employees engaging in unsanitary practices, treating products to hide spoilage, and repackaging and redat-ing out-of-date products. The jury found that Dale and Barnett breached their duty of loyalty to Food Lion, and nominal damages of $1.00 were awarded.</w:t>
      </w:r>
      <w:r>
        <w:rPr>
          <w:rStyle w:val="FootnoteReference"/>
        </w:rPr>
        <w:footnoteReference w:customMarkFollows="1" w:id="71"/>
        <w:t xml:space="preserve">3</w:t>
      </w:r>
    </w:p>
    <w:p>
      <w:pPr>
        <w:pStyle w:val="CaseBody"/>
      </w:pPr>
      <w:r>
        <w:t xml:space="preserve">As a matter of agency law, an employee owes a duty of loyalty to her employer. In South Carolina it is “implicit in any contract for employment that the employee shall remain faithful to the employer’s interest throughout the term of employment.”</w:t>
      </w:r>
      <w:r>
        <w:t xml:space="preserve"> </w:t>
      </w:r>
      <w:r>
        <w:rPr>
          <w:iCs/>
          <w:i/>
        </w:rPr>
        <w:t xml:space="preserve">Berry v. Goodyear Tire and Rubber Co.,</w:t>
      </w:r>
      <w:r>
        <w:t xml:space="preserve"> </w:t>
      </w:r>
      <w:r>
        <w:t xml:space="preserve">270 S.C. 489</w:t>
      </w:r>
      <w:r>
        <w:t xml:space="preserve">,</w:t>
      </w:r>
      <w:r>
        <w:t xml:space="preserve"> </w:t>
      </w:r>
      <w:r>
        <w:t xml:space="preserve">242 S.E.2d 551</w:t>
      </w:r>
      <w:r>
        <w:t xml:space="preserve">, 552 (S.C.1978). In North Carolina “the law implies a promise on the part of every employee to serve [her] employer faithfully.”</w:t>
      </w:r>
      <w:r>
        <w:t xml:space="preserve"> </w:t>
      </w:r>
      <w:r>
        <w:rPr>
          <w:iCs/>
          <w:i/>
        </w:rPr>
        <w:t xml:space="preserve">McKnight v. Simpson’s Beauty Siupply, Inc.,</w:t>
      </w:r>
      <w:r>
        <w:t xml:space="preserve"> </w:t>
      </w:r>
      <w:r>
        <w:t xml:space="preserve">86 N.C.App. 451</w:t>
      </w:r>
      <w:r>
        <w:t xml:space="preserve">,</w:t>
      </w:r>
      <w:r>
        <w:t xml:space="preserve"> </w:t>
      </w:r>
      <w:r>
        <w:t xml:space="preserve">358 S.E.2d 107</w:t>
      </w:r>
      <w:r>
        <w:t xml:space="preserve">, 109 (N.C.Ct.App.1987). The courts of North and South Carolina have not set out a specific test for determining when the duty of loyalty is breached. Disloyalty has been described in fairly broad terms, however. Employees are disloyal when their acts are “inconsistent with promoting the best interest of their employer at a time when they were on its payroll,”</w:t>
      </w:r>
      <w:r>
        <w:t xml:space="preserve"> </w:t>
      </w:r>
      <w:r>
        <w:rPr>
          <w:iCs/>
          <w:i/>
        </w:rPr>
        <w:t xml:space="preserve">Lowndes Prods., Inc. v. Brower,</w:t>
      </w:r>
      <w:r>
        <w:t xml:space="preserve"> </w:t>
      </w:r>
      <w:r>
        <w:t xml:space="preserve">259 S.C. 322</w:t>
      </w:r>
      <w:r>
        <w:t xml:space="preserve">,</w:t>
      </w:r>
      <w:r>
        <w:t xml:space="preserve"> </w:t>
      </w:r>
      <w:r>
        <w:t xml:space="preserve">191 S.E.2d 761</w:t>
      </w:r>
      <w:r>
        <w:t xml:space="preserve">, 767 (S.C.1972), and an employee who “deliberately acquires an interest adverse to his employer ... is disloyal,”</w:t>
      </w:r>
      <w:r>
        <w:t xml:space="preserve"> </w:t>
      </w:r>
      <w:r>
        <w:rPr>
          <w:iCs/>
          <w:i/>
        </w:rPr>
        <w:t xml:space="preserve">Long v. Vertical Techs., Inc.,</w:t>
      </w:r>
      <w:r>
        <w:t xml:space="preserve"> </w:t>
      </w:r>
      <w:r>
        <w:t xml:space="preserve">113 N.C.App. 598</w:t>
      </w:r>
      <w:r>
        <w:t xml:space="preserve">,</w:t>
      </w:r>
      <w:r>
        <w:t xml:space="preserve"> </w:t>
      </w:r>
      <w:r>
        <w:t xml:space="preserve">439 S.E.2d 797</w:t>
      </w:r>
      <w:r>
        <w:t xml:space="preserve">, 802 (N.C.Ct.App.1994).</w:t>
      </w:r>
    </w:p>
    <w:p>
      <w:pPr>
        <w:pStyle w:val="CaseBody"/>
      </w:pPr>
      <w:r>
        <w:t xml:space="preserve">ABC is correct to remind us that employee disloyalty issues are usually dealt with in the context of the employment contract: unfaithful employees are simply discharged, disciplined, or reprimanded. Up to now, disloyal conduct by an employee has been considered tortious in North and South Carolina in three circumstances. First, the tort of breach of duty of loyalty applies when an employee competes directly with her employer, either on her own or as an agent of a rival company.</w:t>
      </w:r>
      <w:r>
        <w:t xml:space="preserve"> </w:t>
      </w:r>
      <w:r>
        <w:rPr>
          <w:iCs/>
          <w:i/>
        </w:rPr>
        <w:t xml:space="preserve">See</w:t>
      </w:r>
      <w:r>
        <w:rPr>
          <w:iCs/>
          <w:i/>
        </w:rPr>
        <w:t xml:space="preserve"> </w:t>
      </w:r>
      <w:r>
        <w:rPr>
          <w:iCs/>
          <w:i/>
        </w:rPr>
        <w:t xml:space="preserve">id.</w:t>
      </w:r>
      <w:r>
        <w:rPr>
          <w:iCs/>
          <w:i/>
        </w:rPr>
        <w:t xml:space="preserve"> </w:t>
      </w:r>
      <w:r>
        <w:t xml:space="preserve">at 801-02</w:t>
      </w:r>
      <w:r>
        <w:t xml:space="preserve"> </w:t>
      </w:r>
      <w:r>
        <w:t xml:space="preserve">(duty breached when employee used current employer’s resources during business hours to develop rival company);</w:t>
      </w:r>
      <w:r>
        <w:t xml:space="preserve"> </w:t>
      </w:r>
      <w:r>
        <w:rPr>
          <w:iCs/>
          <w:i/>
        </w:rPr>
        <w:t xml:space="preserve">Lowndes Prods.,</w:t>
      </w:r>
      <w:r>
        <w:t xml:space="preserve"> </w:t>
      </w:r>
      <w:r>
        <w:t xml:space="preserve">191 S.E.2d at 767</w:t>
      </w:r>
      <w:r>
        <w:t xml:space="preserve"> </w:t>
      </w:r>
      <w:r>
        <w:t xml:space="preserve">(duty breached when employees conspired to take trade secrets and hire away other workers for the benefit of rival company they were forming). Second, the tort applies when the employee misappropriates her employer’s profits, property, or business opportunities.</w:t>
      </w:r>
      <w:r>
        <w:t xml:space="preserve"> </w:t>
      </w:r>
      <w:r>
        <w:rPr>
          <w:iCs/>
          <w:i/>
        </w:rPr>
        <w:t xml:space="preserve">See Sara Lee Corp. v. Carter,</w:t>
      </w:r>
      <w:r>
        <w:t xml:space="preserve"> </w:t>
      </w:r>
      <w:r>
        <w:t xml:space="preserve">129 N.C.App. 464</w:t>
      </w:r>
      <w:r>
        <w:t xml:space="preserve">,</w:t>
      </w:r>
      <w:r>
        <w:t xml:space="preserve"> </w:t>
      </w:r>
      <w:r>
        <w:t xml:space="preserve">500 S.E.2d 732</w:t>
      </w:r>
      <w:r>
        <w:t xml:space="preserve">, 736-37 (N.C.Ct.App.1998) (duty breached when employee bought parts for employer at above market prices from company partly owned by employee);</w:t>
      </w:r>
      <w:r>
        <w:t xml:space="preserve"> </w:t>
      </w:r>
      <w:r>
        <w:rPr>
          <w:iCs/>
          <w:i/>
        </w:rPr>
        <w:t xml:space="preserve">Construction Techniques, Inc. v. Dominske,</w:t>
      </w:r>
      <w:r>
        <w:t xml:space="preserve"> </w:t>
      </w:r>
      <w:r>
        <w:t xml:space="preserve">928 F.2d 632</w:t>
      </w:r>
      <w:r>
        <w:t xml:space="preserve">, 636-39 (4th Cir.1991) (applying South Carolina law) (employee’s ownership interest in one of his employer’s suppliers was inherently adverse to interests of employer; duty of loyalty was not breached only because employee disclosed this interest to employer). Third, the tort applies when the employee breaches her employer’s confidences.</w:t>
      </w:r>
      <w:r>
        <w:t xml:space="preserve"> </w:t>
      </w:r>
      <w:r>
        <w:rPr>
          <w:iCs/>
          <w:i/>
        </w:rPr>
        <w:t xml:space="preserve">See Lowndes Prods.,</w:t>
      </w:r>
      <w:r>
        <w:t xml:space="preserve"> </w:t>
      </w:r>
      <w:r>
        <w:t xml:space="preserve">191 S.E.2d at 767</w:t>
      </w:r>
      <w:r>
        <w:t xml:space="preserve"> </w:t>
      </w:r>
      <w:r>
        <w:t xml:space="preserve">(duty breached when employees used employer’s trade secrets after forming competing business).</w:t>
      </w:r>
    </w:p>
    <w:p>
      <w:pPr>
        <w:pStyle w:val="CaseBody"/>
      </w:pPr>
      <w:r>
        <w:t xml:space="preserve">Because Dale and Barnett did not compete with Food Lion, misappropriate any of its profits or opportunities, or breach its confidences, ABC argues that the reporters did not engage in any disloyal conduct that is tortious under existing law. Indeed, the district court acknowledged that it was the first court to hold that the conduct in question “would be recognized by the Supreme Courts of North Carolina and South Carolina” as tortiously violating the duty of loyalty.</w:t>
      </w:r>
      <w:r>
        <w:t xml:space="preserve"> </w:t>
      </w:r>
      <w:r>
        <w:rPr>
          <w:iCs/>
          <w:i/>
        </w:rPr>
        <w:t xml:space="preserve">Food Lion, Inc. v. Capital Cities/ABC, Inc.,</w:t>
      </w:r>
      <w:r>
        <w:t xml:space="preserve"> </w:t>
      </w:r>
      <w:r>
        <w:t xml:space="preserve">964 F.Supp. 956</w:t>
      </w:r>
      <w:r>
        <w:t xml:space="preserve">, 959 n. 2 (M.D.N.C.1997). We believe the district court was correct to conclude that those courts would decide today that the reporters’ conduct was sufficient to breach the duty of loyalty and trigger tort liability.</w:t>
      </w:r>
    </w:p>
    <w:p>
      <w:pPr>
        <w:pStyle w:val="CaseBody"/>
      </w:pPr>
      <w:r>
        <w:t xml:space="preserve">What Dale and Barnett did verges on the kind of employee activity that has already been determined to be tortious. The interests of the employer (ABC) to whom Dale and Barnett gave complete loyalty were adverse to the interests of Food Lion, the employer to whom they were unfaithful. ABC and Food Lion were not business competitors but they were adverse in a fundamental way. ABC’s interest was to expose Food Lion to the public as a food chain that engaged in unsanitary and deceptive practices. Dale and Barnett served ABC’s interest, at the expense of Food Lion, by engaging in the taping for ABC while they were on Food Lion’s payroll. In doing this, Dale and Barnett did not serve Food Lion faithfully, and their interest (which was the same as ABC’s) was diametrically opposed to Food Lion’s. In these circumstances, we believe that the highest courts of North and South Carolina would hold that the reporters — in promoting the interests of one master, ABC, to the detriment of a second, Food Lion — committed the tort of disloyalty against Food Lion.</w:t>
      </w:r>
    </w:p>
    <w:p>
      <w:pPr>
        <w:pStyle w:val="CaseBody"/>
      </w:pPr>
      <w:r>
        <w:t xml:space="preserve">Our holding on this point is not a sweeping one. An employee does not commit a tort simply by holding two jobs or by performing a second job inadequately. For example, a second employer has no tort action for breach of the duty of loyalty when its employee fails to devote adequate attention or effort to her second (night shift) job because she is tired. That is because the inadequate performance is simply an incident of trying to work two jobs. There is no intent to act adversely to the second employer for the benefit of the first.</w:t>
      </w:r>
      <w:r>
        <w:t xml:space="preserve"> </w:t>
      </w:r>
      <w:r>
        <w:rPr>
          <w:iCs/>
          <w:i/>
        </w:rPr>
        <w:t xml:space="preserve">Cf. Long,</w:t>
      </w:r>
      <w:r>
        <w:t xml:space="preserve"> </w:t>
      </w:r>
      <w:r>
        <w:t xml:space="preserve">439 S.E.2d at 802</w:t>
      </w:r>
      <w:r>
        <w:t xml:space="preserve"> </w:t>
      </w:r>
      <w:r>
        <w:t xml:space="preserve">(finding disloyalty when employee “deliberately” acquired an interest adverse to his employer). Because Dale and Barnett had the requisite intent to act against the interests of them second employer, Food Lion, for the benefit of their main employer, ABC, they were liable in tort for their disloyalty.</w:t>
      </w:r>
    </w:p>
    <w:p>
      <w:pPr>
        <w:pStyle w:val="CaseBody"/>
      </w:pPr>
      <w:r>
        <w:t xml:space="preserve">We hold that, insofar as North and South Carolina law is concerned, the district court did not err in refusing to set aside the jury’s verdict that Dale and Barnett breached their duty of loyalty to Food Lion.</w:t>
      </w:r>
    </w:p>
    <w:p>
      <w:pPr>
        <w:pStyle w:val="CaseBody"/>
      </w:pPr>
      <w:r>
        <w:t xml:space="preserve">3.</w:t>
      </w:r>
    </w:p>
    <w:p>
      <w:pPr>
        <w:pStyle w:val="CaseBody"/>
      </w:pPr>
      <w:r>
        <w:t xml:space="preserve">ABC argues that it was error to allow the jury to hold Dale and Barnett liable for trespass on either of the independent grounds (1) that Food Lion’s consent to their presence as employees was void because it was based on misrepresentations or (2) that Food Lion’s consent was vitiated when Dale and Barnett breached the duty of loyalty. The jury found Dale and Barnett liable on both of these grounds and awarded Food Lion $1.00 in nominal damages, which is all that was sought in the circumstances.</w:t>
      </w:r>
    </w:p>
    <w:p>
      <w:pPr>
        <w:pStyle w:val="CaseBody"/>
      </w:pPr>
      <w:r>
        <w:t xml:space="preserve">In North and South Carolina, as elsewhere, it is a trespass to enter upon another’s land without consent.</w:t>
      </w:r>
      <w:r>
        <w:t xml:space="preserve"> </w:t>
      </w:r>
      <w:r>
        <w:rPr>
          <w:iCs/>
          <w:i/>
        </w:rPr>
        <w:t xml:space="preserve">See, e.g., Smith v. VonCannon,</w:t>
      </w:r>
      <w:r>
        <w:t xml:space="preserve"> </w:t>
      </w:r>
      <w:r>
        <w:t xml:space="preserve">283 N.C. 656</w:t>
      </w:r>
      <w:r>
        <w:t xml:space="preserve">,</w:t>
      </w:r>
      <w:r>
        <w:t xml:space="preserve"> </w:t>
      </w:r>
      <w:r>
        <w:t xml:space="preserve">197 S.E.2d 524</w:t>
      </w:r>
      <w:r>
        <w:t xml:space="preserve">, 528 (N.C.1973);</w:t>
      </w:r>
      <w:r>
        <w:t xml:space="preserve"> </w:t>
      </w:r>
      <w:r>
        <w:rPr>
          <w:iCs/>
          <w:i/>
        </w:rPr>
        <w:t xml:space="preserve">Snow v. City of Columbia,</w:t>
      </w:r>
      <w:r>
        <w:t xml:space="preserve"> </w:t>
      </w:r>
      <w:r>
        <w:t xml:space="preserve">305 S.C. 544</w:t>
      </w:r>
      <w:r>
        <w:t xml:space="preserve">,</w:t>
      </w:r>
      <w:r>
        <w:t xml:space="preserve"> </w:t>
      </w:r>
      <w:r>
        <w:t xml:space="preserve">409 S.E.2d 797</w:t>
      </w:r>
      <w:r>
        <w:t xml:space="preserve">, 802 (S.C.Ct.App.1991). Accordingly, consent is a defense to a claim of trespass.</w:t>
      </w:r>
      <w:r>
        <w:t xml:space="preserve"> </w:t>
      </w:r>
      <w:r>
        <w:rPr>
          <w:iCs/>
          <w:i/>
        </w:rPr>
        <w:t xml:space="preserve">See, e.g., Miller v. Brooks,</w:t>
      </w:r>
      <w:r>
        <w:t xml:space="preserve"> </w:t>
      </w:r>
      <w:r>
        <w:t xml:space="preserve">123 N.C.App. 20</w:t>
      </w:r>
      <w:r>
        <w:t xml:space="preserve">,</w:t>
      </w:r>
      <w:r>
        <w:t xml:space="preserve"> </w:t>
      </w:r>
      <w:r>
        <w:t xml:space="preserve">472 S.E.2d 350</w:t>
      </w:r>
      <w:r>
        <w:t xml:space="preserve">, 355 (N.C.Ct.App.1996),</w:t>
      </w:r>
      <w:r>
        <w:t xml:space="preserve"> </w:t>
      </w:r>
      <w:r>
        <w:rPr>
          <w:iCs/>
          <w:i/>
        </w:rPr>
        <w:t xml:space="preserve">review denied,</w:t>
      </w:r>
      <w:r>
        <w:t xml:space="preserve"> </w:t>
      </w:r>
      <w:r>
        <w:t xml:space="preserve">345 N.C. 344</w:t>
      </w:r>
      <w:r>
        <w:t xml:space="preserve">,</w:t>
      </w:r>
      <w:r>
        <w:t xml:space="preserve"> </w:t>
      </w:r>
      <w:r>
        <w:t xml:space="preserve">483 S.E.2d 172</w:t>
      </w:r>
      <w:r>
        <w:t xml:space="preserve"> </w:t>
      </w:r>
      <w:r>
        <w:t xml:space="preserve">(N.C.1997). Even consent gained by misrepresentation is sometimes sufficient.</w:t>
      </w:r>
      <w:r>
        <w:t xml:space="preserve"> </w:t>
      </w:r>
      <w:r>
        <w:rPr>
          <w:iCs/>
          <w:i/>
        </w:rPr>
        <w:t xml:space="preserve">See Desnick v. American Broad. Cos.,</w:t>
      </w:r>
      <w:r>
        <w:t xml:space="preserve"> </w:t>
      </w:r>
      <w:r>
        <w:t xml:space="preserve">44 F.3d 1345</w:t>
      </w:r>
      <w:r>
        <w:t xml:space="preserve">, 1351-52 (7th Cir.1995) (Posner, C.J.). The consent to enter is canceled out, however, “if a wrongful act is done in excess of and in abuse of authorized entry.”</w:t>
      </w:r>
      <w:r>
        <w:t xml:space="preserve"> </w:t>
      </w:r>
      <w:r>
        <w:rPr>
          <w:iCs/>
          <w:i/>
        </w:rPr>
        <w:t xml:space="preserve">Miller,</w:t>
      </w:r>
      <w:r>
        <w:t xml:space="preserve"> </w:t>
      </w:r>
      <w:r>
        <w:t xml:space="preserve">472 S.E.2d at</w:t>
      </w:r>
      <w:r>
        <w:t xml:space="preserve"> </w:t>
      </w:r>
      <w:r>
        <w:t xml:space="preserve">355 (citing</w:t>
      </w:r>
      <w:r>
        <w:t xml:space="preserve"> </w:t>
      </w:r>
      <w:r>
        <w:rPr>
          <w:iCs/>
          <w:i/>
        </w:rPr>
        <w:t xml:space="preserve">Blackwood v. Cates,</w:t>
      </w:r>
      <w:r>
        <w:t xml:space="preserve"> </w:t>
      </w:r>
      <w:r>
        <w:t xml:space="preserve">297 N.C. 163</w:t>
      </w:r>
      <w:r>
        <w:t xml:space="preserve">,</w:t>
      </w:r>
      <w:r>
        <w:t xml:space="preserve"> </w:t>
      </w:r>
      <w:r>
        <w:t xml:space="preserve">254 S.E.2d 7</w:t>
      </w:r>
      <w:r>
        <w:t xml:space="preserve">, 9 (N.C.1979)).</w:t>
      </w:r>
      <w:r>
        <w:t xml:space="preserve"> </w:t>
      </w:r>
      <w:r>
        <w:rPr>
          <w:iCs/>
          <w:i/>
        </w:rPr>
        <w:t xml:space="preserve">Cf. Ravan v. Greenville County,</w:t>
      </w:r>
      <w:r>
        <w:t xml:space="preserve"> </w:t>
      </w:r>
      <w:r>
        <w:t xml:space="preserve">315 S.C. 447</w:t>
      </w:r>
      <w:r>
        <w:t xml:space="preserve">,</w:t>
      </w:r>
      <w:r>
        <w:t xml:space="preserve"> </w:t>
      </w:r>
      <w:r>
        <w:t xml:space="preserve">434 S.E.2d 296</w:t>
      </w:r>
      <w:r>
        <w:t xml:space="preserve">, 306 (S.C.Ct.App.1993) (noting that the law of trespass protects the “peaceable possession” of property).</w:t>
      </w:r>
    </w:p>
    <w:p>
      <w:pPr>
        <w:pStyle w:val="CaseBody"/>
      </w:pPr>
      <w:r>
        <w:t xml:space="preserve">We turn first to whether Dale and Barnett’s consent to be in non-public areas of Food Lion property was void from the outset because of the resume misrepresentations. “[C]onsent to an entry is often given legal effect” even though it was obtained by misrepresentation or concealed intentions.</w:t>
      </w:r>
      <w:r>
        <w:t xml:space="preserve"> </w:t>
      </w:r>
      <w:r>
        <w:rPr>
          <w:iCs/>
          <w:i/>
        </w:rPr>
        <w:t xml:space="preserve">Desnick,</w:t>
      </w:r>
      <w:r>
        <w:t xml:space="preserve"> </w:t>
      </w:r>
      <w:r>
        <w:t xml:space="preserve">44 F.3d at 1351</w:t>
      </w:r>
      <w:r>
        <w:t xml:space="preserve">. Without this result,</w:t>
      </w:r>
    </w:p>
    <w:p>
      <w:pPr>
        <w:pStyle w:val="BlockText"/>
      </w:pPr>
      <w:r>
        <w:t xml:space="preserve">a restaurant critic could not conceal his identity when he ordered a meal, or a browser pretend to be interested in merchandise that he could not afford to buy. Dinner guests would be trespassers if they were false friends who never would have been invited had the host known their true character, and a consumer who in an effort to bargain down an automobile dealer falsely claimed to be able to buy the same car elsewhere at a lower price would be a trespasser in a dealer’s showroom.</w:t>
      </w:r>
    </w:p>
    <w:p>
      <w:pPr>
        <w:pStyle w:val="CaseBody"/>
      </w:pPr>
      <w:r>
        <w:rPr>
          <w:iCs/>
          <w:i/>
        </w:rPr>
        <w:t xml:space="preserve">Id.</w:t>
      </w:r>
    </w:p>
    <w:p>
      <w:pPr>
        <w:pStyle w:val="CaseBody"/>
      </w:pPr>
      <w:r>
        <w:t xml:space="preserve">Of course, many cases on the spectrum become much harder than these examples, and the courts of North and South Carolina have not considered the validity of a consent to enter land obtained by misrepresentation. Further, the various jurisdictions and authorities in this country are not of one mind in dealing with the issue.</w:t>
      </w:r>
      <w:r>
        <w:t xml:space="preserve"> </w:t>
      </w:r>
      <w:r>
        <w:rPr>
          <w:iCs/>
          <w:i/>
        </w:rPr>
        <w:t xml:space="preserve">Compare Restatement (Second) of Torts,</w:t>
      </w:r>
      <w:r>
        <w:t xml:space="preserve"> </w:t>
      </w:r>
      <w:r>
        <w:t xml:space="preserve">§ 892B(2) (1965) (“[i]f the person consenting to the conduct of another ... is induced [to consent] by the other’s misrepresentation, the consent is not effective for the unexpected invasion or harm”) and</w:t>
      </w:r>
      <w:r>
        <w:t xml:space="preserve"> </w:t>
      </w:r>
      <w:r>
        <w:rPr>
          <w:iCs/>
          <w:i/>
        </w:rPr>
        <w:t xml:space="preserve">Shiffman v. Empire Blue Cross and Blue Shield,</w:t>
      </w:r>
      <w:r>
        <w:t xml:space="preserve"> </w:t>
      </w:r>
      <w:r>
        <w:t xml:space="preserve">256 A.D.2d 131</w:t>
      </w:r>
      <w:r>
        <w:t xml:space="preserve">,</w:t>
      </w:r>
      <w:r>
        <w:t xml:space="preserve"> </w:t>
      </w:r>
      <w:r>
        <w:t xml:space="preserve">681 N.Y.S.2d 511</w:t>
      </w:r>
      <w:r>
        <w:t xml:space="preserve">, 512 (App.Div.1998) (reporter who gained entry to medical office by posing as potential patient using false identification and insurance cards could not assert consent as defense to trespass claim “since consent obtained by misrepresentation or fraud is invalid”),</w:t>
      </w:r>
      <w:r>
        <w:t xml:space="preserve"> </w:t>
      </w:r>
      <w:r>
        <w:rPr>
          <w:iCs/>
          <w:i/>
        </w:rPr>
        <w:t xml:space="preserve">with Desnick,</w:t>
      </w:r>
      <w:r>
        <w:t xml:space="preserve"> </w:t>
      </w:r>
      <w:r>
        <w:t xml:space="preserve">44 F.3d at 1351-53</w:t>
      </w:r>
      <w:r>
        <w:t xml:space="preserve"> </w:t>
      </w:r>
      <w:r>
        <w:t xml:space="preserve">(ABC agents with concealed cameras who obtained consent to enter an ophthalmic clinic by pretending to be patients were not trespassers because, among other things, they “entered offices open to anyone”);</w:t>
      </w:r>
      <w:r>
        <w:t xml:space="preserve"> </w:t>
      </w:r>
      <w:r>
        <w:rPr>
          <w:iCs/>
          <w:i/>
        </w:rPr>
        <w:t xml:space="preserve">Baugh v. CBS, Inc.,</w:t>
      </w:r>
      <w:r>
        <w:t xml:space="preserve"> </w:t>
      </w:r>
      <w:r>
        <w:t xml:space="preserve">828 F.Supp. 745</w:t>
      </w:r>
      <w:r>
        <w:t xml:space="preserve">, 757 (N.D.Cal.1993) (“where consent was fraudulently induced, but consent was nonetheless given, plaintiff has no claim for trespass”); and</w:t>
      </w:r>
      <w:r>
        <w:t xml:space="preserve"> </w:t>
      </w:r>
      <w:r>
        <w:rPr>
          <w:iCs/>
          <w:i/>
        </w:rPr>
        <w:t xml:space="preserve">Martin v. Fidelity &amp; Cas. Co. of New York,</w:t>
      </w:r>
      <w:r>
        <w:t xml:space="preserve"> </w:t>
      </w:r>
      <w:r>
        <w:t xml:space="preserve">421 So.2d 109</w:t>
      </w:r>
      <w:r>
        <w:t xml:space="preserve">, 111 (Ala.1982) (consent to enter is valid “even though consent may have been given under a mistake of facts, or procured by fraud”) (citation omitted).</w:t>
      </w:r>
    </w:p>
    <w:p>
      <w:pPr>
        <w:pStyle w:val="CaseBody"/>
      </w:pPr>
      <w:r>
        <w:t xml:space="preserve">We like Desnick’s thoughtful analysis about when a consent to enter that is based on misrepresentation may be given effect. In</w:t>
      </w:r>
      <w:r>
        <w:t xml:space="preserve"> </w:t>
      </w:r>
      <w:r>
        <w:rPr>
          <w:iCs/>
          <w:i/>
        </w:rPr>
        <w:t xml:space="preserve">Desnick</w:t>
      </w:r>
      <w:r>
        <w:t xml:space="preserve"> </w:t>
      </w:r>
      <w:r>
        <w:t xml:space="preserve">ABC sent persons posing as patients needing eye care to the plaintiffs’ eye climes, and the test patients secretly recorded their examinations. Some of the recordings were used in a</w:t>
      </w:r>
      <w:r>
        <w:t xml:space="preserve"> </w:t>
      </w:r>
      <w:r>
        <w:rPr>
          <w:iCs/>
          <w:i/>
        </w:rPr>
        <w:t xml:space="preserve">PrimeTime Live</w:t>
      </w:r>
      <w:r>
        <w:t xml:space="preserve"> </w:t>
      </w:r>
      <w:r>
        <w:t xml:space="preserve">segment that alleged intentional misdiagnosis and unnecessary cataract surgery.</w:t>
      </w:r>
      <w:r>
        <w:t xml:space="preserve"> </w:t>
      </w:r>
      <w:r>
        <w:rPr>
          <w:iCs/>
          <w:i/>
        </w:rPr>
        <w:t xml:space="preserve">Desnick</w:t>
      </w:r>
      <w:r>
        <w:t xml:space="preserve"> </w:t>
      </w:r>
      <w:r>
        <w:t xml:space="preserve">held that although the test patients misrepresented their purpose, their consent to enter was still valid because they did not invade “any of the specific interests[relating to peaceable possession of land] the tort of trespass seeks to protect:” the test patients entered offices “open to anyone expressing a desire for ophthalmic services” and videotaped doctors engaged in professional discussions with strangers, the testers; the testers did not disrupt the offices or invade anyone’s private space; and the testers did not reveal the “intimate details of anybody’s life.”</w:t>
      </w:r>
      <w:r>
        <w:t xml:space="preserve"> </w:t>
      </w:r>
      <w:r>
        <w:t xml:space="preserve">44 F.3d at 1352-53</w:t>
      </w:r>
      <w:r>
        <w:t xml:space="preserve">.</w:t>
      </w:r>
      <w:r>
        <w:t xml:space="preserve"> </w:t>
      </w:r>
      <w:r>
        <w:rPr>
          <w:iCs/>
          <w:i/>
        </w:rPr>
        <w:t xml:space="preserve">Desnick</w:t>
      </w:r>
      <w:r>
        <w:t xml:space="preserve"> </w:t>
      </w:r>
      <w:r>
        <w:t xml:space="preserve">supported its conclusion with the following comparison:</w:t>
      </w:r>
    </w:p>
    <w:p>
      <w:pPr>
        <w:pStyle w:val="BlockText"/>
      </w:pPr>
      <w:r>
        <w:t xml:space="preserve">“Testers” who pose as prospective home buyers in order to gather evidence of housing discrimination are not trespassers even if they are private persons not acting under color of law. The situation of [ABC’s] “testers” is analogous. Like testers seeking evidence of violation of anti-discrimination laws, [ABC’s] test patients gained entry into the plaintiffs’ premises by misrepresenting their purposes (more precisely by a misleading omission to disclose those purposes). But the entry was not invasive in the sense of infringing the kind of interest of the plaintiffs that the law of trespass protects; it was not an interference with the ownership or possession of land.</w:t>
      </w:r>
    </w:p>
    <w:p>
      <w:pPr>
        <w:pStyle w:val="CaseBody"/>
      </w:pPr>
      <w:r>
        <w:rPr>
          <w:iCs/>
          <w:i/>
        </w:rPr>
        <w:t xml:space="preserve">Id.</w:t>
      </w:r>
      <w:r>
        <w:rPr>
          <w:iCs/>
          <w:i/>
        </w:rPr>
        <w:t xml:space="preserve"> </w:t>
      </w:r>
      <w:r>
        <w:t xml:space="preserve">at 1353</w:t>
      </w:r>
      <w:r>
        <w:t xml:space="preserve"> </w:t>
      </w:r>
      <w:r>
        <w:t xml:space="preserve">(citation omitted).</w:t>
      </w:r>
      <w:r>
        <w:rPr>
          <w:rStyle w:val="FootnoteReference"/>
        </w:rPr>
        <w:footnoteReference w:customMarkFollows="1" w:id="96"/>
        <w:t xml:space="preserve">4</w:t>
      </w:r>
    </w:p>
    <w:p>
      <w:pPr>
        <w:pStyle w:val="CaseBody"/>
      </w:pPr>
      <w:r>
        <w:t xml:space="preserve">We return to the jury’s first trespass finding in this case, which rested on a narrow ground. The jury found that Dale and Barnett were trespassers because they entered Food Lion’s premises as employees with consent given because of the misrepresentations in their job applications. Although the consent cases as a class are inconsistent, we have not found any case suggesting that consent based on a resume misrepresentation turns a successful job applicant into a trespasser the moment she enters the employer’s premises to begin work. Moreover, if we turned successful resume fraud into trespass, we would not be protecting the interest underlying the tort of trespass — the ownership and peaceable possession of land.</w:t>
      </w:r>
      <w:r>
        <w:t xml:space="preserve"> </w:t>
      </w:r>
      <w:r>
        <w:rPr>
          <w:iCs/>
          <w:i/>
        </w:rPr>
        <w:t xml:space="preserve">See Desnick,</w:t>
      </w:r>
      <w:r>
        <w:t xml:space="preserve"> </w:t>
      </w:r>
      <w:r>
        <w:t xml:space="preserve">44 F.3d at 1352</w:t>
      </w:r>
      <w:r>
        <w:t xml:space="preserve">;</w:t>
      </w:r>
      <w:r>
        <w:t xml:space="preserve"> </w:t>
      </w:r>
      <w:r>
        <w:rPr>
          <w:iCs/>
          <w:i/>
        </w:rPr>
        <w:t xml:space="preserve">see generally Matthews v. Forrest,</w:t>
      </w:r>
      <w:r>
        <w:t xml:space="preserve"> </w:t>
      </w:r>
      <w:r>
        <w:t xml:space="preserve">235 N.C. 281</w:t>
      </w:r>
      <w:r>
        <w:t xml:space="preserve">,</w:t>
      </w:r>
      <w:r>
        <w:t xml:space="preserve"> </w:t>
      </w:r>
      <w:r>
        <w:t xml:space="preserve">69 S.E.2d 553</w:t>
      </w:r>
      <w:r>
        <w:t xml:space="preserve">, 555 (N.C.1952);</w:t>
      </w:r>
      <w:r>
        <w:t xml:space="preserve"> </w:t>
      </w:r>
      <w:r>
        <w:rPr>
          <w:iCs/>
          <w:i/>
        </w:rPr>
        <w:t xml:space="preserve">Ravan,</w:t>
      </w:r>
      <w:r>
        <w:t xml:space="preserve"> </w:t>
      </w:r>
      <w:r>
        <w:t xml:space="preserve">434 S.E.2d at 306</w:t>
      </w:r>
      <w:r>
        <w:t xml:space="preserve">. Accordingly, we cannot say that North and South Carolina’s highest courts would hold that misrepresentation on a job application alone nullifies the consent given to an employee to enter the employer’s property, thereby turning the employee into a trespasser. The jury’s finding of trespass therefore cannot be sustained on the grounds of resume misrepresentation.</w:t>
      </w:r>
    </w:p>
    <w:p>
      <w:pPr>
        <w:pStyle w:val="CaseBody"/>
      </w:pPr>
      <w:r>
        <w:t xml:space="preserve">There is a problem, however, with what Dale and Barnett did after they entered Food Lion’s property. The jury also found that the reporters committed trespass by breaching their duty of loyalty to Food Lion “as a result of pursuing [their] investigation for ABC.” We affirm the finding of trespass on this ground because the breach of duty of loyalty- — triggered by the filming in non-public areas, which was adverse to Food Lion — was a wrongful act in excess of Dale and Barnett’s authority to enter Food Lion’s premises as employees.</w:t>
      </w:r>
      <w:r>
        <w:t xml:space="preserve"> </w:t>
      </w:r>
      <w:r>
        <w:rPr>
          <w:iCs/>
          <w:i/>
        </w:rPr>
        <w:t xml:space="preserve">See generally Blackwood,</w:t>
      </w:r>
      <w:r>
        <w:t xml:space="preserve"> </w:t>
      </w:r>
      <w:r>
        <w:t xml:space="preserve">254 S.E.2d at 9</w:t>
      </w:r>
      <w:r>
        <w:t xml:space="preserve"> </w:t>
      </w:r>
      <w:r>
        <w:t xml:space="preserve">(finding liability for trespass when activity on property exceeded scope of consent to enter).</w:t>
      </w:r>
    </w:p>
    <w:p>
      <w:pPr>
        <w:pStyle w:val="CaseBody"/>
      </w:pPr>
      <w:r>
        <w:t xml:space="preserve">The Court of Appeals of North Carolina has indicated that secretly installing a video camera in someone’s private home can be a wrongful act in excess of consent given to enter. In the trespass case of</w:t>
      </w:r>
      <w:r>
        <w:t xml:space="preserve"> </w:t>
      </w:r>
      <w:r>
        <w:rPr>
          <w:iCs/>
          <w:i/>
        </w:rPr>
        <w:t xml:space="preserve">Miller v. Brooks</w:t>
      </w:r>
      <w:r>
        <w:t xml:space="preserve"> </w:t>
      </w:r>
      <w:r>
        <w:t xml:space="preserve">the (defendant) wife, who claimed she had consent to enter her estranged husband’s (the plaintiffs) house, had a private detective place a video camera in the ceiling of her husband’s bedroom. The court noted that “[e]ven an authorized entry can be trespass if a wrongful act is done in excess of and in abuse of authorized entry.”</w:t>
      </w:r>
      <w:r>
        <w:t xml:space="preserve"> </w:t>
      </w:r>
      <w:r>
        <w:rPr>
          <w:iCs/>
          <w:i/>
        </w:rPr>
        <w:t xml:space="preserve">Miller,</w:t>
      </w:r>
      <w:r>
        <w:t xml:space="preserve"> </w:t>
      </w:r>
      <w:r>
        <w:t xml:space="preserve">472 S.E.2d at 355</w:t>
      </w:r>
      <w:r>
        <w:t xml:space="preserve">. The court went on to hold that “[e]ven if [the wife] had permission to enter the house and to authorize others to do so,” it was a jury question “whether defendants’ entries exceeded the scope of any permission given.”</w:t>
      </w:r>
      <w:r>
        <w:t xml:space="preserve"> </w:t>
      </w:r>
      <w:r>
        <w:rPr>
          <w:iCs/>
          <w:i/>
        </w:rPr>
        <w:t xml:space="preserve">Id.</w:t>
      </w:r>
      <w:r>
        <w:t xml:space="preserve"> </w:t>
      </w:r>
      <w:r>
        <w:t xml:space="preserve">We recognize that</w:t>
      </w:r>
      <w:r>
        <w:t xml:space="preserve"> </w:t>
      </w:r>
      <w:r>
        <w:rPr>
          <w:iCs/>
          <w:i/>
        </w:rPr>
        <w:t xml:space="preserve">Miller</w:t>
      </w:r>
      <w:r>
        <w:t xml:space="preserve"> </w:t>
      </w:r>
      <w:r>
        <w:t xml:space="preserve">involved a private home, not a grocery store, and that it involved some physical alteration to the plaintiffs property (installation of a camera). Still, we believe the general principle is applicable here, at least in the case of Dale, who worked in a Food Lion store in North Carolina. Although Food Lion consented to Dale’s entry to do her job, she exceeded that consent when she videotaped in nonpublic areas of the store and worked against the interests of her second employer, Food Lion, in doing so.</w:t>
      </w:r>
    </w:p>
    <w:p>
      <w:pPr>
        <w:pStyle w:val="CaseBody"/>
      </w:pPr>
      <w:r>
        <w:t xml:space="preserve">We do not have a case comparable to</w:t>
      </w:r>
      <w:r>
        <w:t xml:space="preserve"> </w:t>
      </w:r>
      <w:r>
        <w:rPr>
          <w:iCs/>
          <w:i/>
        </w:rPr>
        <w:t xml:space="preserve">Miller</w:t>
      </w:r>
      <w:r>
        <w:t xml:space="preserve"> </w:t>
      </w:r>
      <w:r>
        <w:t xml:space="preserve">from South Carolina. Nevertheless, the South Carolina courts make clear that the law of trespass protects the peaceable enjoyment of property.</w:t>
      </w:r>
      <w:r>
        <w:t xml:space="preserve"> </w:t>
      </w:r>
      <w:r>
        <w:rPr>
          <w:iCs/>
          <w:i/>
        </w:rPr>
        <w:t xml:space="preserve">See Ravan,</w:t>
      </w:r>
      <w:r>
        <w:t xml:space="preserve"> </w:t>
      </w:r>
      <w:r>
        <w:t xml:space="preserve">434 S.E.2d at 306</w:t>
      </w:r>
      <w:r>
        <w:t xml:space="preserve">. It is consistent with that principle to hold that consent to enter is vitiated by a wrongful act that exceeds and abuses the privilege of entry.</w:t>
      </w:r>
    </w:p>
    <w:p>
      <w:pPr>
        <w:pStyle w:val="CaseBody"/>
      </w:pPr>
      <w:r>
        <w:t xml:space="preserve">Here, both Dale and Barnett became employees of Food Lion with the certain consequence that they would breach their implied promises to serve Food Lion faithfully. They went into areas of the stores that were not open to the public and secretly videotaped, an act that was directly adverse to the interests of their second employer, Food Lion. Thus, they breached the duty of loyalty, thereby committing a wrongful act in abuse of their authority to be on Food Lion’s property.</w:t>
      </w:r>
    </w:p>
    <w:p>
      <w:pPr>
        <w:pStyle w:val="CaseBody"/>
      </w:pPr>
      <w:r>
        <w:t xml:space="preserve">In sum, we are convinced that the highest courts of North and South Carolina would hold that Dale and Barnett committed trespass because Food Lion’s consent for them to be on its property was nullified when they tortiously breached their duty of loyalty to Food Lion. Accordingly, as far as North and South Carolina law is concerned, the jury’s trespass verdict should be sustained.</w:t>
      </w:r>
    </w:p>
    <w:p>
      <w:pPr>
        <w:pStyle w:val="CaseBody"/>
      </w:pPr>
      <w:r>
        <w:t xml:space="preserve">4.</w:t>
      </w:r>
    </w:p>
    <w:p>
      <w:pPr>
        <w:pStyle w:val="CaseBody"/>
      </w:pPr>
      <w:r>
        <w:t xml:space="preserve">Dale worked in a Food Lion store in North Carolina. Based on the jury’s finding of fraud and a special interrogatory, the district court determined that ABC and Dale were liable under the North Carolina UTPA, N.C. Gen.Stat. § 75-1.1. Because Food Lion elected to take damages on the fraud claim, the district court awarded no damages on the UTPA claim. ABC argues that the Act does not apply to the circumstances of this case, and we agree.</w:t>
      </w:r>
    </w:p>
    <w:p>
      <w:pPr>
        <w:pStyle w:val="CaseBody"/>
      </w:pPr>
      <w:r>
        <w:t xml:space="preserve">North Carolina’s UTPA prohibits “[unfair methods of competition” and “unfair or deceptive acts or practices” that are “in or affecting commerce.” N.C. Gen.Stat. § 75-l.l(a). “Commerce” is defined to include “all business activities, however denominated.” N.C. Gen.Stat. § 75 — 1.1(b). Food Lion contends that Dale’s misrepresentations on her job application were “deceptive acts” “in or affecting commerce” because they were made to further the production of</w:t>
      </w:r>
      <w:r>
        <w:t xml:space="preserve"> </w:t>
      </w:r>
      <w:r>
        <w:rPr>
          <w:iCs/>
          <w:i/>
        </w:rPr>
        <w:t xml:space="preserve">PrimeTime Live,</w:t>
      </w:r>
      <w:r>
        <w:t xml:space="preserve"> </w:t>
      </w:r>
      <w:r>
        <w:t xml:space="preserve">a business activity.</w:t>
      </w:r>
    </w:p>
    <w:p>
      <w:pPr>
        <w:pStyle w:val="CaseBody"/>
      </w:pPr>
      <w:r>
        <w:t xml:space="preserve">Although the UTPA’s language is quite broad, “the Act is not intended to apply to all wrongs in a business setting.”</w:t>
      </w:r>
      <w:r>
        <w:t xml:space="preserve"> </w:t>
      </w:r>
      <w:r>
        <w:rPr>
          <w:iCs/>
          <w:i/>
        </w:rPr>
        <w:t xml:space="preserve">HAJMM Co. v. House of Raeford Farms, Inc.,</w:t>
      </w:r>
      <w:r>
        <w:t xml:space="preserve"> </w:t>
      </w:r>
      <w:r>
        <w:t xml:space="preserve">328 N.C. 578</w:t>
      </w:r>
      <w:r>
        <w:t xml:space="preserve">,</w:t>
      </w:r>
      <w:r>
        <w:t xml:space="preserve"> </w:t>
      </w:r>
      <w:r>
        <w:t xml:space="preserve">403 S.E.2d 483</w:t>
      </w:r>
      <w:r>
        <w:t xml:space="preserve">, 492 (N.C.1991). The Act’s primary purpose is to protect the consuming public.</w:t>
      </w:r>
      <w:r>
        <w:t xml:space="preserve"> </w:t>
      </w:r>
      <w:r>
        <w:rPr>
          <w:iCs/>
          <w:i/>
        </w:rPr>
        <w:t xml:space="preserve">See Skinner v. E.F. Hutton &amp; Co., Inc.,</w:t>
      </w:r>
      <w:r>
        <w:t xml:space="preserve"> </w:t>
      </w:r>
      <w:r>
        <w:t xml:space="preserve">314 N.C. 267</w:t>
      </w:r>
      <w:r>
        <w:t xml:space="preserve">,</w:t>
      </w:r>
      <w:r>
        <w:t xml:space="preserve"> </w:t>
      </w:r>
      <w:r>
        <w:t xml:space="preserve">333 S.E.2d 236</w:t>
      </w:r>
      <w:r>
        <w:t xml:space="preserve">, 241 (N.C.1985). It gives a private cause of action to consumers aggrieved by unfair or deceptive business practices.</w:t>
      </w:r>
      <w:r>
        <w:t xml:space="preserve"> </w:t>
      </w:r>
      <w:r>
        <w:rPr>
          <w:iCs/>
          <w:i/>
        </w:rPr>
        <w:t xml:space="preserve">See Marshall v. Miller,</w:t>
      </w:r>
      <w:r>
        <w:t xml:space="preserve"> </w:t>
      </w:r>
      <w:r>
        <w:t xml:space="preserve">302 N.C. 539</w:t>
      </w:r>
      <w:r>
        <w:t xml:space="preserve">,</w:t>
      </w:r>
      <w:r>
        <w:t xml:space="preserve"> </w:t>
      </w:r>
      <w:r>
        <w:t xml:space="preserve">276 S.E.2d 397</w:t>
      </w:r>
      <w:r>
        <w:t xml:space="preserve">, 400 (N.C.1981). In addition, businesses are sometimes allowed to assert UTPA claims against other businesses because “unfair trade practices involving only businesses” can “affect the consumer as well.”</w:t>
      </w:r>
      <w:r>
        <w:t xml:space="preserve"> </w:t>
      </w:r>
      <w:r>
        <w:rPr>
          <w:iCs/>
          <w:i/>
        </w:rPr>
        <w:t xml:space="preserve">United Labs., Inc. v. Kuykendall,</w:t>
      </w:r>
      <w:r>
        <w:t xml:space="preserve"> </w:t>
      </w:r>
      <w:r>
        <w:t xml:space="preserve">322 N.C. 643</w:t>
      </w:r>
      <w:r>
        <w:t xml:space="preserve">,</w:t>
      </w:r>
      <w:r>
        <w:t xml:space="preserve"> </w:t>
      </w:r>
      <w:r>
        <w:t xml:space="preserve">370 S.E.2d 375</w:t>
      </w:r>
      <w:r>
        <w:t xml:space="preserve">, 389 (N.C.1988). But one business is permitted to assert an UTPA claim against another business only when the businesses are competitors (or potential competitors) or are engaged in commercial dealings with each other.</w:t>
      </w:r>
      <w:r>
        <w:t xml:space="preserve"> </w:t>
      </w:r>
      <w:r>
        <w:rPr>
          <w:iCs/>
          <w:i/>
        </w:rPr>
        <w:t xml:space="preserve">See, e.g., Winston Realty Co. v. G.H.G., Inc.,</w:t>
      </w:r>
      <w:r>
        <w:t xml:space="preserve"> </w:t>
      </w:r>
      <w:r>
        <w:t xml:space="preserve">314 N.C. 90</w:t>
      </w:r>
      <w:r>
        <w:t xml:space="preserve">,</w:t>
      </w:r>
      <w:r>
        <w:t xml:space="preserve"> </w:t>
      </w:r>
      <w:r>
        <w:t xml:space="preserve">331 S.E.2d 677</w:t>
      </w:r>
      <w:r>
        <w:t xml:space="preserve"> </w:t>
      </w:r>
      <w:r>
        <w:t xml:space="preserve">(N.C.1985) (UTPA applies when temporary personnel agency falsely claims to have conducted background checks of workers it sends to companies);</w:t>
      </w:r>
      <w:r>
        <w:t xml:space="preserve"> </w:t>
      </w:r>
      <w:r>
        <w:rPr>
          <w:iCs/>
          <w:i/>
        </w:rPr>
        <w:t xml:space="preserve">Harrington Mfg. Co. v. Powell Mfg. Co.,</w:t>
      </w:r>
      <w:r>
        <w:t xml:space="preserve"> </w:t>
      </w:r>
      <w:r>
        <w:t xml:space="preserve">38 N.C.App. 393</w:t>
      </w:r>
      <w:r>
        <w:t xml:space="preserve">,</w:t>
      </w:r>
      <w:r>
        <w:t xml:space="preserve"> </w:t>
      </w:r>
      <w:r>
        <w:t xml:space="preserve">248 S.E.2d 739</w:t>
      </w:r>
      <w:r>
        <w:t xml:space="preserve"> </w:t>
      </w:r>
      <w:r>
        <w:t xml:space="preserve">(N.C.Ct.App.1979) (UTPA applies when manufacturer passes off its competitor’s goods as those of its own);</w:t>
      </w:r>
      <w:r>
        <w:t xml:space="preserve"> </w:t>
      </w:r>
      <w:r>
        <w:rPr>
          <w:iCs/>
          <w:i/>
        </w:rPr>
        <w:t xml:space="preserve">Concrete Serv. Corp. v. Investors Group, Inc.,</w:t>
      </w:r>
      <w:r>
        <w:t xml:space="preserve"> </w:t>
      </w:r>
      <w:r>
        <w:t xml:space="preserve">79 N.C.App. 678</w:t>
      </w:r>
      <w:r>
        <w:t xml:space="preserve">,</w:t>
      </w:r>
      <w:r>
        <w:t xml:space="preserve"> </w:t>
      </w:r>
      <w:r>
        <w:t xml:space="preserve">340 S.E.2d 755</w:t>
      </w:r>
      <w:r>
        <w:t xml:space="preserve">, 760-61 (N.C.Ct.App.1986) (UTPA covers acts intended to deceive suppliers into extending credit). In any event, the fundamental purpose of the UTPA is to protect the consumer, and courts invariably look to that purpose in deciding whether the Act applies.</w:t>
      </w:r>
      <w:r>
        <w:t xml:space="preserve"> </w:t>
      </w:r>
      <w:r>
        <w:rPr>
          <w:iCs/>
          <w:i/>
        </w:rPr>
        <w:t xml:space="preserve">See Lindner v. Durham Hosiery Mills, Inc.,</w:t>
      </w:r>
      <w:r>
        <w:t xml:space="preserve"> </w:t>
      </w:r>
      <w:r>
        <w:t xml:space="preserve">761 F.2d 162</w:t>
      </w:r>
      <w:r>
        <w:t xml:space="preserve">, 165-67 (4th Cir.1985).</w:t>
      </w:r>
    </w:p>
    <w:p>
      <w:pPr>
        <w:pStyle w:val="CaseBody"/>
      </w:pPr>
      <w:r>
        <w:t xml:space="preserve">The district court found an UTPA violation because ABC is a business that engaged in deception. However, the deception — the misrepresentations in Dale’s application — did not harm the consuming public. Presumably, ABC intended to benefit the consuming public by letting it know about Food Lion’s food handling practices. Moreover, ABC was not competing with Food Lion, and it did not have any actual or potential business relationship with the grocery chain. The UTPA, therefore, cannot be used here because there is no competitive or business relationship that can be policed for the benefit of the consuming public. The North Carolina statute has not been applied to a circumstance like this, and we believe the Supreme Court of North Carolina would hold that it should not be. We therefore reverse the district court’s judgment that the ABC defendants, including Dale, were liable under the North Carolina UTPA.</w:t>
      </w:r>
    </w:p>
    <w:p>
      <w:pPr>
        <w:pStyle w:val="CaseBody"/>
      </w:pPr>
      <w:r>
        <w:t xml:space="preserve">B.</w:t>
      </w:r>
    </w:p>
    <w:p>
      <w:pPr>
        <w:pStyle w:val="CaseBody"/>
      </w:pPr>
      <w:r>
        <w:t xml:space="preserve">ABC argues that even if state tort law covers some of Dale and Barnett’s conduct, the district court erred in refusing to subject Food Lion’s claims to any level of First Amendment scrutiny. ABC makes this argument because Dale and Barnett were engaged in newsgathering for</w:t>
      </w:r>
      <w:r>
        <w:t xml:space="preserve"> </w:t>
      </w:r>
      <w:r>
        <w:rPr>
          <w:iCs/>
          <w:i/>
        </w:rPr>
        <w:t xml:space="preserve">PrimeTime Live.</w:t>
      </w:r>
      <w:r>
        <w:t xml:space="preserve"> </w:t>
      </w:r>
      <w:r>
        <w:t xml:space="preserve">It is true that there are “First Amendment interests in news-gathering.”</w:t>
      </w:r>
      <w:r>
        <w:t xml:space="preserve"> </w:t>
      </w:r>
      <w:r>
        <w:rPr>
          <w:iCs/>
          <w:i/>
        </w:rPr>
        <w:t xml:space="preserve">In re Shain,</w:t>
      </w:r>
      <w:r>
        <w:t xml:space="preserve"> </w:t>
      </w:r>
      <w:r>
        <w:t xml:space="preserve">978 F.2d 850</w:t>
      </w:r>
      <w:r>
        <w:t xml:space="preserve">, 855 (4th Cir.1992) (Wilkinson J., concurring).</w:t>
      </w:r>
      <w:r>
        <w:t xml:space="preserve"> </w:t>
      </w:r>
      <w:r>
        <w:rPr>
          <w:iCs/>
          <w:i/>
        </w:rPr>
        <w:t xml:space="preserve">See also Branzburg v. Hayes,</w:t>
      </w:r>
      <w:r>
        <w:t xml:space="preserve"> </w:t>
      </w:r>
      <w:r>
        <w:t xml:space="preserve">408 U.S. 665</w:t>
      </w:r>
      <w:r>
        <w:t xml:space="preserve">, 681,</w:t>
      </w:r>
      <w:r>
        <w:t xml:space="preserve"> </w:t>
      </w:r>
      <w:r>
        <w:t xml:space="preserve">92 S.Ct. 2646</w:t>
      </w:r>
      <w:r>
        <w:t xml:space="preserve">,</w:t>
      </w:r>
      <w:r>
        <w:t xml:space="preserve"> </w:t>
      </w:r>
      <w:r>
        <w:t xml:space="preserve">33 L.Ed.2d 626</w:t>
      </w:r>
      <w:r>
        <w:t xml:space="preserve"> </w:t>
      </w:r>
      <w:r>
        <w:t xml:space="preserve">(1972) (“without some protection for seeking out the news, freedom of the press could be eviscerated.”). However, the Supreme Court has said in no uncertain terms that “generally applicable laws do not offend the First Amendment simply because their enforcement against the press has incidental effects on its ability to gather and report the news.”</w:t>
      </w:r>
      <w:r>
        <w:t xml:space="preserve"> </w:t>
      </w:r>
      <w:r>
        <w:rPr>
          <w:iCs/>
          <w:i/>
        </w:rPr>
        <w:t xml:space="preserve">Cohen v. Cowles Media Co.,</w:t>
      </w:r>
      <w:r>
        <w:t xml:space="preserve"> </w:t>
      </w:r>
      <w:r>
        <w:t xml:space="preserve">501 U.S. 663</w:t>
      </w:r>
      <w:r>
        <w:t xml:space="preserve">, 669,</w:t>
      </w:r>
      <w:r>
        <w:t xml:space="preserve"> </w:t>
      </w:r>
      <w:r>
        <w:t xml:space="preserve">111 S.Ct. 2513</w:t>
      </w:r>
      <w:r>
        <w:t xml:space="preserve">,</w:t>
      </w:r>
      <w:r>
        <w:t xml:space="preserve"> </w:t>
      </w:r>
      <w:r>
        <w:t xml:space="preserve">115 L.Ed.2d 586</w:t>
      </w:r>
      <w:r>
        <w:t xml:space="preserve"> </w:t>
      </w:r>
      <w:r>
        <w:t xml:space="preserve">(1991);</w:t>
      </w:r>
      <w:r>
        <w:t xml:space="preserve"> </w:t>
      </w:r>
      <w:r>
        <w:rPr>
          <w:iCs/>
          <w:i/>
        </w:rPr>
        <w:t xml:space="preserve">see also Desnick,</w:t>
      </w:r>
      <w:r>
        <w:t xml:space="preserve"> </w:t>
      </w:r>
      <w:r>
        <w:t xml:space="preserve">44 F.3d at 1355</w:t>
      </w:r>
      <w:r>
        <w:t xml:space="preserve"> </w:t>
      </w:r>
      <w:r>
        <w:t xml:space="preserve">(“the media have no general immunity from tort or contract liability”).</w:t>
      </w:r>
    </w:p>
    <w:p>
      <w:pPr>
        <w:pStyle w:val="CaseBody"/>
      </w:pPr>
      <w:r>
        <w:t xml:space="preserve">In</w:t>
      </w:r>
      <w:r>
        <w:t xml:space="preserve"> </w:t>
      </w:r>
      <w:r>
        <w:rPr>
          <w:iCs/>
          <w:i/>
        </w:rPr>
        <w:t xml:space="preserve">Cowles,</w:t>
      </w:r>
      <w:r>
        <w:t xml:space="preserve"> </w:t>
      </w:r>
      <w:r>
        <w:t xml:space="preserve">Cohen, who was associated with a candidate for governor of Minnesota, gave damaging information about a candidate for another office to two reporters on their promise that his (Cohen’s) identity would not be disclosed. Because editors at the reporters’ newspapers concluded that the source was an essential part of the story, it was published with Cohen named as the origin. Cohen was fired from his job as a result, and he sued the newspapers for breaking the promise. The question in the Supreme Court was whether the First Amendment barred Cohen from recovering damages under state promissory estoppel law. The newspapers argued that absent “a need to further a state interest of the highest order,” the First Amendment protected them from liability for publishing truthful information, lawfully obtained, about a matter of public concern.</w:t>
      </w:r>
      <w:r>
        <w:t xml:space="preserve"> </w:t>
      </w:r>
      <w:r>
        <w:rPr>
          <w:iCs/>
          <w:i/>
        </w:rPr>
        <w:t xml:space="preserve">Id.</w:t>
      </w:r>
      <w:r>
        <w:t xml:space="preserve"> </w:t>
      </w:r>
      <w:r>
        <w:t xml:space="preserve">at 668-69,</w:t>
      </w:r>
      <w:r>
        <w:t xml:space="preserve"> </w:t>
      </w:r>
      <w:r>
        <w:t xml:space="preserve">111 S.Ct. 2513</w:t>
      </w:r>
      <w:r>
        <w:t xml:space="preserve"> </w:t>
      </w:r>
      <w:r>
        <w:t xml:space="preserve">(quoting</w:t>
      </w:r>
      <w:r>
        <w:t xml:space="preserve"> </w:t>
      </w:r>
      <w:r>
        <w:rPr>
          <w:iCs/>
          <w:i/>
        </w:rPr>
        <w:t xml:space="preserve">Smith v. Daily Mail Publ’g Co.,</w:t>
      </w:r>
      <w:r>
        <w:t xml:space="preserve"> </w:t>
      </w:r>
      <w:r>
        <w:t xml:space="preserve">443 U.S. 97</w:t>
      </w:r>
      <w:r>
        <w:t xml:space="preserve">, 103,</w:t>
      </w:r>
      <w:r>
        <w:t xml:space="preserve"> </w:t>
      </w:r>
      <w:r>
        <w:t xml:space="preserve">99 S.Ct. 2667</w:t>
      </w:r>
      <w:r>
        <w:t xml:space="preserve">,</w:t>
      </w:r>
      <w:r>
        <w:t xml:space="preserve"> </w:t>
      </w:r>
      <w:r>
        <w:t xml:space="preserve">61 L.Ed.2d 399</w:t>
      </w:r>
      <w:r>
        <w:t xml:space="preserve"> </w:t>
      </w:r>
      <w:r>
        <w:t xml:space="preserve">(1979)). The Supreme Court disagreed, holding that the press “has no special immunity from the application of general laws” and that the enforcement of general laws against the press “is not subject to stricter scrutiny than would be applied to enforcement against other persons or organizations.”</w:t>
      </w:r>
      <w:r>
        <w:t xml:space="preserve"> </w:t>
      </w:r>
      <w:r>
        <w:rPr>
          <w:iCs/>
          <w:i/>
        </w:rPr>
        <w:t xml:space="preserve">Id.</w:t>
      </w:r>
      <w:r>
        <w:t xml:space="preserve"> </w:t>
      </w:r>
      <w:r>
        <w:t xml:space="preserve">at 670,</w:t>
      </w:r>
      <w:r>
        <w:t xml:space="preserve"> </w:t>
      </w:r>
      <w:r>
        <w:t xml:space="preserve">111 S.Ct. 2513</w:t>
      </w:r>
      <w:r>
        <w:t xml:space="preserve"> </w:t>
      </w:r>
      <w:r>
        <w:t xml:space="preserve">(quoting</w:t>
      </w:r>
      <w:r>
        <w:t xml:space="preserve"> </w:t>
      </w:r>
      <w:r>
        <w:rPr>
          <w:iCs/>
          <w:i/>
        </w:rPr>
        <w:t xml:space="preserve">Associated Press v. NLRB,</w:t>
      </w:r>
      <w:r>
        <w:t xml:space="preserve"> </w:t>
      </w:r>
      <w:r>
        <w:t xml:space="preserve">301 U.S. 103</w:t>
      </w:r>
      <w:r>
        <w:t xml:space="preserve">, 132,</w:t>
      </w:r>
      <w:r>
        <w:t xml:space="preserve"> </w:t>
      </w:r>
      <w:r>
        <w:t xml:space="preserve">57 S.Ct. 650</w:t>
      </w:r>
      <w:r>
        <w:t xml:space="preserve">,</w:t>
      </w:r>
      <w:r>
        <w:t xml:space="preserve"> </w:t>
      </w:r>
      <w:r>
        <w:t xml:space="preserve">81 L.Ed. 953</w:t>
      </w:r>
      <w:r>
        <w:t xml:space="preserve"> </w:t>
      </w:r>
      <w:r>
        <w:t xml:space="preserve">(1937)).</w:t>
      </w:r>
    </w:p>
    <w:p>
      <w:pPr>
        <w:pStyle w:val="CaseBody"/>
      </w:pPr>
      <w:r>
        <w:t xml:space="preserve">The key inquiry in</w:t>
      </w:r>
      <w:r>
        <w:t xml:space="preserve"> </w:t>
      </w:r>
      <w:r>
        <w:rPr>
          <w:iCs/>
          <w:i/>
        </w:rPr>
        <w:t xml:space="preserve">Cowles</w:t>
      </w:r>
      <w:r>
        <w:t xml:space="preserve"> </w:t>
      </w:r>
      <w:r>
        <w:t xml:space="preserve">was whether the law of promissory estoppel was a generally applicable law. The Court began its analysis with some examples of generally applicable laws that must be obeyed by the press, such as those relating to copyright, labor, antitrust, and tax.</w:t>
      </w:r>
      <w:r>
        <w:t xml:space="preserve"> </w:t>
      </w:r>
      <w:r>
        <w:rPr>
          <w:iCs/>
          <w:i/>
        </w:rPr>
        <w:t xml:space="preserve">Id.</w:t>
      </w:r>
      <w:r>
        <w:t xml:space="preserve"> </w:t>
      </w:r>
      <w:r>
        <w:t xml:space="preserve">at 669,</w:t>
      </w:r>
      <w:r>
        <w:t xml:space="preserve"> </w:t>
      </w:r>
      <w:r>
        <w:t xml:space="preserve">111 S.Ct. 2513</w:t>
      </w:r>
      <w:r>
        <w:t xml:space="preserve">. More relevant to us, “[t]he press may not with impunity break and enter an office or dwelling to gather news.”</w:t>
      </w:r>
      <w:r>
        <w:t xml:space="preserve"> </w:t>
      </w:r>
      <w:r>
        <w:rPr>
          <w:iCs/>
          <w:i/>
        </w:rPr>
        <w:t xml:space="preserve">Id.</w:t>
      </w:r>
      <w:r>
        <w:t xml:space="preserve"> </w:t>
      </w:r>
      <w:r>
        <w:t xml:space="preserve">In analyzing the doctrine of promissory estoppel, the Court determined that it was a law of general applicability because it “does not target or single out the press,” but instead applies “to the daily transactions of all the citizens of Minnesota.”</w:t>
      </w:r>
      <w:r>
        <w:t xml:space="preserve"> </w:t>
      </w:r>
      <w:r>
        <w:rPr>
          <w:iCs/>
          <w:i/>
        </w:rPr>
        <w:t xml:space="preserve">Id.</w:t>
      </w:r>
      <w:r>
        <w:rPr>
          <w:iCs/>
          <w:i/>
        </w:rPr>
        <w:t xml:space="preserve"> </w:t>
      </w:r>
      <w:r>
        <w:t xml:space="preserve">at 670</w:t>
      </w:r>
      <w:r>
        <w:t xml:space="preserve">,</w:t>
      </w:r>
      <w:r>
        <w:t xml:space="preserve"> </w:t>
      </w:r>
      <w:r>
        <w:t xml:space="preserve">111 S.Ct. 2513</w:t>
      </w:r>
      <w:r>
        <w:t xml:space="preserve">. The Court concluded that “the First Amendment does not confer on the press a constitutional right to disregard promises that would otherwise be enforced under state law.”</w:t>
      </w:r>
      <w:r>
        <w:t xml:space="preserve"> </w:t>
      </w:r>
      <w:r>
        <w:rPr>
          <w:iCs/>
          <w:i/>
        </w:rPr>
        <w:t xml:space="preserve">Id.</w:t>
      </w:r>
      <w:r>
        <w:rPr>
          <w:iCs/>
          <w:i/>
        </w:rPr>
        <w:t xml:space="preserve"> </w:t>
      </w:r>
      <w:r>
        <w:t xml:space="preserve">at 672</w:t>
      </w:r>
      <w:r>
        <w:t xml:space="preserve">,</w:t>
      </w:r>
      <w:r>
        <w:t xml:space="preserve"> </w:t>
      </w:r>
      <w:r>
        <w:t xml:space="preserve">111 S.Ct. 2513</w:t>
      </w:r>
      <w:r>
        <w:t xml:space="preserve">. The Court thus refused to apply any heightened scrutiny to the enforcement of Minnesota’s promissory estoppel law against the newspapers.</w:t>
      </w:r>
    </w:p>
    <w:p>
      <w:pPr>
        <w:pStyle w:val="CaseBody"/>
      </w:pPr>
      <w:r>
        <w:t xml:space="preserve">The torts Dale and Barnett committed, breach of the duty of loyalty and trespass, fit neatly into the</w:t>
      </w:r>
      <w:r>
        <w:t xml:space="preserve"> </w:t>
      </w:r>
      <w:r>
        <w:rPr>
          <w:iCs/>
          <w:i/>
        </w:rPr>
        <w:t xml:space="preserve">Cowles</w:t>
      </w:r>
      <w:r>
        <w:t xml:space="preserve"> </w:t>
      </w:r>
      <w:r>
        <w:t xml:space="preserve">framework. Neither tort targets or singles out the press. Each applies to the daily transactions of the citizens of North and South Carolina. If, for example, an employee of a competing grocery chain hired on with Food Lion and videotaped damaging information in Food Lion’s non-public areas for later disclosure to the public, these tort laws would apply with the same force as they do against Dale and Barnett here. Nor do we believe that applying these laws against the media will have more than an “incidental effect” on newsgathering.</w:t>
      </w:r>
      <w:r>
        <w:t xml:space="preserve"> </w:t>
      </w:r>
      <w:r>
        <w:rPr>
          <w:iCs/>
          <w:i/>
        </w:rPr>
        <w:t xml:space="preserve">See Cowles,</w:t>
      </w:r>
      <w:r>
        <w:t xml:space="preserve"> </w:t>
      </w:r>
      <w:r>
        <w:t xml:space="preserve">501 U.S. at 669, 671-72</w:t>
      </w:r>
      <w:r>
        <w:t xml:space="preserve">,</w:t>
      </w:r>
      <w:r>
        <w:t xml:space="preserve"> </w:t>
      </w:r>
      <w:r>
        <w:t xml:space="preserve">111 S.Ct. 2513</w:t>
      </w:r>
      <w:r>
        <w:t xml:space="preserve">. We are convinced that the media can do its important job effectively without resort to the commission of run-of-the-mill torts.</w:t>
      </w:r>
      <w:r>
        <w:rPr>
          <w:rStyle w:val="FootnoteReference"/>
        </w:rPr>
        <w:footnoteReference w:customMarkFollows="1" w:id="119"/>
        <w:t xml:space="preserve">5</w:t>
      </w:r>
    </w:p>
    <w:p>
      <w:pPr>
        <w:pStyle w:val="CaseBody"/>
      </w:pPr>
      <w:r>
        <w:t xml:space="preserve">ABC argues that</w:t>
      </w:r>
      <w:r>
        <w:t xml:space="preserve"> </w:t>
      </w:r>
      <w:r>
        <w:rPr>
          <w:iCs/>
          <w:i/>
        </w:rPr>
        <w:t xml:space="preserve">Cowles</w:t>
      </w:r>
      <w:r>
        <w:t xml:space="preserve"> </w:t>
      </w:r>
      <w:r>
        <w:t xml:space="preserve">is not to be applied automatically to every “generally applicable law” because the Supreme Court has since said that “the enforcement of [such a] law may or may not be subject to heightened scrutiny under the First Amendment.”</w:t>
      </w:r>
      <w:r>
        <w:t xml:space="preserve"> </w:t>
      </w:r>
      <w:r>
        <w:rPr>
          <w:iCs/>
          <w:i/>
        </w:rPr>
        <w:t xml:space="preserve">Turner Broadcasting Sys</w:t>
      </w:r>
      <w:r>
        <w:t xml:space="preserve">tem,</w:t>
      </w:r>
      <w:r>
        <w:t xml:space="preserve"> </w:t>
      </w:r>
      <w:r>
        <w:rPr>
          <w:iCs/>
          <w:i/>
        </w:rPr>
        <w:t xml:space="preserve">Inc. v. FCC,</w:t>
      </w:r>
      <w:r>
        <w:t xml:space="preserve"> </w:t>
      </w:r>
      <w:r>
        <w:t xml:space="preserve">512 U.S. 622</w:t>
      </w:r>
      <w:r>
        <w:t xml:space="preserve">, 640,</w:t>
      </w:r>
      <w:r>
        <w:t xml:space="preserve"> </w:t>
      </w:r>
      <w:r>
        <w:t xml:space="preserve">114 S.Ct. 2445</w:t>
      </w:r>
      <w:r>
        <w:t xml:space="preserve">,</w:t>
      </w:r>
      <w:r>
        <w:t xml:space="preserve"> </w:t>
      </w:r>
      <w:r>
        <w:t xml:space="preserve">129 L.Ed.2d 497</w:t>
      </w:r>
      <w:r>
        <w:t xml:space="preserve"> </w:t>
      </w:r>
      <w:r>
        <w:t xml:space="preserve">(1994) (contrasting</w:t>
      </w:r>
      <w:r>
        <w:t xml:space="preserve"> </w:t>
      </w:r>
      <w:r>
        <w:rPr>
          <w:iCs/>
          <w:i/>
        </w:rPr>
        <w:t xml:space="preserve">Barnes v. Glen Theatre, Inc.,</w:t>
      </w:r>
      <w:r>
        <w:rPr>
          <w:iCs/>
          <w:i/>
        </w:rPr>
        <w:t xml:space="preserve"> </w:t>
      </w:r>
      <w:r>
        <w:rPr>
          <w:iCs/>
          <w:i/>
        </w:rPr>
        <w:t xml:space="preserve">501</w:t>
      </w:r>
      <w:r>
        <w:rPr>
          <w:iCs/>
          <w:i/>
        </w:rPr>
        <w:t xml:space="preserve"> </w:t>
      </w:r>
      <w:r>
        <w:t xml:space="preserve">U.S. 560</w:t>
      </w:r>
      <w:r>
        <w:t xml:space="preserve">,</w:t>
      </w:r>
      <w:r>
        <w:t xml:space="preserve"> </w:t>
      </w:r>
      <w:r>
        <w:t xml:space="preserve">111 S.Ct. 2456</w:t>
      </w:r>
      <w:r>
        <w:t xml:space="preserve">,</w:t>
      </w:r>
      <w:r>
        <w:t xml:space="preserve"> </w:t>
      </w:r>
      <w:r>
        <w:t xml:space="preserve">115 L.Ed.2d 504</w:t>
      </w:r>
      <w:r>
        <w:t xml:space="preserve"> </w:t>
      </w:r>
      <w:r>
        <w:t xml:space="preserve">(1991), and Cowles). In</w:t>
      </w:r>
      <w:r>
        <w:t xml:space="preserve"> </w:t>
      </w:r>
      <w:r>
        <w:rPr>
          <w:iCs/>
          <w:i/>
        </w:rPr>
        <w:t xml:space="preserve">Glen Theatre</w:t>
      </w:r>
      <w:r>
        <w:t xml:space="preserve"> </w:t>
      </w:r>
      <w:r>
        <w:t xml:space="preserve">nude dancing establishments and their dancers challenged a generally applicable law prohibiting public nudity. Because the general ban on public nudity covered nude dancing, which was expressive conduct, the Supreme Court applied heightened scrutiny.</w:t>
      </w:r>
      <w:r>
        <w:t xml:space="preserve"> </w:t>
      </w:r>
      <w:r>
        <w:rPr>
          <w:iCs/>
          <w:i/>
        </w:rPr>
        <w:t xml:space="preserve">Glen Theatre,</w:t>
      </w:r>
      <w:r>
        <w:t xml:space="preserve"> </w:t>
      </w:r>
      <w:r>
        <w:t xml:space="preserve">501 U.S. at 566,</w:t>
      </w:r>
      <w:r>
        <w:t xml:space="preserve"> </w:t>
      </w:r>
      <w:r>
        <w:t xml:space="preserve">111 S.Ct. 2456</w:t>
      </w:r>
      <w:r>
        <w:t xml:space="preserve">. In</w:t>
      </w:r>
      <w:r>
        <w:t xml:space="preserve"> </w:t>
      </w:r>
      <w:r>
        <w:rPr>
          <w:iCs/>
          <w:i/>
        </w:rPr>
        <w:t xml:space="preserve">Cocoles</w:t>
      </w:r>
      <w:r>
        <w:t xml:space="preserve"> </w:t>
      </w:r>
      <w:r>
        <w:t xml:space="preserve">a generally applicable law (promissory estoppel) was invoked against newspapers who broke their promises to a source that they would keep his name confidential in exchange for information leading to a news story. There, the Court refused to apply heightened scrutiny, concluding that application of the doctrine of promissory estoppel had “no more than [an] incidental” effect on the press’s ability to gather or report news.</w:t>
      </w:r>
      <w:r>
        <w:t xml:space="preserve"> </w:t>
      </w:r>
      <w:r>
        <w:rPr>
          <w:iCs/>
          <w:i/>
        </w:rPr>
        <w:t xml:space="preserve">Cowles,</w:t>
      </w:r>
      <w:r>
        <w:t xml:space="preserve"> </w:t>
      </w:r>
      <w:r>
        <w:t xml:space="preserve">501 U.S. at 671-72,</w:t>
      </w:r>
      <w:r>
        <w:t xml:space="preserve"> </w:t>
      </w:r>
      <w:r>
        <w:t xml:space="preserve">111 S.Ct. 2513</w:t>
      </w:r>
      <w:r>
        <w:t xml:space="preserve">. There is arguable tension between the approaches in the two cases. The cases are consistent, however, if we view the challenged conduct in</w:t>
      </w:r>
      <w:r>
        <w:t xml:space="preserve"> </w:t>
      </w:r>
      <w:r>
        <w:rPr>
          <w:iCs/>
          <w:i/>
        </w:rPr>
        <w:t xml:space="preserve">Cowles to</w:t>
      </w:r>
      <w:r>
        <w:t xml:space="preserve"> </w:t>
      </w:r>
      <w:r>
        <w:t xml:space="preserve">be the breach of promise and not some form of expression. In</w:t>
      </w:r>
      <w:r>
        <w:t xml:space="preserve"> </w:t>
      </w:r>
      <w:r>
        <w:rPr>
          <w:iCs/>
          <w:i/>
        </w:rPr>
        <w:t xml:space="preserve">Glen Theatre,</w:t>
      </w:r>
      <w:r>
        <w:t xml:space="preserve"> </w:t>
      </w:r>
      <w:r>
        <w:t xml:space="preserve">on the other hand, an activity directly covered by the law, nude dancing, necessarily involved expression, and heightened scrutiny was applied. Here, as in</w:t>
      </w:r>
      <w:r>
        <w:t xml:space="preserve"> </w:t>
      </w:r>
      <w:r>
        <w:rPr>
          <w:iCs/>
          <w:i/>
        </w:rPr>
        <w:t xml:space="preserve">Coioles,</w:t>
      </w:r>
      <w:r>
        <w:t xml:space="preserve"> </w:t>
      </w:r>
      <w:r>
        <w:t xml:space="preserve">heightened scrutiny does not apply because the tort laws (breach of duty of loyalty and trespass) do not single out the press or have more than an incidental effect upon its work.</w:t>
      </w:r>
    </w:p>
    <w:p>
      <w:pPr>
        <w:pStyle w:val="CaseBody"/>
      </w:pPr>
      <w:r>
        <w:t xml:space="preserve">C.</w:t>
      </w:r>
    </w:p>
    <w:p>
      <w:pPr>
        <w:pStyle w:val="CaseBody"/>
      </w:pPr>
      <w:r>
        <w:t xml:space="preserve">For the foregoing reasons, we affirm the judgment that Dale and Barnett breached their duty of loyalty to Food Lion and committed trespass. We likewise affirm the damages award against them for these torts in the amount of $2.00. We have already indicated that the fraud claim against all of the ABC defendants must be reversed. Because Food Lion was awarded punitive damages only on its fraud claim, the judgment awarding punitive damages cannot stand.</w:t>
      </w:r>
    </w:p>
    <w:p>
      <w:pPr>
        <w:pStyle w:val="CaseBody"/>
      </w:pPr>
      <w:r>
        <w:t xml:space="preserve">III.</w:t>
      </w:r>
    </w:p>
    <w:p>
      <w:pPr>
        <w:pStyle w:val="CaseBody"/>
      </w:pPr>
      <w:r>
        <w:t xml:space="preserve">In its cross-appeal Food Lion argues that the district court erred in refusing to allow it to use its non-reputational tort claims (breach of duty of loyalty, trespass, etc.) to recover compensatory damages for ABC’s broadcast of the</w:t>
      </w:r>
      <w:r>
        <w:t xml:space="preserve"> </w:t>
      </w:r>
      <w:r>
        <w:rPr>
          <w:iCs/>
          <w:i/>
        </w:rPr>
        <w:t xml:space="preserve">Prime-Time Live</w:t>
      </w:r>
      <w:r>
        <w:t xml:space="preserve"> </w:t>
      </w:r>
      <w:r>
        <w:t xml:space="preserve">program that targeted Food Lion. The publication damages Food Lion sought (or alleged) were for items relating to its reputation, such as loss of good will and lost sales. The district court determined that the publication damages claimed by Food Lion “were the direct result of diminished consumer confidence in the store” and that “it was[Food Lion’s] food handling practices themselves — not the method by which they were recorded or published — which caused the loss of consumer confidence.”</w:t>
      </w:r>
      <w:r>
        <w:t xml:space="preserve"> </w:t>
      </w:r>
      <w:r>
        <w:rPr>
          <w:iCs/>
          <w:i/>
        </w:rPr>
        <w:t xml:space="preserve">Food Lion, Inc. v. Capital Cities/ABC, Inc.,</w:t>
      </w:r>
      <w:r>
        <w:t xml:space="preserve"> </w:t>
      </w:r>
      <w:r>
        <w:t xml:space="preserve">964 F.Supp. 956</w:t>
      </w:r>
      <w:r>
        <w:t xml:space="preserve">, 963 (M.D.N.C.1997). The court therefore concluded that the publication damages were not proximately caused by the non-reputational torts committed by ABC’s employees. We do not reach the matter of proximate cause because an overriding (and settled) First Amendment principle precludes the award of publication damages in this case, as ABC has argued to the district court and to us. Food Lion attempted to avoid the First Amendment limitations on defamation claims by seeking publication damages under non-reputa-tional tort claims, while holding to the normal state law proof standards for these torts. This is precluded by</w:t>
      </w:r>
      <w:r>
        <w:t xml:space="preserve"> </w:t>
      </w:r>
      <w:r>
        <w:rPr>
          <w:iCs/>
          <w:i/>
        </w:rPr>
        <w:t xml:space="preserve">Hustler Magazine v. Falwell,</w:t>
      </w:r>
      <w:r>
        <w:t xml:space="preserve"> </w:t>
      </w:r>
      <w:r>
        <w:t xml:space="preserve">485 U.S. 46</w:t>
      </w:r>
      <w:r>
        <w:t xml:space="preserve">,</w:t>
      </w:r>
      <w:r>
        <w:t xml:space="preserve"> </w:t>
      </w:r>
      <w:r>
        <w:t xml:space="preserve">108 S.Ct. 876</w:t>
      </w:r>
      <w:r>
        <w:t xml:space="preserve">,</w:t>
      </w:r>
      <w:r>
        <w:t xml:space="preserve"> </w:t>
      </w:r>
      <w:r>
        <w:t xml:space="preserve">99 L.Ed.2d 41</w:t>
      </w:r>
      <w:r>
        <w:t xml:space="preserve"> </w:t>
      </w:r>
      <w:r>
        <w:t xml:space="preserve">(1988).</w:t>
      </w:r>
    </w:p>
    <w:p>
      <w:pPr>
        <w:pStyle w:val="CaseBody"/>
      </w:pPr>
      <w:r>
        <w:t xml:space="preserve">Food Lion acknowledges that it did not sue for defamation because its “ability to bring an action for defamation ... required proof that ABC acted with actual malice.” Appellee’s Opening Br. at 44. Food Lion thus understood that if it sued ABC for defamation it would have to prove that the</w:t>
      </w:r>
      <w:r>
        <w:t xml:space="preserve"> </w:t>
      </w:r>
      <w:r>
        <w:rPr>
          <w:iCs/>
          <w:i/>
        </w:rPr>
        <w:t xml:space="preserve">PrimeTime Live</w:t>
      </w:r>
      <w:r>
        <w:t xml:space="preserve"> </w:t>
      </w:r>
      <w:r>
        <w:t xml:space="preserve">broadcast contained a false statement of fact that was made with “actual malice,” that is, with knowledge that it was false or with reckless disregard as to whether it was true or false.</w:t>
      </w:r>
      <w:r>
        <w:t xml:space="preserve"> </w:t>
      </w:r>
      <w:r>
        <w:rPr>
          <w:iCs/>
          <w:i/>
        </w:rPr>
        <w:t xml:space="preserve">See New York Times Co. v. Sullivan,</w:t>
      </w:r>
      <w:r>
        <w:t xml:space="preserve"> </w:t>
      </w:r>
      <w:r>
        <w:t xml:space="preserve">376 U.S. 254</w:t>
      </w:r>
      <w:r>
        <w:t xml:space="preserve">, 279-80,</w:t>
      </w:r>
      <w:r>
        <w:t xml:space="preserve"> </w:t>
      </w:r>
      <w:r>
        <w:t xml:space="preserve">84 S.Ct. 710</w:t>
      </w:r>
      <w:r>
        <w:t xml:space="preserve">,</w:t>
      </w:r>
      <w:r>
        <w:t xml:space="preserve"> </w:t>
      </w:r>
      <w:r>
        <w:t xml:space="preserve">11 L.Ed.2d 686</w:t>
      </w:r>
      <w:r>
        <w:t xml:space="preserve"> </w:t>
      </w:r>
      <w:r>
        <w:t xml:space="preserve">(1964). It is clear that Food Lion was not prepared to offer proof meeting the</w:t>
      </w:r>
      <w:r>
        <w:t xml:space="preserve"> </w:t>
      </w:r>
      <w:r>
        <w:rPr>
          <w:iCs/>
          <w:i/>
        </w:rPr>
        <w:t xml:space="preserve">New York Times</w:t>
      </w:r>
      <w:r>
        <w:t xml:space="preserve"> </w:t>
      </w:r>
      <w:r>
        <w:t xml:space="preserve">standard under any claim that it might assert. What Food Lion sought to do, then, was to recover defamation-type damages under non-repu-tational tort claims, without satisfying the stricter (First Amendment) standards of a defamation claim. We believe that such an end-run around First Amendment strictures is foreclosed by</w:t>
      </w:r>
      <w:r>
        <w:t xml:space="preserve"> </w:t>
      </w:r>
      <w:r>
        <w:rPr>
          <w:iCs/>
          <w:i/>
        </w:rPr>
        <w:t xml:space="preserve">Hustler.</w:t>
      </w:r>
    </w:p>
    <w:p>
      <w:pPr>
        <w:pStyle w:val="CaseBody"/>
      </w:pPr>
      <w:r>
        <w:t xml:space="preserve">In</w:t>
      </w:r>
      <w:r>
        <w:t xml:space="preserve"> </w:t>
      </w:r>
      <w:r>
        <w:rPr>
          <w:iCs/>
          <w:i/>
        </w:rPr>
        <w:t xml:space="preserve">Hustler</w:t>
      </w:r>
      <w:r>
        <w:t xml:space="preserve"> </w:t>
      </w:r>
      <w:r>
        <w:t xml:space="preserve">a popular liquor advertisement prompted the magazine to run a parody of the ad, labeled as such, that featured the Reverend Jerry Falwell “discussing” an incestuous sexual act he had undertaken while drunk in disgusting circumstances. Falwell sued the magazine and its publisher, Larry Flynt, seeking damages for libel and intentional infliction of emotional distress. At trial the jury-held against Falwell on the libel claim, specifically finding that the ad parody could not reasonably be understood as describing actual facts about Falwell or actual events in which he participated. The jury, however, found for Falwell on the emotional distress claim and awarded compensatory and punitive damages.</w:t>
      </w:r>
    </w:p>
    <w:p>
      <w:pPr>
        <w:pStyle w:val="CaseBody"/>
      </w:pPr>
      <w:r>
        <w:t xml:space="preserve">It was clear that Falwell, in asserting the claim for intentional infliction of emotional distress, sought “damages for emotional harm</w:t>
      </w:r>
      <w:r>
        <w:t xml:space="preserve"> </w:t>
      </w:r>
      <w:r>
        <w:rPr>
          <w:iCs/>
          <w:i/>
        </w:rPr>
        <w:t xml:space="preserve">caused by the publication</w:t>
      </w:r>
      <w:r>
        <w:t xml:space="preserve"> </w:t>
      </w:r>
      <w:r>
        <w:t xml:space="preserve">of an ad parody offensive to him.”</w:t>
      </w:r>
      <w:r>
        <w:t xml:space="preserve"> </w:t>
      </w:r>
      <w:r>
        <w:rPr>
          <w:iCs/>
          <w:i/>
        </w:rPr>
        <w:t xml:space="preserve">Hustler,</w:t>
      </w:r>
      <w:r>
        <w:t xml:space="preserve"> </w:t>
      </w:r>
      <w:r>
        <w:t xml:space="preserve">485 U.S. at 50</w:t>
      </w:r>
      <w:r>
        <w:t xml:space="preserve">,</w:t>
      </w:r>
      <w:r>
        <w:t xml:space="preserve"> </w:t>
      </w:r>
      <w:r>
        <w:t xml:space="preserve">108 S.Ct. 876</w:t>
      </w:r>
      <w:r>
        <w:t xml:space="preserve"> </w:t>
      </w:r>
      <w:r>
        <w:t xml:space="preserve">(emphasis added). In the Supreme Court the question was whether Falwell had to satisfy the heightened First Amendment proof standard set forth in</w:t>
      </w:r>
      <w:r>
        <w:t xml:space="preserve"> </w:t>
      </w:r>
      <w:r>
        <w:rPr>
          <w:iCs/>
          <w:i/>
        </w:rPr>
        <w:t xml:space="preserve">New York Times.</w:t>
      </w:r>
      <w:r>
        <w:t xml:space="preserve"> </w:t>
      </w:r>
      <w:r>
        <w:t xml:space="preserve">After concluding that the ad parody was protected expression, the Court, in an opinion by Chief Justice Rehnquist, held that the constitutional libel standard applied to Fal-welFs emotional distress claim:</w:t>
      </w:r>
    </w:p>
    <w:p>
      <w:pPr>
        <w:pStyle w:val="BlockText"/>
      </w:pPr>
      <w:r>
        <w:t xml:space="preserve">We conclude that public figures and public officials may not recover for the tort of intentional infliction of emotional distress by reason of publications such as the one here at issue without showing in addition that the publication contains a false statement of fact which was made with “actual malice,”</w:t>
      </w:r>
      <w:r>
        <w:t xml:space="preserve"> </w:t>
      </w:r>
      <w:r>
        <w:rPr>
          <w:iCs/>
          <w:i/>
        </w:rPr>
        <w:t xml:space="preserve">i.e.,</w:t>
      </w:r>
      <w:r>
        <w:t xml:space="preserve"> </w:t>
      </w:r>
      <w:r>
        <w:t xml:space="preserve">with knowledge that the statement was false or with reckless disregard as to whether or not it was true.</w:t>
      </w:r>
    </w:p>
    <w:p>
      <w:pPr>
        <w:pStyle w:val="CaseBody"/>
      </w:pPr>
      <w:r>
        <w:rPr>
          <w:iCs/>
          <w:i/>
        </w:rPr>
        <w:t xml:space="preserve">Hustler,</w:t>
      </w:r>
      <w:r>
        <w:t xml:space="preserve"> </w:t>
      </w:r>
      <w:r>
        <w:t xml:space="preserve">485 U.S. at 56</w:t>
      </w:r>
      <w:r>
        <w:t xml:space="preserve">,</w:t>
      </w:r>
      <w:r>
        <w:t xml:space="preserve"> </w:t>
      </w:r>
      <w:r>
        <w:t xml:space="preserve">108 S.Ct. 876</w:t>
      </w:r>
      <w:r>
        <w:t xml:space="preserve">.</w:t>
      </w:r>
    </w:p>
    <w:p>
      <w:pPr>
        <w:pStyle w:val="CaseBody"/>
      </w:pPr>
      <w:r>
        <w:rPr>
          <w:iCs/>
          <w:i/>
        </w:rPr>
        <w:t xml:space="preserve">Hustler</w:t>
      </w:r>
      <w:r>
        <w:t xml:space="preserve"> </w:t>
      </w:r>
      <w:r>
        <w:t xml:space="preserve">confirms that when a public figure plaintiff uses a law to seek damages resulting from speech covered by the First Amendment, the plaintiff must satisfy the proof standard of</w:t>
      </w:r>
      <w:r>
        <w:t xml:space="preserve"> </w:t>
      </w:r>
      <w:r>
        <w:rPr>
          <w:iCs/>
          <w:i/>
        </w:rPr>
        <w:t xml:space="preserve">New York Times.</w:t>
      </w:r>
      <w:r>
        <w:t xml:space="preserve"> </w:t>
      </w:r>
      <w:r>
        <w:t xml:space="preserve">Here, Food Lion was not prepared to meet this standard for publication damages under any of the claims it asserted. Unless there is some way to distinguish</w:t>
      </w:r>
      <w:r>
        <w:t xml:space="preserve"> </w:t>
      </w:r>
      <w:r>
        <w:rPr>
          <w:iCs/>
          <w:i/>
        </w:rPr>
        <w:t xml:space="preserve">Hustler</w:t>
      </w:r>
      <w:r>
        <w:t xml:space="preserve"> </w:t>
      </w:r>
      <w:r>
        <w:t xml:space="preserve">(we think there is not,</w:t>
      </w:r>
      <w:r>
        <w:t xml:space="preserve"> </w:t>
      </w:r>
      <w:r>
        <w:rPr>
          <w:iCs/>
          <w:i/>
        </w:rPr>
        <w:t xml:space="preserve">see</w:t>
      </w:r>
      <w:r>
        <w:t xml:space="preserve"> </w:t>
      </w:r>
      <w:r>
        <w:t xml:space="preserve">below), Food Lion cannot sustain its request for publication damages from the ABC broadcast.</w:t>
      </w:r>
    </w:p>
    <w:p>
      <w:pPr>
        <w:pStyle w:val="CaseBody"/>
      </w:pPr>
      <w:r>
        <w:t xml:space="preserve">Food Lion argues that</w:t>
      </w:r>
      <w:r>
        <w:t xml:space="preserve"> </w:t>
      </w:r>
      <w:r>
        <w:rPr>
          <w:iCs/>
          <w:i/>
        </w:rPr>
        <w:t xml:space="preserve">Cowles,</w:t>
      </w:r>
      <w:r>
        <w:rPr>
          <w:iCs/>
          <w:i/>
        </w:rPr>
        <w:t xml:space="preserve"> </w:t>
      </w:r>
      <w:r>
        <w:rPr>
          <w:iCs/>
          <w:i/>
        </w:rPr>
        <w:t xml:space="preserve">supra,</w:t>
      </w:r>
      <w:r>
        <w:t xml:space="preserve"> </w:t>
      </w:r>
      <w:r>
        <w:t xml:space="preserve">and not</w:t>
      </w:r>
      <w:r>
        <w:t xml:space="preserve"> </w:t>
      </w:r>
      <w:r>
        <w:rPr>
          <w:iCs/>
          <w:i/>
        </w:rPr>
        <w:t xml:space="preserve">Hustler</w:t>
      </w:r>
      <w:r>
        <w:t xml:space="preserve"> </w:t>
      </w:r>
      <w:r>
        <w:t xml:space="preserve">governs its claim for publication damages. According to Food Lion,</w:t>
      </w:r>
      <w:r>
        <w:t xml:space="preserve"> </w:t>
      </w:r>
      <w:r>
        <w:rPr>
          <w:iCs/>
          <w:i/>
        </w:rPr>
        <w:t xml:space="preserve">Cowles</w:t>
      </w:r>
      <w:r>
        <w:t xml:space="preserve"> </w:t>
      </w:r>
      <w:r>
        <w:t xml:space="preserve">allowed the plaintiff to recover — without satisfying the constitutional prerequisites to a defamation action — economic losses for publishing the plaintiffs identity in violation of a legal duty arising from generally applicable law. Food Lion says that its claim for damages is like the plaintiffs in</w:t>
      </w:r>
      <w:r>
        <w:t xml:space="preserve"> </w:t>
      </w:r>
      <w:r>
        <w:rPr>
          <w:iCs/>
          <w:i/>
        </w:rPr>
        <w:t xml:space="preserve">Cowles,</w:t>
      </w:r>
      <w:r>
        <w:t xml:space="preserve"> </w:t>
      </w:r>
      <w:r>
        <w:t xml:space="preserve">and not like Falwell’s in</w:t>
      </w:r>
      <w:r>
        <w:t xml:space="preserve"> </w:t>
      </w:r>
      <w:r>
        <w:rPr>
          <w:iCs/>
          <w:i/>
        </w:rPr>
        <w:t xml:space="preserve">Hustler.</w:t>
      </w:r>
      <w:r>
        <w:t xml:space="preserve"> </w:t>
      </w:r>
      <w:r>
        <w:t xml:space="preserve">This argument fails because the Court in</w:t>
      </w:r>
      <w:r>
        <w:t xml:space="preserve"> </w:t>
      </w:r>
      <w:r>
        <w:rPr>
          <w:iCs/>
          <w:i/>
        </w:rPr>
        <w:t xml:space="preserve">Cowles</w:t>
      </w:r>
      <w:r>
        <w:t xml:space="preserve"> </w:t>
      </w:r>
      <w:r>
        <w:t xml:space="preserve">distinguished the damages sought there from those in</w:t>
      </w:r>
      <w:r>
        <w:t xml:space="preserve"> </w:t>
      </w:r>
      <w:r>
        <w:rPr>
          <w:iCs/>
          <w:i/>
        </w:rPr>
        <w:t xml:space="preserve">Hustler</w:t>
      </w:r>
      <w:r>
        <w:t xml:space="preserve"> </w:t>
      </w:r>
      <w:r>
        <w:t xml:space="preserve">in a way that also distinguishes Food Lion’s case from</w:t>
      </w:r>
      <w:r>
        <w:t xml:space="preserve"> </w:t>
      </w:r>
      <w:r>
        <w:rPr>
          <w:iCs/>
          <w:i/>
        </w:rPr>
        <w:t xml:space="preserve">Cowles:</w:t>
      </w:r>
    </w:p>
    <w:p>
      <w:pPr>
        <w:pStyle w:val="BlockText"/>
      </w:pPr>
      <w:r>
        <w:t xml:space="preserve">Cohen is not seeking damages for injury to his reputation or his state of mind. He sought damages ... for breach of a promise that caused him to lose his job and lowered his earning capacity. Thus, this is not a case like</w:t>
      </w:r>
      <w:r>
        <w:t xml:space="preserve"> </w:t>
      </w:r>
      <w:r>
        <w:rPr>
          <w:iCs/>
          <w:i/>
        </w:rPr>
        <w:t xml:space="preserve">Hustler ...</w:t>
      </w:r>
      <w:r>
        <w:t xml:space="preserve"> </w:t>
      </w:r>
      <w:r>
        <w:t xml:space="preserve">where we held that the constitutional libel standards apply to a claim alleging that the publication of a parody was a state-law tort of intentional infliction of emotional distress.</w:t>
      </w:r>
    </w:p>
    <w:p>
      <w:pPr>
        <w:pStyle w:val="CaseBody"/>
      </w:pPr>
      <w:r>
        <w:rPr>
          <w:iCs/>
          <w:i/>
        </w:rPr>
        <w:t xml:space="preserve">Cowles,</w:t>
      </w:r>
      <w:r>
        <w:t xml:space="preserve"> </w:t>
      </w:r>
      <w:r>
        <w:t xml:space="preserve">501 U.S. at 671</w:t>
      </w:r>
      <w:r>
        <w:t xml:space="preserve">,</w:t>
      </w:r>
      <w:r>
        <w:t xml:space="preserve"> </w:t>
      </w:r>
      <w:r>
        <w:t xml:space="preserve">111 S.Ct. 2513</w:t>
      </w:r>
      <w:r>
        <w:t xml:space="preserve">. Food Lion, in seeking compensation for matters such as loss of good will and lost sales, is claiming reputational damages from publication, which the</w:t>
      </w:r>
      <w:r>
        <w:t xml:space="preserve"> </w:t>
      </w:r>
      <w:r>
        <w:rPr>
          <w:iCs/>
          <w:i/>
        </w:rPr>
        <w:t xml:space="preserve">Cowles</w:t>
      </w:r>
      <w:r>
        <w:t xml:space="preserve"> </w:t>
      </w:r>
      <w:r>
        <w:t xml:space="preserve">Court distinguished by placing them in the same category as the emotional distress damages sought by Falwell in</w:t>
      </w:r>
      <w:r>
        <w:t xml:space="preserve"> </w:t>
      </w:r>
      <w:r>
        <w:rPr>
          <w:iCs/>
          <w:i/>
        </w:rPr>
        <w:t xml:space="preserve">Hustler.</w:t>
      </w:r>
      <w:r>
        <w:t xml:space="preserve"> </w:t>
      </w:r>
      <w:r>
        <w:t xml:space="preserve">In other words, according to</w:t>
      </w:r>
      <w:r>
        <w:t xml:space="preserve"> </w:t>
      </w:r>
      <w:r>
        <w:rPr>
          <w:iCs/>
          <w:i/>
        </w:rPr>
        <w:t xml:space="preserve">Cowles,</w:t>
      </w:r>
      <w:r>
        <w:t xml:space="preserve"> </w:t>
      </w:r>
      <w:r>
        <w:t xml:space="preserve">“constitutional libel standards” apply to damage claims for reputational injury from a publication such as the one here.</w:t>
      </w:r>
    </w:p>
    <w:p>
      <w:pPr>
        <w:pStyle w:val="CaseBody"/>
      </w:pPr>
      <w:r>
        <w:t xml:space="preserve">Food Lion also argues that because ABC obtained the videotapes through unlawful acts, that is, the torts of breach of duty of loyalty and trespass, it (Food Lion) is entitled to publication damages without meeting the</w:t>
      </w:r>
      <w:r>
        <w:t xml:space="preserve"> </w:t>
      </w:r>
      <w:r>
        <w:rPr>
          <w:iCs/>
          <w:i/>
        </w:rPr>
        <w:t xml:space="preserve">New York Times</w:t>
      </w:r>
      <w:r>
        <w:t xml:space="preserve"> </w:t>
      </w:r>
      <w:r>
        <w:t xml:space="preserve">standard. The Supreme Court has never suggested that it would dispense with the</w:t>
      </w:r>
      <w:r>
        <w:t xml:space="preserve"> </w:t>
      </w:r>
      <w:r>
        <w:rPr>
          <w:iCs/>
          <w:i/>
        </w:rPr>
        <w:t xml:space="preserve">Times</w:t>
      </w:r>
      <w:r>
        <w:t xml:space="preserve"> </w:t>
      </w:r>
      <w:r>
        <w:t xml:space="preserve">standard in this situation, and we believe</w:t>
      </w:r>
      <w:r>
        <w:t xml:space="preserve"> </w:t>
      </w:r>
      <w:r>
        <w:rPr>
          <w:iCs/>
          <w:i/>
        </w:rPr>
        <w:t xml:space="preserve">Hustler</w:t>
      </w:r>
      <w:r>
        <w:t xml:space="preserve"> </w:t>
      </w:r>
      <w:r>
        <w:t xml:space="preserve">indicates that the Court would not. In</w:t>
      </w:r>
      <w:r>
        <w:t xml:space="preserve"> </w:t>
      </w:r>
      <w:r>
        <w:rPr>
          <w:iCs/>
          <w:i/>
        </w:rPr>
        <w:t xml:space="preserve">Hustler</w:t>
      </w:r>
      <w:r>
        <w:t xml:space="preserve"> </w:t>
      </w:r>
      <w:r>
        <w:t xml:space="preserve">the magazine’s conduct would have been sufficient to constitute an unlawful act, the intentional infliction of emotional distress, if state law standards of proof had applied. Indeed, the Court said, “[generally speaking the law does not regard the intent to inflict emotional distress as one which should receive much solicitude.”</w:t>
      </w:r>
      <w:r>
        <w:t xml:space="preserve"> </w:t>
      </w:r>
      <w:r>
        <w:rPr>
          <w:iCs/>
          <w:i/>
        </w:rPr>
        <w:t xml:space="preserve">Hustler,</w:t>
      </w:r>
      <w:r>
        <w:t xml:space="preserve"> </w:t>
      </w:r>
      <w:r>
        <w:t xml:space="preserve">485 U.S. at 53</w:t>
      </w:r>
      <w:r>
        <w:t xml:space="preserve">,</w:t>
      </w:r>
      <w:r>
        <w:t xml:space="preserve"> </w:t>
      </w:r>
      <w:r>
        <w:t xml:space="preserve">108 S.Ct. 876</w:t>
      </w:r>
      <w:r>
        <w:t xml:space="preserve">. Notwithstanding the nature of the underlying act, the Court held that satisfying</w:t>
      </w:r>
      <w:r>
        <w:t xml:space="preserve"> </w:t>
      </w:r>
      <w:r>
        <w:rPr>
          <w:iCs/>
          <w:i/>
        </w:rPr>
        <w:t xml:space="preserve">New York Times</w:t>
      </w:r>
      <w:r>
        <w:t xml:space="preserve"> </w:t>
      </w:r>
      <w:r>
        <w:t xml:space="preserve">was a prerequisite to the recovery of publication damages. That result was “necessary,” the Court concluded, in order “to give adequate ‘breathing space’ to the freedoms protected by the First Amendment.”</w:t>
      </w:r>
      <w:r>
        <w:t xml:space="preserve"> </w:t>
      </w:r>
      <w:r>
        <w:rPr>
          <w:iCs/>
          <w:i/>
        </w:rPr>
        <w:t xml:space="preserve">Id.</w:t>
      </w:r>
      <w:r>
        <w:rPr>
          <w:iCs/>
          <w:i/>
        </w:rPr>
        <w:t xml:space="preserve"> </w:t>
      </w:r>
      <w:r>
        <w:t xml:space="preserve">at 56</w:t>
      </w:r>
      <w:r>
        <w:t xml:space="preserve">,</w:t>
      </w:r>
      <w:r>
        <w:t xml:space="preserve"> </w:t>
      </w:r>
      <w:r>
        <w:t xml:space="preserve">108 S.Ct. 876</w:t>
      </w:r>
      <w:r>
        <w:t xml:space="preserve">.</w:t>
      </w:r>
    </w:p>
    <w:p>
      <w:pPr>
        <w:pStyle w:val="CaseBody"/>
      </w:pPr>
      <w:r>
        <w:t xml:space="preserve">In sum, Food Lion could not bypass the</w:t>
      </w:r>
      <w:r>
        <w:t xml:space="preserve"> </w:t>
      </w:r>
      <w:r>
        <w:rPr>
          <w:iCs/>
          <w:i/>
        </w:rPr>
        <w:t xml:space="preserve">New York Times</w:t>
      </w:r>
      <w:r>
        <w:t xml:space="preserve"> </w:t>
      </w:r>
      <w:r>
        <w:t xml:space="preserve">standard if it wanted publication damages. The district court therefore reached the correct result when it disallowed these damages, although we affirm on a different ground.</w:t>
      </w:r>
    </w:p>
    <w:p>
      <w:pPr>
        <w:pStyle w:val="CaseBody"/>
      </w:pPr>
      <w:r>
        <w:t xml:space="preserve">IV.</w:t>
      </w:r>
    </w:p>
    <w:p>
      <w:pPr>
        <w:pStyle w:val="CaseBody"/>
      </w:pPr>
      <w:r>
        <w:t xml:space="preserve">To recap, we</w:t>
      </w:r>
      <w:r>
        <w:t xml:space="preserve"> </w:t>
      </w:r>
      <w:r>
        <w:rPr>
          <w:iCs/>
          <w:i/>
        </w:rPr>
        <w:t xml:space="preserve">reverse</w:t>
      </w:r>
      <w:r>
        <w:t xml:space="preserve"> </w:t>
      </w:r>
      <w:r>
        <w:t xml:space="preserve">the judgment to the extent it provides that the ABC defendants committed fraud and awards compensatory damages of $1,400 and punitive damages of $315,000 on that claim; we</w:t>
      </w:r>
      <w:r>
        <w:t xml:space="preserve"> </w:t>
      </w:r>
      <w:r>
        <w:rPr>
          <w:iCs/>
          <w:i/>
        </w:rPr>
        <w:t xml:space="preserve">affirm</w:t>
      </w:r>
      <w:r>
        <w:t xml:space="preserve"> </w:t>
      </w:r>
      <w:r>
        <w:t xml:space="preserve">the judgment to the extent it provides that Dale and Barnett breached their duty of loyalty to Food Lion and committed a trespass and awards total damages of $2.00 on those claims; we</w:t>
      </w:r>
      <w:r>
        <w:t xml:space="preserve"> </w:t>
      </w:r>
      <w:r>
        <w:rPr>
          <w:iCs/>
          <w:i/>
        </w:rPr>
        <w:t xml:space="preserve">reverse</w:t>
      </w:r>
      <w:r>
        <w:t xml:space="preserve"> </w:t>
      </w:r>
      <w:r>
        <w:t xml:space="preserve">the judgment to the extent it provides that the ABC defendants violated the North Carolina UTPA; and we</w:t>
      </w:r>
      <w:r>
        <w:t xml:space="preserve"> </w:t>
      </w:r>
      <w:r>
        <w:rPr>
          <w:iCs/>
          <w:i/>
        </w:rPr>
        <w:t xml:space="preserve">affirm</w:t>
      </w:r>
      <w:r>
        <w:t xml:space="preserve"> </w:t>
      </w:r>
      <w:r>
        <w:t xml:space="preserve">the district court’s ruling that Food Lion was not entitled to prove publication damages on its claims.</w:t>
      </w:r>
    </w:p>
    <w:p>
      <w:pPr>
        <w:pStyle w:val="CaseBody"/>
      </w:pPr>
      <w:r>
        <w:rPr>
          <w:iCs/>
          <w:i/>
        </w:rPr>
        <w:t xml:space="preserve">AFFIRMED IN PART AND REVERSED IN PART.</w:t>
      </w:r>
    </w:p>
    <w:p>
      <w:pPr>
        <w:pStyle w:val="CaseBody"/>
      </w:pPr>
      <w:r>
        <w:t xml:space="preserve">NIEMEYER, Circuit Judge, concurring in part and dissenting in part:</w:t>
      </w:r>
    </w:p>
    <w:p>
      <w:pPr>
        <w:pStyle w:val="CaseBody"/>
      </w:pPr>
      <w:r>
        <w:t xml:space="preserve">Because I believe that ample evidence supports the jury’s verdict finding that the ABC defendants acted fraudulently, I dissent from Part II.A.1. of the majority opinion. I am pleased to join the remainder.</w:t>
      </w:r>
    </w:p>
    <w:p>
      <w:pPr>
        <w:pStyle w:val="CaseBody"/>
      </w:pPr>
      <w:r>
        <w:t xml:space="preserve">I</w:t>
      </w:r>
    </w:p>
    <w:p>
      <w:pPr>
        <w:pStyle w:val="CaseBody"/>
      </w:pPr>
      <w:r>
        <w:t xml:space="preserve">The transactional facts are not disputed. In order to obtain an inside story, ABC’s</w:t>
      </w:r>
      <w:r>
        <w:t xml:space="preserve"> </w:t>
      </w:r>
      <w:r>
        <w:rPr>
          <w:iCs/>
          <w:i/>
        </w:rPr>
        <w:t xml:space="preserve">PrimeTime Live</w:t>
      </w:r>
      <w:r>
        <w:t xml:space="preserve"> </w:t>
      </w:r>
      <w:r>
        <w:t xml:space="preserve">devised a plan by which ABC’s employees would falsely represent themselves to Food Lion to obtain jobs in its stores and then would secretly film the activities of Food Lion’s employees, including themselves, using miniature “spy cam” equipment.</w:t>
      </w:r>
    </w:p>
    <w:p>
      <w:pPr>
        <w:pStyle w:val="CaseBody"/>
      </w:pPr>
      <w:r>
        <w:t xml:space="preserve">In applying for jobs at Food Lion stores, ABC reporters Lynne Dale and Susan Barnett misrepresented themselves, their experience, and their references, even though they certified that their applications were complete and truthful. More fundamentally, they misrepresented themselves as bona fide applicants for employment. They were already employees of ABC and knew that within a week or two they would no longer be working for Food Lion. After Food Lion gave them jobs at stores in North Carolina and South Carolina, Dale and Barnett roamed the stores to obtain film footage for</w:t>
      </w:r>
      <w:r>
        <w:t xml:space="preserve"> </w:t>
      </w:r>
      <w:r>
        <w:rPr>
          <w:iCs/>
          <w:i/>
        </w:rPr>
        <w:t xml:space="preserve">PrimeTime Live.</w:t>
      </w:r>
      <w:r>
        <w:t xml:space="preserve"> </w:t>
      </w:r>
      <w:r>
        <w:t xml:space="preserve">While some of the film footage so obtained was damaging to Food Lion, these reporters contributed to the damage. For example, when Barnett saw food that she suspected to be out of date, she sold it to her camera crew rather than throw it away. Similarly, she attempted to sell such food to a customer. When these reporters obtained their film footage — after two weeks for Barnett and one week for Dale — they quit their jobs at Food Lion and provided the videotapes to ABC’s</w:t>
      </w:r>
      <w:r>
        <w:t xml:space="preserve"> </w:t>
      </w:r>
      <w:r>
        <w:rPr>
          <w:iCs/>
          <w:i/>
        </w:rPr>
        <w:t xml:space="preserve">PrimeTime Live</w:t>
      </w:r>
      <w:r>
        <w:t xml:space="preserve"> </w:t>
      </w:r>
      <w:r>
        <w:t xml:space="preserve">for broadcast on national television.</w:t>
      </w:r>
    </w:p>
    <w:p>
      <w:pPr>
        <w:pStyle w:val="CaseBody"/>
      </w:pPr>
      <w:r>
        <w:t xml:space="preserve">The jury returned a verdict against the ABC defendants based on fraud and awarded Food Lion $1,400 in compensatory damages and over $5.5 million in punitive damages. The district court remitted the $5.5 million punitive damage award to $315,000. I would affirm this judgment.</w:t>
      </w:r>
    </w:p>
    <w:p>
      <w:pPr>
        <w:pStyle w:val="CaseBody"/>
      </w:pPr>
      <w:r>
        <w:t xml:space="preserve">II</w:t>
      </w:r>
    </w:p>
    <w:p>
      <w:pPr>
        <w:pStyle w:val="CaseBody"/>
      </w:pPr>
      <w:r>
        <w:t xml:space="preserve">The elements of a fraud claim under North Carolina law are “(1) [a][f]alse representation or concealment of a material fact, (2) reasonably calculated to deceive, (3) made with intent to deceive, (4) which does in fact deceive, (5) resulting in damage to the injured party.”</w:t>
      </w:r>
      <w:r>
        <w:t xml:space="preserve"> </w:t>
      </w:r>
      <w:r>
        <w:rPr>
          <w:iCs/>
          <w:i/>
        </w:rPr>
        <w:t xml:space="preserve">Myers &amp; Chapman, Inc. v. Thomas G. Evans, Inc.,</w:t>
      </w:r>
      <w:r>
        <w:t xml:space="preserve"> </w:t>
      </w:r>
      <w:r>
        <w:t xml:space="preserve">323 N.C. 559</w:t>
      </w:r>
      <w:r>
        <w:t xml:space="preserve">,</w:t>
      </w:r>
      <w:r>
        <w:t xml:space="preserve"> </w:t>
      </w:r>
      <w:r>
        <w:t xml:space="preserve">374 S.E.2d 385</w:t>
      </w:r>
      <w:r>
        <w:t xml:space="preserve">, 391 (N.C.1988) (emphasis omitted) (quoting</w:t>
      </w:r>
      <w:r>
        <w:t xml:space="preserve"> </w:t>
      </w:r>
      <w:r>
        <w:rPr>
          <w:iCs/>
          <w:i/>
        </w:rPr>
        <w:t xml:space="preserve">Ragsdale v. Kennedy,</w:t>
      </w:r>
      <w:r>
        <w:t xml:space="preserve"> </w:t>
      </w:r>
      <w:r>
        <w:t xml:space="preserve">286 N.C. 130</w:t>
      </w:r>
      <w:r>
        <w:t xml:space="preserve">,</w:t>
      </w:r>
      <w:r>
        <w:t xml:space="preserve"> </w:t>
      </w:r>
      <w:r>
        <w:t xml:space="preserve">209 S.E.2d 494</w:t>
      </w:r>
      <w:r>
        <w:t xml:space="preserve">, 500 (N.C.1974)). The requirements under South Carolina law are similar.</w:t>
      </w:r>
      <w:r>
        <w:t xml:space="preserve"> </w:t>
      </w:r>
      <w:r>
        <w:rPr>
          <w:iCs/>
          <w:i/>
        </w:rPr>
        <w:t xml:space="preserve">See Florentine Corp. v. PEDA I, Inc.,</w:t>
      </w:r>
      <w:r>
        <w:t xml:space="preserve"> </w:t>
      </w:r>
      <w:r>
        <w:t xml:space="preserve">287 S.C. 382</w:t>
      </w:r>
      <w:r>
        <w:t xml:space="preserve">,</w:t>
      </w:r>
      <w:r>
        <w:t xml:space="preserve"> </w:t>
      </w:r>
      <w:r>
        <w:t xml:space="preserve">339 S.E.2d 112</w:t>
      </w:r>
      <w:r>
        <w:t xml:space="preserve">, 113-14 (S.C.1985).</w:t>
      </w:r>
    </w:p>
    <w:p>
      <w:pPr>
        <w:pStyle w:val="CaseBody"/>
      </w:pPr>
      <w:r>
        <w:t xml:space="preserve">In reversing the jury’s fraud verdict, the majority agrees with the ABC defendants that Food Lion failed to prove the injury element of its fraud claim because the expenses it incurred in training at-will employees could not be claimed as damages. The majority explains, “North and South Carolina are at-will employment states, and under the at-will doctrine it is unreasonable for either the employer or the employee to rely on any assumptions about the duration of employment.”</w:t>
      </w:r>
      <w:r>
        <w:t xml:space="preserve"> </w:t>
      </w:r>
      <w:r>
        <w:rPr>
          <w:iCs/>
          <w:i/>
        </w:rPr>
        <w:t xml:space="preserve">Ante,</w:t>
      </w:r>
      <w:r>
        <w:t xml:space="preserve"> </w:t>
      </w:r>
      <w:r>
        <w:t xml:space="preserve">at 513.</w:t>
      </w:r>
    </w:p>
    <w:p>
      <w:pPr>
        <w:pStyle w:val="CaseBody"/>
      </w:pPr>
      <w:r>
        <w:t xml:space="preserve">I respectfully disagree, and my disagreement focuses on (1) the difference in hiring a person who intends to work indefinitely and a person who intends to work one or two weeks and fails to disclose that intent, and (2) the ABC employees’ misrepresentation of loyalty inherent in their application for a job. I will discuss these in order.</w:t>
      </w:r>
    </w:p>
    <w:p>
      <w:pPr>
        <w:pStyle w:val="CaseBody"/>
      </w:pPr>
      <w:r>
        <w:t xml:space="preserve">A</w:t>
      </w:r>
    </w:p>
    <w:p>
      <w:pPr>
        <w:pStyle w:val="CaseBody"/>
      </w:pPr>
      <w:r>
        <w:t xml:space="preserve">The majority concludes that there is no difference in Food Lion’s unwitting employment of ABC reporters who intend to leave within one or two weeks and employment of applicants who have no specific intent about the duration of their employment because both types of the employment are “at will.” This, however, overlooks the difference between a bona fide at-will employee and an undercover news reporter who knows from the beginning that she will stay only two weeks. With the former, normal risks allow for the possibility that Food Lion can obtain long-term, experienced, faithful service from which it can recover its training expenses; with the latter there is no such possibility.</w:t>
      </w:r>
    </w:p>
    <w:p>
      <w:pPr>
        <w:pStyle w:val="CaseBody"/>
      </w:pPr>
      <w:r>
        <w:t xml:space="preserve">Applicants for employment, even at-will employment, present themselves representing by implication: (1) that they want to become employees; (2) that they intend to work indefinitely, until a change in circumstances leads them or their employer to terminate the arrangement; (3) that there is a possibility that they would become long-term employees; and (4) that they will be loyal employees as long as they work, prepared to work at the promotion of their employer’s business. ABC’s undercover reporters presented themselves to Food Lion, representing all of these matters falsely. They did not, during the application process, disclose that they did not intend to become employees at all. Indeed, they were already employed by ABC, and their application for employment with Food Lion was only a sham to get them into locations within Food Lion where they otherwise would not be permitted. Moreover, the ABC employees had no intention of allowing the normal risks of at-will employment to govern their term; they knew from the beginning that they were to be at Food Lion only long enough to obtain damaging information.</w:t>
      </w:r>
    </w:p>
    <w:p>
      <w:pPr>
        <w:pStyle w:val="CaseBody"/>
      </w:pPr>
      <w:r>
        <w:t xml:space="preserve">In training new employees and investing in their future, Food Lion has a right to assume that the normal risks attend the relationship and that some of those employees will eventually become experienced and loyal employees who will provide a return on the costs of training them. The fact that Food Lion would not make such an investment in an applicant if the applicant stated that she was an ABC employee only seeking inside information and that she would leave after two weeks defines the injury sustained by Food Lion. Indeed, far less injury is required by law. Where a plaintiff presents evidence that the defendant’s fraudulent misrepresentation induced the plaintiff to deal “with a party with whom it did not wish to deal,” “sufficient injury” has been shown “to meet the requisite damage element of fraud” and the plaintiff is “entitled to recover any damages shown to result therefrom.”</w:t>
      </w:r>
      <w:r>
        <w:t xml:space="preserve"> </w:t>
      </w:r>
      <w:r>
        <w:rPr>
          <w:iCs/>
          <w:i/>
        </w:rPr>
        <w:t xml:space="preserve">Daniel Boone Complex, Inc. v. Furst,</w:t>
      </w:r>
      <w:r>
        <w:t xml:space="preserve"> </w:t>
      </w:r>
      <w:r>
        <w:t xml:space="preserve">43 N.C.App. 95</w:t>
      </w:r>
      <w:r>
        <w:t xml:space="preserve">,</w:t>
      </w:r>
      <w:r>
        <w:t xml:space="preserve"> </w:t>
      </w:r>
      <w:r>
        <w:t xml:space="preserve">258 S.E.2d 379</w:t>
      </w:r>
      <w:r>
        <w:t xml:space="preserve">, 386-87 (N.C.Ct.App.1979). Not only was Food Lion induced to hire persons it would not otherwise have hired, it was induced to spend money on persons whose potential for employment was nil, contrary to the potential of a bona fide applicant for at-will employment.</w:t>
      </w:r>
    </w:p>
    <w:p>
      <w:pPr>
        <w:pStyle w:val="CaseBody"/>
      </w:pPr>
      <w:r>
        <w:t xml:space="preserve">B</w:t>
      </w:r>
    </w:p>
    <w:p>
      <w:pPr>
        <w:pStyle w:val="CaseBody"/>
      </w:pPr>
      <w:r>
        <w:t xml:space="preserve">Similarly and perhaps more importantly, Dale and Barnett’s implied representations that they would be loyal Food Lion employees injured Food Lion. Both North Carolina and South Carolina law provide that implicit in any contract for employment is the duty of the employee to “remain faithful to the employer’s interest throughout the term of employment.”</w:t>
      </w:r>
      <w:r>
        <w:t xml:space="preserve"> </w:t>
      </w:r>
      <w:r>
        <w:rPr>
          <w:iCs/>
          <w:i/>
        </w:rPr>
        <w:t xml:space="preserve">Berry v. Goodyear Tire &amp; Rubber Co.,</w:t>
      </w:r>
      <w:r>
        <w:t xml:space="preserve"> </w:t>
      </w:r>
      <w:r>
        <w:t xml:space="preserve">270 S.C. 489</w:t>
      </w:r>
      <w:r>
        <w:t xml:space="preserve">,</w:t>
      </w:r>
      <w:r>
        <w:t xml:space="preserve"> </w:t>
      </w:r>
      <w:r>
        <w:t xml:space="preserve">242 S.E.2d 551</w:t>
      </w:r>
      <w:r>
        <w:t xml:space="preserve">, 552 (S.C.1978);</w:t>
      </w:r>
      <w:r>
        <w:t xml:space="preserve"> </w:t>
      </w:r>
      <w:r>
        <w:rPr>
          <w:iCs/>
          <w:i/>
        </w:rPr>
        <w:t xml:space="preserve">see also McKnight v. Simpson’s Beauty Supply, Inc.</w:t>
      </w:r>
      <w:r>
        <w:t xml:space="preserve"> </w:t>
      </w:r>
      <w:r>
        <w:t xml:space="preserve">86 N.C.App. 451</w:t>
      </w:r>
      <w:r>
        <w:t xml:space="preserve">,</w:t>
      </w:r>
      <w:r>
        <w:t xml:space="preserve"> </w:t>
      </w:r>
      <w:r>
        <w:t xml:space="preserve">358 S.E.2d 107</w:t>
      </w:r>
      <w:r>
        <w:t xml:space="preserve">, 109 (N.C.Ct.App.1987) (“[T]he law implies a promise on the part of every employee to serve his employer faithfully”). And when an employee acts adversely to the interest of his employer, he is disloyal and his discharge is justified.</w:t>
      </w:r>
      <w:r>
        <w:t xml:space="preserve"> </w:t>
      </w:r>
      <w:r>
        <w:rPr>
          <w:iCs/>
          <w:i/>
        </w:rPr>
        <w:t xml:space="preserve">Berry,</w:t>
      </w:r>
      <w:r>
        <w:t xml:space="preserve"> </w:t>
      </w:r>
      <w:r>
        <w:t xml:space="preserve">242 S.E.2d at 552</w:t>
      </w:r>
      <w:r>
        <w:t xml:space="preserve">.</w:t>
      </w:r>
    </w:p>
    <w:p>
      <w:pPr>
        <w:pStyle w:val="CaseBody"/>
      </w:pPr>
      <w:r>
        <w:t xml:space="preserve">In this case, Dale and Barnett never intended to work as loyal employees for Food Lion and to promote the business of Food Lion. On the contrary, they applied to Food Lion with the secret intent to obtain sensational and damaging evidence to publish against Food Lion. And in furtherance of that purpose they even failed to do what they were hired to do. As one snippet from their videotape shows, instead of cleaning a meat grinder that a loyal employee would have undertaken to clean, even if the task were not specifically assigned to the employee, the ABC employee photographed the dirty meat grinder and offered it as an example of poor food-handling practices. Moreover, in seeking to “uncover” practices, the ABC employees baited fellow employees to say and do things that they knew would undermine Food Lion’s standing food-handling practices. Indeed, a portion of the majority opinion, which I have joined, concludes that these employees breached their duties of loyalty to Food Lion and, in doing so, caused Food Lion damage. I believe that this very breach and injury, when intended from the very beginning, also supports Food Lion’s fraud claim.</w:t>
      </w:r>
    </w:p>
    <w:p>
      <w:pPr>
        <w:pStyle w:val="CaseBody"/>
      </w:pPr>
      <w:r>
        <w:t xml:space="preserve">Ill</w:t>
      </w:r>
    </w:p>
    <w:p>
      <w:pPr>
        <w:pStyle w:val="CaseBody"/>
      </w:pPr>
      <w:r>
        <w:t xml:space="preserve">In short, the ABC employees misrepresented their potential for staying at Food Lion and they misrepresented their loyalty. Food Lion had less of a chance— indeed, no chance — of developing experienced, long-term, and loyal employees because the likelihood of that possibility was misrepresented. If these ABC employees had disclosed their true identities and intentions accurately, Food Lion would never have hired them and incurred expenses to train them on the chance that they would stay because the employees had already determined there was no such chance.</w:t>
      </w:r>
    </w:p>
    <w:p>
      <w:pPr>
        <w:pStyle w:val="CaseBody"/>
      </w:pPr>
      <w:r>
        <w:t xml:space="preserve">In my judgment, the jury had ample evidence to reach the conclusion that the ABC defendants committed common law fraud, and I would affirm its verdict.</w:t>
      </w:r>
    </w:p>
    <w:p>
      <w:pPr>
        <w:pStyle w:val="NodeEnd"/>
      </w:pPr>
      <w:r>
        <w:t xml:space="preserve"> </w:t>
      </w:r>
    </w:p>
    <w:p>
      <w:pPr>
        <w:pStyle w:val="NodeStart"/>
      </w:pPr>
      <w:r>
        <w:t xml:space="preserve"> </w:t>
      </w:r>
    </w:p>
    <w:p>
      <w:pPr>
        <w:pStyle w:val="HeadSeparator"/>
      </w:pPr>
      <w:r>
        <w:t xml:space="preserve"> </w:t>
      </w:r>
    </w:p>
    <w:bookmarkStart w:id="11" w:name="_auto_toc_11"/>
    <w:bookmarkEnd w:id="11"/>
    <w:p>
      <w:pPr>
        <w:pStyle w:val="ResourceNumber"/>
      </w:pPr>
      <w:r>
        <w:t xml:space="preserve">1.2.4</w:t>
      </w:r>
    </w:p>
    <w:p>
      <w:pPr>
        <w:pStyle w:val="ResourceTitle"/>
      </w:pPr>
      <w:r>
        <w:t xml:space="preserve">Colbrook v. Black</w:t>
      </w:r>
    </w:p>
    <w:p>
      <w:pPr>
        <w:pStyle w:val="HeadEnd"/>
      </w:pPr>
      <w:r>
        <w:t xml:space="preserve"> </w:t>
      </w:r>
    </w:p>
    <w:p>
      <w:pPr>
        <w:pStyle w:val="CaseHeader"/>
      </w:pPr>
      <w:r>
        <w:t xml:space="preserve">Illinois Appellate Court</w:t>
      </w:r>
    </w:p>
    <w:p>
      <w:pPr>
        <w:pStyle w:val="CaseHeader"/>
      </w:pPr>
      <w:r>
        <w:t xml:space="preserve">5 Ill. App. 2d 61</w:t>
      </w:r>
    </w:p>
    <w:p>
      <w:pPr>
        <w:pStyle w:val="CaseHeader"/>
      </w:pPr>
      <w:r>
        <w:t xml:space="preserve">Gen. No. 9,987</w:t>
      </w:r>
    </w:p>
    <w:p>
      <w:pPr>
        <w:pStyle w:val="CaseHeader"/>
      </w:pPr>
      <w:r>
        <w:t xml:space="preserve">1955-02-18</w:t>
      </w:r>
    </w:p>
    <w:p>
      <w:pPr>
        <w:pStyle w:val="CaseBody"/>
      </w:pPr>
      <w:r>
        <w:t xml:space="preserve">Released for publication March 7, 1955.</w:t>
      </w:r>
    </w:p>
    <w:p>
      <w:pPr>
        <w:pStyle w:val="CaseBody"/>
      </w:pPr>
      <w:r>
        <w:t xml:space="preserve">H. Ogden Brainard, of Charleston, and Provine &amp; Miley, of Taylorville, for appellants.</w:t>
      </w:r>
    </w:p>
    <w:p>
      <w:pPr>
        <w:pStyle w:val="CaseBody"/>
      </w:pPr>
      <w:r>
        <w:t xml:space="preserve">Hershey &amp; Bliss, of Taylorville, for appellee; Holland P. Tipsword, of counsel.</w:t>
      </w:r>
    </w:p>
    <w:p>
      <w:pPr>
        <w:pStyle w:val="CaseBody"/>
      </w:pPr>
      <w:r>
        <w:t xml:space="preserve">MR. PRESIDING JUSTICE CARROLL</w:t>
      </w:r>
    </w:p>
    <w:p>
      <w:pPr>
        <w:pStyle w:val="CaseBody"/>
      </w:pPr>
      <w:r>
        <w:t xml:space="preserve">delivered the opinion of the court.</w:t>
      </w:r>
    </w:p>
    <w:p>
      <w:pPr>
        <w:pStyle w:val="CaseBody"/>
      </w:pPr>
      <w:r>
        <w:t xml:space="preserve">Mary Gleeson, who died testate on February 14,1952, owned, among other properties, 160 acres of farm land in Christian county, Illinois. By her will admitted to probate March 29, 1952, she nominated Con Colbrook, petitioner-appellee (who will be referred to herein as petitioner), executor thereof. Petitioner was also appointed as trustee under the will and the residuary estate, including the aforesaid 160 acres of land, was devised to him in trust for the benefit of decedent’s 3 children, Helen Black, Bernadine Gleeson, and Thomas Gleeson, an incompetent, who are respondents herein.</w:t>
      </w:r>
    </w:p>
    <w:p>
      <w:pPr>
        <w:pStyle w:val="CaseBody"/>
      </w:pPr>
      <w:r>
        <w:t xml:space="preserve">On March 1, 1950, the testatrix leased the 160 acres for the year ending March 1, 1951 to petitioner and William Curtin, a partnership. On March 1, 1951, she again leased the premises to said partnership for the year ending March 1,1952. Upon the expiration of this latter lease the partnership held over as tenants under the provisions thereof and farmed the land until March 1, 1953, at which time petitioner leased the land to another tenant. While there is no written lease in evidence, the record indicates the terms thereof provided for payment to the lessor of $10.00 per acre cash rent and a share in the crops of % of the corn and</w:t>
      </w:r>
      <w:r>
        <w:t xml:space="preserve"> </w:t>
      </w:r>
      <w:r>
        <w:rPr>
          <w:iCs/>
          <w:i/>
        </w:rPr>
        <w:t xml:space="preserve">%</w:t>
      </w:r>
      <w:r>
        <w:t xml:space="preserve"> </w:t>
      </w:r>
      <w:r>
        <w:t xml:space="preserve">of the small grain.</w:t>
      </w:r>
    </w:p>
    <w:p>
      <w:pPr>
        <w:pStyle w:val="CaseBody"/>
      </w:pPr>
      <w:r>
        <w:t xml:space="preserve">The petitioner’s appointment as trustee was confirmed by the circuit court of Christian county on April 29,1953. On July 22,1953, he filed his first semiannual report. This report was not approved and petitioner was ordered to recast the same in accordance with certain directions of the court. The recast report was filed December 5, 1953. To this report respondents filed certain objections. We are concerned here with only one of the said objections, which is as follows:</w:t>
      </w:r>
    </w:p>
    <w:p>
      <w:pPr>
        <w:pStyle w:val="CaseBody"/>
      </w:pPr>
      <w:r>
        <w:t xml:space="preserve">“1. Report shows trustee was co-tenant of trust real estate but fails to account for share of profits received by trustee as co-tenant which by law should be re-paid by him to trust estate.”</w:t>
      </w:r>
    </w:p>
    <w:p>
      <w:pPr>
        <w:pStyle w:val="CaseBody"/>
      </w:pPr>
      <w:r>
        <w:t xml:space="preserve">The record indicates no dispute as to the fact that petitioner as trustee leased a portion of the real estate of the trust to himself as a partner of William Curtin and that petitioner received a share of the profits realized by him and Curtin from their farming operation of said real estate.</w:t>
      </w:r>
    </w:p>
    <w:p>
      <w:pPr>
        <w:pStyle w:val="CaseBody"/>
      </w:pPr>
      <w:r>
        <w:t xml:space="preserve">Upon a hearing the court entered an order overruling the objection of the respondents to the report. From such order respondents have brought this appeal.</w:t>
      </w:r>
    </w:p>
    <w:p>
      <w:pPr>
        <w:pStyle w:val="CaseBody"/>
      </w:pPr>
      <w:r>
        <w:t xml:space="preserve">It is contended by respondents that the circuit court erred in overruling their objection for the reason that the law prohibits a trustee from dealing in his individual capacity with the trust and making a profit from such dealings.</w:t>
      </w:r>
    </w:p>
    <w:p>
      <w:pPr>
        <w:pStyle w:val="CaseBody"/>
      </w:pPr>
      <w:r>
        <w:t xml:space="preserve">The courts of this state have consistently followed a general principle of equity that a trustee cannot deal in his individual capacity with the trust property. It was announced in the early case of Thorp v. Mc-Cullum,</w:t>
      </w:r>
      <w:r>
        <w:t xml:space="preserve"> </w:t>
      </w:r>
      <w:r>
        <w:t xml:space="preserve">1 Gilm. 614</w:t>
      </w:r>
      <w:r>
        <w:t xml:space="preserve">. It has since been followed in many cases involving the relationship between the trustee and the trust property. Bennett v. Weber,</w:t>
      </w:r>
      <w:r>
        <w:t xml:space="preserve"> </w:t>
      </w:r>
      <w:r>
        <w:t xml:space="preserve">323 Ill. 283</w:t>
      </w:r>
      <w:r>
        <w:t xml:space="preserve">; Victor v. Hillebrecht,</w:t>
      </w:r>
      <w:r>
        <w:t xml:space="preserve"> </w:t>
      </w:r>
      <w:r>
        <w:t xml:space="preserve">339 Ill. App. 254</w:t>
      </w:r>
      <w:r>
        <w:t xml:space="preserve">; Green v. Gawne,</w:t>
      </w:r>
      <w:r>
        <w:t xml:space="preserve"> </w:t>
      </w:r>
      <w:r>
        <w:t xml:space="preserve">382 Ill. 363</w:t>
      </w:r>
      <w:r>
        <w:t xml:space="preserve">; Galbraith v. Tracy,</w:t>
      </w:r>
      <w:r>
        <w:t xml:space="preserve"> </w:t>
      </w:r>
      <w:r>
        <w:t xml:space="preserve">153 Ill. 54</w:t>
      </w:r>
      <w:r>
        <w:t xml:space="preserve">; Johnson v. Sarver,</w:t>
      </w:r>
      <w:r>
        <w:t xml:space="preserve"> </w:t>
      </w:r>
      <w:r>
        <w:t xml:space="preserve">350 Ill. App. 565</w:t>
      </w:r>
      <w:r>
        <w:t xml:space="preserve">.</w:t>
      </w:r>
    </w:p>
    <w:p>
      <w:pPr>
        <w:pStyle w:val="CaseBody"/>
      </w:pPr>
      <w:r>
        <w:t xml:space="preserve">Petitioner recognizes the existence of this general rule, but argues that because of the existence of the peculiar circumstances under which the petitioner proceeded, the instant case must be taken to constitute one of the rare exceptions to such rule. The circumstances alluded to as peculiar are pointed out as being the facts that the death of Mrs. Gleeson occurred on February 14, 1952, only 15 days prior to the beginning of the 1952 farm year; that satisfactory farm tenants are not always available, especially on short notice; that the petitioner had in the preceding fall of 1951 sown part of the 160 acres in wheat to be harvested in 1952; that the holding over by the trustee and his partner was in the best interests of the trust; that the same was done in an open manner; that the petitioner was honest with the trust; and that it suffered no loss as a result of the transaction.</w:t>
      </w:r>
    </w:p>
    <w:p>
      <w:pPr>
        <w:pStyle w:val="CaseBody"/>
      </w:pPr>
      <w:r>
        <w:t xml:space="preserve">Petitioner’s argument that the foregoing constitutes circumstances bringing this case within any exception to the general rule does not appear to be supported by the authorities. In Sherman v. White,</w:t>
      </w:r>
      <w:r>
        <w:t xml:space="preserve"> </w:t>
      </w:r>
      <w:r>
        <w:t xml:space="preserve">62 Ill. App. 271</w:t>
      </w:r>
      <w:r>
        <w:t xml:space="preserve"> </w:t>
      </w:r>
      <w:r>
        <w:t xml:space="preserve">and Bold v. Mid-City Trust</w:t>
      </w:r>
      <w:r>
        <w:t xml:space="preserve"> </w:t>
      </w:r>
      <w:r>
        <w:rPr>
          <w:iCs/>
          <w:i/>
        </w:rPr>
        <w:t xml:space="preserve">&amp;</w:t>
      </w:r>
      <w:r>
        <w:t xml:space="preserve"> </w:t>
      </w:r>
      <w:r>
        <w:t xml:space="preserve">Savings Bank,</w:t>
      </w:r>
      <w:r>
        <w:t xml:space="preserve"> </w:t>
      </w:r>
      <w:r>
        <w:t xml:space="preserve">279 Ill. App. 365</w:t>
      </w:r>
      <w:r>
        <w:t xml:space="preserve"> </w:t>
      </w:r>
      <w:r>
        <w:t xml:space="preserve">cited by petitioner, the court followed the general rule announced in so many cases to the effect that a trustee may not deal with trust property in his individual capacity. While giving recognition to the rare exception that a trustee may, under certain circumstances, be entitled to make a personal gain out of the trust property, the court in both cases adhered to the general rule as above stated. While on the facts these two cases differ from that presented by the instant record, the basic problem with which the court dealt in each instance was the same. The question for decision on this appeal was whether the record reflects a sufficient reason for permitting the petitioner to deal with the trust property for his own individual benefit.</w:t>
      </w:r>
    </w:p>
    <w:p>
      <w:pPr>
        <w:pStyle w:val="CaseBody"/>
      </w:pPr>
      <w:r>
        <w:t xml:space="preserve">Petitioner contends that since only 15 days intervened between the death of Mrs. Gleeson and the beginning of the farm year, and that good tenant farmers might not be available at such a time, it was in the interests of the trust that the petitioner continue to hold over for the year of 1952. No showing is made that petitioner tried to obtain a satisfactory tenant to replace Colbrook and Curtin on March 1, 1952. The record discloses that subsequent to the death of testatrix, petitioner discussed continuance of the farming operation with two of the beneficiaries under the trust and voluntarily raised the cash rent from $6.00 to $10.00 per acre. This evidence tending to show that petitioner was interested in continuing a tenancy under which he was leasing trust property to himself would seem to refute any contention that an effort to lease the property to any one other than the partnership was made. The fact that the partners had sown wheat on the land in the fall of 1951 cannot be said to be a peculiar circumstance. It is not suggested that the trust would have suffered a loss if someone other than the petitioner had farmed the land in 1952 and harvested the wheat. It would appear that a satisfactory adjustment covering the matter of the wheat could have been made between the trust and the partnership without great difficulty.</w:t>
      </w:r>
    </w:p>
    <w:p>
      <w:pPr>
        <w:pStyle w:val="CaseBody"/>
      </w:pPr>
      <w:r>
        <w:t xml:space="preserve">The good faith and honesty of the petitioner or the fact that the trust sustained no loss on account of his dealings therewith are all matters which can avail petitioner nothing so far as a justification of the course he chose to take in dealing with trust property is concerned. Joliet Trust &amp; Savings Bank v. Ingalls,</w:t>
      </w:r>
      <w:r>
        <w:t xml:space="preserve"> </w:t>
      </w:r>
      <w:r>
        <w:t xml:space="preserve">276 Ill. App. 445</w:t>
      </w:r>
      <w:r>
        <w:t xml:space="preserve">; Michoud v. Girod,</w:t>
      </w:r>
      <w:r>
        <w:t xml:space="preserve"> </w:t>
      </w:r>
      <w:r>
        <w:t xml:space="preserve">4 How. 503</w:t>
      </w:r>
      <w:r>
        <w:t xml:space="preserve">.</w:t>
      </w:r>
    </w:p>
    <w:p>
      <w:pPr>
        <w:pStyle w:val="CaseBody"/>
      </w:pPr>
      <w:r>
        <w:t xml:space="preserve">Petitioner contends, under sections 10 and 12 of chapter 59, Illinois Revised Statutes 1953 [Jones Ill. Stats. Ann. 55.10, 55.12], that petitioner did not take the land in question as trustee until the debts of the testatrix were fully discharged and therefore petitioner could not have been both trustee and tenant during the year 1952. Prom the record it is evident that the petitioner regarded himself as being trustee during the time covered by his tenancy of the trust property, as his report is for the period from June 8, 1952 to June 30,1953. The sections of the statutes cited by petitioner do not apply to the situation presented on this appeal.</w:t>
      </w:r>
    </w:p>
    <w:p>
      <w:pPr>
        <w:pStyle w:val="CaseBody"/>
      </w:pPr>
      <w:r>
        <w:t xml:space="preserve">We think the holding of the court in. Johnson v. Sarver,</w:t>
      </w:r>
      <w:r>
        <w:t xml:space="preserve"> </w:t>
      </w:r>
      <w:r>
        <w:t xml:space="preserve">supra,</w:t>
      </w:r>
      <w:r>
        <w:t xml:space="preserve"> </w:t>
      </w:r>
      <w:r>
        <w:t xml:space="preserve">is applicable to the question to be decided in the instant case. Among the questions with which the court dealt in that case was the right of trustees to lease real estate of the trust to themselves. Holding that the trustees were without power to do so, the court had this to say:</w:t>
      </w:r>
    </w:p>
    <w:p>
      <w:pPr>
        <w:pStyle w:val="BlockText"/>
      </w:pPr>
      <w:r>
        <w:t xml:space="preserve">“Counsel for appellants state that the holding of the chancellor to the effect that the trustees must refrain from self-dealing and cease to occupy their homes as tenants unduly discriminates against them, inasmuch as none of the other children were required to abandon their accustomed modes of making an independent living in order to share in the benefits of the trust. ... A trustee must maintain a high level of conduct and owes to those whose property'he controls undivided loyalty. It is not compulsory or mandatory that any of the trustees accept the appointment made by their father. They have accepted and asked the court to instruct them as to their duties, and if they are dissatisfied with the amount of compensation or any other requirement which the court has imposed, there is a method by which they can be relieved of their duties. “The chancellor . . . properly decreed that appellants, as trustees, cannot lease the real estate involved in this trust to themselves or deal with themselves.</w:t>
      </w:r>
    </w:p>
    <w:p>
      <w:pPr>
        <w:pStyle w:val="BlockText"/>
      </w:pPr>
      <w:r>
        <w:t xml:space="preserve">J?</w:t>
      </w:r>
    </w:p>
    <w:p>
      <w:pPr>
        <w:pStyle w:val="CaseBody"/>
      </w:pPr>
      <w:r>
        <w:t xml:space="preserve">We think the decision in the foregoing case suggests that the petitioner herein, upon the death of the testatrix, instead of conferring with her beneficiaries concerning continuance of his tenancy of the trust property, should have then decided whether he chose to continue as a tenant or to act as trustee. His election was to act as trustee and as such he could not deal with himself.</w:t>
      </w:r>
    </w:p>
    <w:p>
      <w:pPr>
        <w:pStyle w:val="CaseBody"/>
      </w:pPr>
      <w:r>
        <w:t xml:space="preserve">This court, therefore, reaches the conclusion that the circuit court erred in overruling respondent’s objection no. 1 to the trustee’s amended first semiannual report, and that petitioner should have been required to recast his first semiannual report and to account therein for all monies received by him personally as a profit by virtue of his being a cotenant of trust property during the 1952 crop year, and to pay the amount of any such profit to the trust.</w:t>
      </w:r>
    </w:p>
    <w:p>
      <w:pPr>
        <w:pStyle w:val="CaseBody"/>
      </w:pPr>
      <w:r>
        <w:t xml:space="preserve">The judgment of the circuit court of Christian county is reversed and the cause remanded to that court with directions to proceed in a manner consistent with the views herein expressed.</w:t>
      </w:r>
    </w:p>
    <w:p>
      <w:pPr>
        <w:pStyle w:val="CaseBody"/>
      </w:pPr>
      <w:r>
        <w:t xml:space="preserve">Reversed and remanded.</w:t>
      </w:r>
    </w:p>
    <w:p>
      <w:pPr>
        <w:pStyle w:val="NodeEnd"/>
      </w:pPr>
      <w:r>
        <w:t xml:space="preserve"> </w:t>
      </w:r>
    </w:p>
    <w:p>
      <w:pPr>
        <w:pStyle w:val="NodeStart"/>
      </w:pPr>
      <w:r>
        <w:t xml:space="preserve"> </w:t>
      </w:r>
    </w:p>
    <w:p>
      <w:pPr>
        <w:pStyle w:val="HeadSeparator"/>
      </w:pPr>
      <w:r>
        <w:t xml:space="preserve"> </w:t>
      </w:r>
    </w:p>
    <w:bookmarkStart w:id="12" w:name="_auto_toc_12"/>
    <w:bookmarkEnd w:id="12"/>
    <w:p>
      <w:pPr>
        <w:pStyle w:val="ResourceNumber"/>
      </w:pPr>
      <w:r>
        <w:t xml:space="preserve">1.3</w:t>
      </w:r>
    </w:p>
    <w:p>
      <w:pPr>
        <w:pStyle w:val="ResourceTitle"/>
      </w:pPr>
      <w:r>
        <w:t xml:space="preserve">Restatement of Agency (Third) Excerpts</w:t>
      </w:r>
    </w:p>
    <w:p>
      <w:pPr>
        <w:pStyle w:val="HeadEnd"/>
      </w:pPr>
      <w:r>
        <w:t xml:space="preserve"> </w:t>
      </w:r>
    </w:p>
    <w:p>
      <w:pPr>
        <w:pStyle w:val="BodyText"/>
      </w:pPr>
      <w:r>
        <w:t xml:space="preserve">Restatement of the Law, Third, Agency</w:t>
      </w:r>
      <w:r>
        <w:br/>
      </w:r>
      <w:r>
        <w:t xml:space="preserve">Copyright (c) 2006, The American Law Institute</w:t>
      </w:r>
      <w:r>
        <w:br/>
      </w:r>
      <w:r>
        <w:br/>
      </w:r>
      <w:r>
        <w:rPr>
          <w:u w:val="single"/>
          <w:iCs/>
          <w:i/>
          <w:bCs/>
          <w:b/>
        </w:rPr>
        <w:t xml:space="preserve">Restatement of the Law, Agency 3d - Official Text</w:t>
      </w:r>
      <w:r>
        <w:br/>
      </w:r>
      <w:r>
        <w:br/>
      </w:r>
    </w:p>
    <w:p>
      <w:pPr>
        <w:numPr>
          <w:ilvl w:val="0"/>
          <w:numId w:val="1001"/>
        </w:numPr>
      </w:pPr>
      <w:r>
        <w:rPr>
          <w:bCs/>
          <w:b/>
        </w:rPr>
        <w:t xml:space="preserve">1.01 Agency Defined</w:t>
      </w:r>
    </w:p>
    <w:p>
      <w:pPr>
        <w:pStyle w:val="FirstParagraph"/>
      </w:pPr>
      <w:r>
        <w:t xml:space="preserve">Agency is the fiduciary relationship that arises when one person (a "principal") manifests assent to another person (an "agent") that the agent shall act on the principal's behalf and subject to the principal's control, and the agent manifests assent or otherwise consents so to act.</w:t>
      </w:r>
    </w:p>
    <w:p>
      <w:pPr>
        <w:numPr>
          <w:ilvl w:val="0"/>
          <w:numId w:val="1002"/>
        </w:numPr>
      </w:pPr>
      <w:r>
        <w:rPr>
          <w:bCs/>
          <w:b/>
        </w:rPr>
        <w:t xml:space="preserve">2.01 Actual Authority</w:t>
      </w:r>
    </w:p>
    <w:p>
      <w:pPr>
        <w:pStyle w:val="FirstParagraph"/>
      </w:pPr>
      <w:r>
        <w:t xml:space="preserve">An agent acts with actual authority when, at the time of taking action that has legal consequences for the principal, the agent reasonably believes, in accordance with the principal's manifestations to the agent, that the principal wishes the agent so to act.</w:t>
      </w:r>
    </w:p>
    <w:p>
      <w:pPr>
        <w:numPr>
          <w:ilvl w:val="0"/>
          <w:numId w:val="1003"/>
        </w:numPr>
      </w:pPr>
      <w:r>
        <w:rPr>
          <w:bCs/>
          <w:b/>
        </w:rPr>
        <w:t xml:space="preserve">2.03 Apparent Authority</w:t>
      </w:r>
    </w:p>
    <w:p>
      <w:pPr>
        <w:pStyle w:val="FirstParagraph"/>
      </w:pPr>
      <w:r>
        <w:t xml:space="preserve">Apparent authority is the power held by an agent or other actor to affect a principal's legal relations with third parties when a third party reasonably believes the actor has authority to act on behalf of the principal and that belief is traceable to the principal's manifestations.</w:t>
      </w:r>
    </w:p>
    <w:p>
      <w:pPr>
        <w:numPr>
          <w:ilvl w:val="0"/>
          <w:numId w:val="1004"/>
        </w:numPr>
      </w:pPr>
      <w:r>
        <w:rPr>
          <w:bCs/>
          <w:b/>
        </w:rPr>
        <w:t xml:space="preserve">2.04 Respondeat Superior</w:t>
      </w:r>
    </w:p>
    <w:p>
      <w:pPr>
        <w:pStyle w:val="FirstParagraph"/>
      </w:pPr>
      <w:r>
        <w:t xml:space="preserve">An employer is subject to liability for torts committed by employees while acting within the scope of their employment.</w:t>
      </w:r>
    </w:p>
    <w:p>
      <w:pPr>
        <w:numPr>
          <w:ilvl w:val="0"/>
          <w:numId w:val="1005"/>
        </w:numPr>
      </w:pPr>
      <w:r>
        <w:rPr>
          <w:bCs/>
          <w:b/>
        </w:rPr>
        <w:t xml:space="preserve">2.05 Estoppel to Deny Existence of Agency Relationship</w:t>
      </w:r>
    </w:p>
    <w:p>
      <w:pPr>
        <w:pStyle w:val="FirstParagraph"/>
      </w:pPr>
      <w:r>
        <w:t xml:space="preserve">A person who has not made a manifestation that an actor has authority as an agent and who is not otherwise liable as a party to a transaction purportedly done by the actor on that person's account is subject to liability to a third party who justifiably is induced to make a detrimental change in position because the transaction is believed to be on the person's account, if</w:t>
      </w:r>
    </w:p>
    <w:p>
      <w:pPr>
        <w:pStyle w:val="BodyText"/>
      </w:pPr>
      <w:r>
        <w:t xml:space="preserve">(1) the person intentionally or carelessly caused such belief, or</w:t>
      </w:r>
    </w:p>
    <w:p>
      <w:pPr>
        <w:pStyle w:val="BodyText"/>
      </w:pPr>
      <w:r>
        <w:t xml:space="preserve">(2) having notice of such belief and that it might induce others to change their positions, the person did not take reasonable steps to notify them of the facts.</w:t>
      </w:r>
    </w:p>
    <w:p>
      <w:pPr>
        <w:numPr>
          <w:ilvl w:val="0"/>
          <w:numId w:val="1006"/>
        </w:numPr>
      </w:pPr>
      <w:r>
        <w:rPr>
          <w:bCs/>
          <w:b/>
        </w:rPr>
        <w:t xml:space="preserve">2.06 Liability of Undisclosed Principal</w:t>
      </w:r>
    </w:p>
    <w:p>
      <w:pPr>
        <w:pStyle w:val="FirstParagraph"/>
      </w:pPr>
      <w:r>
        <w:t xml:space="preserve">(1) An undisclosed principal is subject to liability to a third party who is justifiably induced to make a detrimental change in position by an agent acting on the principal's behalf and without actual authority if the principal, having notice of the agent's conduct and that it might induce others to change their positions, did not take reasonable steps to notify them of the facts.</w:t>
      </w:r>
    </w:p>
    <w:p>
      <w:pPr>
        <w:pStyle w:val="BodyText"/>
      </w:pPr>
      <w:r>
        <w:t xml:space="preserve">(2) An undisclosed principal may not rely on instructions given an agent that qualify or reduce the agent's authority to less than the authority a third party would reasonably believe the agent to have under the same circumstances if the principal had been disclosed.</w:t>
      </w:r>
    </w:p>
    <w:p>
      <w:pPr>
        <w:numPr>
          <w:ilvl w:val="0"/>
          <w:numId w:val="1007"/>
        </w:numPr>
      </w:pPr>
      <w:r>
        <w:rPr>
          <w:bCs/>
          <w:b/>
        </w:rPr>
        <w:t xml:space="preserve">3.01 Creation of Actual Authority</w:t>
      </w:r>
    </w:p>
    <w:p>
      <w:pPr>
        <w:pStyle w:val="FirstParagraph"/>
      </w:pPr>
      <w:r>
        <w:t xml:space="preserve">Actual authority, as defined in § 2.01, is created by a principal's manifestation to an agent that, as reasonably understood by the agent, expresses the principal's assent that the agent take action on the principal's behalf</w:t>
      </w:r>
    </w:p>
    <w:p>
      <w:pPr>
        <w:numPr>
          <w:ilvl w:val="0"/>
          <w:numId w:val="1008"/>
        </w:numPr>
      </w:pPr>
      <w:r>
        <w:rPr>
          <w:bCs/>
          <w:b/>
        </w:rPr>
        <w:t xml:space="preserve">3.02 Formal Requirements</w:t>
      </w:r>
    </w:p>
    <w:p>
      <w:pPr>
        <w:pStyle w:val="FirstParagraph"/>
      </w:pPr>
      <w:r>
        <w:t xml:space="preserve">If the law requires a writing or record signed by the principal to evidence an agent's authority to bind a principal to a contract or other transaction, the principal is not bound in the absence of such a writing or record. A principal may be estopped to assert the lack of such a writing or record when a third party has been induced to make a detrimental change in position by the reasonable belief that an agent has authority to bind the principal that is traceable to a manifestation made by the principal.</w:t>
      </w:r>
    </w:p>
    <w:p>
      <w:pPr>
        <w:numPr>
          <w:ilvl w:val="0"/>
          <w:numId w:val="1009"/>
        </w:numPr>
      </w:pPr>
      <w:r>
        <w:rPr>
          <w:bCs/>
          <w:b/>
        </w:rPr>
        <w:t xml:space="preserve">3.03 Creation of Apparent Authority</w:t>
      </w:r>
    </w:p>
    <w:p>
      <w:pPr>
        <w:pStyle w:val="FirstParagraph"/>
      </w:pPr>
      <w:r>
        <w:t xml:space="preserve">Apparent authority, as defined in § 2.03, is created by a person's manifestation that another has authority to act with legal consequences for the person who makes the manifestation, when a third party reasonably believes the actor to be authorized and the belief is traceable to the manifestation</w:t>
      </w:r>
    </w:p>
    <w:p>
      <w:pPr>
        <w:numPr>
          <w:ilvl w:val="0"/>
          <w:numId w:val="1010"/>
        </w:numPr>
      </w:pPr>
      <w:r>
        <w:rPr>
          <w:bCs/>
          <w:b/>
        </w:rPr>
        <w:t xml:space="preserve">3.04 Capacity to Act as Principal</w:t>
      </w:r>
    </w:p>
    <w:p>
      <w:pPr>
        <w:pStyle w:val="FirstParagraph"/>
      </w:pPr>
      <w:r>
        <w:t xml:space="preserve">(1) An individual has capacity to act as principal in a relationship of agency as defined in § 1.01 if, at the time the agent takes action, the individual would have capacity if acting in person.</w:t>
      </w:r>
    </w:p>
    <w:p>
      <w:pPr>
        <w:pStyle w:val="BodyText"/>
      </w:pPr>
      <w:r>
        <w:t xml:space="preserve">(2) The law applicable to a person that is not an individual governs whether the person has capacity to be a principal in a relationship of agency as defined in § 1.01, as well as the effect of the person's lack or loss of capacity on those who interact with it.</w:t>
      </w:r>
    </w:p>
    <w:p>
      <w:pPr>
        <w:pStyle w:val="BodyText"/>
      </w:pPr>
      <w:r>
        <w:t xml:space="preserve">(3) If performance of an act is not delegable, its performance by an agent does not constitute performance by the principal.</w:t>
      </w:r>
    </w:p>
    <w:p>
      <w:pPr>
        <w:numPr>
          <w:ilvl w:val="0"/>
          <w:numId w:val="1011"/>
        </w:numPr>
      </w:pPr>
      <w:r>
        <w:rPr>
          <w:bCs/>
          <w:b/>
        </w:rPr>
        <w:t xml:space="preserve">3.05 Capacity to Act as Agent</w:t>
      </w:r>
    </w:p>
    <w:p>
      <w:pPr>
        <w:pStyle w:val="FirstParagraph"/>
      </w:pPr>
      <w:r>
        <w:t xml:space="preserve">Any person may ordinarily be empowered to act so as to affect the legal relations of another. The actor's capacity governs the extent to which, by so acting, the actor becomes subject to duties and liabilities to the person whose legal relations are affected or to third parties.</w:t>
      </w:r>
    </w:p>
    <w:p>
      <w:pPr>
        <w:numPr>
          <w:ilvl w:val="0"/>
          <w:numId w:val="1012"/>
        </w:numPr>
      </w:pPr>
      <w:r>
        <w:rPr>
          <w:bCs/>
          <w:b/>
        </w:rPr>
        <w:t xml:space="preserve">3.06 Termination of Actual Authority--In General</w:t>
      </w:r>
    </w:p>
    <w:p>
      <w:pPr>
        <w:pStyle w:val="FirstParagraph"/>
      </w:pPr>
      <w:r>
        <w:t xml:space="preserve">An agent's actual authority may be terminated by:</w:t>
      </w:r>
    </w:p>
    <w:p>
      <w:pPr>
        <w:pStyle w:val="BodyText"/>
      </w:pPr>
      <w:r>
        <w:t xml:space="preserve">(1) the agent's death, cessation of existence, or suspension of powers as stated in § 3.07(1) and (3); or</w:t>
      </w:r>
    </w:p>
    <w:p>
      <w:pPr>
        <w:pStyle w:val="BodyText"/>
      </w:pPr>
      <w:r>
        <w:t xml:space="preserve">(2) the principal's death, cessation of existence, or suspension of powers as stated in § 3.07(2) and (4); or</w:t>
      </w:r>
    </w:p>
    <w:p>
      <w:pPr>
        <w:pStyle w:val="BodyText"/>
      </w:pPr>
      <w:r>
        <w:t xml:space="preserve">(3) the principal's loss of capacity, as stated in § 3.08(1) and (3); or</w:t>
      </w:r>
    </w:p>
    <w:p>
      <w:pPr>
        <w:pStyle w:val="BodyText"/>
      </w:pPr>
      <w:r>
        <w:t xml:space="preserve">(4) an agreement between the agent and the principal or the occurrence of circumstances on the basis of which the agent should reasonably conclude that the principal no longer would assent to the agent's taking action on the principal's behalf, as stated in § 3.09; or</w:t>
      </w:r>
    </w:p>
    <w:p>
      <w:pPr>
        <w:pStyle w:val="BodyText"/>
      </w:pPr>
      <w:r>
        <w:t xml:space="preserve">(5) a manifestation of revocation by the principal to the agent, or of renunciation by the agent to the principal, as stated in § 3.10(1); or</w:t>
      </w:r>
    </w:p>
    <w:p>
      <w:pPr>
        <w:pStyle w:val="BodyText"/>
      </w:pPr>
      <w:r>
        <w:t xml:space="preserve">(6) the occurrence of circumstances specified by statute.</w:t>
      </w:r>
    </w:p>
    <w:p>
      <w:pPr>
        <w:numPr>
          <w:ilvl w:val="0"/>
          <w:numId w:val="1013"/>
        </w:numPr>
      </w:pPr>
      <w:r>
        <w:rPr>
          <w:bCs/>
          <w:b/>
        </w:rPr>
        <w:t xml:space="preserve">3.07 Death, Cessation of Existence, and Suspension of Powers</w:t>
      </w:r>
    </w:p>
    <w:p>
      <w:pPr>
        <w:pStyle w:val="FirstParagraph"/>
      </w:pPr>
      <w:r>
        <w:t xml:space="preserve">(1) The death of an individual agent terminates the agent's actual authority.</w:t>
      </w:r>
    </w:p>
    <w:p>
      <w:pPr>
        <w:pStyle w:val="BodyText"/>
      </w:pPr>
      <w:r>
        <w:t xml:space="preserve">(2) The death of an individual principal terminates the agent's actual authority. The termination is effective only when the agent has notice of the principal's death. The termination is also effective as against a third party with whom the agent deals when the third party has notice of the principal's death.</w:t>
      </w:r>
    </w:p>
    <w:p>
      <w:pPr>
        <w:pStyle w:val="BodyText"/>
      </w:pPr>
      <w:r>
        <w:t xml:space="preserve">(3) When an agent that is not an individual ceases to exist or commences a process that will lead to cessation of existence or when its powers are suspended, the agent's actual authority terminates except as provided by law.</w:t>
      </w:r>
    </w:p>
    <w:p>
      <w:pPr>
        <w:pStyle w:val="BodyText"/>
      </w:pPr>
      <w:r>
        <w:t xml:space="preserve">(4) When a principal that is not an individual ceases to exist or commences a process that will lead to cessation of its existence or when its powers are suspended, the agent's actual authority terminates except as provided by law.</w:t>
      </w:r>
    </w:p>
    <w:p>
      <w:pPr>
        <w:numPr>
          <w:ilvl w:val="0"/>
          <w:numId w:val="1014"/>
        </w:numPr>
      </w:pPr>
      <w:r>
        <w:rPr>
          <w:bCs/>
          <w:b/>
        </w:rPr>
        <w:t xml:space="preserve">3.08 Loss of Capacity</w:t>
      </w:r>
    </w:p>
    <w:p>
      <w:pPr>
        <w:pStyle w:val="FirstParagraph"/>
      </w:pPr>
      <w:r>
        <w:t xml:space="preserve">(1) An individual principal's loss of capacity to do an act terminates the agent's actual authority to do the act. The termination is effective only when the agent has notice that the principal's loss of capacity is permanent or that the principal has been adjudicated to lack capacity. The termination is also effective as against a third party with whom the agent deals when the third party has notice that the principal's loss of capacity is permanent or that the principal has been adjudicated to lack capacity.</w:t>
      </w:r>
    </w:p>
    <w:p>
      <w:pPr>
        <w:pStyle w:val="BodyText"/>
      </w:pPr>
      <w:r>
        <w:t xml:space="preserve">(2) A written instrument may make an agent's actual authority effective upon a principal's loss of capacity, or confer it irrevocably regardless of such loss.</w:t>
      </w:r>
    </w:p>
    <w:p>
      <w:pPr>
        <w:pStyle w:val="BodyText"/>
      </w:pPr>
      <w:r>
        <w:t xml:space="preserve">(3) If a principal that is not an individual loses capacity to do an act, its agent's actual authority to do the act is terminated.</w:t>
      </w:r>
    </w:p>
    <w:p>
      <w:pPr>
        <w:numPr>
          <w:ilvl w:val="0"/>
          <w:numId w:val="1015"/>
        </w:numPr>
      </w:pPr>
      <w:r>
        <w:rPr>
          <w:bCs/>
          <w:b/>
        </w:rPr>
        <w:t xml:space="preserve">3.09 Termination by Agreement or by Occurrence of Changed Circumstances</w:t>
      </w:r>
    </w:p>
    <w:p>
      <w:pPr>
        <w:pStyle w:val="FirstParagraph"/>
      </w:pPr>
      <w:r>
        <w:t xml:space="preserve">An agent's actual authority terminates (1) as agreed by the agent and the principal, subject to the provisions of § 3.10; or (2) upon the occurrence of circumstances on the basis of which the agent should reasonably conclude that the principal no longer would assent to the agent's taking action on the principal's behalf.</w:t>
      </w:r>
    </w:p>
    <w:p>
      <w:pPr>
        <w:numPr>
          <w:ilvl w:val="0"/>
          <w:numId w:val="1016"/>
        </w:numPr>
      </w:pPr>
      <w:r>
        <w:rPr>
          <w:bCs/>
          <w:b/>
        </w:rPr>
        <w:t xml:space="preserve">3.10 Manifestation Terminating Actual Authority</w:t>
      </w:r>
    </w:p>
    <w:p>
      <w:pPr>
        <w:pStyle w:val="FirstParagraph"/>
      </w:pPr>
      <w:r>
        <w:t xml:space="preserve">(1) Notwithstanding any agreement between principal and agent, an agent's actual authority terminates if the agent renounces it by a manifestation to the principal or if the principal revokes the agent's actual authority by a manifestation to the agent. A revocation or a renunciation is effective when the other party has notice of it.</w:t>
      </w:r>
    </w:p>
    <w:p>
      <w:pPr>
        <w:pStyle w:val="BodyText"/>
      </w:pPr>
      <w:r>
        <w:t xml:space="preserve">(2) A principal's manifestation of revocation is, unless otherwise agreed, ineffective to terminate a power given as security or to terminate a proxy to vote securities or other membership or ownership interests that is made irrevocable in compliance with applicable legislation. See §§ 3.12-3.13.</w:t>
      </w:r>
    </w:p>
    <w:p>
      <w:pPr>
        <w:numPr>
          <w:ilvl w:val="0"/>
          <w:numId w:val="1017"/>
        </w:numPr>
      </w:pPr>
      <w:r>
        <w:rPr>
          <w:bCs/>
          <w:b/>
        </w:rPr>
        <w:t xml:space="preserve">3.11 Termination of Apparent Authority</w:t>
      </w:r>
    </w:p>
    <w:p>
      <w:pPr>
        <w:pStyle w:val="FirstParagraph"/>
      </w:pPr>
      <w:r>
        <w:t xml:space="preserve">(1) The termination of actual authority does not by itself end any apparent authority held by an agent.</w:t>
      </w:r>
    </w:p>
    <w:p>
      <w:pPr>
        <w:pStyle w:val="BodyText"/>
      </w:pPr>
      <w:r>
        <w:t xml:space="preserve">(2) Apparent authority ends when it is no longer reasonable for the third party with whom an agent deals to believe that the agent continues to act with actual authority.</w:t>
      </w:r>
    </w:p>
    <w:p>
      <w:pPr>
        <w:numPr>
          <w:ilvl w:val="0"/>
          <w:numId w:val="1018"/>
        </w:numPr>
      </w:pPr>
      <w:r>
        <w:rPr>
          <w:bCs/>
          <w:b/>
        </w:rPr>
        <w:t xml:space="preserve">3.12 Power Given as Security; Irrevocable Proxy</w:t>
      </w:r>
    </w:p>
    <w:p>
      <w:pPr>
        <w:pStyle w:val="FirstParagraph"/>
      </w:pPr>
      <w:r>
        <w:t xml:space="preserve">(1) A power given as security is a power to affect the legal relations of its creator that is created in the form of a manifestation of actual authority and held for the benefit of the holder or a third person. This power is given to protect a legal or equitable title or to secure the performance of a duty apart from any duties owed the holder of the power by its creator that are incident to a relationship of agency under § 1.01. It is given upon the creation of the duty or title or for consideration. It is distinct from actual authority that the holder may exercise if the holder is an agent of the creator of the power.</w:t>
      </w:r>
    </w:p>
    <w:p>
      <w:pPr>
        <w:pStyle w:val="BodyText"/>
      </w:pPr>
      <w:r>
        <w:t xml:space="preserve">(2) A power to exercise voting rights associated with securities or a membership interest may be conferred on a proxy through a manifestation of actual authority. The power may be given as security under (1) and may be made irrevocable in compliance with applicable legislation.</w:t>
      </w:r>
    </w:p>
    <w:p>
      <w:pPr>
        <w:numPr>
          <w:ilvl w:val="0"/>
          <w:numId w:val="1019"/>
        </w:numPr>
      </w:pPr>
      <w:r>
        <w:rPr>
          <w:bCs/>
          <w:b/>
        </w:rPr>
        <w:t xml:space="preserve">3.13 Termination of Power Given as Security or Irrevocable Proxy</w:t>
      </w:r>
    </w:p>
    <w:p>
      <w:pPr>
        <w:pStyle w:val="FirstParagraph"/>
      </w:pPr>
      <w:r>
        <w:t xml:space="preserve">(1) A power given as security or an irrevocable proxy is terminated by an event that</w:t>
      </w:r>
    </w:p>
    <w:p>
      <w:pPr>
        <w:pStyle w:val="BodyText"/>
      </w:pPr>
      <w:r>
        <w:t xml:space="preserve">(a) discharges the obligation secured by the power or terminates the interest secured or supported by the proxy, or</w:t>
      </w:r>
    </w:p>
    <w:p>
      <w:pPr>
        <w:pStyle w:val="BodyText"/>
      </w:pPr>
      <w:r>
        <w:t xml:space="preserve">(b) makes its execution illegal or impossible, or</w:t>
      </w:r>
    </w:p>
    <w:p>
      <w:pPr>
        <w:pStyle w:val="BodyText"/>
      </w:pPr>
      <w:r>
        <w:t xml:space="preserve">(c) constitutes an effective surrender of the power or proxy by the person for whose benefit it was created or conferred.</w:t>
      </w:r>
    </w:p>
    <w:p>
      <w:pPr>
        <w:pStyle w:val="BodyText"/>
      </w:pPr>
      <w:r>
        <w:t xml:space="preserve">(2) Unless otherwise agreed, neither a power given as security nor a proxy made irrevocable as provided in § 3.12(2) is terminated by:</w:t>
      </w:r>
    </w:p>
    <w:p>
      <w:pPr>
        <w:pStyle w:val="BodyText"/>
      </w:pPr>
      <w:r>
        <w:t xml:space="preserve">(a) a manifestation revoking the power or proxy made by the person who created it; or</w:t>
      </w:r>
    </w:p>
    <w:p>
      <w:pPr>
        <w:pStyle w:val="BodyText"/>
      </w:pPr>
      <w:r>
        <w:t xml:space="preserve">(b) surrender of the power or proxy by its holder if it is held for the benefit of another person, unless that person consents; or</w:t>
      </w:r>
    </w:p>
    <w:p>
      <w:pPr>
        <w:pStyle w:val="BodyText"/>
      </w:pPr>
      <w:r>
        <w:t xml:space="preserve">(c) loss of capacity by the creator or the holder of the power or proxy; or</w:t>
      </w:r>
    </w:p>
    <w:p>
      <w:pPr>
        <w:pStyle w:val="BodyText"/>
      </w:pPr>
      <w:r>
        <w:t xml:space="preserve">(d) death of the holder of the power or proxy, unless the holder's death terminates the interest secured or supported by the power or proxy; or</w:t>
      </w:r>
    </w:p>
    <w:p>
      <w:pPr>
        <w:pStyle w:val="BodyText"/>
      </w:pPr>
      <w:r>
        <w:t xml:space="preserve">(e) death of the creator of the power or proxy, if the power or proxy is given as security for the performance of a duty that does not terminate with the death of its creator.</w:t>
      </w:r>
    </w:p>
    <w:p>
      <w:pPr>
        <w:numPr>
          <w:ilvl w:val="0"/>
          <w:numId w:val="1020"/>
        </w:numPr>
      </w:pPr>
      <w:r>
        <w:rPr>
          <w:bCs/>
          <w:b/>
        </w:rPr>
        <w:t xml:space="preserve">3.14 Agents with Multiple Principals</w:t>
      </w:r>
    </w:p>
    <w:p>
      <w:pPr>
        <w:pStyle w:val="FirstParagraph"/>
      </w:pPr>
      <w:r>
        <w:t xml:space="preserve">An agent acting in the same transaction or matter on behalf of more than one principal may be one or both of the following:</w:t>
      </w:r>
    </w:p>
    <w:p>
      <w:pPr>
        <w:pStyle w:val="BodyText"/>
      </w:pPr>
      <w:r>
        <w:t xml:space="preserve">(a) a subagent, as stated in § 3.15; or</w:t>
      </w:r>
    </w:p>
    <w:p>
      <w:pPr>
        <w:pStyle w:val="BodyText"/>
      </w:pPr>
      <w:r>
        <w:t xml:space="preserve">(b) an agent for coprincipals, as stated in § 3.16.</w:t>
      </w:r>
    </w:p>
    <w:p>
      <w:pPr>
        <w:numPr>
          <w:ilvl w:val="0"/>
          <w:numId w:val="1021"/>
        </w:numPr>
      </w:pPr>
      <w:r>
        <w:rPr>
          <w:bCs/>
          <w:b/>
        </w:rPr>
        <w:t xml:space="preserve">3.15 Subagency</w:t>
      </w:r>
    </w:p>
    <w:p>
      <w:pPr>
        <w:pStyle w:val="FirstParagraph"/>
      </w:pPr>
      <w:r>
        <w:t xml:space="preserve">(1) A subagent is a person appointed by an agent to perform functions that the agent has consented to perform on behalf of the agent's principal and for whose conduct the appointing agent is responsible to the principal. The relationships between a subagent and the appointing agent and between the subagent and the appointing agent's principal are relationships of agency as stated in § 1.01.</w:t>
      </w:r>
    </w:p>
    <w:p>
      <w:pPr>
        <w:pStyle w:val="BodyText"/>
      </w:pPr>
      <w:r>
        <w:t xml:space="preserve">(2) An agent may appoint a subagent only if the agent has actual or apparent authority to do so.</w:t>
      </w:r>
    </w:p>
    <w:p>
      <w:pPr>
        <w:numPr>
          <w:ilvl w:val="0"/>
          <w:numId w:val="1022"/>
        </w:numPr>
      </w:pPr>
      <w:r>
        <w:rPr>
          <w:bCs/>
          <w:b/>
        </w:rPr>
        <w:t xml:space="preserve">3.16 Agent for Coprincipals</w:t>
      </w:r>
    </w:p>
    <w:p>
      <w:pPr>
        <w:pStyle w:val="FirstParagraph"/>
      </w:pPr>
      <w:r>
        <w:t xml:space="preserve">Two or more persons may as coprincipals appoint an agent to act for them in the same transaction or matter.</w:t>
      </w:r>
    </w:p>
    <w:p>
      <w:pPr>
        <w:numPr>
          <w:ilvl w:val="0"/>
          <w:numId w:val="1023"/>
        </w:numPr>
      </w:pPr>
      <w:r>
        <w:rPr>
          <w:bCs/>
          <w:b/>
        </w:rPr>
        <w:t xml:space="preserve">7.07 Employee Acting Within Scope of Employment</w:t>
      </w:r>
    </w:p>
    <w:p>
      <w:pPr>
        <w:pStyle w:val="FirstParagraph"/>
      </w:pPr>
      <w:r>
        <w:t xml:space="preserve">(1) An employer is subject to vicarious liability for a tort committed by its employee acting within the scope of employment.</w:t>
      </w:r>
    </w:p>
    <w:p>
      <w:pPr>
        <w:pStyle w:val="BodyText"/>
      </w:pPr>
      <w:r>
        <w:t xml:space="preserve">(2) An employee acts within the scope of employment when performing work assigned by the employer or engaging in a course of conduct subject to the employer's control. An employee's act is not within the scope of employment when it occurs within an independent course of conduct not intended by the employee to serve any purpose of the employer.</w:t>
      </w:r>
    </w:p>
    <w:p>
      <w:pPr>
        <w:pStyle w:val="BodyText"/>
      </w:pPr>
      <w:r>
        <w:t xml:space="preserve">(3) For purposes of this section,</w:t>
      </w:r>
    </w:p>
    <w:p>
      <w:pPr>
        <w:pStyle w:val="BodyText"/>
      </w:pPr>
      <w:r>
        <w:t xml:space="preserve">(a) an employee is an agent whose principal controls or has the right to control the manner and means of the agent's performance of work, and</w:t>
      </w:r>
    </w:p>
    <w:p>
      <w:pPr>
        <w:pStyle w:val="BodyText"/>
      </w:pPr>
      <w:r>
        <w:t xml:space="preserve">(b) the fact that work is performed gratuitously does not relieve a principal of liability.</w:t>
      </w:r>
    </w:p>
    <w:p>
      <w:pPr>
        <w:pStyle w:val="BodyText"/>
      </w:pPr>
      <w:r>
        <w:rPr>
          <w:bCs/>
          <w:b/>
        </w:rPr>
        <w:t xml:space="preserve"> </w:t>
      </w:r>
    </w:p>
    <w:p>
      <w:pPr>
        <w:numPr>
          <w:ilvl w:val="0"/>
          <w:numId w:val="1024"/>
        </w:numPr>
      </w:pPr>
      <w:r>
        <w:rPr>
          <w:bCs/>
          <w:b/>
        </w:rPr>
        <w:t xml:space="preserve">8.01 General Fiduciary Principle</w:t>
      </w:r>
    </w:p>
    <w:p>
      <w:pPr>
        <w:pStyle w:val="FirstParagraph"/>
      </w:pPr>
      <w:r>
        <w:t xml:space="preserve">An agent has a fiduciary duty to act loyally for the principal’s benefit in all matters connected with the agency relationship.</w:t>
      </w:r>
    </w:p>
    <w:p>
      <w:pPr>
        <w:numPr>
          <w:ilvl w:val="0"/>
          <w:numId w:val="1025"/>
        </w:numPr>
      </w:pPr>
      <w:r>
        <w:rPr>
          <w:bCs/>
          <w:b/>
        </w:rPr>
        <w:t xml:space="preserve">8.02 Material Benefit Arising Out of Position</w:t>
      </w:r>
    </w:p>
    <w:p>
      <w:pPr>
        <w:pStyle w:val="FirstParagraph"/>
      </w:pPr>
      <w:r>
        <w:t xml:space="preserve">An agent has a duty not to acquire a material benefit from a third party in connection with transactions conducted or other actions taken on behalf of the principal or otherwise through the agent’s use of the agent’s position.</w:t>
      </w:r>
    </w:p>
    <w:p>
      <w:pPr>
        <w:numPr>
          <w:ilvl w:val="0"/>
          <w:numId w:val="1026"/>
        </w:numPr>
      </w:pPr>
      <w:r>
        <w:rPr>
          <w:bCs/>
          <w:b/>
        </w:rPr>
        <w:t xml:space="preserve">8.03 Acting as or on Behalf of an Adverse Party</w:t>
      </w:r>
    </w:p>
    <w:p>
      <w:pPr>
        <w:pStyle w:val="FirstParagraph"/>
      </w:pPr>
      <w:r>
        <w:t xml:space="preserve">An agent has a duty not to deal with the principal as or on behalf of an adverse party in a transaction connected with the agency relationship.</w:t>
      </w:r>
    </w:p>
    <w:p>
      <w:pPr>
        <w:numPr>
          <w:ilvl w:val="0"/>
          <w:numId w:val="1027"/>
        </w:numPr>
      </w:pPr>
      <w:r>
        <w:rPr>
          <w:bCs/>
          <w:b/>
        </w:rPr>
        <w:t xml:space="preserve">8.04 Competition</w:t>
      </w:r>
    </w:p>
    <w:p>
      <w:pPr>
        <w:pStyle w:val="FirstParagraph"/>
      </w:pPr>
      <w:r>
        <w:t xml:space="preserve">Throughout the duration of an agency relationship, an agent has a duty to refrain from competing with the principal and from taking action on behalf of or otherwise assisting the principal's competitors. During that time, an agent may take action, not otherwise wrongful, to prepare for competition following termination of the agency relationship.</w:t>
      </w:r>
    </w:p>
    <w:p>
      <w:pPr>
        <w:numPr>
          <w:ilvl w:val="0"/>
          <w:numId w:val="1028"/>
        </w:numPr>
      </w:pPr>
      <w:r>
        <w:rPr>
          <w:bCs/>
          <w:b/>
        </w:rPr>
        <w:t xml:space="preserve">8.05</w:t>
      </w:r>
      <w:r>
        <w:rPr>
          <w:bCs/>
          <w:b/>
        </w:rPr>
        <w:t xml:space="preserve"> </w:t>
      </w:r>
      <w:r>
        <w:rPr>
          <w:bCs/>
          <w:b/>
        </w:rPr>
        <w:t xml:space="preserve">Use of Principal's Property; Use of Confidential Information</w:t>
      </w:r>
    </w:p>
    <w:p>
      <w:pPr>
        <w:pStyle w:val="FirstParagraph"/>
      </w:pPr>
      <w:r>
        <w:t xml:space="preserve">An agent has a duty:</w:t>
      </w:r>
    </w:p>
    <w:p>
      <w:pPr>
        <w:pStyle w:val="BodyText"/>
      </w:pPr>
      <w:r>
        <w:t xml:space="preserve">(1) not to use property of the principal for the agent's own purposes or those of a third party; and</w:t>
      </w:r>
    </w:p>
    <w:p>
      <w:pPr>
        <w:pStyle w:val="BodyText"/>
      </w:pPr>
      <w:r>
        <w:t xml:space="preserve">(2) not to use or communicate confidential information of the principal for the agent's own purposes or those of a third party.</w:t>
      </w:r>
    </w:p>
    <w:p>
      <w:pPr>
        <w:numPr>
          <w:ilvl w:val="0"/>
          <w:numId w:val="1029"/>
        </w:numPr>
      </w:pPr>
      <w:r>
        <w:rPr>
          <w:bCs/>
          <w:b/>
        </w:rPr>
        <w:t xml:space="preserve">8.06 Principal’s Consent</w:t>
      </w:r>
    </w:p>
    <w:p>
      <w:pPr>
        <w:pStyle w:val="FirstParagraph"/>
      </w:pPr>
      <w:r>
        <w:t xml:space="preserve">(1) Conduct by an agent that would otherwise constitute a breach of duty as stated in §§ 8.01, 8.02, 8.03, 8.04, and 8.05 does not constitute a breach of duty if the principal consents to the conduct, provided that</w:t>
      </w:r>
    </w:p>
    <w:p>
      <w:pPr>
        <w:pStyle w:val="BodyText"/>
      </w:pPr>
      <w:r>
        <w:t xml:space="preserve">(a) in obtaining the principal’s consent, the agent</w:t>
      </w:r>
    </w:p>
    <w:p>
      <w:pPr>
        <w:pStyle w:val="BodyText"/>
      </w:pPr>
      <w:r>
        <w:t xml:space="preserve">(i) acts in good faith,</w:t>
      </w:r>
    </w:p>
    <w:p>
      <w:pPr>
        <w:pStyle w:val="BodyText"/>
      </w:pPr>
      <w:r>
        <w:t xml:space="preserve">(ii) discloses all material facts that the agent knows, has reason to know, or should know would reasonably affect the principal’s judgment unless the principal has manifested that such facts are already known by the principal or that the principal does not wish to know them, and</w:t>
      </w:r>
    </w:p>
    <w:p>
      <w:pPr>
        <w:pStyle w:val="BodyText"/>
      </w:pPr>
      <w:r>
        <w:t xml:space="preserve">(iii) otherwise deals fairly with the principal; and</w:t>
      </w:r>
    </w:p>
    <w:p>
      <w:pPr>
        <w:pStyle w:val="BodyText"/>
      </w:pPr>
      <w:r>
        <w:t xml:space="preserve">(b) the principal’s consent concerns either a specific act or transaction, or acts or transactions of a specified type that could reasonably be expected to occur in the ordinary course of the agency relationship.</w:t>
      </w:r>
    </w:p>
    <w:p>
      <w:pPr>
        <w:pStyle w:val="BodyText"/>
      </w:pPr>
      <w:r>
        <w:t xml:space="preserve">(2) An agent who acts for more than one principal in a transaction between or among them has a duty</w:t>
      </w:r>
    </w:p>
    <w:p>
      <w:pPr>
        <w:pStyle w:val="BodyText"/>
      </w:pPr>
      <w:r>
        <w:t xml:space="preserve">(a) to deal in good faith with each principal,</w:t>
      </w:r>
    </w:p>
    <w:p>
      <w:pPr>
        <w:pStyle w:val="BodyText"/>
      </w:pPr>
      <w:r>
        <w:t xml:space="preserve">(b) to disclose to each principal</w:t>
      </w:r>
    </w:p>
    <w:p>
      <w:pPr>
        <w:pStyle w:val="BodyText"/>
      </w:pPr>
      <w:r>
        <w:t xml:space="preserve">(i) the fact that the agent acts for the other principal or principals, and</w:t>
      </w:r>
    </w:p>
    <w:p>
      <w:pPr>
        <w:pStyle w:val="BodyText"/>
      </w:pPr>
      <w:r>
        <w:t xml:space="preserve">(ii) all other facts that the agent knows, has reason to know, or should know would reasonably affect the principal’s judgment unless the principal has manifested that such facts are already known by the principal or that the principal does not wish to know them, and</w:t>
      </w:r>
    </w:p>
    <w:p>
      <w:pPr>
        <w:pStyle w:val="BodyText"/>
      </w:pPr>
      <w:r>
        <w:t xml:space="preserve">(c) otherwise to deal fairly with each principal.</w:t>
      </w:r>
    </w:p>
    <w:p>
      <w:pPr>
        <w:pStyle w:val="BodyText"/>
      </w:pPr>
      <w:r>
        <w:t xml:space="preserve"> </w:t>
      </w:r>
    </w:p>
    <w:p>
      <w:pPr>
        <w:numPr>
          <w:ilvl w:val="0"/>
          <w:numId w:val="1030"/>
        </w:numPr>
      </w:pPr>
      <w:r>
        <w:rPr>
          <w:bCs/>
          <w:b/>
        </w:rPr>
        <w:t xml:space="preserve">8.09 Duty to Act Only Within Scope of Actual Authority and to Comply with Principal’s Lawful Instructions</w:t>
      </w:r>
    </w:p>
    <w:p>
      <w:pPr>
        <w:pStyle w:val="FirstParagraph"/>
      </w:pPr>
      <w:r>
        <w:t xml:space="preserve">(1) An agent has a duty to take action only within the scope of the agent’s actual authority.</w:t>
      </w:r>
    </w:p>
    <w:p>
      <w:pPr>
        <w:pStyle w:val="BodyText"/>
      </w:pPr>
      <w:r>
        <w:t xml:space="preserve">(2) An agent has a duty to comply with all lawful instructions received from the principal and persons designated by the principal concerning the agent’s actions on behalf of the principal.</w:t>
      </w:r>
    </w:p>
    <w:p>
      <w:pPr>
        <w:pStyle w:val="BodyText"/>
      </w:pPr>
      <w:r>
        <w:t xml:space="preserve"> </w:t>
      </w:r>
    </w:p>
    <w:p>
      <w:pPr>
        <w:pStyle w:val="NodeEnd"/>
      </w:pPr>
      <w:r>
        <w:t xml:space="preserve"> </w:t>
      </w:r>
    </w:p>
    <w:p>
      <w:pPr>
        <w:pStyle w:val="NodeStart"/>
      </w:pPr>
      <w:r>
        <w:t xml:space="preserve"> </w:t>
      </w:r>
    </w:p>
    <w:p>
      <w:pPr>
        <w:pStyle w:val="HeadSeparator"/>
      </w:pPr>
      <w:r>
        <w:t xml:space="preserve"> </w:t>
      </w:r>
    </w:p>
    <w:bookmarkStart w:id="13" w:name="_auto_toc_13"/>
    <w:bookmarkEnd w:id="13"/>
    <w:p>
      <w:pPr>
        <w:pStyle w:val="ResourceNumber"/>
      </w:pPr>
      <w:r>
        <w:t xml:space="preserve">1.4</w:t>
      </w:r>
    </w:p>
    <w:p>
      <w:pPr>
        <w:pStyle w:val="ResourceTitle"/>
      </w:pPr>
      <w:r>
        <w:t xml:space="preserve">After the Sale</w:t>
      </w:r>
    </w:p>
    <w:p>
      <w:pPr>
        <w:pStyle w:val="HeadEnd"/>
      </w:pPr>
      <w:r>
        <w:t xml:space="preserve"> </w:t>
      </w:r>
    </w:p>
    <w:p>
      <w:pPr>
        <w:pStyle w:val="BodyText"/>
      </w:pPr>
      <w:r>
        <w:t xml:space="preserve"> </w:t>
      </w:r>
    </w:p>
    <w:p>
      <w:pPr>
        <w:pStyle w:val="BodyText"/>
      </w:pPr>
      <w:r>
        <w:t xml:space="preserve">Your client has run a sole proprietorship for the last twenty years, designing, publishing and mass marketing Galinese “Leaf calendars,” a traditional form of folk art from Gali that has attracted a global market, particularly for antique or rare designs.  Over 20 years, the business has become one of the best-known firms in this niche business, building up a long client list of shopkeepers throughout your city, the region, and the world.  Your client personally knows most of his customers, but increasingly has been selling to strangers and even online.  He has visited many in his business dealings, and many have become friends. </w:t>
      </w:r>
    </w:p>
    <w:p>
      <w:pPr>
        <w:pStyle w:val="BodyText"/>
      </w:pPr>
      <w:r>
        <w:t xml:space="preserve">Your client now wants to sell the business, which is organized as a corporation.   He plans to partly live off the proceeds from the sale, but also to continue to work part-time.  He would be willing to work for the buyer, on a part-time consulting basis.  But he would like to be able to offer consulting services to other companies, including those that publicize and sell Leaf calendars, to advise them on how to design, market, and publish calendars, as well as to suppliers and printers who work for such companies.  Your client has also developed an interest in Buddhism, and has plans to begin a new part-time business publishing Buddhist texts and the like.</w:t>
      </w:r>
    </w:p>
    <w:p>
      <w:pPr>
        <w:pStyle w:val="BodyText"/>
      </w:pPr>
      <w:r>
        <w:t xml:space="preserve">The buyer is proposing to purchase 100% of the stock of the company, in return for $300,000 cash.  The price would be payable in three equal annual installments, as described in a proposed standard stock purchase agreement, which generally has customary terms and conditions in it. </w:t>
      </w:r>
    </w:p>
    <w:p>
      <w:pPr>
        <w:pStyle w:val="BodyText"/>
      </w:pPr>
      <w:r>
        <w:t xml:space="preserve">The buyer wants your client’s ongoing help after taking over the business, and has offered to pay an additional $3,000 per month in salary, and ongoing annual bonus and pension payments of $250,000 per year, for a minimum of four years, renewable at the joint agreement of the parties, in return for management and consulting services.  (These amounts would total roughly 50% of what your client has been earning from the business over the past several years.)</w:t>
      </w:r>
    </w:p>
    <w:p>
      <w:pPr>
        <w:pStyle w:val="BodyText"/>
      </w:pPr>
      <w:r>
        <w:t xml:space="preserve">The services are specified in the proposed agreement, in a section entitled “management agent,” as consisting of “business dealings, bookkeeping activities and design of new publishing samples (i.e., new calendars).”  Because of your client’s friendships and other relationships with his customers, the buyer expects your client to have contacts with those customers and to train the buyer in sales techniques to assist the buyer in maintaining the business over time.</w:t>
      </w:r>
    </w:p>
    <w:p>
      <w:pPr>
        <w:pStyle w:val="BodyText"/>
      </w:pPr>
      <w:r>
        <w:t xml:space="preserve">Those services would be conducted during normal working hours, as requested by the buyer, for up to 20 hours per week, as chosen by your client for any given week.  During the four-year consulting period, the buyer would pay your client’s expenses, including airfares, other transportation, lodging and meals, needed in the conduct of the consulting services, and pay up to $1,150 monthly to continue the lease of your client’s Mercedes Benz, which he will use in his consulting role. </w:t>
      </w:r>
    </w:p>
    <w:p>
      <w:pPr>
        <w:pStyle w:val="BodyText"/>
      </w:pPr>
      <w:r>
        <w:t xml:space="preserve">The proposed agreement contains a paragraph entitled “Covenant not to Compete,” which provides (in full):</w:t>
      </w:r>
    </w:p>
    <w:p>
      <w:pPr>
        <w:pStyle w:val="BodyText"/>
      </w:pPr>
      <w:r>
        <w:t xml:space="preserve">Shareholder [i.e., your client] shall not directly or indirectly, carry on or engage in, as an owner, the business of publishing services.</w:t>
      </w:r>
    </w:p>
    <w:p>
      <w:pPr>
        <w:pStyle w:val="BodyText"/>
      </w:pPr>
      <w:r>
        <w:t xml:space="preserve">The contract also includes a standard integration (or “merger”) clause, which should be familiar from Contracts.  It states: </w:t>
      </w:r>
    </w:p>
    <w:p>
      <w:pPr>
        <w:pStyle w:val="BodyText"/>
      </w:pPr>
      <w:r>
        <w:t xml:space="preserve">This Agreement constitutes the entire agreement between Buyer, Shareholder, and the Company concerning their rights and obligations with respect to the sale and purchase of the Shares. Any agreements or representations respecting the business or the sale of Shares to Buyer that are not expressly set forth in this Agreement shall have no effect, except for a subsequent written modification signed by the party to be charged.</w:t>
      </w:r>
    </w:p>
    <w:p>
      <w:pPr>
        <w:pStyle w:val="BodyText"/>
      </w:pPr>
      <w:r>
        <w:t xml:space="preserve">Advise your client. </w:t>
      </w:r>
    </w:p>
    <w:p>
      <w:pPr>
        <w:pStyle w:val="BodyText"/>
      </w:pPr>
      <w:r>
        <w:t xml:space="preserve">What facts would you like to know to help you do so?   How will the agreement affect his freedom to start up a new business, invest in other businesses, or sell his consulting services to others?  What contract modifications would you suggest he push for?  How would you suggest he prioritize among possible modifications?</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NodeEnd"/>
      </w:pPr>
      <w:r>
        <w:t xml:space="preserve"> </w:t>
      </w:r>
    </w:p>
    <w:p>
      <w:pPr>
        <w:pStyle w:val="NodeStart"/>
      </w:pPr>
      <w:r>
        <w:t xml:space="preserve"> </w:t>
      </w:r>
    </w:p>
    <w:p>
      <w:pPr>
        <w:pStyle w:val="HeadSeparator"/>
      </w:pPr>
      <w:r>
        <w:t xml:space="preserve"> </w:t>
      </w:r>
    </w:p>
    <w:p>
      <w:pPr>
        <w:pStyle w:val="ChapterSpacer"/>
        <w:sectPr>
          <w:footerReference w:type="even" r:id="rId14"/>
          <w:footerReference w:type="default" r:id="rId14"/>
          <w:headerReference w:type="even" r:id="rId11"/>
          <w:headerReference w:type="default" r:id="rId12"/>
          <w:pgSz w:h="15840" w:w="12240"/>
          <w:pgMar w:bottom="1440" w:gutter="720" w:header="1440" w:left="1440" w:right="1440" w:top="1800"/>
          <w:pgNumType w:pgNumType="decimal"/>
        </w:sectPr>
      </w:pPr>
      <w:r>
        <w:t xml:space="preserve"> </w:t>
      </w:r>
    </w:p>
    <w:bookmarkStart w:id="14" w:name="_auto_toc_14"/>
    <w:bookmarkEnd w:id="14"/>
    <w:p>
      <w:pPr>
        <w:pStyle w:val="ChapterNumber"/>
      </w:pPr>
      <w:r>
        <w:t xml:space="preserve">2</w:t>
      </w:r>
    </w:p>
    <w:p>
      <w:pPr>
        <w:pStyle w:val="ChapterTitle"/>
      </w:pPr>
      <w:r>
        <w:t xml:space="preserve">Partners</w:t>
      </w:r>
    </w:p>
    <w:p>
      <w:pPr>
        <w:pStyle w:val="HeadEnd"/>
        <w:sectPr>
          <w:footerReference w:type="even" r:id="rId14"/>
          <w:footerReference w:type="default" r:id="rId14"/>
          <w:headerReference w:type="even" r:id="rId11"/>
          <w:headerReference w:type="default" r:id="rId12"/>
          <w:type w:val="oddPage"/>
          <w:pgSz w:h="15840" w:w="12240"/>
          <w:pgMar w:bottom="1440" w:gutter="720" w:header="1440" w:left="1440" w:right="1440" w:top="1800"/>
          <w:pgNumType w:pgNumType="decimal"/>
        </w:sectPr>
      </w:pPr>
      <w:r>
        <w:t xml:space="preserve"> </w:t>
      </w:r>
    </w:p>
    <w:p>
      <w:pPr>
        <w:pStyle w:val="NodeEnd"/>
      </w:pPr>
      <w:r>
        <w:t xml:space="preserve"> </w:t>
      </w:r>
    </w:p>
    <w:p>
      <w:pPr>
        <w:pStyle w:val="NodeStart"/>
      </w:pPr>
      <w:r>
        <w:t xml:space="preserve"> </w:t>
      </w:r>
    </w:p>
    <w:p>
      <w:pPr>
        <w:pStyle w:val="HeadSeparator"/>
      </w:pPr>
      <w:r>
        <w:t xml:space="preserve"> </w:t>
      </w:r>
    </w:p>
    <w:bookmarkStart w:id="15" w:name="_auto_toc_15"/>
    <w:bookmarkEnd w:id="15"/>
    <w:p>
      <w:pPr>
        <w:pStyle w:val="SectionNumber"/>
      </w:pPr>
      <w:r>
        <w:t xml:space="preserve">2.1</w:t>
      </w:r>
    </w:p>
    <w:p>
      <w:pPr>
        <w:pStyle w:val="SectionTitle"/>
      </w:pPr>
      <w:r>
        <w:t xml:space="preserve">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16" w:name="_auto_toc_16"/>
    <w:bookmarkEnd w:id="16"/>
    <w:p>
      <w:pPr>
        <w:pStyle w:val="ResourceNumber"/>
      </w:pPr>
      <w:r>
        <w:t xml:space="preserve">2.1.1</w:t>
      </w:r>
    </w:p>
    <w:p>
      <w:pPr>
        <w:pStyle w:val="ResourceTitle"/>
      </w:pPr>
      <w:r>
        <w:t xml:space="preserve">Vohland v. Sweet</w:t>
      </w:r>
    </w:p>
    <w:p>
      <w:pPr>
        <w:pStyle w:val="HeadEnd"/>
      </w:pPr>
      <w:r>
        <w:t xml:space="preserve"> </w:t>
      </w:r>
    </w:p>
    <w:p>
      <w:pPr>
        <w:pStyle w:val="CaseHeader"/>
      </w:pPr>
      <w:r>
        <w:t xml:space="preserve">Court of Appeals of Indiana</w:t>
      </w:r>
    </w:p>
    <w:p>
      <w:pPr>
        <w:pStyle w:val="CaseHeader"/>
      </w:pPr>
      <w:r>
        <w:t xml:space="preserve">433 N.E.2d 860</w:t>
      </w:r>
    </w:p>
    <w:p>
      <w:pPr>
        <w:pStyle w:val="CaseHeader"/>
      </w:pPr>
      <w:r>
        <w:t xml:space="preserve">No. 1-181A5</w:t>
      </w:r>
    </w:p>
    <w:p>
      <w:pPr>
        <w:pStyle w:val="CaseHeader"/>
      </w:pPr>
      <w:r>
        <w:t xml:space="preserve">1982-04-20</w:t>
      </w:r>
    </w:p>
    <w:p>
      <w:pPr>
        <w:pStyle w:val="CaseBody"/>
      </w:pPr>
      <w:r>
        <w:rPr>
          <w:rStyle w:val="Elision"/>
        </w:rPr>
        <w:t xml:space="preserve">[ … ]</w:t>
      </w:r>
    </w:p>
    <w:p>
      <w:pPr>
        <w:pStyle w:val="CaseBody"/>
      </w:pPr>
      <w:r>
        <w:t xml:space="preserve">Plaintiff-appellee Norman E. Sweet (Sweet) brought an action for dissolution of an alleged partnership and for an accounting in the Ripley Circuit Court against defendant-appellant Paul Eugene Vohland (Vohland). From a judgment in favor of Sweet in the amount of $58,733, Vohland appeals.</w:t>
      </w:r>
    </w:p>
    <w:p>
      <w:pPr>
        <w:pStyle w:val="CaseBody"/>
      </w:pPr>
      <w:r>
        <w:t xml:space="preserve">We affirm.</w:t>
      </w:r>
    </w:p>
    <w:p>
      <w:pPr>
        <w:pStyle w:val="CaseBody"/>
      </w:pPr>
      <w:r>
        <w:rPr>
          <w:rStyle w:val="Elision"/>
        </w:rPr>
        <w:t xml:space="preserve">[ … ]</w:t>
      </w:r>
    </w:p>
    <w:p>
      <w:pPr>
        <w:pStyle w:val="CaseBody"/>
      </w:pPr>
      <w:r>
        <w:t xml:space="preserve">The undisputed facts reveal that Sweet, as a youngster, commenced working in 1956 for Charles Vohland, father of Paul Eugene Vohland, as an hourly employee in a nursery operated by Charles Vohland and known as Clarksburg Dahlia Gardens. Upon the completion of his military service, which was performed from 1958 to 1960, he resumed his former employment. In approximately 1963 Charles Vohland retired, and Vohland commenced what became known as Vohland’s Nursery, the business of which was landscape gardening. At that time Sweet’s status changed. He was to receive a 20 percent share of the net profit of the enterprise after all of the expenses were paid. Expenses included labor, gasoline, insurance, burlap, nails, insecticide, fertilizer, seed, straw, plants, stock and seedlings, and any other expense. The compensation was paid on an irregular basis. Every week, two weeks, or perhaps even a month, Sweet and Vohland sat down and computed all income that had been received and all expenses that had been incurred since the last settlement. After the expenses had been deducted from the income, Sweet would receive a check for 20 percent of the balance. Occasionally Sweet would receive an advance draw which would be deducted from his next settlement. No Social Security or income tax was withheld from the checks.</w:t>
      </w:r>
    </w:p>
    <w:p>
      <w:pPr>
        <w:pStyle w:val="CaseBody"/>
      </w:pPr>
      <w:r>
        <w:t xml:space="preserve">No partnership income tax returns were filed. Vohland and his wife, Gwenalda, filed a joint return in which the business of Vohland’s Nursery was reported in Voh-land’s name on Schedule C. Money paid Sweet was listed as a business expense under “Commissions.” Also listed on Schedule C were all of the expenses of the nursery, including investment credit and depreciation on trucks, tractors, and machinery. Sweet’s tax returns declared that he was a self-employed salesman at Vohland’s Nursery. He filed a self-employment Schedule C and listed as income the income received from the nursery; as expenses he listed travel, advertising, phone, conventions, automobile, and trade journals. He further filed a Schedule C-3 for self-employment Social Security for the receipts from the nursery.</w:t>
      </w:r>
    </w:p>
    <w:p>
      <w:pPr>
        <w:pStyle w:val="CaseBody"/>
      </w:pPr>
      <w:r>
        <w:t xml:space="preserve">Vohland handled all of the finances and books and did most of the sales. He borrowed money from the bank solely in his own name for business purposes, including the purchase of the interests of his brothers and sisters in his father’s business, operating expenses, bid bonds, motor vehicles, taxes, and purchases of real estate. Sweet was not involved in those loans. Sweet managed the physical aspects of the nursery and supervised the care of the nursery stock and the performance of the contracts for customers. Vohland was quoted by one customer as saying Sweet was running things and the customer would have to see Sweet about some problem.</w:t>
      </w:r>
    </w:p>
    <w:p>
      <w:pPr>
        <w:pStyle w:val="CaseBody"/>
      </w:pPr>
      <w:r>
        <w:t xml:space="preserve">Evidence was contradictory in certain respects. The Vohland Nursery was located on approximately 13 acres of land owned by Charles Vohland. Sweet testified that at the commencement of the arrangement with Vohland in 1963, Charles Vohland grew the stock and maintained the inventory, for which he received 25 percent of the gross sales. In the late 1960’s, because of age, Charles Vohland could no longer perform. The nursery stock became depleted to nearly nothing, and new arrangements were made. An extensive program was initiated by Sweet and Vohland to replenish and enlarge the inventory of nursery stock; this program continued until February, 1979. The cost of planting and maintaining the nursery stock was assigned to expenses before Sweet received his 20 percent. The nursery stock generally took up to ten years to mature for market. Sweet testified that at the termination of the arrangement there existed $293,665 in inventory which had been purchased with the earnings of the business. Of that amount $284,860 was growing nursery stock. Vohland, on the other hand, testified that the inventory of 1963 was as large as that of 1979, but the inventory became depleted in 1969. Voh-land claimed that as part of his agreement with Charles Vohland he was required to replenish the nursery stock as it was sold, and in addition pay Charles Vohland 25 percent of the net profit from the operation. He contends that the inventory of nursery stock balanced out. However, Voh-land conceded on cross-examination that the acquisition and enlargement of the existing inventory of nursery stock was paid for with earnings and, therefore, was financed partly with Sweet’s money. He further stated that the consequences of this financial arrangement never entered his mind at the time.</w:t>
      </w:r>
    </w:p>
    <w:p>
      <w:pPr>
        <w:pStyle w:val="CaseBody"/>
      </w:pPr>
      <w:r>
        <w:t xml:space="preserve">Sweet’s testimony, denied by Vohland, disclosed that, in a conversation in the early 1970’s regarding the purchase of inventory out of earnings, Vohland promised to take care of Sweet. Vohland acknowledged that Sweet refused to permit his 20 percent to be charged with the cost of a truck unless his name was on the title. Sweet testified that at the outset of the arrangement Voh-land told him, “he was going to take . . . me in and that ... I wouldn’t have to punch a time clock anymore, that I would be on a commission basis and that I would be, have more of an interest in the business if I had ‘an interest in the business.’ . . . He referred to it as a piece of the action.” Sweet testified that he intended to enter into a partnership. Vohland asserts that no partnership was intended and that Sweet was merely an employee, working on a commission. There was no contention that Sweet made any contribution to capital, nor did he claim any interest in the real estate, machinery, or motor vehicles. The parties had never discussed losses.</w:t>
      </w:r>
    </w:p>
    <w:p>
      <w:pPr>
        <w:pStyle w:val="CaseBody"/>
      </w:pPr>
      <w:r>
        <w:t xml:space="preserve">After Charles Vohland died (in 1973) Vohland contends that he paid $1,000 a year to Mary Crystal Vohland, his stepmother and current owner of the 13 acres, as a gift, and in addition replenished the nursery stock as it was taken and sold. Sweet contends the payments were a flat fee for the use of the land.</w:t>
      </w:r>
    </w:p>
    <w:p>
      <w:pPr>
        <w:pStyle w:val="CaseBody"/>
      </w:pPr>
      <w:r>
        <w:t xml:space="preserve">ISSUES</w:t>
      </w:r>
    </w:p>
    <w:p>
      <w:pPr>
        <w:pStyle w:val="CaseBody"/>
      </w:pPr>
      <w:r>
        <w:rPr>
          <w:rStyle w:val="Elision"/>
        </w:rPr>
        <w:t xml:space="preserve">[ … ]</w:t>
      </w:r>
    </w:p>
    <w:p>
      <w:pPr>
        <w:pStyle w:val="CaseBody"/>
      </w:pPr>
      <w:r>
        <w:rPr>
          <w:rStyle w:val="Elision"/>
        </w:rPr>
        <w:t xml:space="preserve">[ … ]</w:t>
      </w:r>
    </w:p>
    <w:p>
      <w:pPr>
        <w:pStyle w:val="CaseBody"/>
      </w:pPr>
      <w:r>
        <w:t xml:space="preserve">The principal point of disagreement between Sweet and Vohland is whether the arrangement between them created a partnership, or a contract of employment of Sweet by Vohland as a salesman on commission. It therefore becomes necessary to review briefly the principles governing the establishment of partnerships.</w:t>
      </w:r>
    </w:p>
    <w:p>
      <w:pPr>
        <w:pStyle w:val="CaseBody"/>
      </w:pPr>
      <w:r>
        <w:t xml:space="preserve">It has been said that an accurate and comprehensive definition of a partnership has not been stated; that the lines of demarcation which distinguish a partnership from other joint interests on one hand and from agency on the other, are so fine as to render approximate rather than exhaustive any attempt to define the relationship.</w:t>
      </w:r>
      <w:r>
        <w:rPr>
          <w:rStyle w:val="Elision"/>
        </w:rPr>
        <w:t xml:space="preserve">[ … ]</w:t>
      </w:r>
    </w:p>
    <w:p>
      <w:pPr>
        <w:pStyle w:val="CaseBody"/>
      </w:pPr>
      <w:r>
        <w:t xml:space="preserve">A partnership is defined by Ind.Code 23-4-l-6(l) (Uniform Partnership Act of 1949):</w:t>
      </w:r>
    </w:p>
    <w:p>
      <w:pPr>
        <w:pStyle w:val="BlockText"/>
      </w:pPr>
      <w:r>
        <w:t xml:space="preserve">“A partnership is an association of two or more persons to carry on as co-owners a business for profit.”</w:t>
      </w:r>
    </w:p>
    <w:p>
      <w:pPr>
        <w:pStyle w:val="CaseBody"/>
      </w:pPr>
      <w:r>
        <w:t xml:space="preserve">Ind.Code 23-4-1-7 sets forth the rules for determining the existence of a partnership:</w:t>
      </w:r>
    </w:p>
    <w:p>
      <w:pPr>
        <w:pStyle w:val="BlockText"/>
      </w:pPr>
      <w:r>
        <w:t xml:space="preserve">“In determining whether a partnership exists, these rules shall apply:</w:t>
      </w:r>
    </w:p>
    <w:p>
      <w:pPr>
        <w:pStyle w:val="BlockText"/>
      </w:pPr>
      <w:r>
        <w:t xml:space="preserve">(1) Except as provided by section 16 persons who are not partners as to each other are not partners as to third persons.</w:t>
      </w:r>
    </w:p>
    <w:p>
      <w:pPr>
        <w:pStyle w:val="BlockText"/>
      </w:pPr>
      <w:r>
        <w:t xml:space="preserve">(2) Joint tenancy, tenancy in common, tenancy by the entireties, joint property, common property, or part ownership does not of itself establish a partnership, whether such co-owners do or do not share any profits made by the use of the property.</w:t>
      </w:r>
    </w:p>
    <w:p>
      <w:pPr>
        <w:pStyle w:val="BlockText"/>
      </w:pPr>
      <w:r>
        <w:t xml:space="preserve">(3) The sharing of gross returns does not of itself establish a partnership, whether or not the persons sharing them have a joint or common right or interest in any property from which the returns are derived.</w:t>
      </w:r>
    </w:p>
    <w:p>
      <w:pPr>
        <w:pStyle w:val="BlockText"/>
      </w:pPr>
      <w:r>
        <w:t xml:space="preserve">(4) The receipt by a person of a share of the profits of a business is prima facie evidence that he is a partner in the business, but no such inference shall be drawn if such profits were received in payment:</w:t>
      </w:r>
    </w:p>
    <w:p>
      <w:pPr>
        <w:pStyle w:val="BlockText"/>
      </w:pPr>
      <w:r>
        <w:t xml:space="preserve">(a) As a debt by instalments or otherwise,</w:t>
      </w:r>
    </w:p>
    <w:p>
      <w:pPr>
        <w:pStyle w:val="BlockText"/>
      </w:pPr>
      <w:r>
        <w:t xml:space="preserve">(b) As wages of an employee or rent to a landlord,</w:t>
      </w:r>
    </w:p>
    <w:p>
      <w:pPr>
        <w:pStyle w:val="BlockText"/>
      </w:pPr>
      <w:r>
        <w:t xml:space="preserve">(c) As an annuity to a widow or representative of a deceased partner,</w:t>
      </w:r>
    </w:p>
    <w:p>
      <w:pPr>
        <w:pStyle w:val="BlockText"/>
      </w:pPr>
      <w:r>
        <w:t xml:space="preserve">(d) As interest on a loan though the amount of payment vary with the profits of the business,</w:t>
      </w:r>
    </w:p>
    <w:p>
      <w:pPr>
        <w:pStyle w:val="BlockText"/>
      </w:pPr>
      <w:r>
        <w:t xml:space="preserve">(e) As the consideration for the sale of a good will of a business or other property by instalments or otherwise.”</w:t>
      </w:r>
    </w:p>
    <w:p>
      <w:pPr>
        <w:pStyle w:val="CaseBody"/>
      </w:pPr>
      <w:r>
        <w:rPr>
          <w:rStyle w:val="Elision"/>
        </w:rPr>
        <w:t xml:space="preserve">[ … ]</w:t>
      </w:r>
      <w:r>
        <w:t xml:space="preserve">A partnership may be formed by the furnishing of skill and labor by others. The contribution of labor and skill by one of the partners may be as great a contribution to the common enterprise as property or money.</w:t>
      </w:r>
      <w:r>
        <w:t xml:space="preserve"> </w:t>
      </w:r>
      <w:r>
        <w:rPr>
          <w:rStyle w:val="Elision"/>
        </w:rPr>
        <w:t xml:space="preserve">[ … ]</w:t>
      </w:r>
      <w:r>
        <w:t xml:space="preserve">In</w:t>
      </w:r>
      <w:r>
        <w:t xml:space="preserve"> </w:t>
      </w:r>
      <w:r>
        <w:rPr>
          <w:iCs/>
          <w:i/>
        </w:rPr>
        <w:t xml:space="preserve">Bond</w:t>
      </w:r>
      <w:r>
        <w:t xml:space="preserve"> </w:t>
      </w:r>
      <w:r>
        <w:t xml:space="preserve">it was said, “[t]o be a partner, one must have an interest with another in the profits of a business, as profits. There must be a voluntary contract to carry on a business with intention of the parties to share the profits as common owners thereof.”</w:t>
      </w:r>
    </w:p>
    <w:p>
      <w:pPr>
        <w:pStyle w:val="CaseBody"/>
      </w:pPr>
      <w:r>
        <w:rPr>
          <w:rStyle w:val="Elision"/>
        </w:rPr>
        <w:t xml:space="preserve">[ … ]</w:t>
      </w:r>
    </w:p>
    <w:p>
      <w:pPr>
        <w:pStyle w:val="BlockText"/>
      </w:pPr>
      <w:r>
        <w:rPr>
          <w:rStyle w:val="Elision"/>
        </w:rPr>
        <w:t xml:space="preserve">[ … ]</w:t>
      </w:r>
    </w:p>
    <w:p>
      <w:pPr>
        <w:pStyle w:val="BlockText"/>
      </w:pPr>
      <w:r>
        <w:t xml:space="preserve">It is the substance, and not the name of the arrangement between them, which determines their legal relation toward each other, and if, from a consideration of all the facts and circumstances, it appears that the parties intended, between themselves, that there should be a community of interest of both the property and profits of a common business or venture, the law treats it as their intention to become partners, in the absence of other controlling facts.”</w:t>
      </w:r>
    </w:p>
    <w:p>
      <w:pPr>
        <w:pStyle w:val="CaseBody"/>
      </w:pPr>
      <w:r>
        <w:rPr>
          <w:rStyle w:val="Elision"/>
        </w:rPr>
        <w:t xml:space="preserve">[ … ]</w:t>
      </w:r>
    </w:p>
    <w:p>
      <w:pPr>
        <w:pStyle w:val="CaseBody"/>
      </w:pPr>
      <w:r>
        <w:rPr>
          <w:rStyle w:val="Elision"/>
        </w:rPr>
        <w:t xml:space="preserve">[ … ]</w:t>
      </w:r>
    </w:p>
    <w:p>
      <w:pPr>
        <w:pStyle w:val="BlockText"/>
      </w:pPr>
      <w:r>
        <w:rPr>
          <w:rStyle w:val="Elision"/>
        </w:rPr>
        <w:t xml:space="preserve">[ … ]</w:t>
      </w:r>
    </w:p>
    <w:p>
      <w:pPr>
        <w:pStyle w:val="CaseBody"/>
      </w:pPr>
      <w:r>
        <w:t xml:space="preserve">In the analysis of the facts, we are first constrained to observe that should an accrual method of accounting have been employed here, the enhancement of the inventory of nursery stock would have been reflected as profit, a point which Vohland, in effect, concedes. We further note that both parties referred to the 20 percent as “commissions.” To us the term “commission,” unless defined, does not mean the same thing as a share of the net profits. However, this term, when used by landscape gardeners and not lawyers, should not be restricted to its technical definition. “Commission” was used to refer to Sweet’s share of the profits, and the receipt of a share of the profits is</w:t>
      </w:r>
      <w:r>
        <w:t xml:space="preserve"> </w:t>
      </w:r>
      <w:r>
        <w:rPr>
          <w:iCs/>
          <w:i/>
        </w:rPr>
        <w:t xml:space="preserve">prima facie</w:t>
      </w:r>
      <w:r>
        <w:t xml:space="preserve"> </w:t>
      </w:r>
      <w:r>
        <w:t xml:space="preserve">evidence of a partnership. Though evidence is conflicting, there is evidence that the payments were not wages, but a share of the profit of a partnership. As in</w:t>
      </w:r>
      <w:r>
        <w:t xml:space="preserve"> </w:t>
      </w:r>
      <w:r>
        <w:rPr>
          <w:iCs/>
          <w:i/>
        </w:rPr>
        <w:t xml:space="preserve">Watson, supra,</w:t>
      </w:r>
      <w:r>
        <w:t xml:space="preserve"> </w:t>
      </w:r>
      <w:r>
        <w:t xml:space="preserve">it can readily be inferred from the evidence most favorable to support the judgment that the parties intended a community of interest in any increment in the value of the capital and in the profit. As shown in</w:t>
      </w:r>
      <w:r>
        <w:t xml:space="preserve"> </w:t>
      </w:r>
      <w:r>
        <w:rPr>
          <w:iCs/>
          <w:i/>
        </w:rPr>
        <w:t xml:space="preserve">Watson,</w:t>
      </w:r>
      <w:r>
        <w:t xml:space="preserve"> </w:t>
      </w:r>
      <w:r>
        <w:t xml:space="preserve">absence of contribution to capital is not controlling, and contribution of labor and skill will suffice. There is evidence from which it can be inferred that the parties intended to do the things which amount to the formation of a partnership, regardless of how they may later characterize the relationship. Bacon, supra. From the evidence the court could find that part of the operating profits of the business, of which Sweet was entitled to 20 percent, were put back into it in the form of inventory of nursery stock. In the authorities cited above it seems the central factor in determining the existence of a partnership is a division of profits.</w:t>
      </w:r>
    </w:p>
    <w:p>
      <w:pPr>
        <w:pStyle w:val="CaseBody"/>
      </w:pPr>
      <w:r>
        <w:t xml:space="preserve">From all the circumstances we cannot say that the court erred in finding the existence of a partnership.</w:t>
      </w:r>
    </w:p>
    <w:p>
      <w:pPr>
        <w:pStyle w:val="CaseBody"/>
      </w:pPr>
      <w:r>
        <w:rPr>
          <w:rStyle w:val="Elision"/>
        </w:rPr>
        <w:t xml:space="preserve">[ … ]</w:t>
      </w:r>
    </w:p>
    <w:p>
      <w:pPr>
        <w:pStyle w:val="CaseBody"/>
      </w:pPr>
      <w:r>
        <w:t xml:space="preserve">Affirmed.</w:t>
      </w:r>
    </w:p>
    <w:p>
      <w:pPr>
        <w:pStyle w:val="CaseBody"/>
      </w:pPr>
      <w:r>
        <w:rPr>
          <w:rStyle w:val="Elision"/>
        </w:rPr>
        <w:t xml:space="preserve">[ … ]</w:t>
      </w:r>
    </w:p>
    <w:p>
      <w:pPr>
        <w:pStyle w:val="NodeEnd"/>
      </w:pPr>
      <w:r>
        <w:t xml:space="preserve"> </w:t>
      </w:r>
    </w:p>
    <w:p>
      <w:pPr>
        <w:pStyle w:val="NodeStart"/>
      </w:pPr>
      <w:r>
        <w:t xml:space="preserve"> </w:t>
      </w:r>
    </w:p>
    <w:p>
      <w:pPr>
        <w:pStyle w:val="HeadSeparator"/>
      </w:pPr>
      <w:r>
        <w:t xml:space="preserve"> </w:t>
      </w:r>
    </w:p>
    <w:bookmarkStart w:id="17" w:name="_auto_toc_17"/>
    <w:bookmarkEnd w:id="17"/>
    <w:p>
      <w:pPr>
        <w:pStyle w:val="ResourceNumber"/>
      </w:pPr>
      <w:r>
        <w:t xml:space="preserve">2.1.2</w:t>
      </w:r>
    </w:p>
    <w:p>
      <w:pPr>
        <w:pStyle w:val="ResourceTitle"/>
      </w:pPr>
      <w:r>
        <w:t xml:space="preserve">National Biscuit Co. v. Stroud</w:t>
      </w:r>
    </w:p>
    <w:p>
      <w:pPr>
        <w:pStyle w:val="HeadEnd"/>
      </w:pPr>
      <w:r>
        <w:t xml:space="preserve"> </w:t>
      </w:r>
    </w:p>
    <w:p>
      <w:pPr>
        <w:pStyle w:val="CaseHeader"/>
      </w:pPr>
      <w:r>
        <w:t xml:space="preserve">Supreme Court of North Carolina</w:t>
      </w:r>
    </w:p>
    <w:p>
      <w:pPr>
        <w:pStyle w:val="CaseHeader"/>
      </w:pPr>
      <w:r>
        <w:t xml:space="preserve">249 N.C. 467</w:t>
      </w:r>
    </w:p>
    <w:p>
      <w:pPr>
        <w:pStyle w:val="CaseHeader"/>
      </w:pPr>
      <w:r>
        <w:t xml:space="preserve">1959-01-28</w:t>
      </w:r>
    </w:p>
    <w:p>
      <w:pPr>
        <w:pStyle w:val="CaseBody"/>
      </w:pPr>
      <w:r>
        <w:rPr>
          <w:rStyle w:val="Elision"/>
        </w:rPr>
        <w:t xml:space="preserve">[ … ]</w:t>
      </w:r>
    </w:p>
    <w:p>
      <w:pPr>
        <w:pStyle w:val="CaseBody"/>
      </w:pPr>
      <w:r>
        <w:t xml:space="preserve">On 13 September 1956 the National Biscuit Company had a Justice of the Peace to issue summons against C. N. Stroud and Earl Freeman, a partnership trading as Stroud’s Food Center, for the nonpayment of $171.04 for goods sold and delivered. After a hearing the Justice of the Peace rendered judgment for plaintiff against both defendants for $171.04 with interest and costs. Stroud appealed to the Superior Court: Freeman did not.</w:t>
      </w:r>
    </w:p>
    <w:p>
      <w:pPr>
        <w:pStyle w:val="CaseBody"/>
      </w:pPr>
      <w:r>
        <w:t xml:space="preserve">In March 1953 C. N. Stroud and Earl Freeman entered into a general partnership to sell groceries under the name of Stroud’s Food Center. Thereafter plaintiff sold bread regularly to the partnership. Several months prior to February 1956 the defendant Stroud advised an agent of plaintiff that he personally would not be responsible for any additional bread sold by plaintiff to Stroud’s Food Center. From 6 February 1956 to 25 February 1956 plaintiff through this same agent, at the request of the defendant Freeman, sold and delivered bread in the amount of $171.04 to Stroud’s Food Center. Stroud and Freeman by agreement dissolved the partnership at the close of business on 25 February 1956, and notice of such dissolution was published in a newspaper in Carteret County 6-27 March 1956.</w:t>
      </w:r>
    </w:p>
    <w:p>
      <w:pPr>
        <w:pStyle w:val="CaseBody"/>
      </w:pPr>
      <w:r>
        <w:t xml:space="preserve">The relevant parts of the dissolution agreement are these: All partnership assets, except an automobile truck, an electric adding machine, a rotisserie, which were assigned to defendant Freeman, and except funds necessary to pay the employees for their work the week before the dissolution and necessary to pay for certain supplies purchased the week of dissolution, were assigned to Stroud. Freeman assumed the outstanding liens against the truck. Paragraph five of the dissolution agreement is as follows: “From and after the aforesaid February 25, 1956, Stroud will be responsible for the liquidation of the partnership assets and the discharge of partnership liabilities without demand upon Freeman for any contribution in the discharge of said obligations.” The dissolution agreement was made in reliance on Freeman’s representations that the indebtedness of the partnership was about $7,800.00 and its accounts receivable were about $8,000.00. The accounts receivable at the close of business actually amounted to $4,897.41.</w:t>
      </w:r>
    </w:p>
    <w:p>
      <w:pPr>
        <w:pStyle w:val="CaseBody"/>
      </w:pPr>
      <w:r>
        <w:t xml:space="preserve">Stroud has paid all of the partnership obligations amounting to $12,014.45, except the amount of $171.04 claimed by plaintiff. To pay such obligations Stroud exhausted all the partnership assets he could reduce to money amounting to $4,307.08, of which $2,028.64 was derived from accounts receivable and $2,278.44 from a sale of merchandise and fixtures, and used over $7,700.00 of his personal money. Stroud has left of the partnership assets only uncollected accounts in the sum of $2,868.77, practically all of which are considered uncollectible.</w:t>
      </w:r>
    </w:p>
    <w:p>
      <w:pPr>
        <w:pStyle w:val="CaseBody"/>
      </w:pPr>
      <w:r>
        <w:t xml:space="preserve">Stroud has not attempted to rescind the dissolution agreement, and has tendered plaintiff, and still tenders it, one-half of the $171.04 claimed by it.</w:t>
      </w:r>
    </w:p>
    <w:p>
      <w:pPr>
        <w:pStyle w:val="CaseBody"/>
      </w:pPr>
      <w:r>
        <w:t xml:space="preserve">From a judgment that plaintiff recover from the defendants $171.04 with interest and costs, Stroud appeals to the Supreme Court.</w:t>
      </w:r>
    </w:p>
    <w:p>
      <w:pPr>
        <w:pStyle w:val="CaseBody"/>
      </w:pPr>
      <w:r>
        <w:rPr>
          <w:rStyle w:val="Elision"/>
        </w:rPr>
        <w:t xml:space="preserve">[ … ]</w:t>
      </w:r>
    </w:p>
    <w:p>
      <w:pPr>
        <w:pStyle w:val="CaseBody"/>
      </w:pPr>
      <w:r>
        <w:t xml:space="preserve">C. N. Stroud and Earl Freeman entered into a general partnership to sell groceries under the firm name of Stroud’s Food Center. There is nothing in the agreed statement of facts to indicate or suggest that Freeman’s power and authority as a general partner were in any way restricted or limited by the articles of partnership in respect to the ordinary and legitimate business of the partnership. Certainly, the purchase and sale of bread were ordinary and legitimate business of Stroud’s Food Center during its continuance as a going concern.</w:t>
      </w:r>
    </w:p>
    <w:p>
      <w:pPr>
        <w:pStyle w:val="CaseBody"/>
      </w:pPr>
      <w:r>
        <w:t xml:space="preserve">Several months prior to February 1956 Stroud advised plaintiff that he personally would not be responsible for any additional bread sold 'by plaintiff to Stroud’s Food Center. After such notice to plaintiff, it from 6 February 1956 to 25 February 1956, at the request of Freeman, sold and delivered bread in the amount of $171.04 to Stroud’s Food Center.</w:t>
      </w:r>
    </w:p>
    <w:p>
      <w:pPr>
        <w:pStyle w:val="CaseBody"/>
      </w:pPr>
      <w:r>
        <w:rPr>
          <w:rStyle w:val="Elision"/>
        </w:rPr>
        <w:t xml:space="preserve">[ … ]</w:t>
      </w:r>
    </w:p>
    <w:p>
      <w:pPr>
        <w:pStyle w:val="CaseBody"/>
      </w:pPr>
      <w:r>
        <w:t xml:space="preserve">The General Assembly of North Carolina in 1941 enacted a Uniform Partnership Act, which became effective 15 March 1941. G.S. Ch. 59, Partnership, Art. 2.</w:t>
      </w:r>
    </w:p>
    <w:p>
      <w:pPr>
        <w:pStyle w:val="CaseBody"/>
      </w:pPr>
      <w:r>
        <w:rPr>
          <w:rStyle w:val="Elision"/>
        </w:rPr>
        <w:t xml:space="preserve">[ … ]</w:t>
      </w:r>
      <w:r>
        <w:t xml:space="preserve"> </w:t>
      </w:r>
      <w:r>
        <w:t xml:space="preserve">“Every partner is an agent of the partnership for the purpose of its business, and the act of every partner, including the execution in the partnership name of any instrument, for apparently carrying on in the usual way the business of the partnership of which he is a member binds the partnership, unless the partner so acting has in fact no authority to act for the partnership in the particular matter, and the person with whom he is dealing has knowledge of the fact that he has no such authority.”</w:t>
      </w:r>
      <w:r>
        <w:t xml:space="preserve"> </w:t>
      </w:r>
      <w:r>
        <w:rPr>
          <w:rStyle w:val="Elision"/>
        </w:rPr>
        <w:t xml:space="preserve">[ … ]</w:t>
      </w:r>
      <w:r>
        <w:t xml:space="preserve">“No act of a partner in contravention of a restriction on authority shall bind the partnership to persons having knowledge of the restriction.”</w:t>
      </w:r>
    </w:p>
    <w:p>
      <w:pPr>
        <w:pStyle w:val="CaseBody"/>
      </w:pPr>
      <w:r>
        <w:rPr>
          <w:rStyle w:val="Elision"/>
        </w:rPr>
        <w:t xml:space="preserve">[ … ]</w:t>
      </w:r>
      <w:r>
        <w:t xml:space="preserve"> </w:t>
      </w:r>
      <w:r>
        <w:t xml:space="preserve">“all partners are jointly and severally liable for the acts and obligations of the partnership.”</w:t>
      </w:r>
    </w:p>
    <w:p>
      <w:pPr>
        <w:pStyle w:val="CaseBody"/>
      </w:pPr>
      <w:r>
        <w:rPr>
          <w:rStyle w:val="Elision"/>
        </w:rPr>
        <w:t xml:space="preserve">[ … ]</w:t>
      </w:r>
      <w:r>
        <w:t xml:space="preserve"> </w:t>
      </w:r>
      <w:r>
        <w:t xml:space="preserve">“All partners have equal rights in the management and conduct of the partnership business.” Subsection (h) thereof is as follows: “Any difference arising as to ordinary matters connected with the partnership business may be decided by a majority of the partners; but no act in contravention of any agreement between the partners may be done rightfully without the consent of all the partners.”</w:t>
      </w:r>
    </w:p>
    <w:p>
      <w:pPr>
        <w:pStyle w:val="CaseBody"/>
      </w:pPr>
      <w:r>
        <w:t xml:space="preserve">Freeman as a general partner with Stroud, with no restrictions on his authority to act within the scope of the partnership business so far as the agreed statement of facts shows, had under the Uniform Partnership Act “equal rights in the management and conduct of the partnership business.”</w:t>
      </w:r>
      <w:r>
        <w:rPr>
          <w:rStyle w:val="Elision"/>
        </w:rPr>
        <w:t xml:space="preserve">[ … ]</w:t>
      </w:r>
      <w:r>
        <w:t xml:space="preserve">Stroud, his co-partner, could not restrict the power and authority of Freeman to buy bread for the partnership as a going concern, for such a purchase was an “ordinary matter connected with the partnership business,” for the purpose of its business and within its scope, because in the very nature of things Stroud was not, and could not be, a majority of the partners.</w:t>
      </w:r>
      <w:r>
        <w:t xml:space="preserve"> </w:t>
      </w:r>
      <w:r>
        <w:rPr>
          <w:rStyle w:val="Elision"/>
        </w:rPr>
        <w:t xml:space="preserve">[ … ]</w:t>
      </w:r>
      <w:r>
        <w:t xml:space="preserve">Freeman’s purchases of bread from plaintiff for Stroud’s Food Center as a going concern bound the partnership and his co-partner Stroud.</w:t>
      </w:r>
      <w:r>
        <w:t xml:space="preserve"> </w:t>
      </w:r>
      <w:r>
        <w:rPr>
          <w:rStyle w:val="Elision"/>
        </w:rPr>
        <w:t xml:space="preserve">[ … ]</w:t>
      </w:r>
    </w:p>
    <w:p>
      <w:pPr>
        <w:pStyle w:val="CaseBody"/>
      </w:pPr>
      <w:r>
        <w:rPr>
          <w:rStyle w:val="Elision"/>
        </w:rPr>
        <w:t xml:space="preserve">[ … ]</w:t>
      </w:r>
    </w:p>
    <w:p>
      <w:pPr>
        <w:pStyle w:val="CaseBody"/>
      </w:pPr>
      <w:r>
        <w:t xml:space="preserve">At the close of business on 25 February 1956 Stroud and Freeman by agreement dissolved the partnership. By their dissolution agreement all of the partnership assets, including cash on hand, bank deposits and all accounts receivable, with a few exceptions, were assigned to Stroud, who bound himself by such written dissolution agreement to liquidate the firm’s assets and discharge its liabilities. It would seem a fair inference from the agreed statement of facts that the partnership got the benefit of the bread sold and delivered by plaintiff to Stroud’s Food Center, at Freeman’s request, from 6 February 1956 to 25 February 1956.</w:t>
      </w:r>
      <w:r>
        <w:t xml:space="preserve"> </w:t>
      </w:r>
      <w:r>
        <w:rPr>
          <w:rStyle w:val="Elision"/>
        </w:rPr>
        <w:t xml:space="preserve">[ … ]</w:t>
      </w:r>
      <w:r>
        <w:t xml:space="preserve">But whether it did or not, Freeman’s acts, as stated above, bound the partnership and Stroud.</w:t>
      </w:r>
    </w:p>
    <w:p>
      <w:pPr>
        <w:pStyle w:val="CaseBody"/>
      </w:pPr>
      <w:r>
        <w:t xml:space="preserve">The judgment of the court below is</w:t>
      </w:r>
    </w:p>
    <w:p>
      <w:pPr>
        <w:pStyle w:val="CaseBody"/>
      </w:pPr>
      <w:r>
        <w:t xml:space="preserve">Affirmed.</w:t>
      </w:r>
    </w:p>
    <w:p>
      <w:pPr>
        <w:pStyle w:val="CaseBody"/>
      </w:pPr>
      <w:r>
        <w:t xml:space="preserve">RodmaN, J., dissents.</w:t>
      </w:r>
    </w:p>
    <w:p>
      <w:pPr>
        <w:pStyle w:val="NodeEnd"/>
      </w:pPr>
      <w:r>
        <w:t xml:space="preserve"> </w:t>
      </w:r>
    </w:p>
    <w:p>
      <w:pPr>
        <w:pStyle w:val="NodeStart"/>
      </w:pPr>
      <w:r>
        <w:t xml:space="preserve"> </w:t>
      </w:r>
    </w:p>
    <w:p>
      <w:pPr>
        <w:pStyle w:val="HeadSeparator"/>
      </w:pPr>
      <w:r>
        <w:t xml:space="preserve"> </w:t>
      </w:r>
    </w:p>
    <w:bookmarkStart w:id="18" w:name="_auto_toc_18"/>
    <w:bookmarkEnd w:id="18"/>
    <w:p>
      <w:pPr>
        <w:pStyle w:val="ResourceNumber"/>
      </w:pPr>
      <w:r>
        <w:t xml:space="preserve">2.1.3</w:t>
      </w:r>
    </w:p>
    <w:p>
      <w:pPr>
        <w:pStyle w:val="ResourceTitle"/>
      </w:pPr>
      <w:r>
        <w:t xml:space="preserve">Adams v. Jarvis</w:t>
      </w:r>
    </w:p>
    <w:p>
      <w:pPr>
        <w:pStyle w:val="HeadEnd"/>
      </w:pPr>
      <w:r>
        <w:t xml:space="preserve"> </w:t>
      </w:r>
    </w:p>
    <w:p>
      <w:pPr>
        <w:pStyle w:val="CaseHeader"/>
      </w:pPr>
      <w:r>
        <w:t xml:space="preserve">Wisconsin Supreme Court</w:t>
      </w:r>
    </w:p>
    <w:p>
      <w:pPr>
        <w:pStyle w:val="CaseHeader"/>
      </w:pPr>
      <w:r>
        <w:t xml:space="preserve">23 Wis. 2d 453</w:t>
      </w:r>
    </w:p>
    <w:p>
      <w:pPr>
        <w:pStyle w:val="CaseHeader"/>
      </w:pPr>
      <w:r>
        <w:t xml:space="preserve">1964-04-13</w:t>
      </w:r>
    </w:p>
    <w:p>
      <w:pPr>
        <w:pStyle w:val="CaseBody"/>
      </w:pPr>
      <w:r>
        <w:rPr>
          <w:rStyle w:val="Elision"/>
        </w:rPr>
        <w:t xml:space="preserve">[ … ]</w:t>
      </w:r>
    </w:p>
    <w:p>
      <w:pPr>
        <w:pStyle w:val="CaseBody"/>
      </w:pPr>
      <w:r>
        <w:t xml:space="preserve">Beilfuss, J.</w:t>
      </w:r>
    </w:p>
    <w:p>
      <w:pPr>
        <w:pStyle w:val="CaseBody"/>
      </w:pPr>
      <w:r>
        <w:t xml:space="preserve">1. Does a withdrawal of a partner constitute a dissolution of the partnership under sec. 123.25, Stats., notwithstanding a partnership agreement to the contrary?</w:t>
      </w:r>
    </w:p>
    <w:p>
      <w:pPr>
        <w:pStyle w:val="CaseBody"/>
      </w:pPr>
      <w:r>
        <w:t xml:space="preserve">2. Is plaintiff, as withdrawing partner, entitled to a share of the accounts receivable ?</w:t>
      </w:r>
    </w:p>
    <w:p>
      <w:pPr>
        <w:pStyle w:val="CaseBody"/>
      </w:pPr>
      <w:r>
        <w:rPr>
          <w:iCs/>
          <w:i/>
        </w:rPr>
        <w:t xml:space="preserve">The Partnership Agreement, provides in Section "16. Withdrawal. No withdrawal from the firm shall be effective until at least thirty (30) days have elapsed from the date on which written notice of such intention is given the other partners by registered mail to their last known address.</w:t>
      </w:r>
      <w:r>
        <w:rPr>
          <w:iCs/>
          <w:i/>
        </w:rPr>
        <w:t xml:space="preserve"> </w:t>
      </w:r>
      <w:r>
        <w:rPr>
          <w:iCs/>
          <w:i/>
        </w:rPr>
        <w:t xml:space="preserve">"As used herein `withdrawal' shall refer to any situation in which a partner leaves the partnership, at a time when said partnership is not dissolving, pursuant to a written agreement of the parties to do so.</w:t>
      </w:r>
    </w:p>
    <w:p>
      <w:pPr>
        <w:pStyle w:val="CaseBody"/>
      </w:pPr>
      <w:r>
        <w:t xml:space="preserve">The statute provides, regarding withdrawal, in Section 123.25, Stats.,</w:t>
      </w:r>
      <w:r>
        <w:t xml:space="preserve"> </w:t>
      </w:r>
      <w:r>
        <w:rPr>
          <w:rStyle w:val="ReplacementText"/>
        </w:rPr>
        <w:t xml:space="preserve">...</w:t>
      </w:r>
      <w:r>
        <w:t xml:space="preserve">:</w:t>
      </w:r>
    </w:p>
    <w:p>
      <w:pPr>
        <w:pStyle w:val="BlockText"/>
      </w:pPr>
      <w:r>
        <w:t xml:space="preserve">“Dissolution of partnership defined. (1) The dissolution of a partnership is the change in the relation of the partners caused by any partner ceasing to be associated in the carrying on as distinguished from the winding up of the business.</w:t>
      </w:r>
    </w:p>
    <w:p>
      <w:pPr>
        <w:pStyle w:val="BlockText"/>
      </w:pPr>
      <w:r>
        <w:t xml:space="preserve">“(2) On dissolution the partnership is not terminated, but continues until the winding up of partnership affairs is completed.”</w:t>
      </w:r>
    </w:p>
    <w:p>
      <w:pPr>
        <w:pStyle w:val="CaseBody"/>
      </w:pPr>
      <w:r>
        <w:t xml:space="preserve">The partnership agreement as set forth above (paragraph 15) specifically provides that the partnership shall not terminate by the withdrawal of a partner. We conclude the parties clearly intended that even though a partner withdrew, the partnership and the partnership business would continue for the purposes for which it was organized. Paragraph 18 of the agreement provides for a dissolution upon agreement of the parties in the sense that the partnership would cease to function as such subject to winding up of its affairs.</w:t>
      </w:r>
    </w:p>
    <w:p>
      <w:pPr>
        <w:pStyle w:val="CaseBody"/>
      </w:pPr>
      <w:r>
        <w:t xml:space="preserve">While the withdrawal of a partner works a dissolution of the partnership under the statute as to the withdrawing partner, it does not follow that the rights and duties of remaining partners are similarly affected. The agreement contemplates a partnership would continue to exist between the remaining partners even though the personnel constituting the partnership was changed.</w:t>
      </w:r>
    </w:p>
    <w:p>
      <w:pPr>
        <w:pStyle w:val="CaseBody"/>
      </w:pPr>
      <w:r>
        <w:t xml:space="preserve">Persons with professional qualifications commonly associate in business partnerships. The practice of continuing the operation of the partnership business, even though there are some changes in partnership personnel, is also common. The reasons for an agreement that a medical partnership should continue without disruption of the services rendered is self-evident. If the partnership agreement provides for continuation, sets forth a method of paying the withdrawing partner his agreed share, does not jeopardize the rights of creditors, the agreement is enforceable. The statute does not specifically regulate this type of withdrawal with a continuation of the business. The statute should not be construed to invalidate an otherwise enforceable contract entered into for a legitimate purpose.</w:t>
      </w:r>
    </w:p>
    <w:p>
      <w:pPr>
        <w:pStyle w:val="CaseBody"/>
      </w:pPr>
      <w:r>
        <w:t xml:space="preserve">The provision for withdrawal is in effect a type of winding up of the partnership without the necessity of discontinuing the day-to-day business. Sec. 123.33, Stats., contemplates a discontinuance of the day-to-day business but does not forbid other methods of winding up a partnership.</w:t>
      </w:r>
    </w:p>
    <w:p>
      <w:pPr>
        <w:pStyle w:val="CaseBody"/>
      </w:pPr>
      <w:r>
        <w:t xml:space="preserve">The agreement does provide that Dr. Adams shall no longer actively participate and further provides for winding up the affairs insofar as his interests are concerned. In this sense his withdrawal does constitute a dissolution. We conclude, however, that when the plaintiff, Dr. Adams, withdrew, the partnership was not wholly dissolved so as to require complete winding up of its affairs, but continued to exist under the terms of the agreement. The agreement does not offend the statute and is valid.</w:t>
      </w:r>
    </w:p>
    <w:p>
      <w:pPr>
        <w:pStyle w:val="CaseBody"/>
      </w:pPr>
      <w:r>
        <w:rPr>
          <w:rStyle w:val="Elision"/>
        </w:rPr>
        <w:t xml:space="preserve">[ … ]</w:t>
      </w:r>
    </w:p>
    <w:p>
      <w:pPr>
        <w:pStyle w:val="CaseBody"/>
      </w:pPr>
      <w:r>
        <w:t xml:space="preserve">Sec. 123.33 (1), Stats., provides:</w:t>
      </w:r>
    </w:p>
    <w:p>
      <w:pPr>
        <w:pStyle w:val="BlockText"/>
      </w:pPr>
      <w:r>
        <w:t xml:space="preserve">“Application of partnership property on dissolution. (1) When dissolution is caused in any way, except in contravention of the partnership agreement, each partner, as against his copartners and all persons claiming through them in respect of their interests in the partnerships, unless otherwise agreed, may have the partnership properly applied to discharge its liabilities, and the surplus applied to pay in cash the net amount owing to the respective partners. But if dissolution is caused by expulsion of a partner, bona fide under the partnership agreement, and if the expelled partner is discharged from all partnership liabilities, either by payment or agreement under the provisions of s. 123.31 (2) he shall receive in cash only the net amount due him from the partnership.”</w:t>
      </w:r>
    </w:p>
    <w:p>
      <w:pPr>
        <w:pStyle w:val="CaseBody"/>
      </w:pPr>
      <w:r>
        <w:t xml:space="preserve">The trial court concluded that the withdrawal constituted a statutory dissolution; that partnership assets shall be liquidated pursuant to the statute and that the plaintiff was entitled to a one-third interest in the accounts receivable.</w:t>
      </w:r>
      <w:hyperlink w:anchor="X26046916f3e3b278f1eaf6ab5f901faf5fcfef4">
        <w:r>
          <w:rPr>
            <w:rStyle w:val="Elision"/>
          </w:rPr>
          <w:t xml:space="preserve">[ … ]</w:t>
        </w:r>
      </w:hyperlink>
    </w:p>
    <w:p>
      <w:pPr>
        <w:pStyle w:val="CaseBody"/>
      </w:pPr>
      <w:r>
        <w:t xml:space="preserve">Sec. 123.33, Stats., applies only “unless otherwise agreed.” The distribution should therefore be made pursuant to the agreement.</w:t>
      </w:r>
    </w:p>
    <w:p>
      <w:pPr>
        <w:pStyle w:val="CaseBody"/>
      </w:pPr>
      <w:r>
        <w:t xml:space="preserve">Paragraphs 15and 16 of the contract as set forth above provide for the withdrawal of a partner and the share to which he is entitled. Subject to limitations not material here, paragraph 16 provides that a withdrawing partner shall receive (1) any balance to his credit on partnership books, (2) his proportionate share of profits calculated on a fiscal-year basis, and (3) his capital account as of the date of his withdrawal. Paragraph 16 further provides that in event of withdrawal “any and all accounts receivable for any current year and any and all years past shall remain the sole possession and property of the remaining member or members of THE TOMAHAWK CLINIC.”</w:t>
      </w:r>
    </w:p>
    <w:p>
      <w:pPr>
        <w:pStyle w:val="CaseBody"/>
      </w:pPr>
      <w:r>
        <w:t xml:space="preserve">The plaintiff contends that provision of the agreement denying him a share of the accounts receivable works a forfeiture and is void as being against public policy.</w:t>
      </w:r>
    </w:p>
    <w:p>
      <w:pPr>
        <w:pStyle w:val="CaseBody"/>
      </w:pPr>
      <w:r>
        <w:t xml:space="preserve">We conclude the parties to the agreement intended accounts receivable to be restricted to customer or patient accounts receivable.</w:t>
      </w:r>
    </w:p>
    <w:p>
      <w:pPr>
        <w:pStyle w:val="CaseBody"/>
      </w:pPr>
      <w:r>
        <w:t xml:space="preserve">The provision of the agreement is clear and unambiguous. There is nothing in the record to suggest the plaintiff’s bargaining position was so unequal in the negotiations leading up to the agreement that the provision should be declared unenforceable upon the grounds of public policy. Legitimate business and goodwill considerations are consistent with a provision retaining control and ownership of customer accounts receivable in an active functioning professional medical partnership. We hold the provision on accounts receivable enforceable.</w:t>
      </w:r>
      <w:hyperlink w:anchor="Xda031aa0d549de61b7fdee8a48a4037914403d7">
        <w:r>
          <w:rPr>
            <w:rStyle w:val="Elision"/>
          </w:rPr>
          <w:t xml:space="preserve">[ … ]</w:t>
        </w:r>
      </w:hyperlink>
    </w:p>
    <w:p>
      <w:pPr>
        <w:pStyle w:val="CaseBody"/>
      </w:pPr>
      <w:r>
        <w:t xml:space="preserve">Because of our determination that the partnership agreement is valid and enforceable the judgment of the trial court insofar as it decrees a dissolution of the partnership and a one-third division of the accounts receivable to the plaintiff must be reversed and remanded to the trial court with directions to enter judgment in conformity with this opinion.</w:t>
      </w:r>
    </w:p>
    <w:p>
      <w:pPr>
        <w:pStyle w:val="CaseBody"/>
      </w:pPr>
      <w:r>
        <w:rPr>
          <w:rStyle w:val="Elision"/>
        </w:rPr>
        <w:t xml:space="preserve">[ … ]</w:t>
      </w:r>
    </w:p>
    <w:p>
      <w:pPr>
        <w:pStyle w:val="CaseBody"/>
      </w:pPr>
      <w:r>
        <w:t xml:space="preserve">The parties have stipulated that the plaintiff ceased to be an active partner as of June 1, 1961. The agreement provides that the partnership fiscal year shall coincide with the calendar year. It further provides that his share of the partnership profits upon withdrawal shall be calculated upon the whole year and in proportion to his participation of the whole fiscal year. He is, therefore, entitled to 5/12ths of 1/3rd, or 5/36th of the profits for the fiscal year ending December 31, 1961.</w:t>
      </w:r>
    </w:p>
    <w:p>
      <w:pPr>
        <w:pStyle w:val="CaseBody"/>
      </w:pPr>
      <w:r>
        <w:t xml:space="preserve">Such of the accounts receivable as were collected during the year 1961 do constitute a part of the profits for 1961. The plaintiff had no part of the management of the partnership after June 1, 1961; however, his eventual distributive share of profits is dependent, in some degree, upon the management of the business affairs and performance of the continuing partners for the remainder of the fiscal year. Under these circumstances the continuing partners stand in a fiduciary relationship to the withdrawing partner and are obligated to conduct the business in a good-faith manner including a good-faith effort to liquidate the accounts receivable consistent with good business practices.</w:t>
      </w:r>
      <w:hyperlink w:anchor="X00877860204969bc35bc959d2e83563412b01dd">
        <w:r>
          <w:rPr>
            <w:rStyle w:val="Elision"/>
          </w:rPr>
          <w:t xml:space="preserve">[ … ]</w:t>
        </w:r>
      </w:hyperlink>
    </w:p>
    <w:p>
      <w:pPr>
        <w:pStyle w:val="CaseBody"/>
      </w:pPr>
      <w:r>
        <w:rPr>
          <w:iCs/>
          <w:i/>
        </w:rPr>
        <w:t xml:space="preserve">By the Court.</w:t>
      </w:r>
      <w:r>
        <w:t xml:space="preserve"> </w:t>
      </w:r>
      <w:r>
        <w:t xml:space="preserve">— Judgment reversed with directions to conduct supplementary proceedings to determine distributive share of plaintiff and then enter judgment in conformity with this opinion.</w:t>
      </w:r>
    </w:p>
    <w:p>
      <w:pPr>
        <w:pStyle w:val="CaseBody"/>
      </w:pPr>
      <w:r>
        <w:rPr>
          <w:rStyle w:val="Elision"/>
        </w:rPr>
        <w:t xml:space="preserve">[ … ]</w:t>
      </w:r>
    </w:p>
    <w:p>
      <w:pPr>
        <w:pStyle w:val="NodeEnd"/>
      </w:pPr>
      <w:r>
        <w:t xml:space="preserve"> </w:t>
      </w:r>
    </w:p>
    <w:p>
      <w:pPr>
        <w:pStyle w:val="NodeStart"/>
      </w:pPr>
      <w:r>
        <w:t xml:space="preserve"> </w:t>
      </w:r>
    </w:p>
    <w:p>
      <w:pPr>
        <w:pStyle w:val="HeadSeparator"/>
      </w:pPr>
      <w:r>
        <w:t xml:space="preserve"> </w:t>
      </w:r>
    </w:p>
    <w:bookmarkStart w:id="19" w:name="_auto_toc_19"/>
    <w:bookmarkEnd w:id="19"/>
    <w:p>
      <w:pPr>
        <w:pStyle w:val="ResourceNumber"/>
      </w:pPr>
      <w:r>
        <w:t xml:space="preserve">2.1.4</w:t>
      </w:r>
    </w:p>
    <w:p>
      <w:pPr>
        <w:pStyle w:val="ResourceTitle"/>
      </w:pPr>
      <w:r>
        <w:t xml:space="preserve">Page v. H. B. Page</w:t>
      </w:r>
    </w:p>
    <w:p>
      <w:pPr>
        <w:pStyle w:val="HeadEnd"/>
      </w:pPr>
      <w:r>
        <w:t xml:space="preserve"> </w:t>
      </w:r>
    </w:p>
    <w:p>
      <w:pPr>
        <w:pStyle w:val="CaseHeader"/>
      </w:pPr>
      <w:r>
        <w:t xml:space="preserve">Supreme Court of California</w:t>
      </w:r>
    </w:p>
    <w:p>
      <w:pPr>
        <w:pStyle w:val="CaseHeader"/>
      </w:pPr>
      <w:r>
        <w:t xml:space="preserve">55 Cal. 2d 192</w:t>
      </w:r>
    </w:p>
    <w:p>
      <w:pPr>
        <w:pStyle w:val="CaseHeader"/>
      </w:pPr>
      <w:r>
        <w:t xml:space="preserve">L. A. No. 25644</w:t>
      </w:r>
    </w:p>
    <w:p>
      <w:pPr>
        <w:pStyle w:val="CaseHeader"/>
      </w:pPr>
      <w:r>
        <w:t xml:space="preserve">1961-01-27</w:t>
      </w:r>
    </w:p>
    <w:p>
      <w:pPr>
        <w:pStyle w:val="CaseBody"/>
      </w:pPr>
      <w:r>
        <w:rPr>
          <w:rStyle w:val="Elision"/>
        </w:rPr>
        <w:t xml:space="preserve">[ … ]</w:t>
      </w:r>
    </w:p>
    <w:p>
      <w:pPr>
        <w:pStyle w:val="CaseBody"/>
      </w:pPr>
      <w:r>
        <w:t xml:space="preserve">TRAYNOR, J.</w:t>
      </w:r>
    </w:p>
    <w:p>
      <w:pPr>
        <w:pStyle w:val="CaseBody"/>
      </w:pPr>
      <w:r>
        <w:t xml:space="preserve">— Plaintiff and defendant are partners in a linen supply business in Santa Maria, California. Plaintiff appeals from a judgment declaring the partnership to befor a term rather than at will.</w:t>
      </w:r>
    </w:p>
    <w:p>
      <w:pPr>
        <w:pStyle w:val="CaseBody"/>
      </w:pPr>
      <w:r>
        <w:t xml:space="preserve">The partners entered into an oral partnership agreement in 1949. Within the first two years each partner contributed approximately $43,000 for the purchase of land, machinery, and linen needed to begin the business. Prom 1949 to 1957 the enterprise was unprofitable, losing approximately $62,000. The partnership’s major creditor is a corporation, wholly owned by plaintiff, that supplies the linen and machinery necessary for the day-to-day operation of the business. This corporation holds a $47,000 demand note of the partnership. The partnership operations began to improve in 1958. The partnership earned $3,824.41 in that year and $2,282.30 in the first three months of 1959. Despite this improvement plaintiff wishes to terminate the partnership.</w:t>
      </w:r>
    </w:p>
    <w:p>
      <w:pPr>
        <w:pStyle w:val="CaseBody"/>
      </w:pPr>
      <w:r>
        <w:t xml:space="preserve">The Uniform Partnership Act provides that a partnership may be dissolved “By the express will of any partner when no definite term or particular undertaking is specified. ’ ’</w:t>
      </w:r>
      <w:r>
        <w:t xml:space="preserve"> </w:t>
      </w:r>
      <w:r>
        <w:rPr>
          <w:rStyle w:val="Elision"/>
        </w:rPr>
        <w:t xml:space="preserve">[ … ]</w:t>
      </w:r>
      <w:r>
        <w:t xml:space="preserve">The trial court found that the partnership is for a term, namely, “such reasonable time as is necessary to enable said partnership to repay from partnership profits, indebtedness incurred for the purchase of land, buildings, laundry and delivery equipment and linen for the operation of such business. ...” Plaintiff correctly contends that this finding is without support in the evidence.</w:t>
      </w:r>
    </w:p>
    <w:p>
      <w:pPr>
        <w:pStyle w:val="CaseBody"/>
      </w:pPr>
      <w:r>
        <w:t xml:space="preserve">Defendant testified that the terms of the partnership were to be similar to former partnerships of plaintiff and defendant, and that the understanding of these partnerships was that “we went into partnership to start the business and let the business operation pay for itself, — put in so much money, and let the business pay itself out. ’ ’ There was also testimony that one of the former partnership agreements provided in writing that the profits were to be retained until all obligations were paid.</w:t>
      </w:r>
    </w:p>
    <w:p>
      <w:pPr>
        <w:pStyle w:val="CaseBody"/>
      </w:pPr>
      <w:r>
        <w:t xml:space="preserve">Upon cross-examination defendant admitted that the former partnership in which the earnings were to be retained until the obligations were repaid was substantially different from the present partnership. The former partnership was a limited partnership and provided for a definite term of five years and a partnership at will thereafter. Defendant insists, however, that the method of operation of the former partnership showed an understanding that all obligations were to be repaid from profits. He nevertheless concedes that there was no understanding as to the term of the present partnership in the event of losses. He was asked: “ [W]as there any discussion with reference to the continuation of the business in the event of losses?” He replied, “Not that I can remember.” He was then asked, “Did you have any understanding with Mr. Page, your brother, the plaintiff in this action, as to how the obligations were to be paid if there were losses?” He replied, “Not that I can remember. I can’t remember discussing that at all. We never figured on losing, I guess.”</w:t>
      </w:r>
    </w:p>
    <w:p>
      <w:pPr>
        <w:pStyle w:val="CaseBody"/>
      </w:pPr>
      <w:r>
        <w:t xml:space="preserve">Viewing this evidence most favorable for defendant, it proves only that the partners expected to meet current expenses from current income and to recoup their investment if the business were successful.</w:t>
      </w:r>
    </w:p>
    <w:p>
      <w:pPr>
        <w:pStyle w:val="CaseBody"/>
      </w:pPr>
      <w:r>
        <w:t xml:space="preserve">Defendant contends that such an expectation is sufficient to create a partnership for a term under the rule of</w:t>
      </w:r>
      <w:r>
        <w:t xml:space="preserve"> </w:t>
      </w:r>
      <w:r>
        <w:rPr>
          <w:iCs/>
          <w:i/>
        </w:rPr>
        <w:t xml:space="preserve">Owen</w:t>
      </w:r>
      <w:r>
        <w:t xml:space="preserve"> </w:t>
      </w:r>
      <w:r>
        <w:t xml:space="preserve">v.</w:t>
      </w:r>
      <w:r>
        <w:t xml:space="preserve"> </w:t>
      </w:r>
      <w:r>
        <w:rPr>
          <w:iCs/>
          <w:i/>
        </w:rPr>
        <w:t xml:space="preserve">Cohen,</w:t>
      </w:r>
      <w:r>
        <w:t xml:space="preserve"> </w:t>
      </w:r>
      <w:r>
        <w:t xml:space="preserve">19 Cal.2d 147</w:t>
      </w:r>
      <w:r>
        <w:t xml:space="preserve">, 150 [</w:t>
      </w:r>
      <w:r>
        <w:t xml:space="preserve">119 P.2d 713</w:t>
      </w:r>
      <w:r>
        <w:t xml:space="preserve">]. In that case we held that when a partner advances a sum of money to a partnership with the understanding that the amount contributed was to be a loan to the partnership and was to be repaid as soon as feasible from the prospective profits of the business, the partnership is for the term reasonably required to repay the loan. It is true that</w:t>
      </w:r>
      <w:r>
        <w:t xml:space="preserve"> </w:t>
      </w:r>
      <w:r>
        <w:rPr>
          <w:iCs/>
          <w:i/>
        </w:rPr>
        <w:t xml:space="preserve">Owen</w:t>
      </w:r>
      <w:r>
        <w:t xml:space="preserve"> </w:t>
      </w:r>
      <w:r>
        <w:t xml:space="preserve">v.</w:t>
      </w:r>
      <w:r>
        <w:t xml:space="preserve"> </w:t>
      </w:r>
      <w:r>
        <w:rPr>
          <w:iCs/>
          <w:i/>
        </w:rPr>
        <w:t xml:space="preserve">Cohen, supra,</w:t>
      </w:r>
      <w:r>
        <w:t xml:space="preserve"> </w:t>
      </w:r>
      <w:r>
        <w:t xml:space="preserve">and other cases hold that partners may impliedly agree to continue in business until a certain sum of money is earned</w:t>
      </w:r>
      <w:r>
        <w:t xml:space="preserve"> </w:t>
      </w:r>
      <w:r>
        <w:rPr>
          <w:iCs/>
          <w:i/>
        </w:rPr>
        <w:t xml:space="preserve">(</w:t>
      </w:r>
      <w:r>
        <w:rPr>
          <w:rStyle w:val="Elision"/>
        </w:rPr>
        <w:t xml:space="preserve">[ … ]</w:t>
      </w:r>
      <w:r>
        <w:t xml:space="preserve"> </w:t>
      </w:r>
      <w:r>
        <w:t xml:space="preserve">In each of these cases, however, the implied agreement found support in the evidence.</w:t>
      </w:r>
    </w:p>
    <w:p>
      <w:pPr>
        <w:pStyle w:val="CaseBody"/>
      </w:pPr>
      <w:r>
        <w:t xml:space="preserve">In</w:t>
      </w:r>
      <w:r>
        <w:t xml:space="preserve"> </w:t>
      </w:r>
      <w:r>
        <w:rPr>
          <w:iCs/>
          <w:i/>
        </w:rPr>
        <w:t xml:space="preserve">Owen</w:t>
      </w:r>
      <w:r>
        <w:t xml:space="preserve"> </w:t>
      </w:r>
      <w:r>
        <w:t xml:space="preserve">v.</w:t>
      </w:r>
      <w:r>
        <w:t xml:space="preserve"> </w:t>
      </w:r>
      <w:r>
        <w:rPr>
          <w:iCs/>
          <w:i/>
        </w:rPr>
        <w:t xml:space="preserve">Cohen, supra,</w:t>
      </w:r>
      <w:r>
        <w:t xml:space="preserve"> </w:t>
      </w:r>
      <w:r>
        <w:t xml:space="preserve">the partners borrowed substantial amounts of money to launch the enterprise and there was an understanding that the loans would be repaid from partnership profits. In</w:t>
      </w:r>
      <w:r>
        <w:t xml:space="preserve"> </w:t>
      </w:r>
      <w:r>
        <w:rPr>
          <w:iCs/>
          <w:i/>
        </w:rPr>
        <w:t xml:space="preserve">Vangel</w:t>
      </w:r>
      <w:r>
        <w:t xml:space="preserve"> </w:t>
      </w:r>
      <w:r>
        <w:t xml:space="preserve">v.</w:t>
      </w:r>
      <w:r>
        <w:t xml:space="preserve"> </w:t>
      </w:r>
      <w:r>
        <w:rPr>
          <w:iCs/>
          <w:i/>
        </w:rPr>
        <w:t xml:space="preserve">Vangel, supra,</w:t>
      </w:r>
      <w:r>
        <w:t xml:space="preserve"> </w:t>
      </w:r>
      <w:r>
        <w:t xml:space="preserve">one partner loaned his copartner money to invest in the partnership with the understanding that the money would be repaid from partnership profits. In</w:t>
      </w:r>
      <w:r>
        <w:t xml:space="preserve"> </w:t>
      </w:r>
      <w:r>
        <w:rPr>
          <w:iCs/>
          <w:i/>
        </w:rPr>
        <w:t xml:space="preserve">Mervyn Investment Co.</w:t>
      </w:r>
      <w:r>
        <w:t xml:space="preserve"> </w:t>
      </w:r>
      <w:r>
        <w:t xml:space="preserve">v.</w:t>
      </w:r>
      <w:r>
        <w:t xml:space="preserve"> </w:t>
      </w:r>
      <w:r>
        <w:rPr>
          <w:iCs/>
          <w:i/>
        </w:rPr>
        <w:t xml:space="preserve">Biber, supra,</w:t>
      </w:r>
      <w:r>
        <w:t xml:space="preserve"> </w:t>
      </w:r>
      <w:r>
        <w:t xml:space="preserve">one partner contributed all the capital, the other contributed his services, and it was understood that upon the repayment of the contributed capital from partnership profits the partner who contributed his services would receive a one-third interest in the partnership assets. In each of these eases the court properly held that the partners impliedly promised to continue the partnership for a term reasonably required to allow the partnership to earn sufficient money to accomplish the understood objective. In</w:t>
      </w:r>
      <w:r>
        <w:t xml:space="preserve"> </w:t>
      </w:r>
      <w:r>
        <w:rPr>
          <w:iCs/>
          <w:i/>
        </w:rPr>
        <w:t xml:space="preserve">Shannon</w:t>
      </w:r>
      <w:r>
        <w:t xml:space="preserve"> </w:t>
      </w:r>
      <w:r>
        <w:t xml:space="preserve">v.</w:t>
      </w:r>
      <w:r>
        <w:t xml:space="preserve"> </w:t>
      </w:r>
      <w:r>
        <w:rPr>
          <w:iCs/>
          <w:i/>
        </w:rPr>
        <w:t xml:space="preserve">Hudson, supra,</w:t>
      </w:r>
      <w:r>
        <w:t xml:space="preserve"> </w:t>
      </w:r>
      <w:r>
        <w:t xml:space="preserve">the parties entered into a joint venture to build and operate a motel until it could be sold upon favorable and mutually satisfactory terms, and the court held that the joint venture was for a reasonable term sufficient to accomplish the purpose of the joint venture.</w:t>
      </w:r>
    </w:p>
    <w:p>
      <w:pPr>
        <w:pStyle w:val="CaseBody"/>
      </w:pPr>
      <w:r>
        <w:t xml:space="preserve">In the instant case, however, defendant failed to prove any facts from which an agreement to continue the partnership for a term may be implied. The understanding to which defendant testified was no more than a common hope that the partnership earnings would pay for all the necessary expenses. Such a hope does not establish even by implication a “definite term or particular undertaking” as required by section 15031, subdivision (1) (b), of the Corporations Code. All partnerships are ordinarily entered into with the hope that they will be profitable, but that alone does not make them all partnerships for a term and obligate the partners to continue in the partnerships until all of the losses over a period of many years have been recovered.</w:t>
      </w:r>
    </w:p>
    <w:p>
      <w:pPr>
        <w:pStyle w:val="CaseBody"/>
      </w:pPr>
      <w:r>
        <w:t xml:space="preserve">Defendant contends that plaintiff is acting in bad faith and is attempting to use his superior financial position to appropriate the now profitable business of the partnership. Defendant has invested $43,000 in the firm, and owing to the long period of losses his interest in the partnership assets is very small. The fact that plaintiff’s wholly owned corporation holds a $47,000 demand note of the partnership may make it difficult to sell the business as a going concern. Defendant fears that upon dissolution he will receive very little and that plaintiff, who is the managing partner and knows how to conduct the operations of the partnership, will receive a business that has become very profitable because of the establishment of Vandenberg Air Force Base in its vicinity. Defendant charges that plaintiff has been content to share the losses but now that the business has become profitable he wishes to keep all the gains.</w:t>
      </w:r>
    </w:p>
    <w:p>
      <w:pPr>
        <w:pStyle w:val="CaseBody"/>
      </w:pPr>
      <w:r>
        <w:t xml:space="preserve">There is no showing in the record of bad faith or that the improved profit situation is more than temporary. In any event these contentions are irrelevant to the issue whether the partnership is for a term or at will. Since, however, this action is for a declaratory judgment and will be the basis for future action by the parties, it is appropriate to point out that defendant is amply protected by the fiduciary duties of copartners.</w:t>
      </w:r>
    </w:p>
    <w:p>
      <w:pPr>
        <w:pStyle w:val="CaseBody"/>
      </w:pPr>
      <w:r>
        <w:t xml:space="preserve">Even though the Uniform Partnership Act provides that a partnership at will may be dissolved by the express will of any partner (Corp. Code, § 15031, subd. (1) (b)), this power, like any other power held by a fiduciary, must be exercised in good faith.</w:t>
      </w:r>
    </w:p>
    <w:p>
      <w:pPr>
        <w:pStyle w:val="CaseBody"/>
      </w:pPr>
      <w:r>
        <w:t xml:space="preserve">We have often stated that “Partners are trustees for each other, and in all proceedings connected with the conduct of the partnership every partner is bound to act in the highest good faith to his copartner and may not obtain any advantage over him in the partnership affairs by the slightest misrepresentation, concealment, threat or adverse pressure of any kind.”</w:t>
      </w:r>
      <w:r>
        <w:t xml:space="preserve"> </w:t>
      </w:r>
      <w:r>
        <w:rPr>
          <w:rStyle w:val="Elision"/>
        </w:rPr>
        <w:t xml:space="preserve">[ … ]</w:t>
      </w:r>
    </w:p>
    <w:p>
      <w:pPr>
        <w:pStyle w:val="CaseBody"/>
      </w:pPr>
      <w:r>
        <w:t xml:space="preserve">A partner at will is not bound to remain in a partnership, regardless of whether the business is profitable or unprofitable. A partner may not, however, by use of adverse pressure “freeze out” a copartner and appropriate the business to his own use. A partner may not dissolve a partnership to gain the benefits of the business for himself, unless he fully compensates his copartner for his share of the prospective business opportunity. In this regard his fiduciary duties are at least as great as those of a shareholder of a corporation.</w:t>
      </w:r>
    </w:p>
    <w:p>
      <w:pPr>
        <w:pStyle w:val="CaseBody"/>
      </w:pPr>
      <w:r>
        <w:rPr>
          <w:rStyle w:val="Elision"/>
        </w:rPr>
        <w:t xml:space="preserve">[ … ]</w:t>
      </w:r>
    </w:p>
    <w:p>
      <w:pPr>
        <w:pStyle w:val="CaseBody"/>
      </w:pPr>
      <w:r>
        <w:rPr>
          <w:rStyle w:val="Elision"/>
        </w:rPr>
        <w:t xml:space="preserve">[ … ]</w:t>
      </w:r>
      <w:r>
        <w:t xml:space="preserve"> </w:t>
      </w:r>
      <w:r>
        <w:t xml:space="preserve">in the instant ease, plaintiff has the power to dissolve the partnership by express notice to defendant. If, however, it is proved that plaintiff acted in bad faith and violated his fiduciary duties by attempting to appropriate to his own use the new prosperity of the partnership without adequate compensation to his copartner, the dissolution would be wrongful and the plaintiff would be liable as provided by subdivision (2) (a) of Corporations Code, section 15038 (rights of partners upon wrongful dissolution) for violation of the implied agreement not to exclude defendant wrongfully from the partnership business opportunity.</w:t>
      </w:r>
    </w:p>
    <w:p>
      <w:pPr>
        <w:pStyle w:val="CaseBody"/>
      </w:pPr>
      <w:r>
        <w:t xml:space="preserve">The judgment is reversed.</w:t>
      </w:r>
    </w:p>
    <w:p>
      <w:pPr>
        <w:pStyle w:val="CaseBody"/>
      </w:pPr>
      <w:r>
        <w:rPr>
          <w:rStyle w:val="Elision"/>
        </w:rPr>
        <w:t xml:space="preserve">[ … ]</w:t>
      </w:r>
    </w:p>
    <w:p>
      <w:pPr>
        <w:pStyle w:val="NodeEnd"/>
      </w:pPr>
      <w:r>
        <w:t xml:space="preserve"> </w:t>
      </w:r>
    </w:p>
    <w:p>
      <w:pPr>
        <w:pStyle w:val="NodeStart"/>
      </w:pPr>
      <w:r>
        <w:t xml:space="preserve"> </w:t>
      </w:r>
    </w:p>
    <w:p>
      <w:pPr>
        <w:pStyle w:val="HeadSeparator"/>
      </w:pPr>
      <w:r>
        <w:t xml:space="preserve"> </w:t>
      </w:r>
    </w:p>
    <w:bookmarkStart w:id="20" w:name="_auto_toc_20"/>
    <w:bookmarkEnd w:id="20"/>
    <w:p>
      <w:pPr>
        <w:pStyle w:val="SectionNumber"/>
      </w:pPr>
      <w:r>
        <w:t xml:space="preserve">2.2</w:t>
      </w:r>
    </w:p>
    <w:p>
      <w:pPr>
        <w:pStyle w:val="SectionTitle"/>
      </w:pPr>
      <w:r>
        <w:t xml:space="preserve">Reference 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21" w:name="_auto_toc_21"/>
    <w:bookmarkEnd w:id="21"/>
    <w:p>
      <w:pPr>
        <w:pStyle w:val="ResourceNumber"/>
      </w:pPr>
      <w:r>
        <w:t xml:space="preserve">2.2.1</w:t>
      </w:r>
    </w:p>
    <w:p>
      <w:pPr>
        <w:pStyle w:val="ResourceTitle"/>
      </w:pPr>
      <w:r>
        <w:t xml:space="preserve">Meinhard v. Salmon</w:t>
      </w:r>
    </w:p>
    <w:p>
      <w:pPr>
        <w:pStyle w:val="HeadEnd"/>
      </w:pPr>
      <w:r>
        <w:t xml:space="preserve"> </w:t>
      </w:r>
    </w:p>
    <w:p>
      <w:pPr>
        <w:pStyle w:val="CaseHeader"/>
      </w:pPr>
      <w:r>
        <w:t xml:space="preserve">New York Court of Appeals</w:t>
      </w:r>
    </w:p>
    <w:p>
      <w:pPr>
        <w:pStyle w:val="CaseHeader"/>
      </w:pPr>
      <w:r>
        <w:t xml:space="preserve">249 N.Y. 458</w:t>
      </w:r>
    </w:p>
    <w:p>
      <w:pPr>
        <w:pStyle w:val="CaseHeader"/>
      </w:pPr>
      <w:r>
        <w:t xml:space="preserve">1928-12-31</w:t>
      </w:r>
    </w:p>
    <w:p>
      <w:pPr>
        <w:pStyle w:val="CaseBody"/>
      </w:pPr>
      <w:r>
        <w:rPr>
          <w:rStyle w:val="Elision"/>
        </w:rPr>
        <w:t xml:space="preserve">[ … ]</w:t>
      </w:r>
    </w:p>
    <w:p>
      <w:pPr>
        <w:pStyle w:val="CaseBody"/>
      </w:pPr>
      <w:r>
        <w:t xml:space="preserve">Cardozo, Ch. J.</w:t>
      </w:r>
    </w:p>
    <w:p>
      <w:pPr>
        <w:pStyle w:val="CaseBody"/>
      </w:pPr>
      <w:r>
        <w:t xml:space="preserve">On April 10, 1902, Louisa M. Gerry leased to the defendant Walter J. Salmon the premises known as the Hotel Bristol at the northwest corner of Forty-second street and Fifth avenue in the city of New York. The lease was for a term of twenty years, commencing May 1, 1902, and ending April 30, 1922. The lessee undertook to change the hotel building for use as shops and offices.at a cost of $200,000. Alterations and additions were to be accretions to the land.</w:t>
      </w:r>
    </w:p>
    <w:p>
      <w:pPr>
        <w:pStyle w:val="CaseBody"/>
      </w:pPr>
      <w:r>
        <w:t xml:space="preserve">Salmon, while in course of treaty with the lessor as to execution of the' lease, was in course of treaty with Meinhard, the plaintiff, for the necessary funds. The result was a joint venture with terms embodied in a writing. Meinhard was to pay to Salmon half of the moneys requisite to reconstruct, alter, manage and operate the property. Salmon was to pay to Meinhard 40 per cent of the net profits for the first five years of the lease and 50 per cent for the years thereafter. If there were losses, each party was to bear them equally. Salmon, however, was to have sole power to “manage, lease, under-let and operate ” the building. There were to be certain pre-emptive rights for each in the contingency of death.</w:t>
      </w:r>
    </w:p>
    <w:p>
      <w:pPr>
        <w:pStyle w:val="CaseBody"/>
      </w:pPr>
      <w:r>
        <w:t xml:space="preserve">The two were coadventurers, subject to fiduciary duties akin to’ those of partners (King v. Barnes, 109 N. Y. 267). As to this we are all agreed. The heavier weight of duty rested, however, upon Salmon. He was a coadventurer with Meinhard, but he was manager as well. During the early years of the enterprise, the building, reconstructed, was operated at a loss. If the relation had then ended, Meinhard as well as Salmon would have carried a heavy burden. Later the profits became large with the result that for each of the investors there came a rich return. For each, the venture had its phases of fair weather and of foul. The two were in it j ointly, for better or for worse.</w:t>
      </w:r>
    </w:p>
    <w:p>
      <w:pPr>
        <w:pStyle w:val="CaseBody"/>
      </w:pPr>
      <w:r>
        <w:t xml:space="preserve">When the lease was near its end, Elbridge T. Gerry had become the owner of the reversion. He owned much other property in the neighborhood, one lot adjoining the Bristol Building on Fifth avenue and four lots on Forty-second street. He had a plan to lease the entire tract for a long term to some one who would destroy the buildings then existing, and put up another in their place. In the latter part of 1921, he submitted such a project to several capitalists and dealers. He was unable to carry it through with any of them. Then, in January, 1922, with less than four months of the lease to run, he approached the defendant Salmon. The result was a new lease to the Midpoint Realty Company, which is owned and controlled by Salmon, a lease covering the whole tract, and involving a huge outlay. The term is to be twenty years, but successive covenants for renewal will extend it to a maximum of eighty years at the will of either party. The existing buildings may remain unchanged for seven years. They are then to be torn down, and a new building to cost $3,000,000 is to be placed upon the site. The rental, which under the Bristol lease was only $55,000, is to be from $350,000 to $475,000 for the properties so combined. Salmon personally guaranteed the performance by the lessee of the covenants of the new lease until such time as the new building had been completed and fully paid for.</w:t>
      </w:r>
    </w:p>
    <w:p>
      <w:pPr>
        <w:pStyle w:val="CaseBody"/>
      </w:pPr>
      <w:r>
        <w:t xml:space="preserve">The lease between Gerry and the Midpoint Realty Company was signed and delivered on January 25, 1922. Salmon had not told Meinhard anything about it. Whatever his motive may have been, he had kept the negotiations to himself. Meinhard was not informed even of the bare existence of a project. The first that he knew of it was in February when the lease was an accomplished fact. He then made demand on the defendants that the lease be held in trust as an asset of the venture, making offer upon the trial to share the personal obligations incidental to the guaranty. The demand was followed by refusal, and later by this suit. A referee gave judgment for the plaintiff, limiting the plaintiff’s interest in the lease, however, to 25 per cent. The limitation was on the theory that the plaintiff’s equity was to be restricted to one-half of so much of the value of the lease as was contributed or represented by the occupation of the Bristol site. Upon cross-appeals to the Appellate Division, the judgment was modified so as to enlarge the equitable interest to one-half of the whole lease. With this enlargement of plaintiff’s interest, there went, of course, a corresponding enlargement' of his attendant obligations. The case is now here on an appeal by the defendants.</w:t>
      </w:r>
    </w:p>
    <w:p>
      <w:pPr>
        <w:pStyle w:val="CaseBody"/>
      </w:pPr>
      <w:r>
        <w:rPr>
          <w:rStyle w:val="HighlightedText"/>
        </w:rPr>
        <w:t xml:space="preserve">Joint adventurers, like copartners, owe to one another, while the enterprise continues, the duty of the finest loyalty.</w:t>
      </w:r>
      <w:r>
        <w:rPr>
          <w:rStyle w:val="HighlightedText"/>
        </w:rPr>
        <w:t xml:space="preserve"> </w:t>
      </w:r>
      <w:r>
        <w:rPr>
          <w:rStyle w:val="Elision"/>
        </w:rPr>
        <w:t xml:space="preserve">[ … ]</w:t>
      </w:r>
      <w:r>
        <w:rPr>
          <w:rStyle w:val="HighlightedText"/>
        </w:rPr>
        <w:t xml:space="preserve">Many forms of conduct permissible in a workaday world for those acting at arm’s length, are forbidden to those bound by fiduciary ties.</w:t>
      </w:r>
      <w:r>
        <w:rPr>
          <w:rStyle w:val="Elision"/>
        </w:rPr>
        <w:t xml:space="preserve">[ … ]</w:t>
      </w:r>
      <w:r>
        <w:rPr>
          <w:rStyle w:val="HighlightedText"/>
        </w:rPr>
        <w:t xml:space="preserve">A trustee is held to something stricter than the morals of the market place. Not honesty alone, but the punctilio of an honor the most sensitive, is then the standard of behavior. As to this there has developed a tradition that is unbending and inveterate. ' Uncompromising rigidity has been the attitude of courts of equity when petitioned to undermine the rule of undivided loyalty by the “ disintegrating erosion ” of particular exceptions:</w:t>
      </w:r>
      <w:r>
        <w:rPr>
          <w:rStyle w:val="HighlightedText"/>
        </w:rPr>
        <w:t xml:space="preserve"> </w:t>
      </w:r>
      <w:r>
        <w:rPr>
          <w:rStyle w:val="Elision"/>
        </w:rPr>
        <w:t xml:space="preserve">[ … ]</w:t>
      </w:r>
      <w:r>
        <w:rPr>
          <w:rStyle w:val="HighlightedText"/>
        </w:rPr>
        <w:t xml:space="preserve">. Only thus has the level of conduct for fiduciaries been kept at" a level higher than that trodden by the crowd. It will not consciously be lowered by any judgment of this court.</w:t>
      </w:r>
      <w:r>
        <w:t xml:space="preserve"> </w:t>
      </w:r>
      <w:r>
        <w:rPr>
          <w:rStyle w:val="Elision"/>
        </w:rPr>
        <w:t xml:space="preserve">[ … ]</w:t>
      </w:r>
    </w:p>
    <w:p>
      <w:pPr>
        <w:pStyle w:val="CaseBody"/>
      </w:pPr>
      <w:r>
        <w:t xml:space="preserve">The owner of the reversion, Mr. Gerry, had vainly striven to find a tenant who would favor his ambitious scheme of demolition and construction. Baffled in the search, he turned to the defendant Salmon in possession of the Bristol, the keystone of the project. He figured to himself beyond a doubt that the man in possession would prove a likely customer. To the eye of an observer, Salmon held the lease as owner in his own right, for himself and no one else. In fact he held it as a fiduciary, for himself and another, sharers in a common venture. If this fact had been proclaimed, if the lease by its terms had run in favor of a partnership, Mr. Gerry, we may fairly assume, would have laid before the partners, and not merely before one of them, his plan of reconstruction. The pre-emptive privilege, or, • better, the pre-emptive' opportunity, that was thus an incident of the enterprise, Salmon appropriated to himself in secrecy and silence. He might have warned Meinhard that the plan had been submitted, and that either would be free to compete for the award. If he had done this, we do not need to say whether he would have been under a duty, if successful in the competition, to hold the lease so acquired for the benefit of a venture then about to end, and thus prolong by indirection its responsibilities and duties] The trouble about his conduct is that he excluded his coadventurer from any chance to compete, from any chance to enjoy the opportunity for benefit that had come to him alone by virtue of his agency. This chance, if nothing more, he was under a duty to concede. The price of its denial is an extension of the trust at the option and for the benefit of the one whom he excluded.</w:t>
      </w:r>
    </w:p>
    <w:p>
      <w:pPr>
        <w:pStyle w:val="CaseBody"/>
      </w:pPr>
      <w:r>
        <w:t xml:space="preserve">No answer is it to say that the chance would have been of little value even if seasonably offered. Such a calculus of probabilities is beyond the science of the chancery. Salmon,the real estate operator, might have been preferred to Meinhard, the woolen merchant. On the other hand, Meinhard might have offered better terms, or reinforced his offer by alliance with the wealth of others. Perhaps he might even have persuaded the lessor to renew the Bristol lease alone, postponing for a time, in return for higher rentals, the improvement of adjoining lots. We know that even under the lease as made the time for the enlargement of the building was delayed for seven years. All these opportunities were cut away from him through another’s intervention. He knew that Salmon was the manager. As the time drew near for the expiration of the lease, he would naturally assume from silence, if from nothing else, that the lessor was willing to extend it for a term of years, or at least to let it stand as a lease from year to year. Not impossibly the lessor would have done so, whatever his protestations of unwillingness, if Salmon had not given assent to a project more attractive. At all events, notice of termination, even if not necessary, might seem, not unreasonably, to be something to be looked for, if the business was over and another tenant was to enter. In the absence of such notice, the matter of an extension was one that would naturally be attended to by the manager of the enterprise, and not neglected altogether. At least, there was nothing in the situation to give warning to any one that while the lease was still in being, there had come to the manager an offer of extension which he had locked within his breast to be utilized by himself alone. The very fact that Salmon was in control with exclusive powers of direction.' charged him the more obviously with the duty of disclosure, since only through disclosure could opportunity be equalized. If he might cut off renewal by a purchase for his own benefit when four months were to pass before the lease would have an end, he might do so with equal right while there remained as many years (cf. Mitchell v. Reed, 61 N. Y. 123, 127). He might steal a march on his comrade under cover of the darkness, and then hold the captured ground. Loyalty and comradeship are. not so easily abjured.</w:t>
      </w:r>
    </w:p>
    <w:p>
      <w:pPr>
        <w:pStyle w:val="CaseBody"/>
      </w:pPr>
      <w:r>
        <w:t xml:space="preserve">Little profit will come from a dissection of the precedents. None precisely similar is cited in the briefs of counsel. What is similar in many, or so it seems to us, is the animating principle.</w:t>
      </w:r>
      <w:r>
        <w:t xml:space="preserve"> </w:t>
      </w:r>
      <w:r>
        <w:rPr>
          <w:rStyle w:val="Elision"/>
        </w:rPr>
        <w:t xml:space="preserve">[ … ]</w:t>
      </w:r>
      <w:r>
        <w:t xml:space="preserve"> </w:t>
      </w:r>
      <w:r>
        <w:t xml:space="preserve">The lease at hand with its many changes is not strictly a renewal. Even so, the standard of loyalty for those in trust relations is without the fixed divisions of a graduated scale. There is indeed a dictum in one of our decisions that a partner, though he may not renew a lease, may purchase the reversion if he acts openly and fairly</w:t>
      </w:r>
      <w:r>
        <w:t xml:space="preserve"> </w:t>
      </w:r>
      <w:r>
        <w:rPr>
          <w:rStyle w:val="Elision"/>
        </w:rPr>
        <w:t xml:space="preserve">[ … ]</w:t>
      </w:r>
      <w:r>
        <w:rPr>
          <w:rStyle w:val="Elision"/>
        </w:rPr>
        <w:t xml:space="preserve">[ … ]</w:t>
      </w:r>
      <w:r>
        <w:t xml:space="preserve">It is a dictum, andnomore, for on the ground that he had acted slyly he was charged as a trustee. The holding is thus in favor of the conclusion that a purchase as well as a lease will succumb to the infection of secrecy and silence. Against the dictum in that case, moreover, may be set the opinion of Dwight, C., in Mitchell v. Read, where there is a dictum to the contrary (61 N. Y. at p. 143). To say that a partner is free without restriction to buy in the reversion of the property where the business is conducted is to say in effect that he may strip the good will of its chief element of value, since good will is largely dependent upon continuity of possession (Matter of Brown, 242 N. Y. 1, 7.) Equity refuses to confine within the bounds of classified transactions its precept of a loyalty that is undivided and unselfish.</w:t>
      </w:r>
      <w:r>
        <w:t xml:space="preserve"> </w:t>
      </w:r>
      <w:r>
        <w:rPr>
          <w:rStyle w:val="Elision"/>
        </w:rPr>
        <w:t xml:space="preserve">[ … ]</w:t>
      </w:r>
      <w:r>
        <w:t xml:space="preserve"> </w:t>
      </w:r>
      <w:r>
        <w:t xml:space="preserve">It is no answer for the fiduciary to say “ that he was not bound to risk his money as he did, or to go into the enterprise at all ”</w:t>
      </w:r>
      <w:r>
        <w:t xml:space="preserve"> </w:t>
      </w:r>
      <w:r>
        <w:rPr>
          <w:rStyle w:val="Elision"/>
        </w:rPr>
        <w:t xml:space="preserve">[ … ]</w:t>
      </w:r>
      <w:r>
        <w:t xml:space="preserve"> </w:t>
      </w:r>
      <w:r>
        <w:t xml:space="preserve">He might have kept out of it altogether, but if he went in, he could not withhold from his employer the benefit of the bargain ”</w:t>
      </w:r>
      <w:r>
        <w:t xml:space="preserve"> </w:t>
      </w:r>
      <w:r>
        <w:rPr>
          <w:rStyle w:val="Elision"/>
        </w:rPr>
        <w:t xml:space="preserve">[ … ]</w:t>
      </w:r>
      <w:r>
        <w:t xml:space="preserve">A constructive trust is then the remedial device through which preference of self is made subordinate to loyalty to others</w:t>
      </w:r>
      <w:r>
        <w:t xml:space="preserve"> </w:t>
      </w:r>
      <w:r>
        <w:rPr>
          <w:rStyle w:val="Elision"/>
        </w:rPr>
        <w:t xml:space="preserve">[ … ]</w:t>
      </w:r>
    </w:p>
    <w:p>
      <w:pPr>
        <w:pStyle w:val="CaseBody"/>
      </w:pPr>
      <w:r>
        <w:t xml:space="preserve">We have no thought to hold that Salmon was guilty of a conscious purpose to defraud. Very likely he assumed in all good faith that with the approaching end of the venture he might ignore his coadventurer and take the extension for himself. He had given to the enterprise time and labor as well as money. He had made it a success. Meinhard, who had given money; but neither time nor labor, had already been richly paid. There might seem to be something grasping in his insistence upon more. Such recriminations are not unusual when coadventurers fall out. They are not without their force if conduct is to be judged by the common standards of competitors. That is not to say that they have pertinency here. Salmon had put himself in a position in which thought of self was to be renounced, however hard the abnegation. He was much more than a coadventurer. He was a managing coadventurer</w:t>
      </w:r>
      <w:r>
        <w:t xml:space="preserve"> </w:t>
      </w:r>
      <w:r>
        <w:rPr>
          <w:rStyle w:val="Elision"/>
        </w:rPr>
        <w:t xml:space="preserve">[ … ]</w:t>
      </w:r>
      <w:r>
        <w:t xml:space="preserve">For him and for those like him, the rule of undivided loyalty is relentless and supreme</w:t>
      </w:r>
      <w:r>
        <w:t xml:space="preserve"> </w:t>
      </w:r>
      <w:r>
        <w:rPr>
          <w:rStyle w:val="Elision"/>
        </w:rPr>
        <w:t xml:space="preserve">[ … ]</w:t>
      </w:r>
      <w:r>
        <w:t xml:space="preserve"> </w:t>
      </w:r>
      <w:r>
        <w:t xml:space="preserve">A different question would be here if there were lacking any nexus of relation between the business conducted by the manager and the opportunity brought to him as an incident of management</w:t>
      </w:r>
      <w:r>
        <w:t xml:space="preserve"> </w:t>
      </w:r>
      <w:r>
        <w:rPr>
          <w:rStyle w:val="Elision"/>
        </w:rPr>
        <w:t xml:space="preserve">[ … ]</w:t>
      </w:r>
      <w:r>
        <w:t xml:space="preserve">. For this problem, as for most, there are distinctions of degree. If Salmon had received from Gerry a proposition to lease a building at a location far removed, he might have held for himself the privilege thus acquired, or so we shall assume. Here the subject-matter of the new lease was an extension and enlargement of the subject-matter of the old one. A managing coadventurer appropriating the benefit of such a lease without warning to his partner might fairly expect to be reproached with conduct that was underhand, or lacking, to say the least, in reasonable candor, if the partner were to surprise him in the act of signing the new instrument. Conduct subject to that reproach does not receive from equity a healing benediction</w:t>
      </w:r>
    </w:p>
    <w:p>
      <w:pPr>
        <w:pStyle w:val="CaseBody"/>
      </w:pPr>
      <w:r>
        <w:t xml:space="preserve">A question remains as to the form and extent of the equitable interest to be allotted to the plaintiff. The trust as declared has been held to attach to the lease which was in the name of the defendant corporation. We think it ought to attach at the option of the defendant Salmon to the shares of stock which were owned by him or were under his control. The difference may be important if the lessee shall wish to execute an assignment of the lease, as it ought to be free to do with the consent of the lessor. On the other hand, an equal division of the shares might lead to other hardships. It might take away from Salmon the power of control and management which under the plan of the joint venture he was to have from first to last. The number of shares to be allotted to the plaintiff should, therefore, be reduced to such an extent as may be necessary to preserve to the defendant Salmon the expected measure of dominion. To that end an extra share should be added to his half.</w:t>
      </w:r>
    </w:p>
    <w:p>
      <w:pPr>
        <w:pStyle w:val="CaseBody"/>
      </w:pPr>
      <w:r>
        <w:t xml:space="preserve">Subject to this adjustment, we agree with the Appellate Division that the plaintiff’s equitable interest is to be measured by the value of half of the entire lease, and not merely by half of some undivided part. A single building covers the whole area. Physical division is impracticable along the lines of the Bristol site, the keystone of the whole. Division of interests and burdens is equally impracticable. Salmon, as tenant under the new lease, - or as guarantor of the performance of the tenant’s obligations, might well protest if Meinhard, claiming an equitable interest, had offered to assume a liability not equal to Salmon’s, but only half as great. He might justly insist that the lease must be accepted by his coadventurer in such form as it had been given, and not constructively divided into imaginary fragments. What must be yielded to the one may be demanded by the other. The lease as it has been executed is single and entire. If confusion has resulted from the union of adjoining parcels, the trustee who consented to the union must bear the inconvenience (Hart v. Ten Eyck, 2 Johns. Ch. 62).</w:t>
      </w:r>
    </w:p>
    <w:p>
      <w:pPr>
        <w:pStyle w:val="CaseBody"/>
      </w:pPr>
      <w:r>
        <w:rPr>
          <w:rStyle w:val="Elision"/>
        </w:rPr>
        <w:t xml:space="preserve">[ … ]</w:t>
      </w:r>
    </w:p>
    <w:p>
      <w:pPr>
        <w:pStyle w:val="CaseBody"/>
      </w:pPr>
      <w:r>
        <w:t xml:space="preserve">Andrews, J.</w:t>
      </w:r>
    </w:p>
    <w:p>
      <w:pPr>
        <w:pStyle w:val="CaseBody"/>
      </w:pPr>
      <w:r>
        <w:t xml:space="preserve">(dissenting). A tenant’s expectancy of the renewal of a lease is a thing, tenuous, yet often having a real value. It represents the probability that a landlord will prefer to relet his premises to one already in possession rather than to strangers. Less tangible than “ good will ” it is never included in the tenant’s assets, yet equity will not permit one standing in a relation of trust and confidence toward the tenant unfairly to take the benefit to himself. At times the principle is rigidly enforced. Given the relation between the parties,- a certain result follows. No question as to good faith, or injury, or as to other circumstances is material. Such is the rule as between trustee and cestui</w:t>
      </w:r>
      <w:r>
        <w:t xml:space="preserve"> </w:t>
      </w:r>
      <w:r>
        <w:rPr>
          <w:rStyle w:val="Elision"/>
        </w:rPr>
        <w:t xml:space="preserve">[ … ]</w:t>
      </w:r>
      <w:r>
        <w:t xml:space="preserve">as between executor and estate</w:t>
      </w:r>
      <w:r>
        <w:t xml:space="preserve"> </w:t>
      </w:r>
      <w:r>
        <w:rPr>
          <w:rStyle w:val="Elision"/>
        </w:rPr>
        <w:t xml:space="preserve">[ … ]</w:t>
      </w:r>
      <w:r>
        <w:t xml:space="preserve">as between guardian and ward</w:t>
      </w:r>
      <w:r>
        <w:t xml:space="preserve"> </w:t>
      </w:r>
      <w:r>
        <w:rPr>
          <w:rStyle w:val="Elision"/>
        </w:rPr>
        <w:t xml:space="preserve">[ … ]</w:t>
      </w:r>
    </w:p>
    <w:p>
      <w:pPr>
        <w:pStyle w:val="CaseBody"/>
      </w:pPr>
      <w:r>
        <w:t xml:space="preserve">At other times some inquiry is allowed as to the facts involved. Fair dealing and a scrupulous regard for honesty is required. But nothing more. It may be stated generally that a partner may not for his own benefit secretly take a renewal of a firm lease to himself. (Mitchell v. Reed, 61 N. Y. 123.) Yet under very exceptional circumstances this may not be wholly true. (W. &amp; T. Leading Cas. in Equity [9th ed.], p. 657; Clegg v. Edmondson, 8 D. M. &amp; G. 787, 807.) In the case of tenants in common there is still greater liberty. There is said to be a distinction between those holding under a will or through descent and those holding under indepe.ndent conveyance. But even in the former situation the bare relationship is not conclusive. (Matter of Biss, 1903, 2 Ch. 40). In Burrell v. Bull (3 Sand. Ch. 15) there was actual fraud. In short, as we once said, “ the elements of actual fraud — of the betrayal by secret action of confidence reposed, or assumed to be reposed, grows in importance as the relation between the parties falls from an express to an implied or a quasi trust, and on to those cases where good faith alone is involved.” (Thayer v. Leggett, 229 N. Y. 152.)</w:t>
      </w:r>
    </w:p>
    <w:p>
      <w:pPr>
        <w:pStyle w:val="CaseBody"/>
      </w:pPr>
      <w:r>
        <w:t xml:space="preserve">Where the trustee, or the partner or the tenant in common, takes no new lease but buys the reversion in good faith a somewhat different question arises. Here is no direct appropriation of the expectancy of renewal. Here is no offshoot of the original lease. We so held in Anderson v. Lemon (8 N. Y. 236), and although Judge' Dwight casts some doubt on the rule in Mitchell v. Reed, it seems to have the support of authority. (W. &amp; T. Leading Cas. in Equity, p. 650; Lindley on Partnership [9th ed.], p. 396; Bevan v. Webb, 1905, 1 Ch. 620.) The issue then is whether actual fraud, dishonesty, unfairness is present in the transaction. If so, the purchaser may well be held as a trustee. (Anderson v. Lemon, cited above.)</w:t>
      </w:r>
    </w:p>
    <w:p>
      <w:pPr>
        <w:pStyle w:val="CaseBody"/>
      </w:pPr>
      <w:r>
        <w:t xml:space="preserve">With this view of the law I am of the opinion that the issue here is simple. Was the transaction in view of all the circumstances surrounding it unfair and inequitable? I reach this conclusion for two reasons. There was no general partnership, merely a joint venture for a limited object, to end at a fixed time. The new lease, covering additional property, containing many new and unusual terms and conditions, with a possible duration of eighty years, was more nearly the purchase of the reversion than the ordinary renewal with which the authorities are concerned.</w:t>
      </w:r>
    </w:p>
    <w:p>
      <w:pPr>
        <w:pStyle w:val="CaseBody"/>
      </w:pPr>
      <w:r>
        <w:t xml:space="preserve">The findings of the referee are to the effect that before 1902, Mrs. Louisa M. Gerry was the owner of a plot on the corner of Fifth avenue and Forty-second street, New York, containing 9,312 square feet. On it had been built the old Bristol Hotel. Walter J. Salmon was in the real estate business, renting, managing and operating buildings. On April 10th of that year Mrs. Gerry leased the property to him for a term extending from May 1, 1902, to April 30, 1922. The property was to be used for offices and business, and the design was that the lessee should so remodel the hotel at his own expense as to fit it for such purposes, all alterations and additions, however, at once to become the property of the lessor. The lease might not be assigned without written consent.</w:t>
      </w:r>
    </w:p>
    <w:p>
      <w:pPr>
        <w:pStyle w:val="CaseBody"/>
      </w:pPr>
      <w:r>
        <w:t xml:space="preserve">Morton H. Meinhard was a woolen merchant. At some period during the negotiations between Mr. Salmon and Mrs. Gerry, so far as the findings show without the latter’s knowledge, he became interested in the transaction. Before the lease was executed he advanced $5,000 toward the cost of the proposed alterations. Finally, on May 19th he and Salmon entered into a written agreement. “ During the period of twenty years from the 1st day of May, 1902,” the parties agree to share equally in the expense needed “ to reconstruct, alter, manage and operate the Bristol Hotel property; ” and in all payments required by the lease, and in all losses incurred “ during the full term of the lease, i. e., from the first day of May, 1902, to the 1st day of May, 1922.” During the samé term net profits are to be divided. Mr. Salmon has sole power to “ manage, lease, underlet and operate ” the premises. If he dies, Mr. Meinhard shall be consulted before any disposition is made of the lease, and if Mr. Salmon’s representatives decide to dispose of it, and the decision-is theirs, Mr. Meinhard is to be given the first chance to take the unexpired term upon the same conditions they could obtain from others.</w:t>
      </w:r>
    </w:p>
    <w:p>
      <w:pPr>
        <w:pStyle w:val="CaseBody"/>
      </w:pPr>
      <w:r>
        <w:t xml:space="preserve">The referee finds that this arrangement did not create a partnership between Mr. Salmon and Mr. Meinhard. In this he is clearly right. He is equally right in holding that while no general partnership existed the two men had entered into a joint adventure and that while the legal title to the lease was in Mr. Salmon, Mr. Meinhard had some sort of an equitable interest therein. Mr. Salmon was to manage the property for their oint benefit. He was bound to use good faith. He could not willfully destroy the lease, the object of the adventure, to the detriment of Mr. Meinhard:</w:t>
      </w:r>
    </w:p>
    <w:p>
      <w:pPr>
        <w:pStyle w:val="CaseBody"/>
      </w:pPr>
      <w:r>
        <w:t xml:space="preserve">Mr. Salmon went into possession and control of the property. The alterations were made. At first came losses. Then large profits which were duly distributed. At all times Mr. Salmon has acted as manager.</w:t>
      </w:r>
    </w:p>
    <w:p>
      <w:pPr>
        <w:pStyle w:val="CaseBody"/>
      </w:pPr>
      <w:r>
        <w:t xml:space="preserve">Some time before 1922 Mr. Elbridge T. Gerry became the owner of the reversion. He was already the owner of an adjoining lot on Fifth avenue and of four lots' adjoining on Forty-second street, in all 11,587 square feet, covered by five separate buildings. Obviously all this property together was more valuable than the sum of the value of the separate parcels. Some plan to develop the property as a whole seems to have occurred to Mr. Gerry. He arranged that all leases on his five lots should expire on the same day as the Bristol Hotel lease. Then in 1921 he negotiated with various persons and corporations seeking to obtain a desirable tenant who would put up a building to cover the entire tract, for this was the policy he had adopted. These negotiations lasted for some months. They failed. About January 1, 1922, Mr. Gerry’s agent approached Mr. Salmon and began to negotiate with him for the lease of the entire tract. Upon this he insisted as he did upon the erection of a new and expensive building covering the whole. He would not consent to the renewal of the Bristol lease on any terms. This effort resulted in a lease to the Midpoint Realty Company, a corporation entirely owned and controlled by Mr. Salmon. For our purposes the paper may be treated as if the agreement was made with Mr. Salmon himself.</w:t>
      </w:r>
    </w:p>
    <w:p>
      <w:pPr>
        <w:pStyle w:val="CaseBody"/>
      </w:pPr>
      <w:r>
        <w:t xml:space="preserve">In many respects, besides the increase in the land demised, the new lease differs from the old. Instead of an annual rent of $55,000 it is now from $350,000 to $475,000. Instead of a fixed term of twenty years it may now be, at the lessee’s option, eighty. Instead of alterations in an existing structure costing about $200,000 a new building is contemplated costing $3,000,000. Of this sum $1,500,000' is to be advanced by the lessor to the lessee, “ but not to its successors or assigns,” and is to be repaid in installments. Again no assignment or sale of the lease may be made without the consent of the lessor.</w:t>
      </w:r>
    </w:p>
    <w:p>
      <w:pPr>
        <w:pStyle w:val="CaseBody"/>
      </w:pPr>
      <w:r>
        <w:t xml:space="preserve">This lease is valuable. In making it Mr. Gerry acted in good faith without any collusion with Mr. Salmon and with no purpose to deprive Mr. Meinhard of any equities he might have. But as to the negotiations leading to it or as to the execution of the lease itself Mr. Meinhard knew nothing. Mr. Salmon acted for himself to acquire the lease for his own benefit.</w:t>
      </w:r>
    </w:p>
    <w:p>
      <w:pPr>
        <w:pStyle w:val="CaseBody"/>
      </w:pPr>
      <w:r>
        <w:t xml:space="preserve">Under these circumstances the referee has found and the Appellate Division agrees with him, that Mr. Meinhard is entitled to an interest in the second lease, he having promptly elected to assume his share of the liabilities imposed thereby. This conclusion is based upon the proposition that under the original contract between the two men “ the enterprise was a joint venture, the relation between the parties was fiduciary and governed by principles applicable to partnerships,” therefore, as the new lease is a graft upon the old, Mr. Salmon might not acquire its benefits for himself alone.</w:t>
      </w:r>
    </w:p>
    <w:p>
      <w:pPr>
        <w:pStyle w:val="CaseBody"/>
      </w:pPr>
      <w:r>
        <w:t xml:space="preserve">Were this a general partnership between Mr. Salmon and Mr. Meinhard I should have little doubt as to the correctness of this result assuming the new lease to be an offshoot of the old. Such a situation involves questions of trust and confidence to a high degree; it involves questions of good will; many other considerations. As has been said, rarely if ever may one partner without the knowledge of the other acquire for himself the renewal of a lease held by the firm, even if the new lease is to begin after the firm is dissolved. Warning of such an intent, if he is managing partner, may not be sufficient to prevent the application of this rule.</w:t>
      </w:r>
    </w:p>
    <w:p>
      <w:pPr>
        <w:pStyle w:val="CaseBody"/>
      </w:pPr>
      <w:r>
        <w:t xml:space="preserve">We have here a different situation governed by less drastic principles. I assume that where parties engage in a joint enterprise each owes to the other the duty of the utmost good faith in all that relates to their common venture. Within its scope they stand in a fiduciary relationship. I assume prima facie that even as between joint adventurers one may not secretly obtain a renewal of the lease of property actually used in the joint adventure where the possibility of renewal is expressly or impliedly involved in the enterprise. I assume also that Mr. Meinhard had an equitable interest in the Bristol Hotel lease. Further, that an expectancy of renewal inhered in that lease. Two questions then arise. Under his contract did he share in that expectancy? And if so, did that expectancy mature into a graft of. the original lease? To both questions my answer is “ no.”</w:t>
      </w:r>
    </w:p>
    <w:p>
      <w:pPr>
        <w:pStyle w:val="CaseBody"/>
      </w:pPr>
      <w:r>
        <w:t xml:space="preserve">The one complaint made is that Mr. Salmon obtained the new lease without informing Mr. Meinhard of his intention. Nothing else. There is no claim of actual fraud. No claim of misrepresentation to any one. Here was no movable property to be acquired by a new tenant at a sacrifice to its owners. No good will, largely dependent on location, built up by the joint efforts of two men. Here was a refusal of the landlord to renew the Bristol lease on any terms; a proposal made by him, not sought by Mr. Salmon, and a choice by him and by the original lessor of the person with whom they wished to deal shown by the covenants against • assignment or under-letting, and by their ignorance of the arrangement with Mr. Meinhard. •</w:t>
      </w:r>
    </w:p>
    <w:p>
      <w:pPr>
        <w:pStyle w:val="CaseBody"/>
      </w:pPr>
      <w:r>
        <w:t xml:space="preserve">What then was the scope of the adventure into which the two men entered? It is to be remembered that before their contract was signed Mr. Salmon had obtained the lease of the Bristol property. Very likely the matter had been earlier discussed between them. The $5,000 advance by Mr. Meinhard indicates that fact. But it has been held that the written contract defines their rights and duties.</w:t>
      </w:r>
    </w:p>
    <w:p>
      <w:pPr>
        <w:pStyle w:val="CaseBody"/>
      </w:pPr>
      <w:r>
        <w:t xml:space="preserve">Having the lease Mr. Salmon assigns no interest in it to Mr. Meinhard. He is to manage the property. It is for him to decide what alterations shall be made and to fix the rents. But for twenty years from May 1, 1902, Salmon is to make all advances from his own funds and Meinhard is to pay him personally on demand one-half of all expense's incurred and all losses sustained “ during the full term of said lease,” and during the same period Salmon is to pay him a part of the net profits. There was no joint capital provided.</w:t>
      </w:r>
    </w:p>
    <w:p>
      <w:pPr>
        <w:pStyle w:val="CaseBody"/>
      </w:pPr>
      <w:r>
        <w:t xml:space="preserve">It seems to me that the venture so inaugurated had in view a limited object and was to end at a limited time. There was no intent to expand it into a far greater undertaking lasting for many years. The design was to exploit a particular lease. Doubtless in it Mr. Meinhard had an equitable interest, but in it alone. This interest terminated when the joint adventure terminated. There was no intent that for the benefit of both any advantage should be taken of the chance of renewal — that the adventure should be continued beyond that date. Mr. Salmon has done all he promised to do in return for Mr. Meinhard’s undertaking when he distributed profits up to May 1, 1922. Suppose this lease, non-assignable without the consent of the lessor, had contained a renewal option. Could Mr. Meinhard have exercised it? Could he have insisted that Mr. Salmon do so? Had Mr. Salmon done so could -he insist that the agreement to share losses still existed or could Mr. Meinhard have claimed that the joint adventure was still to continue for twenty or eighty years? I do not think so. The adventure by its express terms ended on May 1, 1922. The contract by its language and by its whole import excluded the idea that the tenant’s expectancy was to subsist for the benefit of the plaintiff. On that date whatever there was left of value in the lease reverted to Mr. Salmon, as it would had the lease been for thirty years instead of twenty. Any equity which Mr. Meinhard possessed was in the particular lease itself, not in any possibility of renewal. There was nothing unfair in Mr. Salmon’s conduct.</w:t>
      </w:r>
    </w:p>
    <w:p>
      <w:pPr>
        <w:pStyle w:val="CaseBody"/>
      </w:pPr>
      <w:r>
        <w:t xml:space="preserve">I might go further were it necessary. Under the circumstances here presented had the lease run to both the parties I doubt whether the takingby one of a renewal without the knowledge of the other would cause interference by a court of equity. An illustration may clarify my thought. A and B enter into a joint venture to resurface a highway between Albany and Schenectady. They rent a parcel of land for the storage of materials. A, unknown to B, agrees with the lessor to rent that parcel and one adjoining it after the venture is finished, for an iron foundry. Is the act unfair? Would any general statements, scattered here and there through opinions dealing with other circumstance, be thought applicable? In other words, the mere fact that the joint venturers rent property together does not call for the strict rule that applies to general partners. Many things may excuse what is there forbidden. Nor here does any possibility of renewal exist as part of the venture. The nature of the undertaking excludes such an idea.</w:t>
      </w:r>
    </w:p>
    <w:p>
      <w:pPr>
        <w:pStyle w:val="CaseBody"/>
      </w:pPr>
      <w:r>
        <w:t xml:space="preserve">So far I have treated the new lease as if it were a renewal of the old. As already indicated, I do not take that view. Such a renewal -could not be obtained. Any expectancy that it might be had vanished. What Mr. Salmon obtained was not a graft springing from the Bristol lease, but something distinct and different — as distinct as if for a building across Fifth avenue. I think also that in the absence of some fraudulent or unfair act the secret purchase of the. reversion even by one partner is rightful. Substantially this is such a purchase. Because of the mere label of a transaction we do not place it on one side of the line or the other. Here is involved the possession of a large and most valuable unit of property for eighty years, the destruction of all existing structures and the erection of a new and expensive building covering the whole. No fraud, no deceit, no calculated secrecy is found. Simply that the arrangement was made without the knowledge of Mr. Meinhard. I think this not enough.</w:t>
      </w:r>
    </w:p>
    <w:p>
      <w:pPr>
        <w:pStyle w:val="CaseBody"/>
      </w:pPr>
      <w:r>
        <w:t xml:space="preserve">The judgment of the courts below should be reversed and a new trial ordered, with costs in all courts to abide the event.</w:t>
      </w:r>
    </w:p>
    <w:p>
      <w:pPr>
        <w:pStyle w:val="CaseBody"/>
      </w:pPr>
      <w:r>
        <w:t xml:space="preserve">Pound, Crane and Lehman, JJ., concur with Cardozo, Ch. J., for modification of the judgment appealed from and affirmance as modified;* Andrews, J., dissents in opinion in which Kellogg and O’Brien, JJ., concur.</w:t>
      </w:r>
    </w:p>
    <w:p>
      <w:pPr>
        <w:pStyle w:val="CaseBody"/>
      </w:pPr>
      <w:r>
        <w:t xml:space="preserve">Judgment modified, etc.</w:t>
      </w:r>
    </w:p>
    <w:p>
      <w:pPr>
        <w:pStyle w:val="NodeEnd"/>
      </w:pPr>
      <w:r>
        <w:t xml:space="preserve"> </w:t>
      </w:r>
    </w:p>
    <w:p>
      <w:pPr>
        <w:pStyle w:val="NodeStart"/>
      </w:pPr>
      <w:r>
        <w:t xml:space="preserve"> </w:t>
      </w:r>
    </w:p>
    <w:p>
      <w:pPr>
        <w:pStyle w:val="HeadSeparator"/>
      </w:pPr>
      <w:r>
        <w:t xml:space="preserve"> </w:t>
      </w:r>
    </w:p>
    <w:bookmarkStart w:id="22" w:name="_auto_toc_22"/>
    <w:bookmarkEnd w:id="22"/>
    <w:p>
      <w:pPr>
        <w:pStyle w:val="ResourceNumber"/>
      </w:pPr>
      <w:r>
        <w:t xml:space="preserve">2.2.2</w:t>
      </w:r>
    </w:p>
    <w:p>
      <w:pPr>
        <w:pStyle w:val="ResourceTitle"/>
      </w:pPr>
      <w:r>
        <w:t xml:space="preserve">Dieckman v. Regency GP LP</w:t>
      </w:r>
    </w:p>
    <w:p>
      <w:pPr>
        <w:pStyle w:val="HeadEnd"/>
      </w:pPr>
      <w:r>
        <w:t xml:space="preserve"> </w:t>
      </w:r>
    </w:p>
    <w:p>
      <w:pPr>
        <w:pStyle w:val="CaseHeader"/>
      </w:pPr>
      <w:r>
        <w:t xml:space="preserve">Delaware Supreme Court</w:t>
      </w:r>
    </w:p>
    <w:p>
      <w:pPr>
        <w:pStyle w:val="CaseHeader"/>
      </w:pPr>
      <w:r>
        <w:t xml:space="preserve">155 A.3d 358</w:t>
      </w:r>
    </w:p>
    <w:p>
      <w:pPr>
        <w:pStyle w:val="CaseHeader"/>
      </w:pPr>
      <w:r>
        <w:t xml:space="preserve">No. 208, 2016</w:t>
      </w:r>
    </w:p>
    <w:p>
      <w:pPr>
        <w:pStyle w:val="CaseHeader"/>
      </w:pPr>
      <w:r>
        <w:t xml:space="preserve">2017-01-20</w:t>
      </w:r>
    </w:p>
    <w:p>
      <w:pPr>
        <w:pStyle w:val="CaseBody"/>
      </w:pPr>
      <w:r>
        <w:t xml:space="preserve">Submitted: November 16, 2016</w:t>
      </w:r>
    </w:p>
    <w:p>
      <w:pPr>
        <w:pStyle w:val="CaseBody"/>
      </w:pPr>
      <w:r>
        <w:t xml:space="preserve">Stuart M. Grant, Esquire (argued) and James J. Sabella, Esquire, Grant &lt;&amp; Eisen-hofer P.A., Wilmington, Delaware; Mark Lebovitch, Esquire, Jeroen van Kwawegen, Esquire and Alla Zayenchik, Esquire, Bernstein Litowitz Berger &amp; Grossman LLP, New York, New York; Mark C. Gardy, Esquire and James S. Notis, Esquire, Gardy &amp; Notis, LLP, New York, New York, for Plaintiff, Appellant, Adrian Dieckman.</w:t>
      </w:r>
    </w:p>
    <w:p>
      <w:pPr>
        <w:pStyle w:val="CaseBody"/>
      </w:pPr>
      <w:r>
        <w:t xml:space="preserve">Rolin P. Bissell, Esquire and Tammy L. Mercer, Esquire, Young Conaway Stargatt &amp; Taylor, LLP, Wilmington, Delaware; Michael Holmes, Esquire (argued), Manuel Berrelez, Esquire and Craig Zieminski, Esquire, Vinson &amp; Elkins LLP, Dallas, Texas for Defendants, Appellees, Regency GP LP, Regency GP LLC, Energy Transfer Equity, L.P., Energy Transfer Partners, L.P., Energy Transfer Partners, GP, L.P., Michael J. Bradley, Rodney L. Gray, John W. McReynolds and Matthew S. Ramsey.</w:t>
      </w:r>
    </w:p>
    <w:p>
      <w:pPr>
        <w:pStyle w:val="CaseBody"/>
      </w:pPr>
      <w:r>
        <w:t xml:space="preserve">David J. Teklits, Esquire and D. McKinley Measley, Esquire, Morris, Nichols, Arsht &amp; Tunnell LLP, Wilmington, Delaware; M. Scott Barnard, Esquire, Michelle A. Reed, Esquire and Matthew V. Lloyd, Esquire, Akin Gump Strauss Hauer &amp; Feld LLP, Dallas, Texas for Defendants, Appellees, James W. Bryant and Richard Brannon.</w:t>
      </w:r>
    </w:p>
    <w:p>
      <w:pPr>
        <w:pStyle w:val="CaseBody"/>
      </w:pPr>
      <w:r>
        <w:t xml:space="preserve">Before STRINE, Chief Justice; HOLLAND, VALIHURA, VAUGHN, and SEITZ, Justices, constituting the Court en Banc.</w:t>
      </w:r>
    </w:p>
    <w:p>
      <w:pPr>
        <w:pStyle w:val="CaseBody"/>
      </w:pPr>
      <w:r>
        <w:t xml:space="preserve">SEITZ, Justice:</w:t>
      </w:r>
    </w:p>
    <w:p>
      <w:pPr>
        <w:pStyle w:val="CaseBody"/>
      </w:pPr>
      <w:r>
        <w:t xml:space="preserve">In this appeal, we again wade into the details of a master limited partnership agreement to decide whether the complaint’s allegations can overcome the general partner’s use of conflict resolution safe harbors to dismiss the case. The parties are identified by a host of confusing abbreviations, but the gist of the appeal is as follows.</w:t>
      </w:r>
    </w:p>
    <w:p>
      <w:pPr>
        <w:pStyle w:val="CaseBody"/>
      </w:pPr>
      <w:r>
        <w:t xml:space="preserve">The plaintiff is a limited partner/unit-holder in the publicly-traded master limited partnership (“MLP”). The general partner proposed that the partnership be acquired through merger with another limited partnership in the MLP family. The seller and buyer were indirectly owned by the same entity, creating a conflict of interest. Because conflicts of interest often arise in MLP transactions, those who create and market MLPs have devised special ways to try to address them. The general partner in this case sought refuge in two of the safe harbor conflict resolution provisions of the partnership agreement — “Special Approval” of the transaction by an independent Conflicts Committee, and “Unaffiliated Unitholder Approval.”</w:t>
      </w:r>
    </w:p>
    <w:p>
      <w:pPr>
        <w:pStyle w:val="CaseBody"/>
      </w:pPr>
      <w:r>
        <w:t xml:space="preserve">In the MLP context, Special Approval typically means that a Conflicts Committee composed of members independent of the sponsor and its affiliates reviewed the transaction and made a recommendation to the partnership board whether to approve the transaction. Unaffiliated Unitholder Approval is typically just that — a majority of unitholders unaffiliated with the general partner and its affiliates approve the transaction. Under the partnership agreement, if either safe harbor is satisfied, the transaction is deemed not to be a breach of the agreement.</w:t>
      </w:r>
    </w:p>
    <w:p>
      <w:pPr>
        <w:pStyle w:val="CaseBody"/>
      </w:pPr>
      <w:r>
        <w:t xml:space="preserve">The partnership agreement required that the Conflicts Committee be independent, meaning that its members could not be serving on affiliate boards and were independent under the audit committee independence rules of the New York Stock Exchange. The plaintiff alleged in the complaint that the general partner failed to satisfy the Special Approval safe harbor because the Conflicts Committee was itself conflicted. According to the plaintiff, one of the Committee’s two members began evaluating the transaction while still a member of an affiliate’s board, and then resigned from the affiliate’s board four days after he began his review to then become a member of the Conflicts Committee. On the same day the transaction closed, the committee member was reappointed to the seat left vacant for him on the affiliate’s board.</w:t>
      </w:r>
    </w:p>
    <w:p>
      <w:pPr>
        <w:pStyle w:val="CaseBody"/>
      </w:pPr>
      <w:r>
        <w:t xml:space="preserve">The plaintiff also alleged that the general partner failed to satisfy the Unaffiliated Unitholder Approval safe harbor because the general partner made false and misleading statements in the proxy statement to secure that approval. In the 165-page proxy statement sent to the unitholders, the general partner failed to disclose the conflicts within the Conflicts Committee. Instead, the proxy statement stated that Special Approval had been obtained by an independent Conflicts Committee.</w:t>
      </w:r>
    </w:p>
    <w:p>
      <w:pPr>
        <w:pStyle w:val="CaseBody"/>
      </w:pPr>
      <w:r>
        <w:t xml:space="preserve">The general partner moved to dismiss the complaint and claimed that, in the absence of express contractual obligations not to mislead investors or to unfairly manipulate the Conflicts Committee process, the general partner need only satisfy what the partnership agreement expressly required — to obtain the safe harbor approvals and follow the minimal disclosure requirements. In other words, whatever the general partner said in the proxy statement, and whomever the general partner appointed to the Conflicts Committee, was irrelevant because only the express requirements of the partnership agreement controlled and displaced any implied obligations not to undermine the protections afforded unitholders by the safe harbors.</w:t>
      </w:r>
    </w:p>
    <w:p>
      <w:pPr>
        <w:pStyle w:val="CaseBody"/>
      </w:pPr>
      <w:r>
        <w:t xml:space="preserve">The Court of Chancery side-stepped the Conflicts Committee safe harbor, but accepted the general partner’s argument that the Unaffiliated Unitholder Approval safe harbor required dismissal of the case. The court held that, even though the proxy statement might have contained materially misleading disclosures, fiduciary duty principles could not be used to impose disclosure obligations on the general partner beyond those in the partnership agreement, because the partnership agreement disclaimed fiduciary duties. Further, the court agreed with the defendants that the only express disclosure requirement of the agreement in the event of a merger — that the general partner simply provide either a summary of, or a copy of, the merger agreement — displaced any implied contractual duty to disclose in the proxy statement material facts about the conflicts within the Conflicts Committee.</w:t>
      </w:r>
    </w:p>
    <w:p>
      <w:pPr>
        <w:pStyle w:val="CaseBody"/>
      </w:pPr>
      <w:r>
        <w:t xml:space="preserve">On appeal, the plaintiff concedes that if the general partner met the requirements of either safe harbor, his breach of contract claim would fail. The plaintiff also does not argue with the Court of Chancery’s ruling that the partnership agreement’s express disclosure requirements cannot be supplanted by implied or fiduciary-based disclosure obligations. Instead, he argues that the Court of Chancery erred when it concluded that the general partner satisfied the Unaffiliated Unitholder Approval safe harbor, because he alleged sufficient facts to show that the approval was obtained through false and misleading statements. The plaintiff also claims that, for pleading stage purposes, he has made a sufficient showing that the Special Approval safe harbor was not satisfied, because the Conflicts Committee was not independent.</w:t>
      </w:r>
    </w:p>
    <w:p>
      <w:pPr>
        <w:pStyle w:val="CaseBody"/>
      </w:pPr>
      <w:r>
        <w:t xml:space="preserve">We view the central issue in the dispute through a different lens than the Court of Chancery. The Court of Chancery was correct that the implied covenant of good faith and fair dealing cannot be used to supplant the express disclosure requirements of the partnership agreement. But the court focused too narrowly on the partnership agreement’s disclosure requirements. Instead, the center of attention should have been on the conflict resolution provision of the partnership agreement.</w:t>
      </w:r>
    </w:p>
    <w:p>
      <w:pPr>
        <w:pStyle w:val="CaseBody"/>
      </w:pPr>
      <w:r>
        <w:t xml:space="preserve">The partnership agreement’s conflict resolution provision is a powerful tool in the general partner’s hands because it can be used to shield a conflicted transaction from judicial review. But the conflicts resolution provision also operates for the unit-holders’ benefit. It ensures that, before a safe harbor is reached by the general partner, unaffiliated unitholders have a vote, or the conflicted transaction is reviewed and recommended by an independent Conflicts Committee.</w:t>
      </w:r>
    </w:p>
    <w:p>
      <w:pPr>
        <w:pStyle w:val="CaseBody"/>
      </w:pPr>
      <w:r>
        <w:t xml:space="preserve">The partnership agreement does not address how the general partner must conduct itself when seeking the safe harbors. But where, as here, the express terms of the partnership agreement naturally imply certain corresponding conditions, unithold-ers are entitled to have those terms enforced according to the reasonable expectations of the parties to the agreement. The implied covenant is well-suited to imply contractual terms that are so obvious— like a requirement that the general partner not engage in misleading or deceptive conduct to obtain safe harbor approvals— that the drafter would not have needed to include the conditions as express terms in the agreement.</w:t>
      </w:r>
    </w:p>
    <w:p>
      <w:pPr>
        <w:pStyle w:val="CaseBody"/>
      </w:pPr>
      <w:r>
        <w:t xml:space="preserve">We find that the plaintiff has pled sufficient facts, which we must accept as true at this stage of the proceedings, that neither safe harbor was available to the general partner because it allegedly made false and misleading statements to secure Unaffiliated Unitholder Approval, and allegedly used a conflicted Conflicts Committee to obtain Special Approval. Thus, we reverse the Court of Chancery’s order dismissing Counts I and II of the complaint.</w:t>
      </w:r>
    </w:p>
    <w:p>
      <w:pPr>
        <w:pStyle w:val="CaseBody"/>
      </w:pPr>
      <w:r>
        <w:t xml:space="preserve">I.</w:t>
      </w:r>
    </w:p>
    <w:p>
      <w:pPr>
        <w:pStyle w:val="CaseBody"/>
      </w:pPr>
      <w:r>
        <w:t xml:space="preserve">As alleged in the complaint, the plaintiff, Adrian Dieckman, is a unitholder of Regency, The business entity defendants, their relationships, and other abbreviations are as follows:</w:t>
      </w:r>
    </w:p>
    <w:p>
      <w:pPr>
        <w:pStyle w:val="BlockText"/>
      </w:pPr>
      <w:r>
        <w:t xml:space="preserve">Regency Energy Partners LP (“Regency”) — a publicly-traded Delaware limited partnership engaged in the gathering and processing, contract compression, treating and transportation of natural gas and the transportation, fractionation and storage of natural gas liquids.</w:t>
      </w:r>
    </w:p>
    <w:p>
      <w:pPr>
        <w:pStyle w:val="BlockText"/>
      </w:pPr>
      <w:r>
        <w:t xml:space="preserve">Regency General Partner LP (“General Partner LP”) — -the general partner of Regency.</w:t>
      </w:r>
    </w:p>
    <w:p>
      <w:pPr>
        <w:pStyle w:val="BlockText"/>
      </w:pPr>
      <w:r>
        <w:t xml:space="preserve">Regency General Partner LLC (“General Partner LLC”) — a Delaware LLC and the general partner of General Partner LP.</w:t>
      </w:r>
      <w:r>
        <w:rPr>
          <w:rStyle w:val="FootnoteReference"/>
        </w:rPr>
        <w:footnoteReference w:customMarkFollows="1" w:id="12"/>
        <w:t xml:space="preserve">1</w:t>
      </w:r>
    </w:p>
    <w:p>
      <w:pPr>
        <w:pStyle w:val="BlockText"/>
      </w:pPr>
      <w:r>
        <w:t xml:space="preserve">Energy Transfer Partners L.P. (“ETP”) — the general partner of Sunoco LP; a 43% owner of limited partnership interests in Sunoco and a 100% owner of Sunoco’s distribution rights.</w:t>
      </w:r>
    </w:p>
    <w:p>
      <w:pPr>
        <w:pStyle w:val="BlockText"/>
      </w:pPr>
      <w:r>
        <w:t xml:space="preserve">Energy Transfer Partners, GP, L.P. (“EGP”) — the general partner of ETP. Energy Transfer Equity, L.P. (“ETE”) — indirectly owns Regency’s general partner and ETP’s general partner.</w:t>
      </w:r>
    </w:p>
    <w:p>
      <w:pPr>
        <w:pStyle w:val="BlockText"/>
      </w:pPr>
      <w:r>
        <w:t xml:space="preserve">Conflicts Committee — the committee formed by the General Partner under § 7.9(a) of the LP Agreement.</w:t>
      </w:r>
    </w:p>
    <w:p>
      <w:pPr>
        <w:pStyle w:val="BlockText"/>
      </w:pPr>
      <w:r>
        <w:t xml:space="preserve">LP Agreement — the Regency limited partnership agreement.</w:t>
      </w:r>
    </w:p>
    <w:p>
      <w:pPr>
        <w:pStyle w:val="CaseBody"/>
      </w:pPr>
      <w:r>
        <w:t xml:space="preserve">The following is a diagram from the Court of Chancery opinion showing the interconnected relationships among the entities before the merger, and Regency’s status after the merger:</w:t>
      </w:r>
    </w:p>
    <w:p>
      <w:pPr>
        <w:pStyle w:val="CaseBody"/>
      </w:pPr>
      <w:r>
        <w:drawing>
          <wp:inline>
            <wp:extent cx="5334000" cy="3694943"/>
            <wp:effectExtent b="0" l="0" r="0" t="0"/>
            <wp:docPr descr="" title="" id="1" name="Picture"/>
            <a:graphic>
              <a:graphicData uri="http://schemas.openxmlformats.org/drawingml/2006/picture">
                <pic:pic>
                  <pic:nvPicPr>
                    <pic:cNvPr descr="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" id="0" name="Picture"/>
                    <pic:cNvPicPr>
                      <a:picLocks noChangeArrowheads="1" noChangeAspect="1"/>
                    </pic:cNvPicPr>
                  </pic:nvPicPr>
                  <pic:blipFill>
                    <a:blip r:embed="rId21"/>
                    <a:stretch>
                      <a:fillRect/>
                    </a:stretch>
                  </pic:blipFill>
                  <pic:spPr bwMode="auto">
                    <a:xfrm>
                      <a:off x="0" y="0"/>
                      <a:ext cx="5334000" cy="3694943"/>
                    </a:xfrm>
                    <a:prstGeom prst="rect">
                      <a:avLst/>
                    </a:prstGeom>
                    <a:noFill/>
                    <a:ln w="9525">
                      <a:noFill/>
                      <a:headEnd/>
                      <a:tailEnd/>
                    </a:ln>
                  </pic:spPr>
                </pic:pic>
              </a:graphicData>
            </a:graphic>
          </wp:inline>
        </w:drawing>
      </w:r>
    </w:p>
    <w:p>
      <w:pPr>
        <w:pStyle w:val="CaseBody"/>
      </w:pPr>
      <w:r>
        <w:t xml:space="preserve">The remaining defendants are the six members of General Partner LP’s board of directors — Michael J. Bradley (also CEO of the General Partner), James W. Bryant, Rodney L. Gray, John W. McReynolds (also CFO and president of ETE), Matthew S. Ramsay, and Richard Brannon. Bryant and Brannon served on the Conflicts Committee of the General Partner’s board. Brannon was a Sunoco director until January 20, 2015, and was reappointed to the Sunoco board on May 5, 2015. Bryant was appointed to Sunoco’s board on May 5, 2015.</w:t>
      </w:r>
    </w:p>
    <w:p>
      <w:pPr>
        <w:pStyle w:val="CaseBody"/>
      </w:pPr>
      <w:r>
        <w:t xml:space="preserve">A.</w:t>
      </w:r>
    </w:p>
    <w:p>
      <w:pPr>
        <w:pStyle w:val="CaseBody"/>
      </w:pPr>
      <w:r>
        <w:t xml:space="preserve">According to the complaint and the proxy statement, distributed to unithold-ers,</w:t>
      </w:r>
      <w:r>
        <w:rPr>
          <w:rStyle w:val="FootnoteReference"/>
        </w:rPr>
        <w:footnoteReference w:customMarkFollows="1" w:id="43"/>
        <w:t xml:space="preserve">2</w:t>
      </w:r>
      <w:r>
        <w:t xml:space="preserve"> </w:t>
      </w:r>
      <w:r>
        <w:t xml:space="preserve">the ETP and ETE boards met to discuss a merger between ETP and Regency. ETP eventually made a merger proposal to Regency, where Regency would be merged into ETP for a combination of cash and stock using an exchange ratio of 0.4044 ETP common units for one Regency common unit, and a $137 million cash payment. Because of the undisputed conflicts of interest in the proposed merger transaction, the General Partner looked to the conflict resolution provisions of the LP Agreement.</w:t>
      </w:r>
    </w:p>
    <w:p>
      <w:pPr>
        <w:pStyle w:val="CaseBody"/>
      </w:pPr>
      <w:r>
        <w:t xml:space="preserve">Under § 7.9(a) of the LP Agreement, entitled “Resolution of Conflicts of Interest; Standards of Conduct and Modification of Duties,” unless otherwise provided in another agreement, the General Partner can resort to several safe harbors to im-munizé conflicted transactions from judicial review:</w:t>
      </w:r>
    </w:p>
    <w:p>
      <w:pPr>
        <w:pStyle w:val="BlockText"/>
      </w:pPr>
      <w:r>
        <w:t xml:space="preserve">[A]ny resolution or course of action by the General Partner or its Affiliates in respect of such conflict of interest shall be permitted and deemed approved by all Partners, and shall not constitute a breach of this Agreement ... or of any duty stated or implied by law or equity, if the resolution or course of action in respect of such conflict of interest is (i) approved by Special Approval, (ii) approved by the vote of a majority of the Common Units (excluding Common Units owned by the General Partner and its Affiliates), (iii) on terms no less favorable to the Partnership than those generally being provided to or available from unrelated third parties, or (iv) fair and reasonable to the Partnership, taking into account the totality of the relationships between the parties involved (including other transactions that may be particularly favorable or advantageous to the Partnership).</w:t>
      </w:r>
      <w:r>
        <w:rPr>
          <w:rStyle w:val="FootnoteReference"/>
        </w:rPr>
        <w:footnoteReference w:customMarkFollows="1" w:id="72"/>
        <w:t xml:space="preserve">3</w:t>
      </w:r>
    </w:p>
    <w:p>
      <w:pPr>
        <w:pStyle w:val="CaseBody"/>
      </w:pPr>
      <w:r>
        <w:t xml:space="preserve">The General Partner sought the protections of the safe harbors by Special Approval under § 7.9(a)(i) and Unaffiliated Unitholder Vote under § 7.9(a)(ii). Special Approval is defined in the LPA as “approval by a majority of the members of the Conflicts Committee.”</w:t>
      </w:r>
      <w:r>
        <w:rPr>
          <w:rStyle w:val="FootnoteReference"/>
        </w:rPr>
        <w:footnoteReference w:customMarkFollows="1" w:id="97"/>
        <w:t xml:space="preserve">4</w:t>
      </w:r>
      <w:r>
        <w:t xml:space="preserve"> </w:t>
      </w:r>
      <w:r>
        <w:t xml:space="preserve">The Conflicts Committee must be:</w:t>
      </w:r>
    </w:p>
    <w:p>
      <w:pPr>
        <w:pStyle w:val="BlockText"/>
      </w:pPr>
      <w:r>
        <w:t xml:space="preserve">[A] committee of the Board of Directors of the general partner of the General Partner</w:t>
      </w:r>
      <w:r>
        <w:rPr>
          <w:rStyle w:val="FootnoteReference"/>
        </w:rPr>
        <w:footnoteReference w:customMarkFollows="1" w:id="120"/>
        <w:t xml:space="preserve">5</w:t>
      </w:r>
      <w:r>
        <w:t xml:space="preserve"> </w:t>
      </w:r>
      <w:r>
        <w:t xml:space="preserve">composed entirely of two or more directors who are not (a) security holders, officers or employees of the General Partner, (b) officers, directors or employees of any Affiliate of the General Partner[,] or (c) holders of any ownership interest in the Partnership Group other than Common Units and who also meet the independence standards required of directors who serve on an audit committee of a board of directors established by the Securities Exchange Act of 1934, as amended, and the rules and regulations of the Commission thereunder and by the National Securities Exchange on which the Common Units are listed or admitted to trading.</w:t>
      </w:r>
      <w:r>
        <w:rPr>
          <w:rStyle w:val="FootnoteReference"/>
        </w:rPr>
        <w:footnoteReference w:customMarkFollows="1" w:id="143"/>
        <w:t xml:space="preserve">6</w:t>
      </w:r>
    </w:p>
    <w:p>
      <w:pPr>
        <w:pStyle w:val="CaseBody"/>
      </w:pPr>
      <w:r>
        <w:t xml:space="preserve">For purposes of subsection (b), “Affiliate” is defined as any person “that directly or indirectly through one or more intermediaries controls, is controlled by or is under control with, the Person in question.”</w:t>
      </w:r>
      <w:r>
        <w:rPr>
          <w:rStyle w:val="FootnoteReference"/>
        </w:rPr>
        <w:footnoteReference w:customMarkFollows="1" w:id="164"/>
        <w:t xml:space="preserve">7</w:t>
      </w:r>
      <w:r>
        <w:t xml:space="preserve"> </w:t>
      </w:r>
      <w:r>
        <w:t xml:space="preserve">Sunoco and the General Partner are both controlled by ETE, and are “Affiliates,” under the LP Agreement. Thus, Sunoco board members were not eligible to serve as members of the General Partner’s Conflicts Committee. Nor was it clear that they would meet the audit committee independence rules of the New York Stock Exchange.</w:t>
      </w:r>
    </w:p>
    <w:p>
      <w:pPr>
        <w:pStyle w:val="CaseBody"/>
      </w:pPr>
      <w:r>
        <w:t xml:space="preserve">B.</w:t>
      </w:r>
    </w:p>
    <w:p>
      <w:pPr>
        <w:pStyle w:val="CaseBody"/>
      </w:pPr>
      <w:r>
        <w:t xml:space="preserve">The General Partner appointed Brannon and Bryant to the Conflicts Committee. The complaint alleges that before the proposed transaction, Brannon was a Sunoco director. On January 16, 2015, ETE appointed Brannon to the General Partner’s board, while still a director of Sunoco. The plaintiff claims that, from January 16-20, while a member of both boards, Brannon consulted informally on the proposed transaction. According to the complaint, Brannon then temporarily resigned from the Sunoco board on January 20, and on January 22, became an official member of the Conflicts Committee when formal resolutions were passed creating the Committee. Brannon and Bryant then negotiated on behalf of Regency with ETP and recommended the merger transaction to the General Partner. On April 30, 2015, the day that the merger closed, Brannon was reappointed to the Sunoco board, and Bryant was also appointed to Sunoco board.</w:t>
      </w:r>
    </w:p>
    <w:p>
      <w:pPr>
        <w:pStyle w:val="CaseBody"/>
      </w:pPr>
      <w:r>
        <w:t xml:space="preserve">The complaint also alleges that the Conflicts Committee retained a conflicted financial advisor, J.P. Morgan. J.P. Morgan was supposedly chosen by Regency’s CFO, Long, and not by the Conflicts Committee. Because it was allegedly known that Long was expected to become the CFO of ETP GP LLC, the plaintiff claims that J.P. Morgan was beholden to Long and would favor its long-term relationship with the Energy Transfer entities.</w:t>
      </w:r>
    </w:p>
    <w:p>
      <w:pPr>
        <w:pStyle w:val="CaseBody"/>
      </w:pPr>
      <w:r>
        <w:t xml:space="preserve">The plaintiff claims that the negotiations between the Conflicts Committee and ETP were ceremonial and only lasted a few days. According to the complaint, between January 23 and January 25, the Conflicts Committee made a perfunctory and slightly increased counteroffer to ETP’s offer, which would have achieved a 15% premium to the closing price of common units. ETP rejected the counteroffer, and the parties settled on ETP’s opening bid of a 13.2% premium to the January 23 closing price. The Conflicts Committee recommended that the General Partner pursue the transaction on the original terms proposed by ETP, which the General Partner approved on January 25. The plaintiff alleges that the entire process from start to finish lasted nine days.</w:t>
      </w:r>
    </w:p>
    <w:p>
      <w:pPr>
        <w:pStyle w:val="CaseBody"/>
      </w:pPr>
      <w:r>
        <w:t xml:space="preserve">C.</w:t>
      </w:r>
    </w:p>
    <w:p>
      <w:pPr>
        <w:pStyle w:val="CaseBody"/>
      </w:pPr>
      <w:r>
        <w:t xml:space="preserve">The LP Agreement only required minimal disclosure when a merger transaction was considered by the unitholders — a summary of, or a copy of, the merger agreement.</w:t>
      </w:r>
      <w:r>
        <w:rPr>
          <w:rStyle w:val="FootnoteReference"/>
        </w:rPr>
        <w:footnoteReference w:customMarkFollows="1" w:id="184"/>
        <w:t xml:space="preserve">8</w:t>
      </w:r>
      <w:r>
        <w:t xml:space="preserve"> </w:t>
      </w:r>
      <w:r>
        <w:t xml:space="preserve">But the General Partner went beyond the minimal requirements in the LP Agreement. To gain Unaffiliated Unitholder Approval and the benefit of the safe harbor, the General Partner filed a 165-page proxy statement and disseminated it and a copy of the merger agreement to the unitholders.</w:t>
      </w:r>
    </w:p>
    <w:p>
      <w:pPr>
        <w:pStyle w:val="CaseBody"/>
      </w:pPr>
      <w:r>
        <w:t xml:space="preserve">The proxy statement stated that the “Conflicts Committee consists of two independent directors: Richard D. Brannon (Chairman) and James W. Bryant.”</w:t>
      </w:r>
      <w:r>
        <w:rPr>
          <w:rStyle w:val="FootnoteReference"/>
        </w:rPr>
        <w:footnoteReference w:customMarkFollows="1" w:id="203"/>
        <w:t xml:space="preserve">9</w:t>
      </w:r>
      <w:r>
        <w:t xml:space="preserve"> </w:t>
      </w:r>
      <w:r>
        <w:t xml:space="preserve">It also stated that the Conflicts Committee approved the transaction, and such approval “constituted ‘Special Approval’ as defined in the Regency partnership agreement.”</w:t>
      </w:r>
      <w:r>
        <w:rPr>
          <w:rStyle w:val="FootnoteReference"/>
        </w:rPr>
        <w:footnoteReference w:customMarkFollows="1" w:id="221"/>
        <w:t xml:space="preserve">10</w:t>
      </w:r>
      <w:r>
        <w:t xml:space="preserve"> </w:t>
      </w:r>
      <w:r>
        <w:t xml:space="preserve">The proxy statement did not inform unit-holders about the circumstances of Bryant’s alleged overlapping and shifting allegiances, including reviewing the proposed transaction while still a member of the Sunoco board, his nearly contemporaneous resignation from the Sunoco board and appointment to the General Partner’s board and then the Conflicts Committee, or Brannon’s appointment and Bryant’s reappointment to the Sunoco board the day the transaction closed. At a special meeting of Regency’s unitholders on April 28, 2015, a majority of Regency’s unithold-ers, including a majority of its unaffiliated unitholders, approved the merger.</w:t>
      </w:r>
    </w:p>
    <w:p>
      <w:pPr>
        <w:pStyle w:val="CaseBody"/>
      </w:pPr>
      <w:r>
        <w:t xml:space="preserve">D.</w:t>
      </w:r>
    </w:p>
    <w:p>
      <w:pPr>
        <w:pStyle w:val="CaseBody"/>
      </w:pPr>
      <w:r>
        <w:t xml:space="preserve">After plaintiff filed his complaint challenging the fairness of the merger transaction, the defendants moved to dismiss under Court of Chancery Rule 12(b)(6), invoking the protections of Special Approval and Unaffiliated Unitholder Approval under the LP Agreement. The Chancellor reached only the Unaffiliated Unitholder Vote safe harbor. After finding that all fiduciary duties were displaced by contractual terms, the court noted that the LP Agreement contained “just a single disclosure requirement” and thus the LP Agreement terms “unambiguously extinguish the duty of disclosure and replace it with a single disclosure requirement.”</w:t>
      </w:r>
      <w:r>
        <w:rPr>
          <w:rStyle w:val="FootnoteReference"/>
        </w:rPr>
        <w:footnoteReference w:customMarkFollows="1" w:id="238"/>
        <w:t xml:space="preserve">11</w:t>
      </w:r>
      <w:r>
        <w:t xml:space="preserve"> </w:t>
      </w:r>
      <w:r>
        <w:t xml:space="preserve">According to the court, given the express disclosure obligation, the implied covenant of good faith and fan- dealing “has no work to do” because “the express waiver of fiduciary duties and the clearly defined disclosure requirement ... prevent the implied covenant from adding any additional disclosure obligations to the agreement.”</w:t>
      </w:r>
      <w:r>
        <w:rPr>
          <w:rStyle w:val="FootnoteReference"/>
        </w:rPr>
        <w:footnoteReference w:customMarkFollows="1" w:id="254"/>
        <w:t xml:space="preserve">12</w:t>
      </w:r>
      <w:r>
        <w:t xml:space="preserve"> </w:t>
      </w:r>
      <w:r>
        <w:t xml:space="preserve">Once the Unaffiliated Unitholder Vote safe harbor applied, the court dismissed the case because “the Merger is deemed approved by all the limited partners, including plaintiff, and is immune to challenge for contractual breach.”</w:t>
      </w:r>
      <w:r>
        <w:rPr>
          <w:rStyle w:val="FootnoteReference"/>
        </w:rPr>
        <w:footnoteReference w:customMarkFollows="1" w:id="270"/>
        <w:t xml:space="preserve">13</w:t>
      </w:r>
    </w:p>
    <w:p>
      <w:pPr>
        <w:pStyle w:val="CaseBody"/>
      </w:pPr>
      <w:r>
        <w:t xml:space="preserve">II.</w:t>
      </w:r>
    </w:p>
    <w:p>
      <w:pPr>
        <w:pStyle w:val="CaseBody"/>
      </w:pPr>
      <w:r>
        <w:t xml:space="preserve">The appeal comes to us from the Court of Chancery’s decision granting the defendants’ motion to dismiss. Our review is de novo.</w:t>
      </w:r>
      <w:r>
        <w:rPr>
          <w:rStyle w:val="FootnoteReference"/>
        </w:rPr>
        <w:footnoteReference w:customMarkFollows="1" w:id="286"/>
        <w:t xml:space="preserve">14</w:t>
      </w:r>
    </w:p>
    <w:p>
      <w:pPr>
        <w:pStyle w:val="CaseBody"/>
      </w:pPr>
      <w:r>
        <w:t xml:space="preserve">A.</w:t>
      </w:r>
    </w:p>
    <w:p>
      <w:pPr>
        <w:pStyle w:val="CaseBody"/>
      </w:pPr>
      <w:r>
        <w:t xml:space="preserve">We start with the settled principles of law governing Delaware limited partnerships. The Delaware Revised Uniform Limited Partnership Act (“DRUPLA”) gives “maximum effect to the principle of freedom of contract.”</w:t>
      </w:r>
      <w:r>
        <w:rPr>
          <w:rStyle w:val="FootnoteReference"/>
        </w:rPr>
        <w:footnoteReference w:customMarkFollows="1" w:id="302"/>
        <w:t xml:space="preserve">15</w:t>
      </w:r>
      <w:r>
        <w:t xml:space="preserve"> </w:t>
      </w:r>
      <w:r>
        <w:t xml:space="preserve">One freedom often exercised in the MLP context is eliminating any fiduciary duties a partner owes to others in the partnership structure.</w:t>
      </w:r>
      <w:r>
        <w:rPr>
          <w:rStyle w:val="FootnoteReference"/>
        </w:rPr>
        <w:footnoteReference w:customMarkFollows="1" w:id="317"/>
        <w:t xml:space="preserve">16</w:t>
      </w:r>
      <w:r>
        <w:t xml:space="preserve"> </w:t>
      </w:r>
      <w:r>
        <w:t xml:space="preserve">The act allows drafters of Delaware limited partnerships to modify or eliminate fiduciary-based principles of governance, and displace them with contractual terms.</w:t>
      </w:r>
    </w:p>
    <w:p>
      <w:pPr>
        <w:pStyle w:val="CaseBody"/>
      </w:pPr>
      <w:r>
        <w:t xml:space="preserve">With the contractual freedom accorded partnership agreement drafters, and the typical lack of competitive negotiations over agreement terms, come corresponding responsibilities on the part of investors to read carefully and understand their investment. Investors must appreciate that “with the benefits of investing in alternative entities often comes the limitation of looking to the contract as the exclusive source of protective rights.”</w:t>
      </w:r>
      <w:r>
        <w:rPr>
          <w:rStyle w:val="FootnoteReference"/>
        </w:rPr>
        <w:footnoteReference w:customMarkFollows="1" w:id="331"/>
        <w:t xml:space="preserve">17</w:t>
      </w:r>
      <w:r>
        <w:t xml:space="preserve"> </w:t>
      </w:r>
      <w:r>
        <w:t xml:space="preserve">In other words, investors can no longer hold the general partner to fiduciary standards of conduct, but instead must rely on the express language of the partnership agreement to sort out the rights and obligations among the general partner, the partnership, and the limited partner investors.</w:t>
      </w:r>
    </w:p>
    <w:p>
      <w:pPr>
        <w:pStyle w:val="CaseBody"/>
      </w:pPr>
      <w:r>
        <w:t xml:space="preserve">Even though the express terms of the agreement govern the relationship when fiduciary duties are waived, investors are not without some protections. For instance, in the case of an ambiguous partnership agreement of a publicly traded limited partnership, ambiguities are resolved as with publicly traded corporations, to give effect to the reading that best fulfills the reasonable expectations an investor would have had from the face of the agreement.</w:t>
      </w:r>
      <w:r>
        <w:rPr>
          <w:rStyle w:val="FootnoteReference"/>
        </w:rPr>
        <w:footnoteReference w:customMarkFollows="1" w:id="345"/>
        <w:t xml:space="preserve">18</w:t>
      </w:r>
      <w:r>
        <w:t xml:space="preserve"> </w:t>
      </w:r>
      <w:r>
        <w:t xml:space="preserve">The reason for this is simple. When investors buy equity in a public entity, they necessarily rely on the text of the public documents and public disclosures about that entity, and not on parol evidence.</w:t>
      </w:r>
      <w:r>
        <w:rPr>
          <w:rStyle w:val="FootnoteReference"/>
        </w:rPr>
        <w:footnoteReference w:customMarkFollows="1" w:id="358"/>
        <w:t xml:space="preserve">19</w:t>
      </w:r>
      <w:r>
        <w:t xml:space="preserve"> </w:t>
      </w:r>
      <w:r>
        <w:t xml:space="preserve">And, of course, another protection exists. The DRUPLA provides for the implied covenant of good faith and fair dealing, which cannot be eliminated by contract.</w:t>
      </w:r>
      <w:r>
        <w:rPr>
          <w:rStyle w:val="FootnoteReference"/>
        </w:rPr>
        <w:footnoteReference w:customMarkFollows="1" w:id="371"/>
        <w:t xml:space="preserve">20</w:t>
      </w:r>
    </w:p>
    <w:p>
      <w:pPr>
        <w:pStyle w:val="CaseBody"/>
      </w:pPr>
      <w:r>
        <w:t xml:space="preserve">The implied covenant is inherent in all contracts and is used to infer contract terms “to handle developments or contractual gaps that the asserting party pleads neither party anticipated.”</w:t>
      </w:r>
      <w:r>
        <w:rPr>
          <w:rStyle w:val="FootnoteReference"/>
        </w:rPr>
        <w:footnoteReference w:customMarkFollows="1" w:id="384"/>
        <w:t xml:space="preserve">21</w:t>
      </w:r>
      <w:r>
        <w:t xml:space="preserve"> </w:t>
      </w:r>
      <w:r>
        <w:t xml:space="preserve">It applies “when the party asserting the implied covenant proves that the other party has acted arbitrarily or unreasonably, thereby frustrating the fruits of the bargain that the asserting party reasonably expected.”</w:t>
      </w:r>
      <w:r>
        <w:rPr>
          <w:rStyle w:val="FootnoteReference"/>
        </w:rPr>
        <w:footnoteReference w:customMarkFollows="1" w:id="397"/>
        <w:t xml:space="preserve">22</w:t>
      </w:r>
      <w:r>
        <w:t xml:space="preserve"> </w:t>
      </w:r>
      <w:r>
        <w:t xml:space="preserve">The reasonable expectations of the contracting parties are assessed at the time of contracting.</w:t>
      </w:r>
      <w:r>
        <w:rPr>
          <w:rStyle w:val="FootnoteReference"/>
        </w:rPr>
        <w:footnoteReference w:customMarkFollows="1" w:id="409"/>
        <w:t xml:space="preserve">23</w:t>
      </w:r>
      <w:r>
        <w:t xml:space="preserve"> </w:t>
      </w:r>
      <w:r>
        <w:t xml:space="preserve">In a situation like this, involving a publicly traded MLP, the pleading-stage inquiry focuses on whether, based on a reading of the terms of the partnership agreement and consideration of the relationship it creates between the MLP’s investors and managers, the express terms of the agreement can be reasonably read to imply certain other conditions, or leave a gap, that would prescribe certain conduct, because it is necessary to vindicate the apparent intentions and reasonable expectations of the parties.</w:t>
      </w:r>
    </w:p>
    <w:p>
      <w:pPr>
        <w:pStyle w:val="CaseBody"/>
      </w:pPr>
      <w:r>
        <w:t xml:space="preserve">B.</w:t>
      </w:r>
    </w:p>
    <w:p>
      <w:pPr>
        <w:pStyle w:val="CaseBody"/>
      </w:pPr>
      <w:r>
        <w:t xml:space="preserve">The Court of Chancery decided that the implied covenant could not be used to remedy what the plaintiff alleged were faulty safe harbor approvals because the LP Agreement waived fiduciary-based standards of conduct and contained an express contractual term addressing what disclosures were required in merger transactions. According to the court, the implied covenant had “no work to do” because the express disclosure requirement displaced the implied covenant.</w:t>
      </w:r>
      <w:r>
        <w:rPr>
          <w:rStyle w:val="FootnoteReference"/>
        </w:rPr>
        <w:footnoteReference w:customMarkFollows="1" w:id="421"/>
        <w:t xml:space="preserve">24</w:t>
      </w:r>
    </w:p>
    <w:p>
      <w:pPr>
        <w:pStyle w:val="CaseBody"/>
      </w:pPr>
      <w:r>
        <w:t xml:space="preserve">The Court of Chancery erred by focusing too narrowly on whether the express disclosure provision displaced the implied covenant. Instead, it should have focused on the language of the safe harbor approval process, and what its terms reasonably mean. Although the terms of the LP Agreement did not compel the General Partner to issue a proxy statement, it chose to undertake the transaction, which the LP Agreement drafters would have known required a pre-unitholder vote proxy statement. Thus, the General Partner voluntarily issued a proxy statement to induce unaffiliated unitholders to vote in favor of the merger transaction. The favorable vote led not only to approval of the transaction, but allowed the General Partner to claim the protections of the safe harbor and immunize the merger transaction from judicial review. Not surprisingly, the express terms of the LP Agreement did not address, one way or another, whether the General Partner could use false or misleading statements to enable it to reach the safe harbors.</w:t>
      </w:r>
    </w:p>
    <w:p>
      <w:pPr>
        <w:pStyle w:val="CaseBody"/>
      </w:pPr>
      <w:r>
        <w:t xml:space="preserve">We find that implied in the language of the LP Agreement’s conflict resolution provision is a requirement that the General Partner not act to undermine the protections afforded unitholders in the safe harbor process. Partnership agreement drafters, whether drafting on their own, or sitting across the table in a competitive negotiation, do not include obvious and provocative conditions in an agreement like “the General Partner will not mislead unitholders when seeking Unaffiliated Un-itholder Approval” or “the General Partner will not subvert the Special Approval process by appointing conflicted members to the Conflicts Committee.” But the terms are easily implied because “the parties must have intended them and have only failed to express them because they are too obvious to need expression.”</w:t>
      </w:r>
      <w:r>
        <w:rPr>
          <w:rStyle w:val="FootnoteReference"/>
        </w:rPr>
        <w:footnoteReference w:customMarkFollows="1" w:id="433"/>
        <w:t xml:space="preserve">25</w:t>
      </w:r>
      <w:r>
        <w:t xml:space="preserve"> </w:t>
      </w:r>
      <w:r>
        <w:t xml:space="preserve">Stated another way, “some aspects of the deal are so obvious to the participants that they never think, or see no need, to address them.”</w:t>
      </w:r>
      <w:r>
        <w:rPr>
          <w:rStyle w:val="FootnoteReference"/>
        </w:rPr>
        <w:footnoteReference w:customMarkFollows="1" w:id="444"/>
        <w:t xml:space="preserve">26</w:t>
      </w:r>
    </w:p>
    <w:p>
      <w:pPr>
        <w:pStyle w:val="CaseBody"/>
      </w:pPr>
      <w:r>
        <w:t xml:space="preserve">Our use of the implied covenant is based on the words of the contract and not the disclaimed fiduciary duties. Under the LP Agreement, the General Partner did not have the full range of disclosure obligations that a corporate fiduciary would have had. Yet once it went beyond the minimal disclosure requirements of the LP Agreement, and issued a 165-page proxy statement to induce the unaffiliated unit-holders not only to approve the merger transaction, but also to secure the Unaffiliated Unitholder Approval safe harbor, implied in the language of the LP Agreement’s conflict resolution provision was an obligation not to mislead unitholders.</w:t>
      </w:r>
    </w:p>
    <w:p>
      <w:pPr>
        <w:pStyle w:val="CaseBody"/>
      </w:pPr>
      <w:r>
        <w:t xml:space="preserve">Further, the General Partner was required to form a Conflicts Committee comprised of members who:</w:t>
      </w:r>
    </w:p>
    <w:p>
      <w:pPr>
        <w:pStyle w:val="BlockText"/>
      </w:pPr>
      <w:r>
        <w:t xml:space="preserve">[A]re not (a) security holders, officers or employees of the General Partner, (b) officers, directors or employees of any Affiliate of the General Partner or (c) holders of any ownership interest in the Partnership Group other than Common Units and who also meet the independence standards required of directors who serve on an audit committee of a board of directors established by the Securities Exchange Act of 1934, as amended, and the rules and regulations of the Commission thereunder and by the National Securities Exchange on which the Common units are listed or admitted to trading.</w:t>
      </w:r>
      <w:r>
        <w:rPr>
          <w:rStyle w:val="FootnoteReference"/>
        </w:rPr>
        <w:footnoteReference w:customMarkFollows="1" w:id="455"/>
        <w:t xml:space="preserve">27</w:t>
      </w:r>
    </w:p>
    <w:p>
      <w:pPr>
        <w:pStyle w:val="CaseBody"/>
      </w:pPr>
      <w:r>
        <w:t xml:space="preserve">As with the contract language regarding Unaffiliated Unitholder Approval, this language is reasonably read by unitholders to imply a condition that a Committee has been established whose members genuinely qualified as unaffiliated with the General Partner and independent at all relevant times. Implicit in the express terms is that the Special Committee membership be genuinely comprised of qualified members and that deceptive conduct not be used to create the false appearance of an unaffiliated, independent Special Committee.</w:t>
      </w:r>
    </w:p>
    <w:p>
      <w:pPr>
        <w:pStyle w:val="CaseBody"/>
      </w:pPr>
      <w:r>
        <w:t xml:space="preserve">C.</w:t>
      </w:r>
    </w:p>
    <w:p>
      <w:pPr>
        <w:pStyle w:val="CaseBody"/>
      </w:pPr>
      <w:r>
        <w:t xml:space="preserve">The plaintiff has agreed that the LP Agreement’s safe harbor provisions, if satisfied, would preclude judicial review of the transaction. But we find that the plaintiff has pled sufficient facts to support his claims that those safe harbors were unavailable to the General Partner. Instead of staffing the Conflicts Committee with independent members, the plaintiff alleges that the chair of the two-person Committee started reviewing the transaction while</w:t>
      </w:r>
      <w:r>
        <w:t xml:space="preserve"> </w:t>
      </w:r>
      <w:r>
        <w:rPr>
          <w:iCs/>
          <w:i/>
        </w:rPr>
        <w:t xml:space="preserve">still</w:t>
      </w:r>
      <w:r>
        <w:t xml:space="preserve"> </w:t>
      </w:r>
      <w:r>
        <w:t xml:space="preserve">a member of an Affiliate board. Just a few days before the General Partner created the Conflicts Committee, the same director resigned from the Affiliate board and became a member of the General Partner’s board, and then a Conflicts Committee member.</w:t>
      </w:r>
    </w:p>
    <w:p>
      <w:pPr>
        <w:pStyle w:val="CaseBody"/>
      </w:pPr>
      <w:r>
        <w:t xml:space="preserve">Further, after conducting the negotiations with ETE over the merger terms and recommending the merger transaction to the General Partner, the two members of the Conflicts Committee joined an Affiliate’s board the day the transaction closed. The plaintiff also alleges that the Conflicts Committee members failed to satisfy the audit committee independence rules of the New York Stock Exchange, as required by the LP Agreement. In the proxy statement used to solicit Unaffiliated Unitholder Approval of the merger transaction, the plaintiff alleges that the General Partner materially misled the unitholders about the independence of the Conflicts Committee members. In deciding to approve the merger, a reasonable unitholder would have assumed based on the disclosures that the transaction was negotiated and approved by a Conflicts Committee composed of persons who were not “affiliates” of the general partner and who had the independent status dictated by the LP Agreement. This assurance was one a reasonable investor may have considered a material fact weighing in favor of the transaction’s fairness.</w:t>
      </w:r>
    </w:p>
    <w:p>
      <w:pPr>
        <w:pStyle w:val="CaseBody"/>
      </w:pPr>
      <w:r>
        <w:t xml:space="preserve">The plaintiff has therefore pled facts raising sufficient doubt about the General Partner’s ability to use the safe harbors to shield the merger transaction from judicial review. Thus, we reverse the judgment of the Court of Chancery dismissing Counts I and II of the complaint.</w:t>
      </w:r>
    </w:p>
    <w:bookmarkStart w:id="23" w:name="_auto_toc_23"/>
    <w:bookmarkEnd w:id="23"/>
    <w:p>
      <w:pPr>
        <w:pStyle w:val="ResourceNumber"/>
      </w:pPr>
      <w:r>
        <w:t xml:space="preserve">2.2.3</w:t>
      </w:r>
    </w:p>
    <w:p>
      <w:pPr>
        <w:pStyle w:val="ResourceTitle"/>
      </w:pPr>
      <w:r>
        <w:t xml:space="preserve">Oxbow Carbon &amp; Minerals Holdings, Inc. v. Crestview-Oxbow Acquisition, LLC</w:t>
      </w:r>
    </w:p>
    <w:p>
      <w:pPr>
        <w:pStyle w:val="HeadEnd"/>
      </w:pPr>
      <w:r>
        <w:t xml:space="preserve"> </w:t>
      </w:r>
    </w:p>
    <w:p>
      <w:pPr>
        <w:pStyle w:val="CaseHeader"/>
      </w:pPr>
      <w:r>
        <w:t xml:space="preserve">Delaware Court of Errors and Appeals</w:t>
      </w:r>
    </w:p>
    <w:p>
      <w:pPr>
        <w:pStyle w:val="CaseHeader"/>
      </w:pPr>
      <w:r>
        <w:t xml:space="preserve">202 A.3d 482</w:t>
      </w:r>
    </w:p>
    <w:p>
      <w:pPr>
        <w:pStyle w:val="CaseHeader"/>
      </w:pPr>
      <w:r>
        <w:t xml:space="preserve">No. 536, 2018</w:t>
      </w:r>
    </w:p>
    <w:p>
      <w:pPr>
        <w:pStyle w:val="CaseHeader"/>
      </w:pPr>
      <w:r>
        <w:t xml:space="preserve">2019-01-17</w:t>
      </w:r>
    </w:p>
    <w:p>
      <w:pPr>
        <w:pStyle w:val="CaseBody"/>
      </w:pPr>
      <w:r>
        <w:t xml:space="preserve">Stephen C. Norman, Esquire, Jaclyn C. Levy, Esquire, Potter Anderson &amp; Corroon LLP, Wilmington, Delaware. Of Counsel: David B. Hennes, Esquire (argued), C. Thomas Brown, Esquire, Adam M. Harris, Esquire, Elizabeth D. Johnston, Esquire, Ropes &amp; Gray LLP, New York, New York for Appellants Oxbow Carbon &amp; Minerals Holdings, Inc., Ingraham Investments LLC, William I. Koch and Oxbow Carbon Investment Company LLC.</w:t>
      </w:r>
    </w:p>
    <w:p>
      <w:pPr>
        <w:pStyle w:val="CaseBody"/>
      </w:pPr>
      <w:r>
        <w:t xml:space="preserve">Kenneth J. Nachbar, Esquire, Thomas W. Briggs, Jr., Esquire, Richard Li, Esquire, Morris, Nichols, Arsht &amp; Tunnell LLP, Wilmington, Delaware. Of Counsel: R. Robert Popeo, Esquire, Michael S. Gardener, Esquire, Breton Leone-Quick, Esquire, Mintz, Levin, Cohn, Ferris, Glovsky &amp; Popeo, P.C., Boston, Massachusetts for Appellants Oxbow Carbon LLC.</w:t>
      </w:r>
    </w:p>
    <w:p>
      <w:pPr>
        <w:pStyle w:val="CaseBody"/>
      </w:pPr>
      <w:r>
        <w:t xml:space="preserve">Kevin G. Abrams, Esquire, Michael A. Barlow, Esquire, April M. Kirby, Esquire, Abrams &amp; Bayliss LLP, Wilmington, Delaware; Brock E. Czeschin, Esquire, Matthew D. Perri, Esquire, Sarah A. Galetta, Esquire, Richards, Layton &amp; Finger, P.A., Wilmington, Delaware. Of Counsel: Michael B. Carlinsky, Esquire (argued), Chad Johnson, Esquire, Jennifer Barrett, Esquire, Silpa Maruri, Esquire, Quinn Emanuel Urquhart &amp; Sullivan, LLP, New York, New York; Christopher Landau, P.C., Quinn Emanuel Urquhart &amp; Sullivan, LLP, Washington, D.C. for Appellees Crestview-Oxbow Acquisition, LLC and Crestview-Oxbow (ERISA) Acquisition, LLC.</w:t>
      </w:r>
    </w:p>
    <w:p>
      <w:pPr>
        <w:pStyle w:val="CaseBody"/>
      </w:pPr>
      <w:r>
        <w:t xml:space="preserve">J. Clayton Athey, Esquire, John G. Day, Esquire, Prickett, Jones &amp; Elliott, P.A., Wilmington, Delaware. Of Counsel: Dale C. Christensen, Jr., Esquire, Michael B. Weitman, Esquire, Seward &amp; Kissel, LLP, New York, New York for Appellee Load Line Capital LLC.</w:t>
      </w:r>
    </w:p>
    <w:p>
      <w:pPr>
        <w:pStyle w:val="CaseBody"/>
      </w:pPr>
      <w:r>
        <w:t xml:space="preserve">Before STRINE, Chief Justice; VALIHURA, VAUGHN, SEITZ and TRAYNOR, Justices, constituting the Court en Banc.</w:t>
      </w:r>
    </w:p>
    <w:p>
      <w:pPr>
        <w:pStyle w:val="CaseBody"/>
      </w:pPr>
      <w:r>
        <w:t xml:space="preserve">VALIHURA, Justice:</w:t>
      </w:r>
    </w:p>
    <w:p>
      <w:pPr>
        <w:pStyle w:val="CaseBody"/>
      </w:pPr>
      <w:r>
        <w:t xml:space="preserve">Two of Oxbow Carbon LLC's ("Oxbow") minority Members-Crestview Partners, L.P. and Load Line Capital LLC (together, the "Minority Members")-have attempted to force a sale of Oxbow over the objection of Oxbow's majority Members, William I. Koch and his affiliates (the "Koch Parties").</w:t>
      </w:r>
      <w:r>
        <w:rPr>
          <w:rStyle w:val="FootnoteReference"/>
        </w:rPr>
        <w:footnoteReference w:customMarkFollows="1" w:id="13"/>
        <w:t xml:space="preserve">1</w:t>
      </w:r>
      <w:r>
        <w:t xml:space="preserve"> </w:t>
      </w:r>
      <w:r>
        <w:t xml:space="preserve">This dispute centers on the proper interpretation of the governing Third Amended and Restated Limited Liability Company Agreement (the "LLC Agreement"). Although the Court of Chancery found that the minority investors affiliated with Koch-Ingraham Investments LLC and Oxbow Carbon Investment Company LLC (collectively, the "Small Holders")-could block the sale unless it met certain payment conditions, the court nonetheless found a contractual gap in the LLC Agreement because the Board did not specify the terms and conditions under which the Small Holders acquired their units. Using the implied covenant of good faith and fair dealing, the Court of Chancery filled that gap by implying a "Top-Off" option for the Small Holders' units, effectively stripping them of the right to block the proposed transaction.</w:t>
      </w:r>
    </w:p>
    <w:p>
      <w:pPr>
        <w:pStyle w:val="CaseBody"/>
      </w:pPr>
      <w:r>
        <w:t xml:space="preserve">On appeal, Oxbow claims that (1) the trial court improperly applied the implied covenant, (2) there was no contractual gap, (3) Oxbow did not breach the LLC Agreement, and (4) the court's rulings on remedies are erroneous. We hold that the Court of Chancery correctly interpreted the LLC Agreement's plain language, but erred by finding a contractual gap concerning the admission of the Small Holders. Thus, we AFFIRM in part and REVERSE in part the Court of Chancery's February 12, 2018, decision, and VACATE the August 1, 2018, decision on remedies.</w:t>
      </w:r>
    </w:p>
    <w:p>
      <w:pPr>
        <w:pStyle w:val="CaseBody"/>
      </w:pPr>
      <w:r>
        <w:rPr>
          <w:iCs/>
          <w:i/>
        </w:rPr>
        <w:t xml:space="preserve">I. Background Facts</w:t>
      </w:r>
      <w:r>
        <w:rPr>
          <w:rStyle w:val="FootnoteReference"/>
        </w:rPr>
        <w:footnoteReference w:customMarkFollows="1" w:id="44"/>
        <w:t xml:space="preserve">2</w:t>
      </w:r>
    </w:p>
    <w:p>
      <w:pPr>
        <w:pStyle w:val="CaseBody"/>
      </w:pPr>
      <w:r>
        <w:t xml:space="preserve">Oxbow, the leading third-party provider of marketing and logistics services to the global petcoke market, is a Delaware LLC controlled by William I. Koch through Oxbow Carbon &amp; Minerals Holdings, Inc. ("Oxbow Holdings").</w:t>
      </w:r>
      <w:r>
        <w:rPr>
          <w:rStyle w:val="FootnoteReference"/>
        </w:rPr>
        <w:footnoteReference w:customMarkFollows="1" w:id="73"/>
        <w:t xml:space="preserve">3</w:t>
      </w:r>
      <w:r>
        <w:t xml:space="preserve"> </w:t>
      </w:r>
      <w:r>
        <w:t xml:space="preserve">Koch serves as Oxbow's CEO and Chairman of the Board. To finance two possible acquisitions in 2006, Oxbow explored investment by outside private equity firms. Crestview, a new firm led by Robert J. Hurst and Barry S. Volpert, expressed interest in investing in Oxbow. Hurst and Volpert had a combined fifty years of experience at Goldman Sachs, where both held high-level posts.</w:t>
      </w:r>
      <w:r>
        <w:rPr>
          <w:rStyle w:val="FootnoteReference"/>
        </w:rPr>
        <w:footnoteReference w:customMarkFollows="1" w:id="98"/>
        <w:t xml:space="preserve">4</w:t>
      </w:r>
      <w:r>
        <w:t xml:space="preserve"> </w:t>
      </w:r>
      <w:r>
        <w:t xml:space="preserve">During the capital-raising process, Oxbow also explored possible investments by ArcLight Capital Partners LLC ("ArcLight")</w:t>
      </w:r>
      <w:r>
        <w:rPr>
          <w:rStyle w:val="FootnoteReference"/>
        </w:rPr>
        <w:footnoteReference w:customMarkFollows="1" w:id="121"/>
        <w:t xml:space="preserve">5</w:t>
      </w:r>
      <w:r>
        <w:t xml:space="preserve"> </w:t>
      </w:r>
      <w:r>
        <w:t xml:space="preserve">and by John Coumantaros, a wealthy shipping magnate.</w:t>
      </w:r>
    </w:p>
    <w:p>
      <w:pPr>
        <w:pStyle w:val="CaseBody"/>
      </w:pPr>
      <w:r>
        <w:t xml:space="preserve">The LLC Agreement was executed on May 8, 2007.</w:t>
      </w:r>
      <w:r>
        <w:rPr>
          <w:rStyle w:val="FootnoteReference"/>
        </w:rPr>
        <w:footnoteReference w:customMarkFollows="1" w:id="144"/>
        <w:t xml:space="preserve">6</w:t>
      </w:r>
      <w:r>
        <w:t xml:space="preserve"> </w:t>
      </w:r>
      <w:r>
        <w:t xml:space="preserve">Oxbow Holdings made the largest capital contribution of $483,038,499.86 in return for 4,830,385 units-almost 60% of Oxbow's equity-and the right to appoint six Board members. Several of Koch's family members and affiliates also invested, which meant that Koch and his affiliates owned a combined 67% of Oxbow's equity. Crestview made a capital contribution of $190 million and received nearly 1.9 million units-a 23.48% equity stake-and appointed Hurst and Volpert to the Oxbow Board. Coumantaros made a capital contribution of $75 million through Load Line Capital LLC ("Load Line") in return for 750,000 units, representing 9.27% of Oxbow's equity. Load Line was entitled to one Board appointment and appointed Coumantaros to Oxbow's Board. Additionally, the Minority Members received a put option that could be exercised after seven years, beginning May 8, 2014 (the "Put Right"). If Oxbow rejected the put, the party exercising the Put Right could attempt to force an "Exit Sale" of all of Oxbow's units.</w:t>
      </w:r>
    </w:p>
    <w:p>
      <w:pPr>
        <w:pStyle w:val="CaseBody"/>
      </w:pPr>
      <w:r>
        <w:t xml:space="preserve">In the fall of 2010, Oxbow pursued an acquisition of International Commodities Export Corporation, a large sulfur-trading business. As a part of the acquisition, Oxbow allowed the sulfur company executives to purchase equity in Oxbow. Around the same time, Koch proposed to the Board that members of his family have an opportunity to simultaneously invest in Oxbow with the sulfur company executives. On April 28, 2011, the Board-including the Minority Members' representatives-voted unanimously to issue units to Koch's family members and the sulfur company executives at $300 per unit. Koch's family members invested through Ingraham Investments LLC ("Family LLC"), and the sulfur company executives invested through Oxbow Carbon Investment Company LLC ("Executive LLC"). Koch has controlled Family LLC from its inception, and he is the sole manager of Executive LLC's managing member.</w:t>
      </w:r>
    </w:p>
    <w:p>
      <w:pPr>
        <w:pStyle w:val="CaseBody"/>
      </w:pPr>
      <w:r>
        <w:t xml:space="preserve">The Board did not immediately implement the transactions, however, as there were other details to sort out with the sulfur company executives. During that time, Oxbow's then-CFO, Zach Shipley, alerted Koch and Oxbow's corporate secretary to certain procedural requirements in the LLC Agreement that the Board did not follow in its April 28, 2011, vote. In an email, Shipley wrote:</w:t>
      </w:r>
    </w:p>
    <w:p>
      <w:pPr>
        <w:pStyle w:val="BlockText"/>
      </w:pPr>
      <w:r>
        <w:t xml:space="preserve">In the context of [Oxbow] selling new equity to members of Bill's family, it has been drawn to my attention that the Operating Agreement of [Oxbow] gives all members certain rights of participation in any equity [issuance] by the Company .... I don't think this will have a practical effect on the ultimate outcome of the equity sales to Bill's family, but it does present a procedural requirement. Basically, we have to offer equity to all members at $300 per unit .... I expect that, at $300/unit, no one but the intended buyers will buy additional equity, but if they do, maybe that is a good thing.</w:t>
      </w:r>
    </w:p>
    <w:p>
      <w:pPr>
        <w:pStyle w:val="BlockText"/>
      </w:pPr>
      <w:r>
        <w:t xml:space="preserve">[T]his does raise a question about whether we need to get a slightly different approval from the Board.</w:t>
      </w:r>
      <w:r>
        <w:rPr>
          <w:rStyle w:val="FootnoteReference"/>
        </w:rPr>
        <w:footnoteReference w:customMarkFollows="1" w:id="165"/>
        <w:t xml:space="preserve">7</w:t>
      </w:r>
    </w:p>
    <w:p>
      <w:pPr>
        <w:pStyle w:val="CaseBody"/>
      </w:pPr>
      <w:r>
        <w:t xml:space="preserve">The issuance of units to Koch's family members also implicated Article III, Section 3(d)(11) of the LLC Agreement (the "Related Party Provision"), which triggers the need for a "Supermajority Vote," defined as approval from a majority of the Board, which approval had to include the Load Line director and at least one Crestview director. Oxbow did not get any additional approvals from the Board for the issuance to Koch's family members. Further, the court found that the Small Holders did not provide Oxbow with the required signature pages and representations and warranties until 2016.</w:t>
      </w:r>
    </w:p>
    <w:p>
      <w:pPr>
        <w:pStyle w:val="CaseBody"/>
      </w:pPr>
      <w:r>
        <w:t xml:space="preserve">The Board reevaluated its earlier approval of the issuance of new units to Executive LLC on November 9, 2011, and raised the total number of units to be issued without changing the price. But the Board failed to address the issue of preemptive rights or otherwise comply with the requirements for admitting new Members.</w:t>
      </w:r>
      <w:r>
        <w:rPr>
          <w:rStyle w:val="FootnoteReference"/>
        </w:rPr>
        <w:footnoteReference w:customMarkFollows="1" w:id="185"/>
        <w:t xml:space="preserve">8</w:t>
      </w:r>
      <w:r>
        <w:t xml:space="preserve"> </w:t>
      </w:r>
      <w:r>
        <w:t xml:space="preserve">Nevertheless, Oxbow issued 66,667 units to Family LLC for $20 million on December 23, 2011, and issued 50,000 units to Executive LLC on March 12, 2012, for $15 million. Following those investments, the Small Holders owned a combined 1.4% of Oxbow's equity. And as with the Board vote in April 2011, the Minority Members' Board representatives consented in 2012 to the distribution of funds from the Small Holders' investment.</w:t>
      </w:r>
      <w:r>
        <w:rPr>
          <w:rStyle w:val="FootnoteReference"/>
        </w:rPr>
        <w:footnoteReference w:customMarkFollows="1" w:id="204"/>
        <w:t xml:space="preserve">9</w:t>
      </w:r>
      <w:r>
        <w:t xml:space="preserve"> </w:t>
      </w:r>
      <w:r>
        <w:t xml:space="preserve">Crestview believed it was giving the Small Holders "a great discount," and Crestview received about $8.2 million from these 2012 distributions.</w:t>
      </w:r>
      <w:r>
        <w:rPr>
          <w:rStyle w:val="FootnoteReference"/>
        </w:rPr>
        <w:footnoteReference w:customMarkFollows="1" w:id="222"/>
        <w:t xml:space="preserve">10</w:t>
      </w:r>
    </w:p>
    <w:p>
      <w:pPr>
        <w:pStyle w:val="CaseBody"/>
      </w:pPr>
      <w:r>
        <w:t xml:space="preserve">As Crestview explored an exit from Oxbow around the time the Small Holders were admitted, Morgan Stanley was advising Oxbow and Crestview that Oxbow's units could be publicly offered at around $400 per unit and that the stock would trade up to around $500 per unit. The LLC Agreement provided Crestview with an option to exit Oxbow via the Put Right beginning on May 8, 2014, the seventh anniversary of the effective date of its investment. Alternatively, if the put failed, Crestview could force an Exit Sale of all Oxbow's units under certain conditions. One of those conditions is that a Member cannot be forced to sell its units in the Exit Sale unless the Member has received distributions equal to or higher than 1.5 times the Member's initial contribution (the "1.5x Clause"). By the time Oxbow admitted the Small Holders, the other Members had received returns sufficient to meet the 1.5x Clause. The Small Holders, however, required a return of $414 per unit, taking into account distributions that had already been paid to them, to satisfy the 1.5x Clause at the time of an Exit Sale. The Court of Chancery found that "[t]here is some reason to think that Crestview's principals were not overly concerned with the issuances to the Small Holders because of the valuation that they placed on Oxbow," which they projected "at close to $560 per unit" for a potential exit in 2015.</w:t>
      </w:r>
      <w:r>
        <w:rPr>
          <w:rStyle w:val="FootnoteReference"/>
        </w:rPr>
        <w:footnoteReference w:customMarkFollows="1" w:id="239"/>
        <w:t xml:space="preserve">11</w:t>
      </w:r>
    </w:p>
    <w:p>
      <w:pPr>
        <w:pStyle w:val="CaseBody"/>
      </w:pPr>
      <w:r>
        <w:t xml:space="preserve">By 2013, Koch had become concerned that Crestview was focused on achieving liquidity for its investment. In response to this concern, Crestview agreed to postpone the date by which it could exercise its Put Right for Oxbow to buy its units, or, in the event Oxbow rejected the Put Right, its right to force an Exit Sale. Crestview and Oxbow amended the LLC Agreement to incorporate this postponement, which they repeated three times before litigation commenced.</w:t>
      </w:r>
      <w:r>
        <w:rPr>
          <w:rStyle w:val="FootnoteReference"/>
        </w:rPr>
        <w:footnoteReference w:customMarkFollows="1" w:id="255"/>
        <w:t xml:space="preserve">12</w:t>
      </w:r>
      <w:r>
        <w:t xml:space="preserve"> </w:t>
      </w:r>
      <w:r>
        <w:t xml:space="preserve">In February 2014, with the Minority Members' seven-year holding period coming to an end, the parties negotiated Amendment No. 3. The amendment, negotiated after the Small Holders invested, addressed the Exit Sale Right. Notably, the Minority Members did not bargain for a change to the "all, but not less than all"</w:t>
      </w:r>
      <w:r>
        <w:rPr>
          <w:rStyle w:val="FootnoteReference"/>
        </w:rPr>
        <w:footnoteReference w:customMarkFollows="1" w:id="271"/>
        <w:t xml:space="preserve">13</w:t>
      </w:r>
      <w:r>
        <w:t xml:space="preserve"> </w:t>
      </w:r>
      <w:r>
        <w:t xml:space="preserve">language in the definition of "Exit Sale," even though the parties removed that limitation for the Minority Members' Put Right.</w:t>
      </w:r>
      <w:r>
        <w:rPr>
          <w:rStyle w:val="FootnoteReference"/>
        </w:rPr>
        <w:footnoteReference w:customMarkFollows="1" w:id="287"/>
        <w:t xml:space="preserve">14</w:t>
      </w:r>
    </w:p>
    <w:p>
      <w:pPr>
        <w:pStyle w:val="CaseBody"/>
      </w:pPr>
      <w:r>
        <w:t xml:space="preserve">With an Exit Sale looming, Oxbow searched for replacement capital to redeem Crestview's units. During that process, Christina O'Donnell became a key player. O'Donnell had begun working with Koch as a consultant to his family office, Renegade Management, Inc., where she performed well and gained Koch's trust. In 2014, Koch elevated O'Donnell to become a member of Oxbow's Board and CEO of Renegade Management. She also served as the president of Family LLC and Vice President of Oxbow Holdings. These positions gave O'Donnell significant oversight responsibility of Koch's financial holdings.</w:t>
      </w:r>
    </w:p>
    <w:p>
      <w:pPr>
        <w:pStyle w:val="CaseBody"/>
      </w:pPr>
      <w:r>
        <w:t xml:space="preserve">In the midst of a "management crisis" in December 2014 and early 2015, however, O'Donnell developed close relationships with Eric Johnson, Oxbow's President, and Volpert and Hurst. Johnson was at odds with Koch and felt indebted to Crestview following his promotion to President of Oxbow. Eventually, O'Donnell, Johnson, Volpert, and Hurst concluded that Koch should step down from Oxbow's leadership. They evaluated several options, including purchasing enough of Koch's units to acquire control, empowering Johnson to run Oxbow, or bringing in an outside investor to purchase enough of Koch's units to give Crestview and the new investor a majority stake. When they attempted to convince Koch to take a leave of absence to address personal matters, Koch viewed their suggestion as an attempt to undermine his control.</w:t>
      </w:r>
    </w:p>
    <w:p>
      <w:pPr>
        <w:pStyle w:val="CaseBody"/>
      </w:pPr>
      <w:r>
        <w:t xml:space="preserve">Amid the heightening tension between Oxbow and Crestview, Koch instructed O'Donnell to run the capital-raising process necessary to purchase some or all of Crestview's units. Koch also informed O'Donnell that he did not want Crestview involved in that process. O'Donnell disregarded that instruction and continued working with Crestview to find outside investors in an effort to remove Koch. O'Donnell and Crestview communicated secretly, using private email accounts, texts, and phone calls. They also reported to potential investors that Koch would transition the CEO role to Johnson and sell enough equity to give up control of Oxbow-even though Koch had committed to do neither. As a result of their efforts, Oxbow received proposed term sheets from ArcLight, Energy Capital Partners, and Trilantic Capital Partners.</w:t>
      </w:r>
    </w:p>
    <w:p>
      <w:pPr>
        <w:pStyle w:val="CaseBody"/>
      </w:pPr>
      <w:r>
        <w:t xml:space="preserve">Koch disliked the proposed term sheets because he thought they threatened his control of Oxbow. At O'Donnell's suggestion, Koch sought legal counsel and hired Mintz, Levin, Cohen, Ferris, Glovsky &amp; Popeo, P.C. ("Mintz Levin") to advise him personally. Koch conferred with Mintz Levin and confirmed that the proposed term sheets would be disastrous for his control over Oxbow. Meanwhile, O'Donnell and Crestview attempted to promote a transaction with one of the three private equity firms, which would result in Koch giving up control in favor of Johnson. Koch and Mintz Levin concluded from these efforts "that O'Donnell, Johnson, and Crestview were trying to use the capital raise to stage a coup."</w:t>
      </w:r>
      <w:r>
        <w:rPr>
          <w:rStyle w:val="FootnoteReference"/>
        </w:rPr>
        <w:footnoteReference w:customMarkFollows="1" w:id="303"/>
        <w:t xml:space="preserve">15</w:t>
      </w:r>
      <w:r>
        <w:t xml:space="preserve"> </w:t>
      </w:r>
      <w:r>
        <w:t xml:space="preserve">Despite his feeling that O'Donnell had betrayed him, Koch opted to keep her at Oxbow.</w:t>
      </w:r>
    </w:p>
    <w:p>
      <w:pPr>
        <w:pStyle w:val="CaseBody"/>
      </w:pPr>
      <w:r>
        <w:t xml:space="preserve">Koch proceeded to take control of the capital-raising process, and, in June 2015, he informed the Board that Crestview's interests were at odds with Oxbow's interests. He further informed O'Donnell and Johnson that they could no longer be involved in the process. Crestview exercised its Put Right on September 28, 2015, and demanded that Oxbow purchase all of its units.</w:t>
      </w:r>
      <w:r>
        <w:rPr>
          <w:rStyle w:val="FootnoteReference"/>
        </w:rPr>
        <w:footnoteReference w:customMarkFollows="1" w:id="318"/>
        <w:t xml:space="preserve">16</w:t>
      </w:r>
      <w:r>
        <w:t xml:space="preserve"> </w:t>
      </w:r>
      <w:r>
        <w:t xml:space="preserve">Oxbow had until January 19, 2016, to accept the put and acquire the Minority Members' units. If it did not, Crestview could attempt to force an Exit Sale. Per the LLC Agreement, Oxbow Holdings sought to hire an investment banker and eventually retained Evercore Group L.L.C. ("Evercore") to conduct a valuation of Oxbow. If Evercore's valuation was within ten percent of the figure calculated by Crestview's investment banker, Duff &amp; Phelps, LLC, the fair market value for purposes of the Put Right would be the average of the two. Otherwise, the parties would retain a third investment bank and the median of the three valuations would control.</w:t>
      </w:r>
    </w:p>
    <w:p>
      <w:pPr>
        <w:pStyle w:val="CaseBody"/>
      </w:pPr>
      <w:r>
        <w:t xml:space="preserve">Meanwhile, Oxbow retained Goldman Sachs in October 2015 to raise capital capable of satisfying the put. None of the offers solicited by Goldman exceeded $120 per unit for a minority stake. The trial court found some evidence that the offers could have been low because of Crestview's attempt to influence this process. For example, Crestview continued back-channel discussions with Goldman and considered rolling some of its stake into a control deal with the bidder.</w:t>
      </w:r>
      <w:r>
        <w:rPr>
          <w:rStyle w:val="FootnoteReference"/>
        </w:rPr>
        <w:footnoteReference w:customMarkFollows="1" w:id="332"/>
        <w:t xml:space="preserve">17</w:t>
      </w:r>
      <w:r>
        <w:t xml:space="preserve"> </w:t>
      </w:r>
      <w:r>
        <w:t xml:space="preserve">O'Donnell and Johnson continued to secretly communicate with Crestview and held private meetings with possible bidders, including Trilantic and ArcLight.</w:t>
      </w:r>
    </w:p>
    <w:p>
      <w:pPr>
        <w:pStyle w:val="CaseBody"/>
      </w:pPr>
      <w:r>
        <w:t xml:space="preserve">During the valuation and bidding process, legal counsel for Koch and Oxbow explored ways to handle the put. Aside from Oxbow's preferred option-raising capital to accept the put, thereby nixing any Exit Sale-the attorneys for Koch and Oxbow proposed three options: (1) negotiate a reduced redemption amount with the Minority Members; (2) reject or ignore the put and permit Crestview to exercise its right to an Exit Sale, but then dispute the validity of the Exit Sale because the Small Holders did not satisfy the 1.5x Clause; or (3) accept the put and take the position that Oxbow only had the ability to redeem units periodically over time. Koch's advisors also proposed going public or merging with a public shell company, which would eliminate the Minority Members' ability to exercise the Put Right. However, Evercore advised that there was no time to conduct an IPO.</w:t>
      </w:r>
    </w:p>
    <w:p>
      <w:pPr>
        <w:pStyle w:val="CaseBody"/>
      </w:pPr>
      <w:r>
        <w:t xml:space="preserve">In November 2015, Evercore submitted its fair market valuation of Oxbow at $145 per unit-far lower than the Minority Members' valuation of $256.56. Because the valuations differed by more than ten percent, the parties hired Moelis &amp; Company, which advised that the fair market value of Oxbow was $169 per unit. As the median of the three valuations, this figure set the fair market value for the Put Right. The directors appointed by Oxbow Holdings unanimously rejected the put on January 19, 2016, and Koch instructed Oxbow and its counsel to "obstruct [and] derail" the Exit Sale.</w:t>
      </w:r>
      <w:r>
        <w:rPr>
          <w:rStyle w:val="FootnoteReference"/>
        </w:rPr>
        <w:footnoteReference w:customMarkFollows="1" w:id="346"/>
        <w:t xml:space="preserve">18</w:t>
      </w:r>
    </w:p>
    <w:p>
      <w:pPr>
        <w:pStyle w:val="CaseBody"/>
      </w:pPr>
      <w:r>
        <w:t xml:space="preserve">Crestview exercised its right to an Exit Sale on January 20, 2016. To kick off the Exit Sale process, Oxbow began looking for an investment bank to conduct the sale. Crestview had a strong preference for Goldman Sachs and, behind the scenes, Hurst, Volpert, Johnson, and O'Donnell discussed how to convince Koch to hire Goldman. O'Donnell, who now had been sidelined by Koch, emailed Johnson, saying:</w:t>
      </w:r>
    </w:p>
    <w:p>
      <w:pPr>
        <w:pStyle w:val="BlockText"/>
      </w:pPr>
      <w:r>
        <w:t xml:space="preserve">Let's take [Koch's] company from him quickly, not a day of relief, put him through the hell he put us through, let's find $30 million of cost savings if he's not running it. Let's make it very personal, just like he did.</w:t>
      </w:r>
    </w:p>
    <w:p>
      <w:pPr>
        <w:pStyle w:val="BlockText"/>
      </w:pPr>
      <w:r>
        <w:t xml:space="preserve">Let's remind him we know things about him as well. Let's take his plane, his job, and when it's over let's drink his wine before you take me dancing.</w:t>
      </w:r>
      <w:r>
        <w:rPr>
          <w:rStyle w:val="FootnoteReference"/>
        </w:rPr>
        <w:footnoteReference w:customMarkFollows="1" w:id="359"/>
        <w:t xml:space="preserve">19</w:t>
      </w:r>
    </w:p>
    <w:p>
      <w:pPr>
        <w:pStyle w:val="CaseBody"/>
      </w:pPr>
      <w:r>
        <w:t xml:space="preserve">Oxbow eventually hired Goldman Sachs, but Johnson and O'Donnell suggested that Crestview adopt "the ambush approach" and act as though they had little interest in selling, and then once Oxbow hired Goldman, they would "sell hard."</w:t>
      </w:r>
      <w:r>
        <w:rPr>
          <w:rStyle w:val="FootnoteReference"/>
        </w:rPr>
        <w:footnoteReference w:customMarkFollows="1" w:id="372"/>
        <w:t xml:space="preserve">20</w:t>
      </w:r>
      <w:r>
        <w:t xml:space="preserve"> </w:t>
      </w:r>
      <w:r>
        <w:t xml:space="preserve">On March 16, 2016, ArcLight sent Oxbow, Crestview, and Load Line a letter of intent to acquire one-hundred percent of Oxbow's equity for $176.59 per unit.</w:t>
      </w:r>
    </w:p>
    <w:p>
      <w:pPr>
        <w:pStyle w:val="CaseBody"/>
      </w:pPr>
      <w:r>
        <w:t xml:space="preserve">On June 10, 2016, the Koch Parties filed suit against the Minority Members, Hurst, and Volpert, primarily seeking a declaratory judgment that its interpretation of the LLC Agreement was correct and that the Small Holders could block the Exit Sale. After Koch initiated this litigation and fired Johnson, ArcLight dropped out, not wanting to buy into a pending lawsuit. When the Minority Members asserted counterclaims and sought a declaratory judgment to enforce their interpretation of the LLC Agreement, the Koch Parties filed a separate 144-page complaint against Crestview, Volpert, Hurst, O'Donnell, and Johnson, asserting additional claims of contractual and fiduciary breaches. The Court of Chancery consolidated the actions and the parties cross-moved for summary judgment.</w:t>
      </w:r>
    </w:p>
    <w:p>
      <w:pPr>
        <w:pStyle w:val="CaseBody"/>
      </w:pPr>
      <w:r>
        <w:t xml:space="preserve">In its summary judgment opinion, the Court of Chancery suggested that the Minority Members essentially made a "fairly litigable" implied covenant argument:</w:t>
      </w:r>
    </w:p>
    <w:p>
      <w:pPr>
        <w:pStyle w:val="BlockText"/>
      </w:pPr>
      <w:r>
        <w:t xml:space="preserve">The Minority Members stress that the 1.5x Return Clause would be satisfied except for the Small Holders. They argue with some force that given the overall structure of the agreement and the concept of the Exit Sale, they never would have agreed that investors with a stake as small as the Small Holders' would be able to block the operation of the Exit Sale Right. That is an implied covenant argument, and it is fairly litigable. One can posit that in the original bargaining position, had the current situation been discussed, then the Minority Members would have insisted on the ability to compensate the Small Holders separately, rather than lose the efficacy of the threat that put teeth into the Put Right. It is also true that the Company, [Oxbow Holdings], and Koch did not historically act as if the Small Holders were an impediment to the Exit Sale Right. But the current cross-motions for summary judgment are not about the implied covenant. They are about the plain language of the Exit Sale Right, which is contrary to the Minority Members' position.</w:t>
      </w:r>
      <w:r>
        <w:rPr>
          <w:rStyle w:val="FootnoteReference"/>
        </w:rPr>
        <w:footnoteReference w:customMarkFollows="1" w:id="385"/>
        <w:t xml:space="preserve">21</w:t>
      </w:r>
    </w:p>
    <w:p>
      <w:pPr>
        <w:pStyle w:val="CaseBody"/>
      </w:pPr>
      <w:r>
        <w:t xml:space="preserve">Although it had raised the implied covenant</w:t>
      </w:r>
      <w:r>
        <w:t xml:space="preserve"> </w:t>
      </w:r>
      <w:r>
        <w:rPr>
          <w:iCs/>
          <w:i/>
        </w:rPr>
        <w:t xml:space="preserve">sua sponte</w:t>
      </w:r>
      <w:r>
        <w:t xml:space="preserve"> </w:t>
      </w:r>
      <w:r>
        <w:t xml:space="preserve">, the court held in its summary judgment order that the "Highest Amount Interpretation" controlled. Under the Highest Amount Interpretation, to initiate an Exit Sale, each Oxbow Member must participate and receive 1.5 times its initial investment by</w:t>
      </w:r>
      <w:r>
        <w:t xml:space="preserve"> </w:t>
      </w:r>
      <w:r>
        <w:rPr>
          <w:iCs/>
          <w:i/>
        </w:rPr>
        <w:t xml:space="preserve">pro rata</w:t>
      </w:r>
      <w:r>
        <w:t xml:space="preserve"> </w:t>
      </w:r>
      <w:r>
        <w:t xml:space="preserve">distribution, resulting in equal consideration for each Member. The trial court rejected Crestview's primary interpretation-the "Leave Behind Theory"-which would allow Crestview to force an Exit Sale of all Members who met the 1.5x Clause through</w:t>
      </w:r>
      <w:r>
        <w:t xml:space="preserve"> </w:t>
      </w:r>
      <w:r>
        <w:rPr>
          <w:iCs/>
          <w:i/>
        </w:rPr>
        <w:t xml:space="preserve">pro rata</w:t>
      </w:r>
      <w:r>
        <w:t xml:space="preserve"> </w:t>
      </w:r>
      <w:r>
        <w:t xml:space="preserve">distribution of Exit Sale proceeds, while leaving behind Members who did not satisfy the 1.5x Clause.</w:t>
      </w:r>
    </w:p>
    <w:p>
      <w:pPr>
        <w:pStyle w:val="CaseBody"/>
      </w:pPr>
      <w:r>
        <w:t xml:space="preserve">Heeding the court's suggestion, the Minority Members amended their counterclaims and added a count for breach of the implied covenant of good faith and fair dealing. In their pre-trial briefing, the Minority Members argued that a contractual gap exists because: (1) the LLC Agreement does not expressly permit or prohibit a Top-Off (the "Top-Off Gap"),</w:t>
      </w:r>
      <w:r>
        <w:rPr>
          <w:rStyle w:val="FootnoteReference"/>
        </w:rPr>
        <w:footnoteReference w:customMarkFollows="1" w:id="398"/>
        <w:t xml:space="preserve">22</w:t>
      </w:r>
      <w:r>
        <w:t xml:space="preserve"> </w:t>
      </w:r>
      <w:r>
        <w:t xml:space="preserve">and (2) the Board had not determined the rights of the Small Holders (the "Small Holders' Rights Gap"). The Minority Members argued that the Top-Off Gap should be filled with a Top-Off payment, but they did not request a specific remedy as to the Small Holders' Rights Gap. In their post-trial briefing, the Minority Members abandoned the Small Holders' Rights Gap Theory, argued only the Top-Off Gap Theory, and claimed that the gap should be filled with a Top-Off payment.</w:t>
      </w:r>
    </w:p>
    <w:p>
      <w:pPr>
        <w:pStyle w:val="CaseBody"/>
      </w:pPr>
      <w:r>
        <w:t xml:space="preserve">The parties proceeded through discovery and to trial in July 2017. The Court of Chancery held that the Highest Amount Interpretation was the only reasonable reading of the LLC Agreement based on its plain language, but it ruled in favor of the Minority Members on the basis of the Small Holders' Rights Gap implied covenant theory. As explained more fully below, the trial court found a contractual "gap" concerning the Small Holders' admission. After finding a gap, the court used the implied covenant to allow the Minority Members to satisfy the Small Holders' 1.5x threshold using a Seller Top-Off, thereby allowing for an Exit Sale. On October 10, 2018, the Koch Parties appealed to this Court and the parties submitted a Joint Motion for Expedited Proceedings, which this Court granted on October 25, 2018.</w:t>
      </w:r>
    </w:p>
    <w:p>
      <w:pPr>
        <w:pStyle w:val="CaseBody"/>
      </w:pPr>
      <w:r>
        <w:rPr>
          <w:iCs/>
          <w:i/>
        </w:rPr>
        <w:t xml:space="preserve">II. Key Terms of the LLC Agreement</w:t>
      </w:r>
    </w:p>
    <w:p>
      <w:pPr>
        <w:pStyle w:val="CaseBody"/>
      </w:pPr>
      <w:r>
        <w:t xml:space="preserve">The terms central to this dispute concern the admission of the Small Holders and the provisions impacting the Exit Sale process. Under Article IV, Section 5 of the LLC Agreement, Oxbow's Board possesses the power to admit new Members (the "New Member Provision"). That section provides:</w:t>
      </w:r>
    </w:p>
    <w:p>
      <w:pPr>
        <w:pStyle w:val="BlockText"/>
      </w:pPr>
      <w:r>
        <w:t xml:space="preserve">Section 5.</w:t>
      </w:r>
      <w:r>
        <w:t xml:space="preserve"> </w:t>
      </w:r>
      <w:r>
        <w:rPr>
          <w:iCs/>
          <w:i/>
        </w:rPr>
        <w:t xml:space="preserve">Additional Members</w:t>
      </w:r>
      <w:r>
        <w:t xml:space="preserve">. Subject to Article XIII, Section 5, upon the approval of the Directors, additional Persons may be admitted to the Company as Members and Units may be created and issued to such Persons as determined by the Directors</w:t>
      </w:r>
      <w:r>
        <w:t xml:space="preserve"> </w:t>
      </w:r>
      <w:r>
        <w:rPr>
          <w:iCs/>
          <w:i/>
        </w:rPr>
        <w:t xml:space="preserve">on such terms and conditions as the Directors may determine at the time of admission</w:t>
      </w:r>
      <w:r>
        <w:t xml:space="preserve"> </w:t>
      </w:r>
      <w:r>
        <w:t xml:space="preserve">. The terms of admission</w:t>
      </w:r>
      <w:r>
        <w:t xml:space="preserve"> </w:t>
      </w:r>
      <w:r>
        <w:rPr>
          <w:iCs/>
          <w:i/>
        </w:rPr>
        <w:t xml:space="preserve">may provide for the creation of different classes or series of Units having different rights, powers and duties</w:t>
      </w:r>
      <w:r>
        <w:t xml:space="preserve"> </w:t>
      </w:r>
      <w:r>
        <w:t xml:space="preserve">. As a condition to being admitted as a Member of the Company, any Person must agree to be bound by the terms of this Agreement by executing and delivering a counterpart signature page to this Agreement, and make the representations and warranties set forth in Section 7 below as of the date of such Person's admission to the Company. The address, Percentage Interest and Capital Contribution of each such additional Member shall be added to</w:t>
      </w:r>
      <w:r>
        <w:t xml:space="preserve"> </w:t>
      </w:r>
      <w:r>
        <w:rPr>
          <w:iCs/>
          <w:i/>
        </w:rPr>
        <w:t xml:space="preserve">Exhibit A</w:t>
      </w:r>
      <w:r>
        <w:t xml:space="preserve">, which shall thereby be amended.</w:t>
      </w:r>
      <w:r>
        <w:rPr>
          <w:rStyle w:val="FootnoteReference"/>
        </w:rPr>
        <w:footnoteReference w:customMarkFollows="1" w:id="410"/>
        <w:t xml:space="preserve">23</w:t>
      </w:r>
    </w:p>
    <w:p>
      <w:pPr>
        <w:pStyle w:val="CaseBody"/>
      </w:pPr>
      <w:r>
        <w:t xml:space="preserve">The LLC Agreement defines "Member" in Article I:</w:t>
      </w:r>
    </w:p>
    <w:p>
      <w:pPr>
        <w:pStyle w:val="BlockText"/>
      </w:pPr>
      <w:r>
        <w:t xml:space="preserve">"</w:t>
      </w:r>
      <w:r>
        <w:rPr>
          <w:iCs/>
          <w:i/>
        </w:rPr>
        <w:t xml:space="preserve">Member</w:t>
      </w:r>
      <w:r>
        <w:t xml:space="preserve"> </w:t>
      </w:r>
      <w:r>
        <w:t xml:space="preserve">" or "</w:t>
      </w:r>
      <w:r>
        <w:rPr>
          <w:iCs/>
          <w:i/>
        </w:rPr>
        <w:t xml:space="preserve">Members</w:t>
      </w:r>
      <w:r>
        <w:t xml:space="preserve"> </w:t>
      </w:r>
      <w:r>
        <w:t xml:space="preserve">" means any Person named as a member of the Company on</w:t>
      </w:r>
      <w:r>
        <w:t xml:space="preserve"> </w:t>
      </w:r>
      <w:r>
        <w:rPr>
          <w:iCs/>
          <w:i/>
        </w:rPr>
        <w:t xml:space="preserve">Exhibit A</w:t>
      </w:r>
      <w:r>
        <w:t xml:space="preserve"> </w:t>
      </w:r>
      <w:r>
        <w:t xml:space="preserve">attached hereto and</w:t>
      </w:r>
      <w:r>
        <w:t xml:space="preserve"> </w:t>
      </w:r>
      <w:r>
        <w:rPr>
          <w:iCs/>
          <w:i/>
        </w:rPr>
        <w:t xml:space="preserve">includes any Person subsequently admitted as a Member</w:t>
      </w:r>
      <w:r>
        <w:t xml:space="preserve"> </w:t>
      </w:r>
      <w:r>
        <w:t xml:space="preserve">.</w:t>
      </w:r>
      <w:r>
        <w:rPr>
          <w:rStyle w:val="FootnoteReference"/>
        </w:rPr>
        <w:footnoteReference w:customMarkFollows="1" w:id="422"/>
        <w:t xml:space="preserve">24</w:t>
      </w:r>
    </w:p>
    <w:p>
      <w:pPr>
        <w:pStyle w:val="CaseBody"/>
      </w:pPr>
      <w:r>
        <w:t xml:space="preserve">The admission of additional Members requires certain formalities. Article XIII, Section 5(a) of the LLC Agreement (the "Preemptive Rights Provision") states: "Subject to the terms and conditions of this Section 5, each Member will have the right to purchase its '</w:t>
      </w:r>
      <w:r>
        <w:rPr>
          <w:iCs/>
          <w:i/>
        </w:rPr>
        <w:t xml:space="preserve">pro rata</w:t>
      </w:r>
      <w:r>
        <w:t xml:space="preserve"> </w:t>
      </w:r>
      <w:r>
        <w:t xml:space="preserve">share' of any Equity Securities (as defined below) that the Company may, from time to time, propose to issue and sell after the Effective Date...."</w:t>
      </w:r>
      <w:r>
        <w:rPr>
          <w:rStyle w:val="FootnoteReference"/>
        </w:rPr>
        <w:footnoteReference w:customMarkFollows="1" w:id="434"/>
        <w:t xml:space="preserve">25</w:t>
      </w:r>
      <w:r>
        <w:t xml:space="preserve"> </w:t>
      </w:r>
      <w:r>
        <w:t xml:space="preserve">The remainder of Section 5 contains additional procedural requirements regarding the issuance of new equity securities. Most notably, Section 5(b) requires written notice concerning new equity issuances:</w:t>
      </w:r>
    </w:p>
    <w:p>
      <w:pPr>
        <w:pStyle w:val="BlockText"/>
      </w:pPr>
      <w:r>
        <w:t xml:space="preserve">(b)</w:t>
      </w:r>
      <w:r>
        <w:t xml:space="preserve"> </w:t>
      </w:r>
      <w:r>
        <w:rPr>
          <w:iCs/>
          <w:i/>
        </w:rPr>
        <w:t xml:space="preserve">Exercise of Rights</w:t>
      </w:r>
      <w:r>
        <w:t xml:space="preserve"> </w:t>
      </w:r>
      <w:r>
        <w:t xml:space="preserve">. If the Company proposes to issue Equity Securities, the Company will give each Member written notice of its intention, describing the Equity Securities and the price and terms and conditions upon which such Equity Securities are to be issued and/or sold. Such Member will have 20 calendar days from its receipt of such notice to elect to purchase up to its</w:t>
      </w:r>
      <w:r>
        <w:t xml:space="preserve"> </w:t>
      </w:r>
      <w:r>
        <w:rPr>
          <w:iCs/>
          <w:i/>
        </w:rPr>
        <w:t xml:space="preserve">pro rata</w:t>
      </w:r>
      <w:r>
        <w:t xml:space="preserve"> </w:t>
      </w:r>
      <w:r>
        <w:t xml:space="preserve">share of the Equity Securities for the price and upon the terms and conditions specified in the notice by providing written notice to the Company which include the quantity of Equity Securities to be purchased. Notwithstanding the foregoing, the Company will not be required to offer or sell such Equity Securities to such Member if such action would result in any of the consequences set forth in Article XIII, Section 2(a)-(e).</w:t>
      </w:r>
      <w:r>
        <w:rPr>
          <w:rStyle w:val="FootnoteReference"/>
        </w:rPr>
        <w:footnoteReference w:customMarkFollows="1" w:id="445"/>
        <w:t xml:space="preserve">26</w:t>
      </w:r>
    </w:p>
    <w:p>
      <w:pPr>
        <w:pStyle w:val="CaseBody"/>
      </w:pPr>
      <w:r>
        <w:t xml:space="preserve">Additionally, certain related-party transactions are prohibited absent supermajority approval by the Board under the Related Party Provision:</w:t>
      </w:r>
    </w:p>
    <w:p>
      <w:pPr>
        <w:pStyle w:val="BlockText"/>
      </w:pPr>
      <w:r>
        <w:t xml:space="preserve">(d) Except as contemplated in an Approved Summary Annual Budget, the Company shall not take, and shall cause its Subsidiaries not to take, any of the following actions without a Supermajority Vote (</w:t>
      </w:r>
      <w:r>
        <w:rPr>
          <w:iCs/>
          <w:i/>
        </w:rPr>
        <w:t xml:space="preserve">provided</w:t>
      </w:r>
      <w:r>
        <w:t xml:space="preserve">, that the consent of the Crestview Directors (only one of which shall be required to consent) and the Load Line Director shall not be unreasonably withheld, delayed or conditioned in any event):</w:t>
      </w:r>
    </w:p>
    <w:p>
      <w:pPr>
        <w:pStyle w:val="BlockText"/>
      </w:pPr>
      <w:r>
        <w:t xml:space="preserve">...</w:t>
      </w:r>
    </w:p>
    <w:p>
      <w:pPr>
        <w:pStyle w:val="BlockText"/>
      </w:pPr>
      <w:r>
        <w:t xml:space="preserve">(11) the Company's or any Subsidiary's entering into, terminating or amending any transaction, agreement or arrangement with or for the benefit of any Member or any of its Affiliates (or any member of their "immediate family" as such term is defined in Rule 16a-1 of the Securities Exchange Act of 1934) ....</w:t>
      </w:r>
      <w:r>
        <w:rPr>
          <w:rStyle w:val="FootnoteReference"/>
        </w:rPr>
        <w:footnoteReference w:customMarkFollows="1" w:id="456"/>
        <w:t xml:space="preserve">27</w:t>
      </w:r>
    </w:p>
    <w:p>
      <w:pPr>
        <w:pStyle w:val="CaseBody"/>
      </w:pPr>
      <w:r>
        <w:t xml:space="preserve">Article XIII, Section 8(a) of the LLC Agreement contains the Minority Members' Put Right:</w:t>
      </w:r>
    </w:p>
    <w:p>
      <w:pPr>
        <w:pStyle w:val="BlockText"/>
      </w:pPr>
      <w:r>
        <w:t xml:space="preserve">(a) Subject to the terms herein, and provided that the Company (or its successor) is not Publicly Traded, Crestview shall possess the right and option (the "Put Right"), exercisable in its sole discretion, to require the Company to purchase in cash for Fair Market Value (the "Put Price") all or any portion of the Member Interest and Units then held by Crestview, but in no case less than twenty-five percent (25%) of the Member Interest and Units held by Crestview prior to the first such exercise of its Put Right.... In the event Crestview does not exercise its Put Right within sixty (60) calendar days following an event described in the foregoing clauses (ii) or (iii), Load Line shall possess the Put Right, subject to the same limitations described herein (including the foregoing proviso)....</w:t>
      </w:r>
      <w:r>
        <w:rPr>
          <w:rStyle w:val="FootnoteReference"/>
        </w:rPr>
        <w:footnoteReference w:customMarkFollows="1" w:id="466"/>
        <w:t xml:space="preserve">28</w:t>
      </w:r>
    </w:p>
    <w:p>
      <w:pPr>
        <w:pStyle w:val="CaseBody"/>
      </w:pPr>
      <w:r>
        <w:t xml:space="preserve">Amended Section 8(e) of Article XIII (the "Exit Sale Right") sets forth the rights of the Minority Members in the event that Oxbow rejects the put:</w:t>
      </w:r>
    </w:p>
    <w:p>
      <w:pPr>
        <w:pStyle w:val="BlockText"/>
      </w:pPr>
      <w:r>
        <w:t xml:space="preserve">(e) If (x) the Company rejects the Put Notice in writing or fails to respond to the Put Notice within 180 calendar days of its receipt and (y) the Company is not Publicly Traded:</w:t>
      </w:r>
    </w:p>
    <w:p>
      <w:pPr>
        <w:pStyle w:val="BlockText"/>
      </w:pPr>
      <w:r>
        <w:t xml:space="preserve">(A) if at such time Crestview owns ten percent (10%) or more of the outstanding Member Interests and Units of the Company,</w:t>
      </w:r>
      <w:r>
        <w:t xml:space="preserve"> </w:t>
      </w:r>
      <w:r>
        <w:rPr>
          <w:iCs/>
          <w:i/>
        </w:rPr>
        <w:t xml:space="preserve">the Exercising Put Party may require all of the Members to engage in an Exit Sale, on the terms set forth in Section 7(c), Section 7(d) and Section 9(b)</w:t>
      </w:r>
      <w:r>
        <w:t xml:space="preserve"> </w:t>
      </w:r>
      <w:r>
        <w:t xml:space="preserve">, in which the aggregate consideration to be received by such Members at the closing of such Exit Sale equal or exceed Fair Market Value;</w:t>
      </w:r>
      <w:r>
        <w:t xml:space="preserve"> </w:t>
      </w:r>
      <w:r>
        <w:rPr>
          <w:iCs/>
          <w:i/>
        </w:rPr>
        <w:t xml:space="preserve">provided, that the Exercising Put Party may not require any other Member to engage in such Exit Sale unless the resulting proceeds to such Member (when combined with all prior distributions to such Member) equal at least 1.5 times such Member's aggregate Capital Contributions through such date</w:t>
      </w:r>
      <w:r>
        <w:t xml:space="preserve"> </w:t>
      </w:r>
      <w:r>
        <w:t xml:space="preserve">....</w:t>
      </w:r>
      <w:r>
        <w:rPr>
          <w:rStyle w:val="FootnoteReference"/>
        </w:rPr>
        <w:footnoteReference w:customMarkFollows="1" w:id="476"/>
        <w:t xml:space="preserve">29</w:t>
      </w:r>
    </w:p>
    <w:p>
      <w:pPr>
        <w:pStyle w:val="CaseBody"/>
      </w:pPr>
      <w:r>
        <w:t xml:space="preserve">The definition of an "Exit Sale" is essential to the interpretation of the Exit Sale Right. Article I of the LLC Agreement defines an Exit Sale as:</w:t>
      </w:r>
    </w:p>
    <w:p>
      <w:pPr>
        <w:pStyle w:val="BlockText"/>
      </w:pPr>
      <w:r>
        <w:t xml:space="preserve">[A] Transfer of</w:t>
      </w:r>
      <w:r>
        <w:t xml:space="preserve"> </w:t>
      </w:r>
      <w:r>
        <w:rPr>
          <w:iCs/>
          <w:i/>
        </w:rPr>
        <w:t xml:space="preserve">all, but not less than all</w:t>
      </w:r>
      <w:r>
        <w:t xml:space="preserve"> </w:t>
      </w:r>
      <w:r>
        <w:t xml:space="preserve">, of the then-outstanding Equity Securities of the Company and/or all of the assets of the Company to any non-Affiliated Person(s) in a bona fide arms'-length transaction or series of related transactions (including by way of a purchase agreement, tender offer, merger or other business combination transaction or otherwise).</w:t>
      </w:r>
      <w:r>
        <w:rPr>
          <w:rStyle w:val="FootnoteReference"/>
        </w:rPr>
        <w:footnoteReference w:customMarkFollows="1" w:id="484"/>
        <w:t xml:space="preserve">30</w:t>
      </w:r>
    </w:p>
    <w:p>
      <w:pPr>
        <w:pStyle w:val="CaseBody"/>
      </w:pPr>
      <w:r>
        <w:t xml:space="preserve">A transfer requires "all, but not less than all" Equity Securities (the "All Securities Clause"). Thus, for an Exit Sale to take place at the unitholder level, the All Securities Clause means that no Member can be left behind.</w:t>
      </w:r>
    </w:p>
    <w:p>
      <w:pPr>
        <w:pStyle w:val="CaseBody"/>
      </w:pPr>
      <w:r>
        <w:t xml:space="preserve">Upon the exercise of the Exit Sale Right, the parties had an obligation to use "reasonable efforts" to effectuate the Exit Sale under Article XIII, Section 8(f) (the "Reasonable Efforts Provision"):</w:t>
      </w:r>
    </w:p>
    <w:p>
      <w:pPr>
        <w:pStyle w:val="BlockText"/>
      </w:pPr>
      <w:r>
        <w:t xml:space="preserve">(f) If the Exercising Put Party elects to require all of the Members to engage in an Exit Sale pursuant to Section 8(e) above ...</w:t>
      </w:r>
      <w:r>
        <w:t xml:space="preserve"> </w:t>
      </w:r>
      <w:r>
        <w:rPr>
          <w:iCs/>
          <w:i/>
        </w:rPr>
        <w:t xml:space="preserve">each party hereto agrees to use its reasonable efforts to take or cause to be taken or do or cause to be done all things necessary or desirable to effect such Exit Sale</w:t>
      </w:r>
      <w:r>
        <w:t xml:space="preserve"> </w:t>
      </w:r>
      <w:r>
        <w:t xml:space="preserve">. Without limiting the generality of the foregoing, each Member shall vote for, consent to and raise no objections against any Exit Sale pursuant to this Section 8(f) and shall enter into customary definitive agreements in connection therewith.</w:t>
      </w:r>
      <w:r>
        <w:rPr>
          <w:rStyle w:val="FootnoteReference"/>
        </w:rPr>
        <w:footnoteReference w:customMarkFollows="1" w:id="492"/>
        <w:t xml:space="preserve">31</w:t>
      </w:r>
    </w:p>
    <w:p>
      <w:pPr>
        <w:pStyle w:val="CaseBody"/>
      </w:pPr>
      <w:r>
        <w:t xml:space="preserve">As stated in the Exit Sale Right, any Exit Sale must take place "on the terms set forth in [Article XIII,] Section 7(c), Section 7(d) and Section 9(b)" (collectively, the "Equal Treatment Requirements"). Section 7(c) provides for a</w:t>
      </w:r>
      <w:r>
        <w:t xml:space="preserve"> </w:t>
      </w:r>
      <w:r>
        <w:rPr>
          <w:iCs/>
          <w:i/>
        </w:rPr>
        <w:t xml:space="preserve">pro rata</w:t>
      </w:r>
      <w:r>
        <w:t xml:space="preserve"> </w:t>
      </w:r>
      <w:r>
        <w:t xml:space="preserve">allocation of expenses for an Exit Sale:</w:t>
      </w:r>
    </w:p>
    <w:p>
      <w:pPr>
        <w:pStyle w:val="BlockText"/>
      </w:pPr>
      <w:r>
        <w:t xml:space="preserve">(c) In the case of both a Tag-Along Transfer and an Exit Sale, each Member shall be obligated to pay only its</w:t>
      </w:r>
      <w:r>
        <w:t xml:space="preserve"> </w:t>
      </w:r>
      <w:r>
        <w:rPr>
          <w:iCs/>
          <w:i/>
        </w:rPr>
        <w:t xml:space="preserve">pro rata</w:t>
      </w:r>
      <w:r>
        <w:t xml:space="preserve"> </w:t>
      </w:r>
      <w:r>
        <w:t xml:space="preserve">share (based on the aggregate consideration received by such Member in respect of the Units Transferred by such Member) of expenses incurred in connection with a consummated Tag-Along Transfer or Exit Sale to the extent such expenses are incurred for the benefit of all Members and are not otherwise paid by the Company or another Person.</w:t>
      </w:r>
      <w:r>
        <w:rPr>
          <w:rStyle w:val="FootnoteReference"/>
        </w:rPr>
        <w:footnoteReference w:customMarkFollows="1" w:id="500"/>
        <w:t xml:space="preserve">32</w:t>
      </w:r>
    </w:p>
    <w:p>
      <w:pPr>
        <w:pStyle w:val="CaseBody"/>
      </w:pPr>
      <w:r>
        <w:t xml:space="preserve">Importantly, Section 7(d) states that any Exit Sale must be on equal terms and conditions (the "Equal Treatment Provision"): "In the case of both a Tag-Along Transfer and an Exit Sale, (A)</w:t>
      </w:r>
      <w:r>
        <w:t xml:space="preserve"> </w:t>
      </w:r>
      <w:r>
        <w:rPr>
          <w:iCs/>
          <w:i/>
        </w:rPr>
        <w:t xml:space="preserve">each Unit Transferred in such Tag-Along Transfer and Exit Sale shall be Transferred on the same terms and conditions as each other Unit so Transferred</w:t>
      </w:r>
      <w:r>
        <w:t xml:space="preserve"> </w:t>
      </w:r>
      <w:r>
        <w:t xml:space="preserve">...."</w:t>
      </w:r>
      <w:r>
        <w:rPr>
          <w:rStyle w:val="FootnoteReference"/>
        </w:rPr>
        <w:footnoteReference w:customMarkFollows="1" w:id="508"/>
        <w:t xml:space="preserve">33</w:t>
      </w:r>
      <w:r>
        <w:t xml:space="preserve"> </w:t>
      </w:r>
      <w:r>
        <w:t xml:space="preserve">And like Section 7(c), Section 9(b) provides for a</w:t>
      </w:r>
      <w:r>
        <w:t xml:space="preserve"> </w:t>
      </w:r>
      <w:r>
        <w:rPr>
          <w:iCs/>
          <w:i/>
        </w:rPr>
        <w:t xml:space="preserve">pro rata</w:t>
      </w:r>
      <w:r>
        <w:t xml:space="preserve"> </w:t>
      </w:r>
      <w:r>
        <w:t xml:space="preserve">allocation of indemnification expenses:</w:t>
      </w:r>
    </w:p>
    <w:p>
      <w:pPr>
        <w:pStyle w:val="BlockText"/>
      </w:pPr>
      <w:r>
        <w:t xml:space="preserve">(b) No Member shall be obligated in connection with any such Exit Sale (i) to agree to indemnify or hold harmless the Person to whom the Units are being sold with respect to any indemnification or other obligation in an amount in excess of the net proceeds paid to the such [sic] Member in connection with such Exit Sale or (ii) to enter into any non-competition, non-solicitation or other similar arrangement;</w:t>
      </w:r>
      <w:r>
        <w:t xml:space="preserve"> </w:t>
      </w:r>
      <w:r>
        <w:rPr>
          <w:iCs/>
          <w:i/>
        </w:rPr>
        <w:t xml:space="preserve">provided</w:t>
      </w:r>
      <w:r>
        <w:t xml:space="preserve">,</w:t>
      </w:r>
      <w:r>
        <w:t xml:space="preserve"> </w:t>
      </w:r>
      <w:r>
        <w:rPr>
          <w:iCs/>
          <w:i/>
        </w:rPr>
        <w:t xml:space="preserve">further</w:t>
      </w:r>
      <w:r>
        <w:t xml:space="preserve">, that such indemnification or other obligations shall be</w:t>
      </w:r>
      <w:r>
        <w:t xml:space="preserve"> </w:t>
      </w:r>
      <w:r>
        <w:rPr>
          <w:iCs/>
          <w:i/>
        </w:rPr>
        <w:t xml:space="preserve">pro rata</w:t>
      </w:r>
      <w:r>
        <w:t xml:space="preserve"> </w:t>
      </w:r>
      <w:r>
        <w:t xml:space="preserve">as among the Members other than with respect to representations made individually by a Member (e.g., representations as to title or authority of such Member or the lack of any encumbrance on any of the Units to be sold by such Member).</w:t>
      </w:r>
      <w:r>
        <w:t xml:space="preserve"> </w:t>
      </w:r>
      <w:r>
        <w:rPr>
          <w:iCs/>
          <w:i/>
        </w:rPr>
        <w:t xml:space="preserve">Allocation of the aggregate purchase price payable in an Exit Sale</w:t>
      </w:r>
      <w:r>
        <w:t xml:space="preserve"> </w:t>
      </w:r>
      <w:r>
        <w:t xml:space="preserve">will be determined by assuming that the aggregate purchase price was distributed to [Oxbow Holdings] and the remaining Members</w:t>
      </w:r>
      <w:r>
        <w:t xml:space="preserve"> </w:t>
      </w:r>
      <w:r>
        <w:rPr>
          <w:iCs/>
          <w:i/>
        </w:rPr>
        <w:t xml:space="preserve">in accordance with Article XI, Section 1</w:t>
      </w:r>
      <w:r>
        <w:t xml:space="preserve"> </w:t>
      </w:r>
      <w:r>
        <w:t xml:space="preserve">hereof.</w:t>
      </w:r>
      <w:r>
        <w:rPr>
          <w:rStyle w:val="FootnoteReference"/>
        </w:rPr>
        <w:footnoteReference w:customMarkFollows="1" w:id="516"/>
        <w:t xml:space="preserve">34</w:t>
      </w:r>
    </w:p>
    <w:p>
      <w:pPr>
        <w:pStyle w:val="CaseBody"/>
      </w:pPr>
      <w:r>
        <w:t xml:space="preserve">The last sentence of the provision quoted above states that proceeds from an Exit Sale will be distributed in accordance with Article XI, Section 1 (the "Distribution Provision"), which in turn refers to Section 2 of Article XI. These sections provide:</w:t>
      </w:r>
    </w:p>
    <w:p>
      <w:pPr>
        <w:pStyle w:val="BlockText"/>
      </w:pPr>
      <w:r>
        <w:t xml:space="preserve">Section 1.</w:t>
      </w:r>
      <w:r>
        <w:t xml:space="preserve"> </w:t>
      </w:r>
      <w:r>
        <w:rPr>
          <w:iCs/>
          <w:i/>
        </w:rPr>
        <w:t xml:space="preserve">Distributions</w:t>
      </w:r>
      <w:r>
        <w:t xml:space="preserve">. Subject to such conditions as may be imposed under any Financing Arrangements and to the prior payment of distributions pursuant to Article XI, Section 2,</w:t>
      </w:r>
      <w:r>
        <w:t xml:space="preserve"> </w:t>
      </w:r>
      <w:r>
        <w:rPr>
          <w:iCs/>
          <w:i/>
        </w:rPr>
        <w:t xml:space="preserve">all Net Cash Flow shall be distributed on a quarterly basis to the Members in accordance with their Percentage Interests</w:t>
      </w:r>
      <w:r>
        <w:t xml:space="preserve"> </w:t>
      </w:r>
      <w:r>
        <w:t xml:space="preserve">within 45 calendar days after the end of each Fiscal Quarter ....</w:t>
      </w:r>
    </w:p>
    <w:p>
      <w:pPr>
        <w:pStyle w:val="BlockText"/>
      </w:pPr>
      <w:r>
        <w:t xml:space="preserve">Section 2.</w:t>
      </w:r>
      <w:r>
        <w:t xml:space="preserve"> </w:t>
      </w:r>
      <w:r>
        <w:rPr>
          <w:iCs/>
          <w:i/>
        </w:rPr>
        <w:t xml:space="preserve">Mandatory Distributions</w:t>
      </w:r>
      <w:r>
        <w:t xml:space="preserve">. Prior to making any distributions in respect of any quarter pursuant to Article XI, Section 2, the Company will make quarterly distributions to each Member, to the extent of Net Cash Flow, in an amount equal to such Member's Maximum Permitted Tax Amount; provided, that if the amount of Net Cash Flow is not sufficient to make the foregoing payments in full, the amount that is available will be distributed in the same proportion as if the full amount were available....</w:t>
      </w:r>
      <w:r>
        <w:rPr>
          <w:rStyle w:val="FootnoteReference"/>
        </w:rPr>
        <w:footnoteReference w:customMarkFollows="1" w:id="524"/>
        <w:t xml:space="preserve">35</w:t>
      </w:r>
    </w:p>
    <w:p>
      <w:pPr>
        <w:pStyle w:val="CaseBody"/>
      </w:pPr>
      <w:r>
        <w:t xml:space="preserve">Thus, Section 2 of Article XI states that, prior to quarterly distributions, Oxbow will first pay the Members "in an amount equal to such Member's Maximum Permitted Tax Amount ...."</w:t>
      </w:r>
      <w:r>
        <w:rPr>
          <w:rStyle w:val="FootnoteReference"/>
        </w:rPr>
        <w:footnoteReference w:customMarkFollows="1" w:id="532"/>
        <w:t xml:space="preserve">36</w:t>
      </w:r>
      <w:r>
        <w:t xml:space="preserve"> </w:t>
      </w:r>
      <w:r>
        <w:t xml:space="preserve">After that, Section 1 of Article XI provides that the remaining Net Cash Flow-including the Exit Sale proceeds-will be distributed "in accordance with their Percentage Interests."</w:t>
      </w:r>
      <w:r>
        <w:rPr>
          <w:rStyle w:val="FootnoteReference"/>
        </w:rPr>
        <w:footnoteReference w:customMarkFollows="1" w:id="539"/>
        <w:t xml:space="preserve">37</w:t>
      </w:r>
    </w:p>
    <w:p>
      <w:pPr>
        <w:pStyle w:val="CaseBody"/>
      </w:pPr>
      <w:r>
        <w:rPr>
          <w:iCs/>
          <w:i/>
        </w:rPr>
        <w:t xml:space="preserve">III. The Court of Chancery's Decision</w:t>
      </w:r>
    </w:p>
    <w:p>
      <w:pPr>
        <w:pStyle w:val="CaseBody"/>
      </w:pPr>
      <w:r>
        <w:t xml:space="preserve">The Court of Chancery first evaluated the Small Holders' status as Members and held that they had not been properly admitted, but that the doctrine of laches barred the Minority Members' claim that they were not Members. Next, the court considered competing interpretations of the LLC Agreement to determine whether the Minority Members could force an Exit Sale. The court held that the plain language of the LLC Agreement did not allow the Minority Members to force an Exit Sale unless the Small Holders would receive 1.5x their initial capital contributions in the transaction, taking into account distributions received. Because the per unit amount must clear this requirement for every Member, and because every Member must receive the same amount, all Members must receive the highest amount needed to satisfy the 1.5x Clause for any particular Member. However, the court further held that a gap exists in the LLC Agreement relating to the terms on which the Small Holders had become Members. Relying on the implied covenant, the court "filled the gap" with a Seller Top-Off and held that the Minority Members can force an Exit Sale. Finally, the court held that Oxbow breached the Reasonable Efforts Provision, and, in a later opinion, crafted remedies in favor of the Minority Members.</w:t>
      </w:r>
      <w:r>
        <w:rPr>
          <w:rStyle w:val="FootnoteReference"/>
        </w:rPr>
        <w:footnoteReference w:customMarkFollows="1" w:id="546"/>
        <w:t xml:space="preserve">38</w:t>
      </w:r>
    </w:p>
    <w:p>
      <w:pPr>
        <w:pStyle w:val="CaseBody"/>
      </w:pPr>
      <w:r>
        <w:t xml:space="preserve">The trial court issued a 176-page post-trial opinion detailing the extrinsic evidence relating to the LLC Agreement and conduct of the parties, which it ultimately determined to be irrelevant in analyzing the plain meaning of the LLC Agreement. Because we conclude that the court erred in employing the implied covenant to imply a Seller Top-Off right, and because we agree with the Vice Chancellor's analysis of the plain meaning of the LLC Agreement, we confine our discussion below to those aspects of the trial court's post-trial decision.</w:t>
      </w:r>
    </w:p>
    <w:p>
      <w:pPr>
        <w:pStyle w:val="CaseBody"/>
      </w:pPr>
      <w:r>
        <w:rPr>
          <w:iCs/>
          <w:i/>
        </w:rPr>
        <w:t xml:space="preserve">A. The Small Holders' Status as Members</w:t>
      </w:r>
    </w:p>
    <w:p>
      <w:pPr>
        <w:pStyle w:val="CaseBody"/>
      </w:pPr>
      <w:r>
        <w:t xml:space="preserve">The Minority Members argued at trial that Oxbow did not properly admit the Small Holders in 2011 and 2012. Specifically, Oxbow did not comply with the Preemptive Rights Provision, obtain supermajority approval under the Related Party Provision, or obtain the proper signatures, representations, and warranties under the New Member Provision at the time of the Small Holders' investment.</w:t>
      </w:r>
    </w:p>
    <w:p>
      <w:pPr>
        <w:pStyle w:val="CaseBody"/>
      </w:pPr>
      <w:r>
        <w:t xml:space="preserve">The Court of Chancery held that Oxbow had the power as an entity to issue new units and to admit new Members, and so the failures to comply with the LLC Agreement were voidable acts subject to equitable defenses.</w:t>
      </w:r>
      <w:r>
        <w:rPr>
          <w:rStyle w:val="FootnoteReference"/>
        </w:rPr>
        <w:footnoteReference w:customMarkFollows="1" w:id="553"/>
        <w:t xml:space="preserve">39</w:t>
      </w:r>
      <w:r>
        <w:t xml:space="preserve"> </w:t>
      </w:r>
      <w:r>
        <w:t xml:space="preserve">The court also found that, since 2011 and 2012, all relevant parties-including the Minority Members-had treated the Small Holders as valid Members. To support that conclusion, the court relied on the following facts:</w:t>
      </w:r>
    </w:p>
    <w:p>
      <w:pPr>
        <w:pStyle w:val="BlockText"/>
      </w:pPr>
      <w:r>
        <w:t xml:space="preserve">• The Minority Members' Board representatives were present and participated in the 2011 vote to issue new units to the Small Holders. As part of the admission of the Small Holders, Crestview received about $8.2 million and its representatives believed that they were being undercompensated relative to Oxbow's true value.</w:t>
      </w:r>
    </w:p>
    <w:p>
      <w:pPr>
        <w:pStyle w:val="BlockText"/>
      </w:pPr>
      <w:r>
        <w:t xml:space="preserve">• In 2012, Oxbow began listing the Small Holders as Members in a section of the monthly management reports titled "Member Equity." Specifically, the January 2012 report listed Family LLC as a Member and showed that $20 million had been distributed to the Members. Likewise, the April 2012 report listed Executive LLC as a Member and showed the distribution of $15 million. The Minority Members received these reports for seventy-two consecutive months.</w:t>
      </w:r>
    </w:p>
    <w:p>
      <w:pPr>
        <w:pStyle w:val="BlockText"/>
      </w:pPr>
      <w:r>
        <w:t xml:space="preserve">• Oxbow's audited financial statements for 2011, 2012, and 2013, which the Minority Members received, reported the issuance of units to the Small Holders and identified those entities as Koch-controlled affiliates.</w:t>
      </w:r>
    </w:p>
    <w:p>
      <w:pPr>
        <w:pStyle w:val="BlockText"/>
      </w:pPr>
      <w:r>
        <w:t xml:space="preserve">• In 2012 and 2013, Oxbow's auditor classified the Small Holders as Members in its report to the Audit Committee, which Hurst chaired.</w:t>
      </w:r>
    </w:p>
    <w:p>
      <w:pPr>
        <w:pStyle w:val="BlockText"/>
      </w:pPr>
      <w:r>
        <w:t xml:space="preserve">• The Minority Members did not challenge the Small Holders' status as Members until August 31, 2016. Hurst testified that he was aware of the Small Holders' investments in 2012 and "just didn't make a big deal about it."</w:t>
      </w:r>
      <w:r>
        <w:rPr>
          <w:rStyle w:val="FootnoteReference"/>
        </w:rPr>
        <w:footnoteReference w:customMarkFollows="1" w:id="559"/>
        <w:t xml:space="preserve">40</w:t>
      </w:r>
    </w:p>
    <w:p>
      <w:pPr>
        <w:pStyle w:val="CaseBody"/>
      </w:pPr>
      <w:r>
        <w:t xml:space="preserve">Thus, the Court of Chancery held that laches barred the Minority Members' claim that the Small Holders are not Members.</w:t>
      </w:r>
    </w:p>
    <w:p>
      <w:pPr>
        <w:pStyle w:val="CaseBody"/>
      </w:pPr>
      <w:r>
        <w:rPr>
          <w:iCs/>
          <w:i/>
        </w:rPr>
        <w:t xml:space="preserve">B. The Highest Amount Interpretation Controls</w:t>
      </w:r>
    </w:p>
    <w:p>
      <w:pPr>
        <w:pStyle w:val="CaseBody"/>
      </w:pPr>
      <w:r>
        <w:t xml:space="preserve">During this litigation, the Court of Chancery considered the parties' various shifting interpretations of the LLC Agreement to determine whether the Minority Members could force an Exit Sale. Oxbow advanced the Highest Amount Interpretation, meaning that Exit Sale proceeds must satisfy the 1.5x Clause for each Member based upon</w:t>
      </w:r>
      <w:r>
        <w:t xml:space="preserve"> </w:t>
      </w:r>
      <w:r>
        <w:rPr>
          <w:iCs/>
          <w:i/>
        </w:rPr>
        <w:t xml:space="preserve">pro rata</w:t>
      </w:r>
      <w:r>
        <w:t xml:space="preserve"> </w:t>
      </w:r>
      <w:r>
        <w:t xml:space="preserve">allocation of proceeds resulting from the Exit Sale, and that all Members must participate and receive the same consideration. The Minority Members, however, argued that the language of the LLC Agreement contemplated the Leave Behind Theory. Alternatively, if Members cannot be left behind in an Exit Sale, the Minority Members argued that a Top-Off payment should be implied. Using a Top-Off, some holders would receive greater consideration to satisfy the 1.5x Clause.</w:t>
      </w:r>
    </w:p>
    <w:p>
      <w:pPr>
        <w:pStyle w:val="CaseBody"/>
      </w:pPr>
      <w:r>
        <w:t xml:space="preserve">Although it had already determined in its summary judgment order that the Highest Amount Interpretation controlled, the Court of Chancery reconsidered the issue in its post-trial opinion "[f]or the sake of completeness."</w:t>
      </w:r>
      <w:r>
        <w:rPr>
          <w:rStyle w:val="FootnoteReference"/>
        </w:rPr>
        <w:footnoteReference w:customMarkFollows="1" w:id="565"/>
        <w:t xml:space="preserve">41</w:t>
      </w:r>
      <w:r>
        <w:t xml:space="preserve"> </w:t>
      </w:r>
      <w:r>
        <w:t xml:space="preserve">The court stated that the Exit Sale Right could be construed to support the Leave Behind Theory if read in isolation. But the court held that, when read with other provisions in the LLC Agreement-particularly the definition of "Exit Sale," which requires a transfer of "all, but not less than all, of the then-outstanding Equity Securities of the Company"-the Leave Behind Theory collapses.</w:t>
      </w:r>
      <w:r>
        <w:rPr>
          <w:rStyle w:val="FootnoteReference"/>
        </w:rPr>
        <w:footnoteReference w:customMarkFollows="1" w:id="571"/>
        <w:t xml:space="preserve">42</w:t>
      </w:r>
      <w:r>
        <w:t xml:space="preserve"> </w:t>
      </w:r>
      <w:r>
        <w:t xml:space="preserve">In fact, the court noted several times that Koch had negotiated for a "Blocking Option" in 2007 to prevent the Small Holders from being left behind in an Exit Sale.</w:t>
      </w:r>
      <w:r>
        <w:rPr>
          <w:rStyle w:val="FootnoteReference"/>
        </w:rPr>
        <w:footnoteReference w:customMarkFollows="1" w:id="577"/>
        <w:t xml:space="preserve">43</w:t>
      </w:r>
    </w:p>
    <w:p>
      <w:pPr>
        <w:pStyle w:val="CaseBody"/>
      </w:pPr>
      <w:r>
        <w:t xml:space="preserve">The Court of Chancery then turned its attention to whether the LLC Agreement contemplates a Top-Off. The court held that the combined effect of the Equal Treatment Requirements is to "require equal and ratable treatment of members in an Exit Sale."</w:t>
      </w:r>
      <w:r>
        <w:rPr>
          <w:rStyle w:val="FootnoteReference"/>
        </w:rPr>
        <w:footnoteReference w:customMarkFollows="1" w:id="583"/>
        <w:t xml:space="preserve">44</w:t>
      </w:r>
      <w:r>
        <w:t xml:space="preserve"> </w:t>
      </w:r>
      <w:r>
        <w:t xml:space="preserve">Most notably, Section 7(d) expressly incorporates equal treatment, stating that units transferred in an Exit Sale "shall be Transferred</w:t>
      </w:r>
      <w:r>
        <w:t xml:space="preserve"> </w:t>
      </w:r>
      <w:r>
        <w:rPr>
          <w:iCs/>
          <w:i/>
        </w:rPr>
        <w:t xml:space="preserve">on the same terms and conditions</w:t>
      </w:r>
      <w:r>
        <w:t xml:space="preserve"> </w:t>
      </w:r>
      <w:r>
        <w:t xml:space="preserve">as each other Unit so Transferred ...."</w:t>
      </w:r>
      <w:r>
        <w:rPr>
          <w:rStyle w:val="FootnoteReference"/>
        </w:rPr>
        <w:footnoteReference w:customMarkFollows="1" w:id="589"/>
        <w:t xml:space="preserve">45</w:t>
      </w:r>
      <w:r>
        <w:t xml:space="preserve"> </w:t>
      </w:r>
      <w:r>
        <w:t xml:space="preserve">The court further noted that "[t]he price that a member receives for its units is a term of the transfer."</w:t>
      </w:r>
      <w:r>
        <w:rPr>
          <w:rStyle w:val="FootnoteReference"/>
        </w:rPr>
        <w:footnoteReference w:customMarkFollows="1" w:id="595"/>
        <w:t xml:space="preserve">46</w:t>
      </w:r>
      <w:r>
        <w:t xml:space="preserve"> </w:t>
      </w:r>
      <w:r>
        <w:t xml:space="preserve">Thus, Section 7(d) itself "forecloses having certain members receive greater consideration-different terms-than others."</w:t>
      </w:r>
      <w:r>
        <w:rPr>
          <w:rStyle w:val="FootnoteReference"/>
        </w:rPr>
        <w:footnoteReference w:customMarkFollows="1" w:id="600"/>
        <w:t xml:space="preserve">47</w:t>
      </w:r>
    </w:p>
    <w:p>
      <w:pPr>
        <w:pStyle w:val="CaseBody"/>
      </w:pPr>
      <w:r>
        <w:t xml:space="preserve">Next, the Court of Chancery considered and rejected the Waterfall Top-Off Theory, noting that the Exit Sale Right lacks any language permitting a priority return on capital. Instead, it held that "the Distribution Provisions establish a payment scheme that forecloses priority returns."</w:t>
      </w:r>
      <w:r>
        <w:rPr>
          <w:rStyle w:val="FootnoteReference"/>
        </w:rPr>
        <w:footnoteReference w:customMarkFollows="1" w:id="605"/>
        <w:t xml:space="preserve">48</w:t>
      </w:r>
      <w:r>
        <w:t xml:space="preserve"> </w:t>
      </w:r>
      <w:r>
        <w:t xml:space="preserve">In fact, the distribution provisions of the LLC Agreement require proceeds in an Exit Sale to be distributed "first so that members receive their Maximum Permitted Tax Amount, then</w:t>
      </w:r>
      <w:r>
        <w:t xml:space="preserve"> </w:t>
      </w:r>
      <w:r>
        <w:rPr>
          <w:iCs/>
          <w:i/>
        </w:rPr>
        <w:t xml:space="preserve">pro rata</w:t>
      </w:r>
      <w:r>
        <w:t xml:space="preserve"> </w:t>
      </w:r>
      <w:r>
        <w:t xml:space="preserve">'in accordance with their Percentage Interests.' "</w:t>
      </w:r>
      <w:r>
        <w:rPr>
          <w:rStyle w:val="FootnoteReference"/>
        </w:rPr>
        <w:footnoteReference w:customMarkFollows="1" w:id="610"/>
        <w:t xml:space="preserve">49</w:t>
      </w:r>
    </w:p>
    <w:p>
      <w:pPr>
        <w:pStyle w:val="CaseBody"/>
      </w:pPr>
      <w:r>
        <w:t xml:space="preserve">Hence, a "Waterfall Top Off would contravene these provisions and is not permitted."</w:t>
      </w:r>
      <w:r>
        <w:rPr>
          <w:rStyle w:val="FootnoteReference"/>
        </w:rPr>
        <w:footnoteReference w:customMarkFollows="1" w:id="615"/>
        <w:t xml:space="preserve">50</w:t>
      </w:r>
    </w:p>
    <w:p>
      <w:pPr>
        <w:pStyle w:val="CaseBody"/>
      </w:pPr>
      <w:r>
        <w:t xml:space="preserve">The Court of Chancery held that "[w]hen the 1.5x Clause is read in conjunction with the All Securities Clause and Equal Treatment Requirements, including the Distribution Provisions, then neither the Leave Behind Theory nor a Top Off is reasonable."</w:t>
      </w:r>
      <w:r>
        <w:rPr>
          <w:rStyle w:val="FootnoteReference"/>
        </w:rPr>
        <w:footnoteReference w:customMarkFollows="1" w:id="620"/>
        <w:t xml:space="preserve">51</w:t>
      </w:r>
      <w:r>
        <w:t xml:space="preserve"> </w:t>
      </w:r>
      <w:r>
        <w:t xml:space="preserve">The Vice Chancellor found that "[t]he final LLC Agreement did not expressly provide for a top off right."</w:t>
      </w:r>
      <w:r>
        <w:rPr>
          <w:rStyle w:val="FootnoteReference"/>
        </w:rPr>
        <w:footnoteReference w:customMarkFollows="1" w:id="625"/>
        <w:t xml:space="preserve">52</w:t>
      </w:r>
      <w:r>
        <w:t xml:space="preserve"> </w:t>
      </w:r>
      <w:r>
        <w:t xml:space="preserve">Thus, "[t]he practical result of these provisions when read together is to mandate the Highest Amount Interpretation."</w:t>
      </w:r>
      <w:r>
        <w:rPr>
          <w:rStyle w:val="FootnoteReference"/>
        </w:rPr>
        <w:footnoteReference w:customMarkFollows="1" w:id="630"/>
        <w:t xml:space="preserve">53</w:t>
      </w:r>
      <w:r>
        <w:t xml:space="preserve"> </w:t>
      </w:r>
      <w:r>
        <w:t xml:space="preserve">The trial court explained that, under the Highest Amount Interpretation:</w:t>
      </w:r>
    </w:p>
    <w:p>
      <w:pPr>
        <w:pStyle w:val="BlockText"/>
      </w:pPr>
      <w:r>
        <w:t xml:space="preserve">[If] an Exit Sale does not satisfy the 1.5x Clause for any member, then it cannot proceed. To satisfy the 1.5x Clause for all members and to pay all members the same consideration, the Exit Sale must provide all members with the highest amount necessary to satisfy the 1.5x Clause for any member.</w:t>
      </w:r>
      <w:r>
        <w:rPr>
          <w:rStyle w:val="FootnoteReference"/>
        </w:rPr>
        <w:footnoteReference w:customMarkFollows="1" w:id="635"/>
        <w:t xml:space="preserve">54</w:t>
      </w:r>
    </w:p>
    <w:p>
      <w:pPr>
        <w:pStyle w:val="CaseBody"/>
      </w:pPr>
      <w:r>
        <w:t xml:space="preserve">The Vice Chancellor repeatedly emphasized that the Highest Amount Interpretation was the only reading that gives meaning to the LLC Agreement as a whole.</w:t>
      </w:r>
      <w:r>
        <w:rPr>
          <w:rStyle w:val="FootnoteReference"/>
        </w:rPr>
        <w:footnoteReference w:customMarkFollows="1" w:id="640"/>
        <w:t xml:space="preserve">55</w:t>
      </w:r>
      <w:r>
        <w:t xml:space="preserve"> </w:t>
      </w:r>
      <w:r>
        <w:t xml:space="preserve">Although the trial court considered extrinsic evidence, it held that "[b]ecause the plain language of the Exit Sale Right mandates the Highest Amount Interpretation, extrinsic evidence is not relevant."</w:t>
      </w:r>
      <w:r>
        <w:rPr>
          <w:rStyle w:val="FootnoteReference"/>
        </w:rPr>
        <w:footnoteReference w:customMarkFollows="1" w:id="645"/>
        <w:t xml:space="preserve">56</w:t>
      </w:r>
      <w:r>
        <w:t xml:space="preserve"> </w:t>
      </w:r>
      <w:r>
        <w:t xml:space="preserve">It observed, however, that although it reveals a range of views about the 1.5x Clause, the evidence "does not change the fact that the Highest Amount Interpretation is the only reading that gives meaning to the 1.5x Clause, the Exit Sale definition, and the Equal Treatment Requirements, including the Distribution Provisions."</w:t>
      </w:r>
      <w:r>
        <w:rPr>
          <w:rStyle w:val="FootnoteReference"/>
        </w:rPr>
        <w:footnoteReference w:customMarkFollows="1" w:id="650"/>
        <w:t xml:space="preserve">57</w:t>
      </w:r>
      <w:r>
        <w:t xml:space="preserve"> </w:t>
      </w:r>
      <w:r>
        <w:t xml:space="preserve">And for good measure, the trial court reinforced that the Highest Amount Interpretation "is the only reasonable reading of the LLC Agreement."</w:t>
      </w:r>
      <w:r>
        <w:rPr>
          <w:rStyle w:val="FootnoteReference"/>
        </w:rPr>
        <w:footnoteReference w:customMarkFollows="1" w:id="655"/>
        <w:t xml:space="preserve">58</w:t>
      </w:r>
    </w:p>
    <w:p>
      <w:pPr>
        <w:pStyle w:val="CaseBody"/>
      </w:pPr>
      <w:r>
        <w:rPr>
          <w:iCs/>
          <w:i/>
        </w:rPr>
        <w:t xml:space="preserve">C. But the Trial Court Finds a Contractual Gap</w:t>
      </w:r>
    </w:p>
    <w:p>
      <w:pPr>
        <w:pStyle w:val="CaseBody"/>
      </w:pPr>
      <w:r>
        <w:t xml:space="preserve">The trial court next addressed the Minority Members' contention that the Koch Parties could not rely upon the Highest Amount Interpretation because the implied covenant of good faith and fair dealing prevented that result. The Minority Members argued that, under the implied covenant, the court should supply a Top-Off right. The Koch Parties countered that the plain language of the agreement precluded application of an implied covenant theory.</w:t>
      </w:r>
    </w:p>
    <w:p>
      <w:pPr>
        <w:pStyle w:val="CaseBody"/>
      </w:pPr>
      <w:r>
        <w:t xml:space="preserve">In analyzing these competing contentions, the court first considered the New Member Provision, which states that additional Members may be admitted and that "Units may be created and issued to such [new Members] as determined by the Directors on such terms and conditions as the Directors may determine at the time of admission."</w:t>
      </w:r>
      <w:r>
        <w:rPr>
          <w:rStyle w:val="FootnoteReference"/>
        </w:rPr>
        <w:footnoteReference w:customMarkFollows="1" w:id="660"/>
        <w:t xml:space="preserve">59</w:t>
      </w:r>
      <w:r>
        <w:t xml:space="preserve"> </w:t>
      </w:r>
      <w:r>
        <w:t xml:space="preserve">Those terms "may provide for the creation of different classes or series of Units having different rights, powers and duties."</w:t>
      </w:r>
      <w:r>
        <w:rPr>
          <w:rStyle w:val="FootnoteReference"/>
        </w:rPr>
        <w:footnoteReference w:customMarkFollows="1" w:id="665"/>
        <w:t xml:space="preserve">60</w:t>
      </w:r>
      <w:r>
        <w:t xml:space="preserve"> </w:t>
      </w:r>
      <w:r>
        <w:t xml:space="preserve">The court held that "[b]y deferring until a later point the question of what rights subsequent members would have, the LLC Agreement created a gap."</w:t>
      </w:r>
      <w:r>
        <w:rPr>
          <w:rStyle w:val="FootnoteReference"/>
        </w:rPr>
        <w:footnoteReference w:customMarkFollows="1" w:id="670"/>
        <w:t xml:space="preserve">61</w:t>
      </w:r>
    </w:p>
    <w:p>
      <w:pPr>
        <w:pStyle w:val="CaseBody"/>
      </w:pPr>
      <w:r>
        <w:t xml:space="preserve">Next, the court considered various facts which it found supported the finding of a gap in 2011.</w:t>
      </w:r>
      <w:r>
        <w:t xml:space="preserve"> </w:t>
      </w:r>
      <w:r>
        <w:rPr>
          <w:iCs/>
          <w:i/>
        </w:rPr>
        <w:t xml:space="preserve">First</w:t>
      </w:r>
      <w:r>
        <w:t xml:space="preserve"> </w:t>
      </w:r>
      <w:r>
        <w:t xml:space="preserve">, the relevant Board minutes and the resolutions the Board adopted did not specify "the rights that the members of Koch's family or the former sulfur-company executives would have as members."</w:t>
      </w:r>
      <w:r>
        <w:rPr>
          <w:rStyle w:val="FootnoteReference"/>
        </w:rPr>
        <w:footnoteReference w:customMarkFollows="1" w:id="676"/>
        <w:t xml:space="preserve">62</w:t>
      </w:r>
      <w:r>
        <w:t xml:space="preserve"> </w:t>
      </w:r>
      <w:r>
        <w:rPr>
          <w:iCs/>
          <w:i/>
        </w:rPr>
        <w:t xml:space="preserve">Second</w:t>
      </w:r>
      <w:r>
        <w:t xml:space="preserve"> </w:t>
      </w:r>
      <w:r>
        <w:t xml:space="preserve">, the resolutions employed the term "shares of Company stock," which "implied a common-stock-like instrument without special rights, powers, preferences, or privileges, such as a preferential right to receive 1.5 times invested capital before being forced to engage in a sale."</w:t>
      </w:r>
      <w:r>
        <w:rPr>
          <w:rStyle w:val="FootnoteReference"/>
        </w:rPr>
        <w:footnoteReference w:customMarkFollows="1" w:id="681"/>
        <w:t xml:space="preserve">63</w:t>
      </w:r>
      <w:r>
        <w:t xml:space="preserve"> </w:t>
      </w:r>
      <w:r>
        <w:rPr>
          <w:iCs/>
          <w:i/>
        </w:rPr>
        <w:t xml:space="preserve">Third</w:t>
      </w:r>
      <w:r>
        <w:t xml:space="preserve"> </w:t>
      </w:r>
      <w:r>
        <w:t xml:space="preserve">, the court reasoned that Oxbow's failure to comply with corporate formalities had "created a gap regarding the terms on which the Small Holders became members."</w:t>
      </w:r>
      <w:r>
        <w:rPr>
          <w:rStyle w:val="FootnoteReference"/>
        </w:rPr>
        <w:footnoteReference w:customMarkFollows="1" w:id="686"/>
        <w:t xml:space="preserve">64</w:t>
      </w:r>
      <w:r>
        <w:t xml:space="preserve"> </w:t>
      </w:r>
      <w:r>
        <w:t xml:space="preserve">Had Oxbow followed the proper formalities, it is "impossible to know what would have happened" given the Supermajority Vote requirement, which the Minority Members could have used as leverage to limit the Small Holders' ability to invoke the 1.5x Clause.</w:t>
      </w:r>
      <w:r>
        <w:rPr>
          <w:rStyle w:val="FootnoteReference"/>
        </w:rPr>
        <w:footnoteReference w:customMarkFollows="1" w:id="691"/>
        <w:t xml:space="preserve">65</w:t>
      </w:r>
      <w:r>
        <w:t xml:space="preserve"> </w:t>
      </w:r>
      <w:r>
        <w:t xml:space="preserve">Accordingly, the trial court held that "[t]he Minority Members proved at trial that a gap exists in the parties' contract relating to the terms on which the Small Holders became members."</w:t>
      </w:r>
      <w:r>
        <w:rPr>
          <w:rStyle w:val="FootnoteReference"/>
        </w:rPr>
        <w:footnoteReference w:customMarkFollows="1" w:id="696"/>
        <w:t xml:space="preserve">66</w:t>
      </w:r>
    </w:p>
    <w:p>
      <w:pPr>
        <w:pStyle w:val="CaseBody"/>
      </w:pPr>
      <w:r>
        <w:t xml:space="preserve">The Court of Chancery next considered whether to imply a provision to fill that gap, noting that "[t]o supply an implicit term, the court 'looks to the past' and asks 'what the parties would have agreed to themselves had they considered the issue in their original bargaining positions at the time of contracting.' "</w:t>
      </w:r>
      <w:r>
        <w:rPr>
          <w:rStyle w:val="FootnoteReference"/>
        </w:rPr>
        <w:footnoteReference w:customMarkFollows="1" w:id="701"/>
        <w:t xml:space="preserve">67</w:t>
      </w:r>
      <w:r>
        <w:t xml:space="preserve"> </w:t>
      </w:r>
      <w:r>
        <w:t xml:space="preserve">Because the gap concerns the admission of the Small Holders, the court held that the relevant "time of contracting" was 2011, not when the parties executed the LLC Agreement in 2007. The Vice Chancellor concluded, "[t]he evidence convinces me that it was possible, but unlikely, that the parties would have agreed to a Waterfall Top Off."</w:t>
      </w:r>
      <w:r>
        <w:rPr>
          <w:rStyle w:val="FootnoteReference"/>
        </w:rPr>
        <w:footnoteReference w:customMarkFollows="1" w:id="706"/>
        <w:t xml:space="preserve">68</w:t>
      </w:r>
      <w:r>
        <w:t xml:space="preserve"> </w:t>
      </w:r>
      <w:r>
        <w:t xml:space="preserve">However, the evidence did convince the court "that the most likely outcome is that the parties would have agreed to a Seller Top Off."</w:t>
      </w:r>
      <w:r>
        <w:rPr>
          <w:rStyle w:val="FootnoteReference"/>
        </w:rPr>
        <w:footnoteReference w:customMarkFollows="1" w:id="711"/>
        <w:t xml:space="preserve">69</w:t>
      </w:r>
      <w:r>
        <w:t xml:space="preserve"> </w:t>
      </w:r>
      <w:r>
        <w:t xml:space="preserve">Under this approach, "the Minority Members could complete an Exit Sale if they came up with sufficient additional funds to satisfy the 1.5x Clause for the Small Holders."</w:t>
      </w:r>
      <w:r>
        <w:rPr>
          <w:rStyle w:val="FootnoteReference"/>
        </w:rPr>
        <w:footnoteReference w:customMarkFollows="1" w:id="716"/>
        <w:t xml:space="preserve">70</w:t>
      </w:r>
      <w:r>
        <w:t xml:space="preserve"> </w:t>
      </w:r>
      <w:r>
        <w:t xml:space="preserve">Critical to this holding was the trial court's focus on 2011, since "Koch testified that during the negotiations in 2007, any request by Crestview for a Top Off Option would have been a 'deal killer.' "</w:t>
      </w:r>
      <w:r>
        <w:rPr>
          <w:rStyle w:val="FootnoteReference"/>
        </w:rPr>
        <w:footnoteReference w:customMarkFollows="1" w:id="721"/>
        <w:t xml:space="preserve">71</w:t>
      </w:r>
    </w:p>
    <w:p>
      <w:pPr>
        <w:pStyle w:val="CaseBody"/>
      </w:pPr>
      <w:r>
        <w:rPr>
          <w:iCs/>
          <w:i/>
        </w:rPr>
        <w:t xml:space="preserve">IV. Analysis</w:t>
      </w:r>
    </w:p>
    <w:p>
      <w:pPr>
        <w:pStyle w:val="CaseBody"/>
      </w:pPr>
      <w:r>
        <w:t xml:space="preserve">The Koch Parties claim that the Court of Chancery erred by: (1) applying the implied covenant of good faith and fair dealing to the LLC Agreement; (2) finding that a gap exists in the LLC Agreement regarding the operation of the 1.5x Clause; (3) holding that Oxbow Holdings breached the LLC Agreement's Reasonable Efforts Provision; and (4) awarding a contingent "backstop" remedy to the Minority Members, along with their</w:t>
      </w:r>
      <w:r>
        <w:t xml:space="preserve"> </w:t>
      </w:r>
      <w:r>
        <w:rPr>
          <w:iCs/>
          <w:i/>
        </w:rPr>
        <w:t xml:space="preserve">pro rata</w:t>
      </w:r>
      <w:r>
        <w:t xml:space="preserve"> </w:t>
      </w:r>
      <w:r>
        <w:t xml:space="preserve">share of certain legal fees and expenses. The Minority Members raise as their</w:t>
      </w:r>
      <w:r>
        <w:t xml:space="preserve"> </w:t>
      </w:r>
      <w:r>
        <w:rPr>
          <w:iCs/>
          <w:i/>
        </w:rPr>
        <w:t xml:space="preserve">lead</w:t>
      </w:r>
      <w:r>
        <w:t xml:space="preserve"> </w:t>
      </w:r>
      <w:r>
        <w:t xml:space="preserve">argument in defense of the trial court's opinion an argument they did not raise below, namely, that the plain language of the LLC Agreement permits a Top-Off. Secondarily, they then defend the trial court's implied covenant analysis. For the following reasons, we conclude that the Court of Chancery correctly held that the Highest Amount Interpretation is the only reading that gives meaning to the 1.5x Clause, the Exit Sale definition, and the Equal Treatment Requirements, including the Distribution Provisions. However, we hold that the trial court erred in finding a contractual gap and in applying a Seller Top-Off. Thus, the effect of our decision is that the plain language of the LLC Agreement gives the Small Holders a right to block an Exit Sale by operation of the Highest Amount Interpretation.</w:t>
      </w:r>
    </w:p>
    <w:p>
      <w:pPr>
        <w:pStyle w:val="CaseBody"/>
      </w:pPr>
      <w:r>
        <w:rPr>
          <w:iCs/>
          <w:i/>
        </w:rPr>
        <w:t xml:space="preserve">A. The Minority Members Abandoned the Small Holders' Rights Gap Theory</w:t>
      </w:r>
    </w:p>
    <w:p>
      <w:pPr>
        <w:pStyle w:val="CaseBody"/>
      </w:pPr>
      <w:r>
        <w:t xml:space="preserve">Earlier in this litigation, the Minority Members advanced two theories under the implied covenant of good faith and fair dealing: the Small Holders' Rights Gap and the Top-Off Gap. Under the Small Holders' Rights Gap Theory, the LLC Agreement contains a contractual gap because the New Member Provision gives the Board discretion to determine the rights of newly-admitted Members, and because the Board failed to define those rights at the time of the Small Holders' admission. The Top-Off Gap Theory posits that a gap exists in the Exit Sale Right because it does not expressly permit or prohibit a Top-Off payment.</w:t>
      </w:r>
    </w:p>
    <w:p>
      <w:pPr>
        <w:pStyle w:val="CaseBody"/>
      </w:pPr>
      <w:r>
        <w:t xml:space="preserve">As noted above, the court first raised,</w:t>
      </w:r>
      <w:r>
        <w:t xml:space="preserve"> </w:t>
      </w:r>
      <w:r>
        <w:rPr>
          <w:iCs/>
          <w:i/>
        </w:rPr>
        <w:t xml:space="preserve">sua sponte</w:t>
      </w:r>
      <w:r>
        <w:t xml:space="preserve"> </w:t>
      </w:r>
      <w:r>
        <w:t xml:space="preserve">, an implied covenant theory in its summary judgment order, and then the Minority Members added an implied covenant claim in their Second Amended Counterclaim. However, they did not specifically argue the Small Holders' Rights Gap Theory relied on by the Court of Chancery.</w:t>
      </w:r>
    </w:p>
    <w:p>
      <w:pPr>
        <w:pStyle w:val="CaseBody"/>
      </w:pPr>
      <w:r>
        <w:rPr>
          <w:rStyle w:val="FootnoteReference"/>
        </w:rPr>
        <w:footnoteReference w:customMarkFollows="1" w:id="726"/>
        <w:t xml:space="preserve">72</w:t>
      </w:r>
      <w:r>
        <w:t xml:space="preserve"> </w:t>
      </w:r>
      <w:r>
        <w:t xml:space="preserve">Instead, in their pre-trial briefing, the Minority Members primarily relied on the Top-Off Gap Theory, and only vaguely referenced the Small Holders' Rights Gap.</w:t>
      </w:r>
      <w:r>
        <w:rPr>
          <w:rStyle w:val="FootnoteReference"/>
        </w:rPr>
        <w:footnoteReference w:customMarkFollows="1" w:id="731"/>
        <w:t xml:space="preserve">73</w:t>
      </w:r>
      <w:r>
        <w:t xml:space="preserve"> </w:t>
      </w:r>
      <w:r>
        <w:t xml:space="preserve">By the time of post-trial briefing and oral argument, the Minority Members had abandoned their Small Holders' Rights Gap Theory altogether.</w:t>
      </w:r>
      <w:r>
        <w:rPr>
          <w:rStyle w:val="FootnoteReference"/>
        </w:rPr>
        <w:footnoteReference w:customMarkFollows="1" w:id="736"/>
        <w:t xml:space="preserve">74</w:t>
      </w:r>
      <w:r>
        <w:t xml:space="preserve"> </w:t>
      </w:r>
      <w:r>
        <w:t xml:space="preserve">In its post-trial opinion, the Court of Chancery expressly concluded that a Top-Off was not reasonable when reading the LLC Agreement as a whole and that the Highest Amount Interpretation controls.</w:t>
      </w:r>
      <w:r>
        <w:rPr>
          <w:rStyle w:val="FootnoteReference"/>
        </w:rPr>
        <w:footnoteReference w:customMarkFollows="1" w:id="741"/>
        <w:t xml:space="preserve">75</w:t>
      </w:r>
      <w:r>
        <w:t xml:space="preserve"> </w:t>
      </w:r>
      <w:r>
        <w:t xml:space="preserve">But the trial court then implied a Seller Top-Off, nonetheless, based on the Small Holders' Rights Gap Theory. In sum, the Court of Chancery first suggested the implied covenant theory</w:t>
      </w:r>
      <w:r>
        <w:t xml:space="preserve"> </w:t>
      </w:r>
      <w:r>
        <w:rPr>
          <w:iCs/>
          <w:i/>
        </w:rPr>
        <w:t xml:space="preserve">sua sponte</w:t>
      </w:r>
      <w:r>
        <w:t xml:space="preserve"> </w:t>
      </w:r>
      <w:r>
        <w:t xml:space="preserve">, rejected the primary Top-Off implied covenant theory that the Minority Members advanced pre- and post-trial, and held that a Top-Off was not reasonable under a plain reading of the contract, but then relied on the abandoned Small Holders Rights Gap Theory to ultimately imply a Top-Off payment right.</w:t>
      </w:r>
      <w:r>
        <w:rPr>
          <w:rStyle w:val="FootnoteReference"/>
        </w:rPr>
        <w:footnoteReference w:customMarkFollows="1" w:id="746"/>
        <w:t xml:space="preserve">76</w:t>
      </w:r>
    </w:p>
    <w:p>
      <w:pPr>
        <w:pStyle w:val="CaseBody"/>
      </w:pPr>
      <w:r>
        <w:t xml:space="preserve">We see another disconnect in the post-trial opinion. The trial court held that laches bars any challenge to the Small Holders'</w:t>
      </w:r>
    </w:p>
    <w:p>
      <w:pPr>
        <w:pStyle w:val="CaseBody"/>
      </w:pPr>
      <w:r>
        <w:t xml:space="preserve">status as Members based on the failure to follow proper formalities in the Small Holders' admission process. But the trial court then used that same failure to serve as a basis for finding a contractual gap and employing the implied covenant to fill it. At a minimum, the trial court's reliance on the same factual predicate to bar one claim but to serve as a basis for another creates an untenable tension. Even if the Minority Members did not waive the Small Holders' Rights Gap Theory by abandoning it in the post-trial phase,</w:t>
      </w:r>
      <w:r>
        <w:rPr>
          <w:rStyle w:val="FootnoteReference"/>
        </w:rPr>
        <w:footnoteReference w:customMarkFollows="1" w:id="751"/>
        <w:t xml:space="preserve">77</w:t>
      </w:r>
      <w:r>
        <w:t xml:space="preserve"> </w:t>
      </w:r>
      <w:r>
        <w:t xml:space="preserve">and even if the trial court's finding on laches (which the Minority Members did not appeal) does not bar the assertion of an implied covenant claim, we conclude that the implied covenant claim is meritless.</w:t>
      </w:r>
    </w:p>
    <w:p>
      <w:pPr>
        <w:pStyle w:val="CaseBody"/>
      </w:pPr>
      <w:r>
        <w:rPr>
          <w:iCs/>
          <w:i/>
        </w:rPr>
        <w:t xml:space="preserve">B. The Court of Chancery Erred by Finding a Small Holders' Rights Gap</w:t>
      </w:r>
    </w:p>
    <w:p>
      <w:pPr>
        <w:pStyle w:val="CaseBody"/>
      </w:pPr>
      <w:r>
        <w:t xml:space="preserve">Questions of law and contractual interpretation are reviewed</w:t>
      </w:r>
      <w:r>
        <w:t xml:space="preserve"> </w:t>
      </w:r>
      <w:r>
        <w:rPr>
          <w:iCs/>
          <w:i/>
        </w:rPr>
        <w:t xml:space="preserve">de novo</w:t>
      </w:r>
      <w:r>
        <w:t xml:space="preserve"> </w:t>
      </w:r>
      <w:r>
        <w:t xml:space="preserve">.</w:t>
      </w:r>
      <w:r>
        <w:rPr>
          <w:rStyle w:val="FootnoteReference"/>
        </w:rPr>
        <w:footnoteReference w:customMarkFollows="1" w:id="755"/>
        <w:t xml:space="preserve">78</w:t>
      </w:r>
      <w:r>
        <w:t xml:space="preserve"> </w:t>
      </w:r>
      <w:r>
        <w:t xml:space="preserve">We conclude that the trial court erred in holding that "a gap exists in the parties' contract relating to the terms on which the Small Holders became members."</w:t>
      </w:r>
      <w:r>
        <w:rPr>
          <w:rStyle w:val="FootnoteReference"/>
        </w:rPr>
        <w:footnoteReference w:customMarkFollows="1" w:id="759"/>
        <w:t xml:space="preserve">79</w:t>
      </w:r>
    </w:p>
    <w:p>
      <w:pPr>
        <w:pStyle w:val="CaseBody"/>
      </w:pPr>
      <w:r>
        <w:t xml:space="preserve">A plain reading of the New Member Provision shows that the parties contracted to leave the terms of new Members' admission to the discretion of the Board. The New Member Provision states that "Units may be created and issued to such [new Members] as determined by the Directors on such terms and conditions as the Directors</w:t>
      </w:r>
      <w:r>
        <w:t xml:space="preserve"> </w:t>
      </w:r>
      <w:r>
        <w:rPr>
          <w:iCs/>
          <w:i/>
        </w:rPr>
        <w:t xml:space="preserve">may</w:t>
      </w:r>
      <w:r>
        <w:t xml:space="preserve"> </w:t>
      </w:r>
      <w:r>
        <w:t xml:space="preserve">determine at the time of admission," and those terms "</w:t>
      </w:r>
      <w:r>
        <w:rPr>
          <w:iCs/>
          <w:i/>
        </w:rPr>
        <w:t xml:space="preserve">may</w:t>
      </w:r>
      <w:r>
        <w:t xml:space="preserve"> </w:t>
      </w:r>
      <w:r>
        <w:t xml:space="preserve">provide for the creation of different classes or series of Units having different rights, powers and duties."</w:t>
      </w:r>
      <w:r>
        <w:rPr>
          <w:rStyle w:val="FootnoteReference"/>
        </w:rPr>
        <w:footnoteReference w:customMarkFollows="1" w:id="763"/>
        <w:t xml:space="preserve">80</w:t>
      </w:r>
      <w:r>
        <w:t xml:space="preserve"> </w:t>
      </w:r>
      <w:r>
        <w:t xml:space="preserve">The LLC Agreement's definition of "Member" "means any Person named as a member of the Company on</w:t>
      </w:r>
      <w:r>
        <w:t xml:space="preserve"> </w:t>
      </w:r>
      <w:r>
        <w:rPr>
          <w:iCs/>
          <w:i/>
        </w:rPr>
        <w:t xml:space="preserve">Exhibit A</w:t>
      </w:r>
      <w:r>
        <w:t xml:space="preserve"> </w:t>
      </w:r>
      <w:r>
        <w:t xml:space="preserve">attached hereto and</w:t>
      </w:r>
      <w:r>
        <w:t xml:space="preserve"> </w:t>
      </w:r>
      <w:r>
        <w:rPr>
          <w:iCs/>
          <w:i/>
        </w:rPr>
        <w:t xml:space="preserve">includes any person subsequently admitted as a Member</w:t>
      </w:r>
      <w:r>
        <w:t xml:space="preserve"> </w:t>
      </w:r>
      <w:r>
        <w:t xml:space="preserve">."</w:t>
      </w:r>
      <w:r>
        <w:rPr>
          <w:rStyle w:val="FootnoteReference"/>
        </w:rPr>
        <w:footnoteReference w:customMarkFollows="1" w:id="767"/>
        <w:t xml:space="preserve">81</w:t>
      </w:r>
      <w:r>
        <w:t xml:space="preserve"> </w:t>
      </w:r>
      <w:r>
        <w:t xml:space="preserve">In other words, the LLC Agreement delegates responsibility to the Board to set the terms of admission and permits-but does not require-the Board to issue units with different rights or classes.</w:t>
      </w:r>
      <w:r>
        <w:rPr>
          <w:rStyle w:val="FootnoteReference"/>
        </w:rPr>
        <w:footnoteReference w:customMarkFollows="1" w:id="771"/>
        <w:t xml:space="preserve">82</w:t>
      </w:r>
      <w:r>
        <w:t xml:space="preserve"> </w:t>
      </w:r>
      <w:r>
        <w:t xml:space="preserve">Absent the Board's imposition of different rights for newly issued units, the definition of "Member" suggests that use of that term in the LLC Agreement, including the Exit Sale Right, applies to subsequently admitted Members.</w:t>
      </w:r>
    </w:p>
    <w:p>
      <w:pPr>
        <w:pStyle w:val="CaseBody"/>
      </w:pPr>
      <w:r>
        <w:t xml:space="preserve">The record shows that the Board admitted the Small Holders without imposing a different set of rights. The Subscription Agreement-which was addressed to the Board-set the price terms and number of units, and it stipulated that Family LLC "agrees to be bound by the terms of the" LLC Agreement.</w:t>
      </w:r>
      <w:r>
        <w:rPr>
          <w:rStyle w:val="FootnoteReference"/>
        </w:rPr>
        <w:footnoteReference w:customMarkFollows="1" w:id="775"/>
        <w:t xml:space="preserve">83</w:t>
      </w:r>
      <w:r>
        <w:t xml:space="preserve"> </w:t>
      </w:r>
      <w:r>
        <w:t xml:space="preserve">The Minority Members' Board representatives then signed consents for the distribution of $20 million from Family LLC's investment, and the Minority Members received about $11.4 million as a result.</w:t>
      </w:r>
      <w:r>
        <w:rPr>
          <w:rStyle w:val="FootnoteReference"/>
        </w:rPr>
        <w:footnoteReference w:customMarkFollows="1" w:id="779"/>
        <w:t xml:space="preserve">84</w:t>
      </w:r>
      <w:r>
        <w:t xml:space="preserve"> </w:t>
      </w:r>
      <w:r>
        <w:t xml:space="preserve">Further, the Board resolutions in April 2011 and the Board minutes in November 2011 only set terms regarding the price and number of units to be issued. Although the court took issue with the fact that the Board resolutions used the phrase "shares of Company stock" rather than "units,"</w:t>
      </w:r>
      <w:r>
        <w:rPr>
          <w:rStyle w:val="FootnoteReference"/>
        </w:rPr>
        <w:footnoteReference w:customMarkFollows="1" w:id="783"/>
        <w:t xml:space="preserve">85</w:t>
      </w:r>
      <w:r>
        <w:t xml:space="preserve"> </w:t>
      </w:r>
      <w:r>
        <w:t xml:space="preserve">it appears that the parties used the term "unit," "share," and "stock" interchangeably.</w:t>
      </w:r>
      <w:r>
        <w:rPr>
          <w:rStyle w:val="FootnoteReference"/>
        </w:rPr>
        <w:footnoteReference w:customMarkFollows="1" w:id="787"/>
        <w:t xml:space="preserve">86</w:t>
      </w:r>
      <w:r>
        <w:t xml:space="preserve"> </w:t>
      </w:r>
      <w:r>
        <w:t xml:space="preserve">Moreover, the 1.5x Clause is not "preferential," as the trial court concluded, but rather applies to "any other Member"-which includes the Small Holders.</w:t>
      </w:r>
      <w:r>
        <w:rPr>
          <w:rStyle w:val="FootnoteReference"/>
        </w:rPr>
        <w:footnoteReference w:customMarkFollows="1" w:id="791"/>
        <w:t xml:space="preserve">87</w:t>
      </w:r>
      <w:r>
        <w:t xml:space="preserve"> </w:t>
      </w:r>
      <w:r>
        <w:t xml:space="preserve">Because the Board chose not to specify different rights, the terms of the LLC Agreement-including the unambiguous Exit Sale Right-apply with equal force to the Small Holders.</w:t>
      </w:r>
    </w:p>
    <w:p>
      <w:pPr>
        <w:pStyle w:val="CaseBody"/>
      </w:pPr>
      <w:r>
        <w:t xml:space="preserve">We have declined in other cases to imply new contract terms merely because a contract grants discretion to a board of directors. For example, in</w:t>
      </w:r>
      <w:r>
        <w:t xml:space="preserve"> </w:t>
      </w:r>
      <w:r>
        <w:rPr>
          <w:iCs/>
          <w:i/>
        </w:rPr>
        <w:t xml:space="preserve">Blaustein v. Lord Baltimore Capital Corp.</w:t>
      </w:r>
      <w:r>
        <w:t xml:space="preserve"> </w:t>
      </w:r>
      <w:r>
        <w:t xml:space="preserve">,</w:t>
      </w:r>
      <w:r>
        <w:rPr>
          <w:rStyle w:val="FootnoteReference"/>
        </w:rPr>
        <w:footnoteReference w:customMarkFollows="1" w:id="795"/>
        <w:t xml:space="preserve">88</w:t>
      </w:r>
      <w:r>
        <w:t xml:space="preserve"> </w:t>
      </w:r>
      <w:r>
        <w:t xml:space="preserve">we considered a plaintiff's claim that a Shareholder Agreement included implied terms about share repurchasing.</w:t>
      </w:r>
      <w:r>
        <w:rPr>
          <w:rStyle w:val="FootnoteReference"/>
        </w:rPr>
        <w:footnoteReference w:customMarkFollows="1" w:id="799"/>
        <w:t xml:space="preserve">89</w:t>
      </w:r>
      <w:r>
        <w:t xml:space="preserve"> </w:t>
      </w:r>
      <w:r>
        <w:t xml:space="preserve">The relevant provision stated that "the Company</w:t>
      </w:r>
      <w:r>
        <w:t xml:space="preserve"> </w:t>
      </w:r>
      <w:r>
        <w:rPr>
          <w:iCs/>
          <w:i/>
        </w:rPr>
        <w:t xml:space="preserve">may</w:t>
      </w:r>
      <w:r>
        <w:t xml:space="preserve"> </w:t>
      </w:r>
      <w:r>
        <w:t xml:space="preserve">repurchase Shares upon terms and conditions agreeable to the Company and the Shareholder who owns the Shares to be repurchased ...."</w:t>
      </w:r>
      <w:r>
        <w:rPr>
          <w:rStyle w:val="FootnoteReference"/>
        </w:rPr>
        <w:footnoteReference w:customMarkFollows="1" w:id="803"/>
        <w:t xml:space="preserve">90</w:t>
      </w:r>
      <w:r>
        <w:t xml:space="preserve"> </w:t>
      </w:r>
      <w:r>
        <w:t xml:space="preserve">Noting that "[t]he implied covenant of good faith and fair dealing cannot be employed to impose new contract terms that could have been bargained for but were not," we held that the permissive language "gives both parties complete discretion in deciding whether, and at what price, to execute a redemption transaction."</w:t>
      </w:r>
      <w:r>
        <w:rPr>
          <w:rStyle w:val="FootnoteReference"/>
        </w:rPr>
        <w:footnoteReference w:customMarkFollows="1" w:id="807"/>
        <w:t xml:space="preserve">91</w:t>
      </w:r>
      <w:r>
        <w:t xml:space="preserve"> </w:t>
      </w:r>
      <w:r>
        <w:t xml:space="preserve">We did not explicitly address whether a gap existed in</w:t>
      </w:r>
      <w:r>
        <w:t xml:space="preserve"> </w:t>
      </w:r>
      <w:r>
        <w:rPr>
          <w:iCs/>
          <w:i/>
        </w:rPr>
        <w:t xml:space="preserve">Blaustein</w:t>
      </w:r>
      <w:r>
        <w:t xml:space="preserve"> </w:t>
      </w:r>
      <w:r>
        <w:t xml:space="preserve">, but our reasoning in that case suggests-as do the facts here-that conferring discretion to the Board was a contractual choice to grant authority to the Board-not a gap. And although the vesting of a Board with discretion does not relieve the Board of its obligation to use that discretion consistently with the implied covenant of good faith and fair dealing,</w:t>
      </w:r>
      <w:r>
        <w:rPr>
          <w:rStyle w:val="FootnoteReference"/>
        </w:rPr>
        <w:footnoteReference w:customMarkFollows="1" w:id="811"/>
        <w:t xml:space="preserve">92</w:t>
      </w:r>
      <w:r>
        <w:t xml:space="preserve"> </w:t>
      </w:r>
      <w:r>
        <w:t xml:space="preserve">the Minority Members do not argue that the Board exercised its contractual discretion in bad faith in admitting the Small Holders.</w:t>
      </w:r>
      <w:r>
        <w:rPr>
          <w:rStyle w:val="FootnoteReference"/>
        </w:rPr>
        <w:footnoteReference w:customMarkFollows="1" w:id="815"/>
        <w:t xml:space="preserve">93</w:t>
      </w:r>
    </w:p>
    <w:p>
      <w:pPr>
        <w:pStyle w:val="CaseBody"/>
      </w:pPr>
      <w:r>
        <w:t xml:space="preserve">Here, at the time of contracting in 2007, the parties contemplated that new Members could be admitted, and they placed certain restrictions on the Board's discretionary authority in the admission process. For example, the Preemptive Rights Provision protects existing Members from dilution, and the Related Party Provision requires supermajority approval for conflicted transactions. These provisions suggest that the parties considered the impact of new Members but decided to delegate other issues affecting unitholder rights to the Board. In addition to the Preemptive Rights and Related Party Provisions, the parties anticipated differing scenarios regarding a possible Exit Sale. For example, Oxbow Holdings' Exit Sale Right, contained in Article XIII, Section 9(a) of the LLC Agreement, implements a 2.5x threshold limited to Crestview and Load Line.</w:t>
      </w:r>
      <w:r>
        <w:rPr>
          <w:rStyle w:val="FootnoteReference"/>
        </w:rPr>
        <w:footnoteReference w:customMarkFollows="1" w:id="819"/>
        <w:t xml:space="preserve">94</w:t>
      </w:r>
      <w:r>
        <w:t xml:space="preserve"> </w:t>
      </w:r>
      <w:r>
        <w:t xml:space="preserve">By contrast, the Minority Members' Exit Sale Right in Article XIII, Section 8(e) contains a 1.5x threshold and it applies to "any other Member."</w:t>
      </w:r>
      <w:r>
        <w:rPr>
          <w:rStyle w:val="FootnoteReference"/>
        </w:rPr>
        <w:footnoteReference w:customMarkFollows="1" w:id="823"/>
        <w:t xml:space="preserve">95</w:t>
      </w:r>
    </w:p>
    <w:p>
      <w:pPr>
        <w:pStyle w:val="CaseBody"/>
      </w:pPr>
      <w:r>
        <w:t xml:space="preserve">Even leaving aside the trial court's decision to focus on 2011 as the relevant time of contracting,</w:t>
      </w:r>
      <w:r>
        <w:rPr>
          <w:rStyle w:val="FootnoteReference"/>
        </w:rPr>
        <w:footnoteReference w:customMarkFollows="1" w:id="827"/>
        <w:t xml:space="preserve">96</w:t>
      </w:r>
      <w:r>
        <w:t xml:space="preserve"> </w:t>
      </w:r>
      <w:r>
        <w:t xml:space="preserve">the parties' sloppiness and failure to consider the implications of the Small Holders' investment in 2011 did not equate to a contractual gap. Although Oxbow's handling of the issuances was hardly a model of good corporate governance, the Minority Members were highly sophisticated entities with three Board members who were capable of reading the LLC Agreement and bargaining for the rights they now seek through litigation.</w:t>
      </w:r>
      <w:r>
        <w:rPr>
          <w:rStyle w:val="FootnoteReference"/>
        </w:rPr>
        <w:footnoteReference w:customMarkFollows="1" w:id="831"/>
        <w:t xml:space="preserve">97</w:t>
      </w:r>
    </w:p>
    <w:p>
      <w:pPr>
        <w:pStyle w:val="CaseBody"/>
      </w:pPr>
      <w:r>
        <w:t xml:space="preserve">In addition, the trial court did not persuasively explain why being alerted to the Preemptive Rights and Related Party Provisions would have caused the Minority Members to bargain for additional rights.</w:t>
      </w:r>
      <w:r>
        <w:rPr>
          <w:rStyle w:val="FootnoteReference"/>
        </w:rPr>
        <w:footnoteReference w:customMarkFollows="1" w:id="835"/>
        <w:t xml:space="preserve">98</w:t>
      </w:r>
      <w:r>
        <w:t xml:space="preserve"> </w:t>
      </w:r>
      <w:r>
        <w:t xml:space="preserve">As to the Supermajority Vote under the Related Party Provision, the court noted that the Minority Members "could have blocked the issuance and forced a negotiation."</w:t>
      </w:r>
      <w:r>
        <w:rPr>
          <w:rStyle w:val="FootnoteReference"/>
        </w:rPr>
        <w:footnoteReference w:customMarkFollows="1" w:id="839"/>
        <w:t xml:space="preserve">99</w:t>
      </w:r>
      <w:r>
        <w:t xml:space="preserve"> </w:t>
      </w:r>
      <w:r>
        <w:t xml:space="preserve">But the Crestview and Load Line directors voted</w:t>
      </w:r>
      <w:r>
        <w:t xml:space="preserve"> </w:t>
      </w:r>
      <w:r>
        <w:rPr>
          <w:iCs/>
          <w:i/>
        </w:rPr>
        <w:t xml:space="preserve">in favor</w:t>
      </w:r>
      <w:r>
        <w:t xml:space="preserve"> </w:t>
      </w:r>
      <w:r>
        <w:t xml:space="preserve">of the April 2011 resolutions and signed the consent forms regarding transfer of the funds from Executive LLC's unit-purchase.</w:t>
      </w:r>
      <w:r>
        <w:rPr>
          <w:rStyle w:val="FootnoteReference"/>
        </w:rPr>
        <w:footnoteReference w:customMarkFollows="1" w:id="843"/>
        <w:t xml:space="preserve">100</w:t>
      </w:r>
      <w:r>
        <w:t xml:space="preserve"> </w:t>
      </w:r>
      <w:r>
        <w:t xml:space="preserve">The court cited no evidence that the Minority Members felt that their hands were tied or that their vote was otherwise invalid. Further, Hurst was aware of the Small Holders' investments and "just didn't make a big deal about it."</w:t>
      </w:r>
      <w:r>
        <w:rPr>
          <w:rStyle w:val="FootnoteReference"/>
        </w:rPr>
        <w:footnoteReference w:customMarkFollows="1" w:id="847"/>
        <w:t xml:space="preserve">101</w:t>
      </w:r>
      <w:r>
        <w:t xml:space="preserve"> </w:t>
      </w:r>
      <w:r>
        <w:t xml:space="preserve">Instead, the Small Holders paid $35 million for their units, and the Minority Members promptly accepted the resulting $11 million distributions.</w:t>
      </w:r>
      <w:r>
        <w:rPr>
          <w:rStyle w:val="FootnoteReference"/>
        </w:rPr>
        <w:footnoteReference w:customMarkFollows="1" w:id="851"/>
        <w:t xml:space="preserve">102</w:t>
      </w:r>
    </w:p>
    <w:p>
      <w:pPr>
        <w:pStyle w:val="CaseBody"/>
      </w:pPr>
      <w:r>
        <w:t xml:space="preserve">The crucial problem with the Court of Chancery's reasoning is that it posits that a gap was created in the parties' contract because they did not give adequate attention to the effect that the admission of new Members at a higher entry price would have on the Exit Sale Right provisions of the agreement. The Court of Chancery's analysis hinged on the assumed negotiation that would have taken place between Koch and Crestview if Crestview had focused on the effect of the Small Holders' entrance on the Exit Sale Right's hurdle rate and concluded that it would have impaired Crestview's ability to force an Exit Sale. But as the trial court found, Crestview was not focused on this issue because in late 2011 and early 2012, Crestview assumed that the Oxbow's value had grown so much that it would be easy for any arms'-length sale of Oxbow to generate a return that would easily exceed any required hurdle rate necessary to force an Exit Sale.</w:t>
      </w:r>
      <w:r>
        <w:rPr>
          <w:rStyle w:val="FootnoteReference"/>
        </w:rPr>
        <w:footnoteReference w:customMarkFollows="1" w:id="855"/>
        <w:t xml:space="preserve">103</w:t>
      </w:r>
    </w:p>
    <w:p>
      <w:pPr>
        <w:pStyle w:val="CaseBody"/>
      </w:pPr>
      <w:r>
        <w:t xml:space="preserve">But even if the record lacked an explanation for the parties' failure to focus on this issue, the Court of Chancery's use of that failure to generate a gap would still be incorrect. Based on its own detailed findings, the Court of Chancery held that the parties agreed and expected that the Small Holders would be admitted as Members.</w:t>
      </w:r>
      <w:r>
        <w:rPr>
          <w:rStyle w:val="FootnoteReference"/>
        </w:rPr>
        <w:footnoteReference w:customMarkFollows="1" w:id="859"/>
        <w:t xml:space="preserve">104</w:t>
      </w:r>
      <w:r>
        <w:t xml:space="preserve"> </w:t>
      </w:r>
      <w:r>
        <w:t xml:space="preserve">As such, whatever mistake the parties subjectively made about the implications of admitting new Members does not operate to create a contractual gap. And, the well-reasoned analysis of the Court of Chancery as to laches also shows why there is no inequity to the Minority Members in applying the provisions of the LLC Agreement as written.</w:t>
      </w:r>
      <w:r>
        <w:rPr>
          <w:rStyle w:val="FootnoteReference"/>
        </w:rPr>
        <w:footnoteReference w:customMarkFollows="1" w:id="863"/>
        <w:t xml:space="preserve">105</w:t>
      </w:r>
      <w:r>
        <w:t xml:space="preserve"> </w:t>
      </w:r>
      <w:r>
        <w:t xml:space="preserve">The Small Holders were admitted as Members; everyone understood that they were Members; the Minority Members only challenged their status four years after they were admitted as part of this litigation; the Small Holders paid for the right to be Members; and the Minority Members received $11.4 million of that cash as part of a distribution. They therefore cannot in good faith argue that the Small Holders are not Members. Thus, as Members, the Small Holders have the rights and privileges of other Members. As such, the formula for applying the Exit Sale Provision simply had to be applied on that basis, and an Exit Sale could only be insisted upon by the Minority Members if all Members, including the Small Holders, received 1.5x their initial capital contribution.</w:t>
      </w:r>
      <w:r>
        <w:rPr>
          <w:rStyle w:val="FootnoteReference"/>
        </w:rPr>
        <w:footnoteReference w:customMarkFollows="1" w:id="867"/>
        <w:t xml:space="preserve">106</w:t>
      </w:r>
    </w:p>
    <w:p>
      <w:pPr>
        <w:pStyle w:val="CaseBody"/>
      </w:pPr>
      <w:r>
        <w:t xml:space="preserve">The implied covenant of good faith is a "cautious enterprise"</w:t>
      </w:r>
      <w:r>
        <w:rPr>
          <w:rStyle w:val="FootnoteReference"/>
        </w:rPr>
        <w:footnoteReference w:customMarkFollows="1" w:id="871"/>
        <w:t xml:space="preserve">107</w:t>
      </w:r>
      <w:r>
        <w:t xml:space="preserve"> </w:t>
      </w:r>
      <w:r>
        <w:t xml:space="preserve">that "is 'best understood as a way of implying terms in the agreement,' whether employed to analyze unanticipated developments or to fill gaps in the contract's provisions."</w:t>
      </w:r>
      <w:r>
        <w:rPr>
          <w:rStyle w:val="FootnoteReference"/>
        </w:rPr>
        <w:footnoteReference w:customMarkFollows="1" w:id="875"/>
        <w:t xml:space="preserve">108</w:t>
      </w:r>
      <w:r>
        <w:t xml:space="preserve"> </w:t>
      </w:r>
      <w:r>
        <w:t xml:space="preserve">"Delaware's implied duty of good faith and fair dealing is not an equitable remedy for rebalancing economic interests after events that could have been anticipated, but were not, that later adversely affected one party to a contract."</w:t>
      </w:r>
      <w:r>
        <w:rPr>
          <w:rStyle w:val="FootnoteReference"/>
        </w:rPr>
        <w:footnoteReference w:customMarkFollows="1" w:id="879"/>
        <w:t xml:space="preserve">109</w:t>
      </w:r>
      <w:r>
        <w:t xml:space="preserve"> </w:t>
      </w:r>
      <w:r>
        <w:t xml:space="preserve">Rather, "the covenant is a limited and extraordinary legal remedy."</w:t>
      </w:r>
      <w:r>
        <w:rPr>
          <w:rStyle w:val="FootnoteReference"/>
        </w:rPr>
        <w:footnoteReference w:customMarkFollows="1" w:id="883"/>
        <w:t xml:space="preserve">110</w:t>
      </w:r>
      <w:r>
        <w:t xml:space="preserve"> </w:t>
      </w:r>
      <w:r>
        <w:t xml:space="preserve">As such, the implied covenant "does not apply when the contract addresses the conduct at issue,"</w:t>
      </w:r>
      <w:r>
        <w:rPr>
          <w:rStyle w:val="FootnoteReference"/>
        </w:rPr>
        <w:footnoteReference w:customMarkFollows="1" w:id="887"/>
        <w:t xml:space="preserve">111</w:t>
      </w:r>
      <w:r>
        <w:t xml:space="preserve"> </w:t>
      </w:r>
      <w:r>
        <w:t xml:space="preserve">but only "when the contract is truly silent" concerning the matter at hand.</w:t>
      </w:r>
      <w:r>
        <w:rPr>
          <w:rStyle w:val="FootnoteReference"/>
        </w:rPr>
        <w:footnoteReference w:customMarkFollows="1" w:id="891"/>
        <w:t xml:space="preserve">112</w:t>
      </w:r>
      <w:r>
        <w:t xml:space="preserve"> </w:t>
      </w:r>
      <w:r>
        <w:t xml:space="preserve">Even where the contract is silent, "[a]n interpreting court cannot use an implied covenant to re-write the agreement between the parties, and 'should be most chary about implying a contractual protection when the contract could easily have been drafted to expressly provide for it.' "</w:t>
      </w:r>
      <w:r>
        <w:rPr>
          <w:rStyle w:val="FootnoteReference"/>
        </w:rPr>
        <w:footnoteReference w:customMarkFollows="1" w:id="895"/>
        <w:t xml:space="preserve">113</w:t>
      </w:r>
    </w:p>
    <w:p>
      <w:pPr>
        <w:pStyle w:val="CaseBody"/>
      </w:pPr>
      <w:r>
        <w:t xml:space="preserve">We decline to apply the implied covenant here because no gap exists concerning the admission of the Small Holders, and because the admission of new Members and their impact on the Exit Sale process could have been anticipated. As explained above, the Minority Members bargained for certain protections regarding the admission of new Members. The parties could have also limited the 1.5x Clause to certain Members, excluded subsequently admitted Members, removed the "all, but not less than all" language, as the parties did with their 2014 amendment to the Put Right,</w:t>
      </w:r>
      <w:r>
        <w:rPr>
          <w:rStyle w:val="FootnoteReference"/>
        </w:rPr>
        <w:footnoteReference w:customMarkFollows="1" w:id="899"/>
        <w:t xml:space="preserve">114</w:t>
      </w:r>
      <w:r>
        <w:t xml:space="preserve"> </w:t>
      </w:r>
      <w:r>
        <w:t xml:space="preserve">or revised the Exit Sale Right to include a Top-Off option when they amended that provision in 2014-</w:t>
      </w:r>
      <w:r>
        <w:rPr>
          <w:iCs/>
          <w:i/>
        </w:rPr>
        <w:t xml:space="preserve">after</w:t>
      </w:r>
      <w:r>
        <w:t xml:space="preserve"> </w:t>
      </w:r>
      <w:r>
        <w:t xml:space="preserve">the Small Holders invested and</w:t>
      </w:r>
      <w:r>
        <w:t xml:space="preserve"> </w:t>
      </w:r>
      <w:r>
        <w:rPr>
          <w:iCs/>
          <w:i/>
        </w:rPr>
        <w:t xml:space="preserve">after</w:t>
      </w:r>
      <w:r>
        <w:t xml:space="preserve"> </w:t>
      </w:r>
      <w:r>
        <w:t xml:space="preserve">Crestview began contemplating an exit.</w:t>
      </w:r>
      <w:r>
        <w:rPr>
          <w:rStyle w:val="FootnoteReference"/>
        </w:rPr>
        <w:footnoteReference w:customMarkFollows="1" w:id="903"/>
        <w:t xml:space="preserve">115</w:t>
      </w:r>
    </w:p>
    <w:p>
      <w:pPr>
        <w:pStyle w:val="CaseBody"/>
      </w:pPr>
      <w:r>
        <w:t xml:space="preserve">But they did not. Rather, the Board admitted the Small Holders without altering the rights applicable to all other Members.</w:t>
      </w:r>
    </w:p>
    <w:p>
      <w:pPr>
        <w:pStyle w:val="CaseBody"/>
      </w:pPr>
      <w:r>
        <w:t xml:space="preserve">For certain, the parties are in a far different position than they were in 2007 or 2011. As the Court of Chancery recognized, since the Minority Members exercised the Exit Sale Right nearly nine years after finalizing the LLC Agreement, Oxbow's management has changed, Koch has lost some of his initial bargaining leverage, and-at least compared to Crestview's expectations around 2011-the value of Oxbow has declined.</w:t>
      </w:r>
      <w:r>
        <w:rPr>
          <w:rStyle w:val="FootnoteReference"/>
        </w:rPr>
        <w:footnoteReference w:customMarkFollows="1" w:id="907"/>
        <w:t xml:space="preserve">116</w:t>
      </w:r>
      <w:r>
        <w:t xml:space="preserve"> </w:t>
      </w:r>
      <w:r>
        <w:t xml:space="preserve">However, we reiterate that the implied covenant should not be used as "an equitable remedy for rebalancing economic interests"</w:t>
      </w:r>
      <w:r>
        <w:rPr>
          <w:rStyle w:val="FootnoteReference"/>
        </w:rPr>
        <w:footnoteReference w:customMarkFollows="1" w:id="911"/>
        <w:t xml:space="preserve">117</w:t>
      </w:r>
      <w:r>
        <w:t xml:space="preserve"> </w:t>
      </w:r>
      <w:r>
        <w:t xml:space="preserve">-particularly where, as here, the parties are sophisticated business persons or entities.</w:t>
      </w:r>
      <w:r>
        <w:rPr>
          <w:rStyle w:val="FootnoteReference"/>
        </w:rPr>
        <w:footnoteReference w:customMarkFollows="1" w:id="915"/>
        <w:t xml:space="preserve">118</w:t>
      </w:r>
    </w:p>
    <w:p>
      <w:pPr>
        <w:pStyle w:val="CaseBody"/>
      </w:pPr>
      <w:r>
        <w:t xml:space="preserve">In sum, we agree with the Court of Chancery that the Highest Amount Interpretation is the only reading that gives effect to the LLC Agreement as a whole, but we hold that the trial court erred in finding a gap in the LLC Agreement and in using the implied covenant to imply a Seller Top-Off right.</w:t>
      </w:r>
    </w:p>
    <w:p>
      <w:pPr>
        <w:pStyle w:val="CaseBody"/>
      </w:pPr>
      <w:r>
        <w:rPr>
          <w:iCs/>
          <w:i/>
        </w:rPr>
        <w:t xml:space="preserve">C. The Minority Members did not Fairly Present their New Plain Language Argument Below</w:t>
      </w:r>
    </w:p>
    <w:p>
      <w:pPr>
        <w:pStyle w:val="CaseBody"/>
      </w:pPr>
      <w:r>
        <w:t xml:space="preserve">Consistent with the parties' shifting theories in this litigation, the Minority Members' answering brief on appeal now casts their implied covenant Top-Off argument below as a</w:t>
      </w:r>
      <w:r>
        <w:t xml:space="preserve"> </w:t>
      </w:r>
      <w:r>
        <w:rPr>
          <w:iCs/>
          <w:i/>
        </w:rPr>
        <w:t xml:space="preserve">plain language</w:t>
      </w:r>
      <w:r>
        <w:t xml:space="preserve"> </w:t>
      </w:r>
      <w:r>
        <w:t xml:space="preserve">claim. Specifically, they argue that the Exit Sale Right and the Equal Treatment Provisions are silent as to whether the Minority Members can redistribute their Exit Sale proceeds in the form of a Top-Off, and that a Top-Off fulfills the purposes of the LLC Agreement. In other words, they ask us to imply a Top-Off based upon the LLC Agreement's plain language. Because this argument was not fairly presented below, however, we decline to reach its merits.</w:t>
      </w:r>
    </w:p>
    <w:p>
      <w:pPr>
        <w:pStyle w:val="CaseBody"/>
      </w:pPr>
      <w:r>
        <w:t xml:space="preserve">Not only was this new plain language theory not fairly presented below, it conflicts with the positions the Minority Members actually did take.</w:t>
      </w:r>
      <w:r>
        <w:rPr>
          <w:rStyle w:val="FootnoteReference"/>
        </w:rPr>
        <w:footnoteReference w:customMarkFollows="1" w:id="919"/>
        <w:t xml:space="preserve">119</w:t>
      </w:r>
      <w:r>
        <w:t xml:space="preserve"> </w:t>
      </w:r>
      <w:r>
        <w:t xml:space="preserve">In fact, their principals acknowledged that there was no such right to a Top-Off payment in the LLC Agreement. For example, Hurst testified in deposition:</w:t>
      </w:r>
    </w:p>
    <w:p>
      <w:pPr>
        <w:pStyle w:val="BlockText"/>
      </w:pPr>
      <w:r>
        <w:t xml:space="preserve">Q: Now, did Crestview ever negotiate for the right to be able to make a top-off payment in the event that the exit sale did not result in the fair market value being achieved?</w:t>
      </w:r>
    </w:p>
    <w:p>
      <w:pPr>
        <w:pStyle w:val="BlockText"/>
      </w:pPr>
      <w:r>
        <w:t xml:space="preserve">...</w:t>
      </w:r>
    </w:p>
    <w:p>
      <w:pPr>
        <w:pStyle w:val="BlockText"/>
      </w:pPr>
      <w:r>
        <w:t xml:space="preserve">A: I don't believe so.</w:t>
      </w:r>
    </w:p>
    <w:p>
      <w:pPr>
        <w:pStyle w:val="BlockText"/>
      </w:pPr>
      <w:r>
        <w:t xml:space="preserve">...</w:t>
      </w:r>
    </w:p>
    <w:p>
      <w:pPr>
        <w:pStyle w:val="BlockText"/>
      </w:pPr>
      <w:r>
        <w:t xml:space="preserve">Q: You didn't tell the investment committee that you understood that Crestview had a top-off payment right, did you?</w:t>
      </w:r>
    </w:p>
    <w:p>
      <w:pPr>
        <w:pStyle w:val="BlockText"/>
      </w:pPr>
      <w:r>
        <w:t xml:space="preserve">A: We did not have a top-off payment right.</w:t>
      </w:r>
      <w:r>
        <w:rPr>
          <w:rStyle w:val="FootnoteReference"/>
        </w:rPr>
        <w:footnoteReference w:customMarkFollows="1" w:id="923"/>
        <w:t xml:space="preserve">120</w:t>
      </w:r>
    </w:p>
    <w:p>
      <w:pPr>
        <w:pStyle w:val="CaseBody"/>
      </w:pPr>
      <w:r>
        <w:t xml:space="preserve">Further, in the proceedings below, the Minority Members argued that "the LLC Agreement contains a gap</w:t>
      </w:r>
      <w:r>
        <w:t xml:space="preserve"> </w:t>
      </w:r>
      <w:r>
        <w:rPr>
          <w:iCs/>
          <w:i/>
        </w:rPr>
        <w:t xml:space="preserve">because it does not explicitly permit or prohibit a top-up payment</w:t>
      </w:r>
      <w:r>
        <w:t xml:space="preserve"> </w:t>
      </w:r>
      <w:r>
        <w:t xml:space="preserve">to a particular member to satisfy the 1.5x Clause."</w:t>
      </w:r>
      <w:r>
        <w:rPr>
          <w:rStyle w:val="FootnoteReference"/>
        </w:rPr>
        <w:footnoteReference w:customMarkFollows="1" w:id="927"/>
        <w:t xml:space="preserve">121</w:t>
      </w:r>
      <w:r>
        <w:t xml:space="preserve"> </w:t>
      </w:r>
      <w:r>
        <w:t xml:space="preserve">Thus, we conclude that the Minority Members' new "plain language" argument is waived.</w:t>
      </w:r>
    </w:p>
    <w:p>
      <w:pPr>
        <w:pStyle w:val="CaseBody"/>
      </w:pPr>
      <w:r>
        <w:rPr>
          <w:iCs/>
          <w:i/>
        </w:rPr>
        <w:t xml:space="preserve">D. We Vacate the Court of Chancery's Remedies Decision</w:t>
      </w:r>
    </w:p>
    <w:p>
      <w:pPr>
        <w:pStyle w:val="CaseBody"/>
      </w:pPr>
      <w:r>
        <w:t xml:space="preserve">The Koch Parties contend that the Court of Chancery erroneously determined that they breached the Reasonable Efforts Provision and that the court's remedies constitute error. Specifically, the Koch Parties argue that "because there was no Exit Sale available that could satisfy the LLCA's express requirements under prevailing market conditions, there was no Exit Sale for Oxbow Holdings to use reasonable efforts to effectuate."</w:t>
      </w:r>
      <w:r>
        <w:rPr>
          <w:rStyle w:val="FootnoteReference"/>
        </w:rPr>
        <w:footnoteReference w:customMarkFollows="1" w:id="930"/>
        <w:t xml:space="preserve">122</w:t>
      </w:r>
      <w:r>
        <w:t xml:space="preserve"> </w:t>
      </w:r>
      <w:r>
        <w:t xml:space="preserve">We agree and, accordingly, vacate the remedies ruling of August 1, 2018.</w:t>
      </w:r>
    </w:p>
    <w:p>
      <w:pPr>
        <w:pStyle w:val="CaseBody"/>
      </w:pPr>
      <w:r>
        <w:rPr>
          <w:iCs/>
          <w:i/>
        </w:rPr>
        <w:t xml:space="preserve">V. Conclusion</w:t>
      </w:r>
    </w:p>
    <w:p>
      <w:pPr>
        <w:pStyle w:val="CaseBody"/>
      </w:pPr>
      <w:r>
        <w:t xml:space="preserve">For the foregoing reasons, we AFFIRM in part and REVERSE in part the Court of Chancery's February 12, 2018, decision, and we VACATE the court's August 1, 2018, remedies decision.</w:t>
      </w:r>
    </w:p>
    <w:bookmarkStart w:id="24" w:name="_auto_toc_24"/>
    <w:bookmarkEnd w:id="24"/>
    <w:p>
      <w:pPr>
        <w:pStyle w:val="ResourceNumber"/>
      </w:pPr>
      <w:r>
        <w:t xml:space="preserve">2.2.4</w:t>
      </w:r>
    </w:p>
    <w:p>
      <w:pPr>
        <w:pStyle w:val="ResourceTitle"/>
      </w:pPr>
      <w:r>
        <w:t xml:space="preserve">Sample LLC Operating Agreement 1</w:t>
      </w:r>
    </w:p>
    <w:p>
      <w:pPr>
        <w:pStyle w:val="HeadFieldSeparator"/>
      </w:pPr>
      <w:r>
        <w:t xml:space="preserve"> </w:t>
      </w:r>
    </w:p>
    <w:p>
      <w:pPr>
        <w:pStyle w:val="ResourceSubtitle"/>
      </w:pPr>
      <w:r>
        <w:t xml:space="preserve">Real Estate Investment</w:t>
      </w:r>
    </w:p>
    <w:p>
      <w:pPr>
        <w:pStyle w:val="HeadEnd"/>
      </w:pPr>
      <w:r>
        <w:t xml:space="preserve"> </w:t>
      </w:r>
    </w:p>
    <w:p>
      <w:pPr>
        <w:pStyle w:val="BodyText"/>
      </w:pPr>
      <w:r>
        <w:t xml:space="preserve">An example of an LLC operating agreement (set up for a real estate investment) can be found</w:t>
      </w:r>
      <w:r>
        <w:t xml:space="preserve"> </w:t>
      </w:r>
      <w:hyperlink r:id="rId22">
        <w:r>
          <w:rPr>
            <w:rStyle w:val="Hyperlink"/>
          </w:rPr>
          <w:t xml:space="preserve">here</w:t>
        </w:r>
      </w:hyperlink>
      <w:r>
        <w:t xml:space="preserve">.</w:t>
      </w:r>
    </w:p>
    <w:p>
      <w:pPr>
        <w:pStyle w:val="NodeEnd"/>
      </w:pPr>
      <w:r>
        <w:t xml:space="preserve"> </w:t>
      </w:r>
    </w:p>
    <w:p>
      <w:pPr>
        <w:pStyle w:val="NodeStart"/>
      </w:pPr>
      <w:r>
        <w:t xml:space="preserve"> </w:t>
      </w:r>
    </w:p>
    <w:p>
      <w:pPr>
        <w:pStyle w:val="HeadSeparator"/>
      </w:pPr>
      <w:r>
        <w:t xml:space="preserve"> </w:t>
      </w:r>
    </w:p>
    <w:bookmarkStart w:id="25" w:name="_auto_toc_25"/>
    <w:bookmarkEnd w:id="25"/>
    <w:p>
      <w:pPr>
        <w:pStyle w:val="ResourceNumber"/>
      </w:pPr>
      <w:r>
        <w:t xml:space="preserve">2.2.5</w:t>
      </w:r>
    </w:p>
    <w:p>
      <w:pPr>
        <w:pStyle w:val="ResourceTitle"/>
      </w:pPr>
      <w:r>
        <w:t xml:space="preserve">Sample LLC Operating Agreement 2</w:t>
      </w:r>
    </w:p>
    <w:p>
      <w:pPr>
        <w:pStyle w:val="HeadFieldSeparator"/>
      </w:pPr>
      <w:r>
        <w:t xml:space="preserve"> </w:t>
      </w:r>
    </w:p>
    <w:p>
      <w:pPr>
        <w:pStyle w:val="ResourceSubtitle"/>
      </w:pPr>
      <w:r>
        <w:t xml:space="preserve">Investment in and Management of Loan Portfolio</w:t>
      </w:r>
    </w:p>
    <w:p>
      <w:pPr>
        <w:pStyle w:val="HeadEnd"/>
      </w:pPr>
      <w:r>
        <w:t xml:space="preserve"> </w:t>
      </w:r>
    </w:p>
    <w:p>
      <w:pPr>
        <w:pStyle w:val="BodyText"/>
      </w:pPr>
      <w:r>
        <w:t xml:space="preserve">An example of a real LLC operating agreement set up for the buyer of a portfolio of loans from the FDIC can be found</w:t>
      </w:r>
      <w:r>
        <w:t xml:space="preserve"> </w:t>
      </w:r>
      <w:hyperlink r:id="rId23">
        <w:r>
          <w:rPr>
            <w:rStyle w:val="Hyperlink"/>
          </w:rPr>
          <w:t xml:space="preserve">here</w:t>
        </w:r>
      </w:hyperlink>
      <w:r>
        <w:t xml:space="preserve">.</w:t>
      </w:r>
    </w:p>
    <w:p>
      <w:pPr>
        <w:pStyle w:val="NodeEnd"/>
      </w:pPr>
      <w:r>
        <w:t xml:space="preserve"> </w:t>
      </w:r>
    </w:p>
    <w:p>
      <w:pPr>
        <w:pStyle w:val="NodeStart"/>
      </w:pPr>
      <w:r>
        <w:t xml:space="preserve"> </w:t>
      </w:r>
    </w:p>
    <w:p>
      <w:pPr>
        <w:pStyle w:val="HeadSeparator"/>
      </w:pPr>
      <w:r>
        <w:t xml:space="preserve"> </w:t>
      </w:r>
    </w:p>
    <w:bookmarkStart w:id="26" w:name="_auto_toc_26"/>
    <w:bookmarkEnd w:id="26"/>
    <w:p>
      <w:pPr>
        <w:pStyle w:val="ResourceNumber"/>
      </w:pPr>
      <w:r>
        <w:t xml:space="preserve">2.2.6</w:t>
      </w:r>
    </w:p>
    <w:p>
      <w:pPr>
        <w:pStyle w:val="ResourceTitle"/>
      </w:pPr>
      <w:r>
        <w:t xml:space="preserve">Sample LLC Operating Agreement 3</w:t>
      </w:r>
    </w:p>
    <w:p>
      <w:pPr>
        <w:pStyle w:val="HeadFieldSeparator"/>
      </w:pPr>
      <w:r>
        <w:t xml:space="preserve"> </w:t>
      </w:r>
    </w:p>
    <w:p>
      <w:pPr>
        <w:pStyle w:val="ResourceSubtitle"/>
      </w:pPr>
      <w:r>
        <w:t xml:space="preserve">"Investing Platform" (a business)</w:t>
      </w:r>
    </w:p>
    <w:p>
      <w:pPr>
        <w:pStyle w:val="HeadEnd"/>
      </w:pPr>
      <w:r>
        <w:t xml:space="preserve"> </w:t>
      </w:r>
    </w:p>
    <w:p>
      <w:pPr>
        <w:pStyle w:val="BodyText"/>
      </w:pPr>
      <w:hyperlink r:id="rId24">
        <w:r>
          <w:rPr>
            <w:rStyle w:val="Hyperlink"/>
          </w:rPr>
          <w:t xml:space="preserve">Here</w:t>
        </w:r>
      </w:hyperlink>
      <w:r>
        <w:t xml:space="preserve"> </w:t>
      </w:r>
      <w:r>
        <w:t xml:space="preserve">is an example of an operating LLC agreement for a business (Rapunzl Investments LLC), which holds itself out as a "d</w:t>
      </w:r>
      <w:r>
        <w:t xml:space="preserve">eveloper of an investing platform designed to connect investors with simulated stock portfolios and stock trading competitions."</w:t>
      </w:r>
    </w:p>
    <w:p>
      <w:pPr>
        <w:pStyle w:val="NodeEnd"/>
      </w:pPr>
      <w:r>
        <w:t xml:space="preserve"> </w:t>
      </w:r>
    </w:p>
    <w:p>
      <w:pPr>
        <w:pStyle w:val="NodeStart"/>
      </w:pPr>
      <w:r>
        <w:t xml:space="preserve"> </w:t>
      </w:r>
    </w:p>
    <w:p>
      <w:pPr>
        <w:pStyle w:val="HeadSeparator"/>
      </w:pPr>
      <w:r>
        <w:t xml:space="preserve"> </w:t>
      </w:r>
    </w:p>
    <w:bookmarkStart w:id="27" w:name="_auto_toc_27"/>
    <w:bookmarkEnd w:id="27"/>
    <w:p>
      <w:pPr>
        <w:pStyle w:val="ResourceNumber"/>
      </w:pPr>
      <w:r>
        <w:t xml:space="preserve">2.3</w:t>
      </w:r>
    </w:p>
    <w:p>
      <w:pPr>
        <w:pStyle w:val="ResourceTitle"/>
      </w:pPr>
      <w:r>
        <w:t xml:space="preserve">Uniform Partnership Act 1917</w:t>
      </w:r>
    </w:p>
    <w:p>
      <w:pPr>
        <w:pStyle w:val="HeadFieldSeparator"/>
      </w:pPr>
      <w:r>
        <w:t xml:space="preserve"> </w:t>
      </w:r>
    </w:p>
    <w:p>
      <w:pPr>
        <w:pStyle w:val="ResourceLink"/>
      </w:pPr>
      <w:hyperlink r:id="rId25">
        <w:r>
          <w:rPr>
            <w:rStyle w:val="Hyperlink"/>
          </w:rPr>
          <w:t xml:space="preserve">http://source.gosupra.com/docs/statute/224</w:t>
        </w:r>
      </w:hyperlink>
    </w:p>
    <w:p>
      <w:pPr>
        <w:pStyle w:val="HeadFieldSeparator"/>
      </w:pPr>
      <w:r>
        <w:t xml:space="preserve"> </w:t>
      </w:r>
    </w:p>
    <w:p>
      <w:pPr>
        <w:pStyle w:val="ResourceHeadnote"/>
      </w:pPr>
      <w:r>
        <w:t xml:space="preserve">NY's partnership law is still based on the UPA (1917). Please focus on Sections 15, 29, 30, and 37.</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28" w:name="_auto_toc_28"/>
    <w:bookmarkEnd w:id="28"/>
    <w:p>
      <w:pPr>
        <w:pStyle w:val="ResourceNumber"/>
      </w:pPr>
      <w:r>
        <w:t xml:space="preserve">2.4</w:t>
      </w:r>
    </w:p>
    <w:p>
      <w:pPr>
        <w:pStyle w:val="ResourceTitle"/>
      </w:pPr>
      <w:r>
        <w:t xml:space="preserve">(Revised) Uniform Partnership Act 1997 as revised 2013</w:t>
      </w:r>
    </w:p>
    <w:p>
      <w:pPr>
        <w:pStyle w:val="HeadFieldSeparator"/>
      </w:pPr>
      <w:r>
        <w:t xml:space="preserve"> </w:t>
      </w:r>
    </w:p>
    <w:p>
      <w:pPr>
        <w:pStyle w:val="ResourceLink"/>
      </w:pPr>
      <w:hyperlink r:id="rId26">
        <w:r>
          <w:rPr>
            <w:rStyle w:val="Hyperlink"/>
          </w:rPr>
          <w:t xml:space="preserve">https://www.uniformlaws.org/HigherLogic/System/DownloadDocumentFile.ashx?DocumentFileKey=9e30c4d7-dbed-c173-dfc1-26394e60152d&amp;forceDialog=0</w:t>
        </w:r>
      </w:hyperlink>
    </w:p>
    <w:p>
      <w:pPr>
        <w:pStyle w:val="HeadFieldSeparator"/>
      </w:pPr>
      <w:r>
        <w:t xml:space="preserve"> </w:t>
      </w:r>
    </w:p>
    <w:p>
      <w:pPr>
        <w:pStyle w:val="ResourceHeadnote"/>
      </w:pPr>
      <w:r>
        <w:t xml:space="preserve">The (revised) UPA (1997) has been adopted in most states, and was most recently updated in 2013. Please focus on Sections 107 (formerly 103), 306-308, 409 (formerly 404), 601, and 801.</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29" w:name="_auto_toc_29"/>
    <w:bookmarkEnd w:id="29"/>
    <w:p>
      <w:pPr>
        <w:pStyle w:val="ResourceNumber"/>
      </w:pPr>
      <w:r>
        <w:t xml:space="preserve">2.5</w:t>
      </w:r>
    </w:p>
    <w:p>
      <w:pPr>
        <w:pStyle w:val="ResourceTitle"/>
      </w:pPr>
      <w:r>
        <w:t xml:space="preserve">Brudney's Partnership Problems</w:t>
      </w:r>
    </w:p>
    <w:p>
      <w:pPr>
        <w:pStyle w:val="HeadEnd"/>
      </w:pPr>
      <w:r>
        <w:t xml:space="preserve"> </w:t>
      </w:r>
    </w:p>
    <w:p>
      <w:pPr>
        <w:pStyle w:val="BodyText"/>
      </w:pPr>
      <w:r>
        <w:t xml:space="preserve">Problem One</w:t>
      </w:r>
    </w:p>
    <w:p>
      <w:pPr>
        <w:pStyle w:val="BodyText"/>
      </w:pPr>
      <w:r>
        <w:t xml:space="preserve">Ars, Gratia, and Artis form and operate a business to distribute sporting goods and equipment at wholesale.</w:t>
      </w:r>
    </w:p>
    <w:p>
      <w:pPr>
        <w:pStyle w:val="BodyText"/>
      </w:pPr>
      <w:r>
        <w:t xml:space="preserve">The enterprise—whose letterhead, billheads, and bank account are in the name Argrar—has built a warehouse for $200,000 (on land supplied by Gratia), which it depreciates to the tax advantage of the individual participants because it reports to the IRS as a partnership.</w:t>
      </w:r>
    </w:p>
    <w:p>
      <w:pPr>
        <w:numPr>
          <w:ilvl w:val="0"/>
          <w:numId w:val="1031"/>
        </w:numPr>
      </w:pPr>
      <w:r>
        <w:t xml:space="preserve">Ars, who has no assets, has furnished his talents as an administrator and manages the internal operations of the business.</w:t>
      </w:r>
    </w:p>
    <w:p>
      <w:pPr>
        <w:numPr>
          <w:ilvl w:val="0"/>
          <w:numId w:val="1031"/>
        </w:numPr>
      </w:pPr>
      <w:r>
        <w:t xml:space="preserve">Gratia contributed the use of his land, which he could have sold for $40,000, and has handled the firm’s sales.</w:t>
      </w:r>
    </w:p>
    <w:p>
      <w:pPr>
        <w:numPr>
          <w:ilvl w:val="0"/>
          <w:numId w:val="1031"/>
        </w:numPr>
      </w:pPr>
      <w:r>
        <w:t xml:space="preserve">Artis contributed $30,000 in cash and has done the purchasing.</w:t>
      </w:r>
    </w:p>
    <w:p>
      <w:pPr>
        <w:pStyle w:val="FirstParagraph"/>
      </w:pPr>
      <w:r>
        <w:t xml:space="preserve">The three men have agreed that Ars is, in all events, to receive the greater of $5,000 annually, or one-third of the profits. During the first years of the business, the three men divided the annual profits equally among themselves.</w:t>
      </w:r>
    </w:p>
    <w:p>
      <w:pPr>
        <w:pStyle w:val="BodyText"/>
      </w:pPr>
      <w:r>
        <w:t xml:space="preserve">With the knowledge of the other two, Artis obtained half the cash from Mayer, to whom (unbeknownst to them) Artis has promised half his profits.</w:t>
      </w:r>
    </w:p>
    <w:p>
      <w:pPr>
        <w:pStyle w:val="BodyText"/>
      </w:pPr>
      <w:r>
        <w:t xml:space="preserve">If a customer is injured by equipment that Artis knew was defective, is Ars liable? Is Mayer?</w:t>
      </w:r>
    </w:p>
    <w:p>
      <w:pPr>
        <w:pStyle w:val="BodyText"/>
      </w:pPr>
      <w:r>
        <w:t xml:space="preserve">If a customer loses foreseeable resales because Gratia fails to request timely delivery to the customer, is Artis liable? Ars? Mayer?</w:t>
      </w:r>
    </w:p>
    <w:p>
      <w:pPr>
        <w:pStyle w:val="BodyText"/>
      </w:pPr>
      <w:r>
        <w:t xml:space="preserve">Consider §§ 6, 7, 12-16, and 18 of the UPA.</w:t>
      </w:r>
    </w:p>
    <w:p>
      <w:pPr>
        <w:pStyle w:val="BodyText"/>
      </w:pPr>
      <w:r>
        <w:t xml:space="preserve">Compare §§ 101(13), 202(a), 202(b), 102(f), 305, 306, 308, and 401 of the RUPA.</w:t>
      </w:r>
    </w:p>
    <w:p>
      <w:pPr>
        <w:pStyle w:val="BodyText"/>
      </w:pPr>
      <w:r>
        <w:t xml:space="preserve"> </w:t>
      </w:r>
    </w:p>
    <w:p>
      <w:pPr>
        <w:pStyle w:val="BodyText"/>
      </w:pPr>
      <w:r>
        <w:t xml:space="preserve">Problem Two</w:t>
      </w:r>
    </w:p>
    <w:p>
      <w:pPr>
        <w:pStyle w:val="BodyText"/>
      </w:pPr>
      <w:r>
        <w:t xml:space="preserve">In a later year, Low, who is Ars’s uncle and an investment banker, loaned the business $50,000 for ten years.</w:t>
      </w:r>
    </w:p>
    <w:p>
      <w:pPr>
        <w:pStyle w:val="BodyText"/>
      </w:pPr>
      <w:r>
        <w:t xml:space="preserve">Since the warehouse was mortgaged to the hilt, he could not get any security for his loan, and he insisted on interest in an amount equal to 25 percent of the profits as well as a right to veto firm expenditures in excess of $10,000. The loan is repayable on demand but is not prepayable without Low’s consent. Low also indicated that he would be available to give the others advice about how to finance transactions from time to time.</w:t>
      </w:r>
    </w:p>
    <w:p>
      <w:pPr>
        <w:pStyle w:val="BodyText"/>
      </w:pPr>
      <w:r>
        <w:t xml:space="preserve">The parties plan to obtain further necessary financing by a bank loan, which will be senior to Low’s loan, and by extracting as much credit as possible from their suppliers.</w:t>
      </w:r>
    </w:p>
    <w:p>
      <w:pPr>
        <w:pStyle w:val="BodyText"/>
      </w:pPr>
      <w:r>
        <w:t xml:space="preserve">If Gratia tells the bank that Low has an interest in the business, and the bank makes a loan to the firm and passes the word to suppliers that Low is interested in the business, is Low liable to the bank or any supplier who extends credit? Suppose Low receives a bill from a supplier and forwards it to Ars with instructions to pay it and explain his status, and Ars pays but fails to explain.</w:t>
      </w:r>
    </w:p>
    <w:p>
      <w:pPr>
        <w:pStyle w:val="BodyText"/>
      </w:pPr>
      <w:r>
        <w:t xml:space="preserve"> </w:t>
      </w:r>
    </w:p>
    <w:p>
      <w:pPr>
        <w:pStyle w:val="BodyText"/>
      </w:pPr>
      <w:r>
        <w:t xml:space="preserve">Problem Three</w:t>
      </w:r>
    </w:p>
    <w:p>
      <w:pPr>
        <w:pStyle w:val="BodyText"/>
      </w:pPr>
      <w:r>
        <w:t xml:space="preserve">After the firm (assume it is a partnership) has been in business for several years, the flow of unexpected business requires Ars, Artis, and Gratia to decide whether to make alterations in the building. The partners are in disagreement about how extensive the alterations should be. Gratia signs a contract with a construction company for the erection of a retail storefront addition to the building at a cost of $50,000.</w:t>
      </w:r>
    </w:p>
    <w:p>
      <w:pPr>
        <w:pStyle w:val="BodyText"/>
      </w:pPr>
      <w:r>
        <w:t xml:space="preserve">Are the firm and its individual partners bound?</w:t>
      </w:r>
    </w:p>
    <w:p>
      <w:pPr>
        <w:pStyle w:val="BodyText"/>
      </w:pPr>
      <w:r>
        <w:t xml:space="preserve">Even if Artis tells the construction company to stop before it begins actual work?</w:t>
      </w:r>
    </w:p>
    <w:p>
      <w:pPr>
        <w:pStyle w:val="BodyText"/>
      </w:pPr>
      <w:r>
        <w:t xml:space="preserve">What are the construction company’s obligations to inquire before entering into the transaction—whom should it ask for what?</w:t>
      </w:r>
    </w:p>
    <w:p>
      <w:pPr>
        <w:pStyle w:val="BodyText"/>
      </w:pPr>
      <w:r>
        <w:t xml:space="preserve">Consider §§9, 12-16, and 18 of the Uniform Partnership Act.</w:t>
      </w:r>
    </w:p>
    <w:p>
      <w:pPr>
        <w:pStyle w:val="BodyText"/>
      </w:pPr>
      <w:r>
        <w:t xml:space="preserve">Compare RUPA §§ 301, 102(f), 305, 306, 308, and 401.</w:t>
      </w:r>
    </w:p>
    <w:p>
      <w:pPr>
        <w:pStyle w:val="BodyText"/>
      </w:pPr>
      <w:r>
        <w:t xml:space="preserve"> </w:t>
      </w:r>
    </w:p>
    <w:p>
      <w:pPr>
        <w:pStyle w:val="BodyText"/>
      </w:pPr>
      <w:r>
        <w:t xml:space="preserve">Problem Four</w:t>
      </w:r>
    </w:p>
    <w:p>
      <w:pPr>
        <w:pStyle w:val="BodyText"/>
      </w:pPr>
      <w:r>
        <w:t xml:space="preserve">After the Argrar partnership has continued for several years, Artis wants to resign and move across the continent.</w:t>
      </w:r>
    </w:p>
    <w:p>
      <w:pPr>
        <w:pStyle w:val="BodyText"/>
      </w:pPr>
      <w:r>
        <w:t xml:space="preserve">The business is worth, as a going concern, $700,000, but if it were liquidated and sold piece by piece, it would bring $400,000; and if it were sold intact to a related business that would not have to alter the warehouse, it would bring $500,000.</w:t>
      </w:r>
    </w:p>
    <w:p>
      <w:pPr>
        <w:pStyle w:val="BodyText"/>
      </w:pPr>
      <w:r>
        <w:t xml:space="preserve">A new person is needed to replace Artis as a purchasing agent.</w:t>
      </w:r>
    </w:p>
    <w:p>
      <w:pPr>
        <w:pStyle w:val="BodyText"/>
      </w:pPr>
      <w:r>
        <w:t xml:space="preserve">On what terms should Artis fairly leave and the newcomer enter?</w:t>
      </w:r>
    </w:p>
    <w:p>
      <w:pPr>
        <w:pStyle w:val="BodyText"/>
      </w:pPr>
      <w:r>
        <w:t xml:space="preserve">Consider UPA §§ 17, 24-27, 36, 41, and 42 (and RUPA § 701).</w:t>
      </w:r>
    </w:p>
    <w:p>
      <w:pPr>
        <w:pStyle w:val="NodeEnd"/>
      </w:pPr>
      <w:r>
        <w:t xml:space="preserve"> </w:t>
      </w:r>
    </w:p>
    <w:p>
      <w:pPr>
        <w:pStyle w:val="NodeStart"/>
      </w:pPr>
      <w:r>
        <w:t xml:space="preserve"> </w:t>
      </w:r>
    </w:p>
    <w:p>
      <w:pPr>
        <w:pStyle w:val="HeadSeparator"/>
      </w:pPr>
      <w:r>
        <w:t xml:space="preserve"> </w:t>
      </w:r>
    </w:p>
    <w:bookmarkStart w:id="30" w:name="_auto_toc_30"/>
    <w:bookmarkEnd w:id="30"/>
    <w:p>
      <w:pPr>
        <w:pStyle w:val="ResourceNumber"/>
      </w:pPr>
      <w:r>
        <w:t xml:space="preserve">2.6</w:t>
      </w:r>
    </w:p>
    <w:p>
      <w:pPr>
        <w:pStyle w:val="ResourceTitle"/>
      </w:pPr>
      <w:r>
        <w:t xml:space="preserve">Delaware LLC Act</w:t>
      </w:r>
    </w:p>
    <w:p>
      <w:pPr>
        <w:pStyle w:val="HeadFieldSeparator"/>
      </w:pPr>
      <w:r>
        <w:t xml:space="preserve"> </w:t>
      </w:r>
    </w:p>
    <w:p>
      <w:pPr>
        <w:pStyle w:val="ResourceLink"/>
      </w:pPr>
      <w:hyperlink r:id="rId27">
        <w:r>
          <w:rPr>
            <w:rStyle w:val="Hyperlink"/>
          </w:rPr>
          <w:t xml:space="preserve">https://delcode.delaware.gov/title6/c018/</w:t>
        </w:r>
      </w:hyperlink>
    </w:p>
    <w:p>
      <w:pPr>
        <w:pStyle w:val="HeadFieldSeparator"/>
      </w:pPr>
      <w:r>
        <w:t xml:space="preserve"> </w:t>
      </w:r>
    </w:p>
    <w:p>
      <w:pPr>
        <w:pStyle w:val="ResourceHeadnote"/>
      </w:pPr>
      <w:r>
        <w:t xml:space="preserve">Most LLCs are created under Delaware law. Focus on Section 18</w:t>
      </w:r>
      <w:r>
        <w:t xml:space="preserve">-1101, which is in Subchapter XI (Miscellaneous).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31" w:name="_auto_toc_31"/>
    <w:bookmarkEnd w:id="31"/>
    <w:p>
      <w:pPr>
        <w:pStyle w:val="ResourceNumber"/>
      </w:pPr>
      <w:r>
        <w:t xml:space="preserve">2.7</w:t>
      </w:r>
    </w:p>
    <w:p>
      <w:pPr>
        <w:pStyle w:val="ResourceTitle"/>
      </w:pPr>
      <w:r>
        <w:t xml:space="preserve">After the Purchase</w:t>
      </w:r>
    </w:p>
    <w:p>
      <w:pPr>
        <w:pStyle w:val="HeadEnd"/>
      </w:pPr>
      <w:r>
        <w:t xml:space="preserve"> </w:t>
      </w:r>
    </w:p>
    <w:p>
      <w:pPr>
        <w:pStyle w:val="BodyText"/>
      </w:pPr>
      <w:r>
        <w:t xml:space="preserve">As of 2015, your client (firm B-1) develops and manages U.S. shopping malls and other commercial real estate operations, and is close to a deal to purchase another company (firm T) in the same business. For the purchase, B-1 is teaming up with two other firms (B-2 and B-3), because T operates 21 malls in many cities, and each of B-1, B-2 and B-3 operate largely in different parts of T’s area of operations. T is organized as a limited partnership, as are its general partner (called “Head”) and each buyer.</w:t>
      </w:r>
    </w:p>
    <w:p>
      <w:pPr>
        <w:pStyle w:val="BodyText"/>
      </w:pPr>
      <w:r>
        <w:t xml:space="preserve">For tax reasons, their transaction will have two features. First, the equity of T will be held by</w:t>
      </w:r>
    </w:p>
    <w:p>
      <w:pPr>
        <w:pStyle w:val="BodyText"/>
      </w:pPr>
      <w:r>
        <w:t xml:space="preserve">(i) the buyers, who will acquire a 90% interest, and</w:t>
      </w:r>
    </w:p>
    <w:p>
      <w:pPr>
        <w:pStyle w:val="BodyText"/>
      </w:pPr>
      <w:r>
        <w:t xml:space="preserve">(ii) the current owners of T, who will retain a 10% limited partnership interest. </w:t>
      </w:r>
    </w:p>
    <w:p>
      <w:pPr>
        <w:pStyle w:val="BodyText"/>
      </w:pPr>
      <w:r>
        <w:t xml:space="preserve">Second, it would be prohibitively expensive for T to sell malls to each co-bidder separately. Instead, all three will buy Head together, and share ownership of T’s assets, in what the business officials in the three buyers refer to as a “synthetic partnership,” by which they mean they will not form an actual partnership for this purpose, but expect their arrangement to result in a sharing of control of and the profit generated by T over time. Each of the buyers has set up a new corporation to serve as a general partner of Head.</w:t>
      </w:r>
    </w:p>
    <w:p>
      <w:pPr>
        <w:pStyle w:val="BodyText"/>
      </w:pPr>
      <w:r>
        <w:t xml:space="preserve">The arrangements proposed can be diagrammed as follows:</w:t>
      </w:r>
    </w:p>
    <w:p>
      <w:pPr>
        <w:pStyle w:val="ImageCenteredLarge"/>
      </w:pPr>
      <w:r>
        <w:drawing>
          <wp:inline>
            <wp:extent cx="5334000" cy="2261809"/>
            <wp:effectExtent b="0" l="0" r="0" t="0"/>
            <wp:docPr descr="" title="" id="1" name="Picture"/>
            <a:graphic>
              <a:graphicData uri="http://schemas.openxmlformats.org/drawingml/2006/picture">
                <pic:pic>
                  <pic:nvPicPr>
                    <pic:cNvPr descr="http://opencasebook.org/image/591e7320-1ef3-4fde-a4d3-ffa93d1069e3" id="0" name="Picture"/>
                    <pic:cNvPicPr>
                      <a:picLocks noChangeArrowheads="1" noChangeAspect="1"/>
                    </pic:cNvPicPr>
                  </pic:nvPicPr>
                  <pic:blipFill>
                    <a:blip r:embed="rId28"/>
                    <a:stretch>
                      <a:fillRect/>
                    </a:stretch>
                  </pic:blipFill>
                  <pic:spPr bwMode="auto">
                    <a:xfrm>
                      <a:off x="0" y="0"/>
                      <a:ext cx="5334000" cy="2261809"/>
                    </a:xfrm>
                    <a:prstGeom prst="rect">
                      <a:avLst/>
                    </a:prstGeom>
                    <a:noFill/>
                    <a:ln w="9525">
                      <a:noFill/>
                      <a:headEnd/>
                      <a:tailEnd/>
                    </a:ln>
                  </pic:spPr>
                </pic:pic>
              </a:graphicData>
            </a:graphic>
          </wp:inline>
        </w:drawing>
      </w:r>
    </w:p>
    <w:p>
      <w:pPr>
        <w:pStyle w:val="BodyText"/>
      </w:pPr>
      <w:r>
        <w:t xml:space="preserve"> </w:t>
      </w:r>
    </w:p>
    <w:p>
      <w:pPr>
        <w:pStyle w:val="BodyText"/>
      </w:pPr>
      <w:r>
        <w:t xml:space="preserve">The existing partnership agreement for T (“T LPA”) provides that Head would have all management power over T’s business, and would “pursue and engage in retail development and acquisition opportunities only through T or one of T’s subsidiaries, other than development opportunities with respect to properties owned by Head as of July 1, 2010” (when Head was formed). The T LPA also provides:</w:t>
      </w:r>
    </w:p>
    <w:p>
      <w:pPr>
        <w:pStyle w:val="BodyText"/>
      </w:pPr>
      <w:r>
        <w:t xml:space="preserve">“None of T’s limited partners shall have any rights by virtue of the agreement or the partnership relationship established hereby in any business ventures of any other person, and no limited partner shall have the obligation pursuant to this agreement to offer any interest in any such business ventures to the partnership, any limited partner or any such other person, even if such opportunity is of a character which, if presented to the partnership, any limited partner or such other person, could be taken by such person...”</w:t>
      </w:r>
    </w:p>
    <w:p>
      <w:pPr>
        <w:pStyle w:val="BodyText"/>
      </w:pPr>
      <w:r>
        <w:t xml:space="preserve">After the purchase, the T LPA will remain unchanged. The buyers have agreed in a purchase agreement with each other to divide T’s mall assets into three autonomous pools, and the Head partnership agreement (“Head LPA”) is being amended to reflect the assignment of each pool to each buyer, and to state that each buyer’s control over properties in their pool is exclusive and includes all operating and management decisions. Each buyer will cause Head to delegate to it all responsibilities and duties as T’s general partner, and will appoint officers of B-1 through B-3 to function as representatives of T, and of Head. The Head LPA would also be changed to provide that “no business opportunities offered to or found by any partner need be offered to or disclosed to the partnership or any other partner.”</w:t>
      </w:r>
    </w:p>
    <w:p>
      <w:pPr>
        <w:pStyle w:val="BodyText"/>
      </w:pPr>
      <w:r>
        <w:t xml:space="preserve">T would need financing to pursue opportunities to buy or manage new malls over time. As planned, for tax reasons, T will not retain the substantial cash necessary to finance pursuit of such opportunities. As a result, it is unlikely that it will be able to pursue any new opportunities.</w:t>
      </w:r>
    </w:p>
    <w:p>
      <w:pPr>
        <w:pStyle w:val="BodyText"/>
      </w:pPr>
      <w:r>
        <w:t xml:space="preserve">As planned, Head will not have any employees or officers, which will save substantial money. Instead, it will outsource its activities by authorizing employees of the B-1 through B-3 to act on its behalf, including day-to-day management of T’s assets, accounting for Head’s finances, and management of T’s distributions, cash, and allocation of taxable income and expenses. These same employees will have authority to consider whether to pursue new opportunities on T’s behalf.</w:t>
      </w:r>
    </w:p>
    <w:p>
      <w:pPr>
        <w:pStyle w:val="BodyText"/>
      </w:pPr>
      <w:r>
        <w:t xml:space="preserve">Buyers intend and expect to continue to buy more regional malls, throughout the U.S. Some of the malls will be near malls owned by T; others will not. They will continue to compete with one another in such acquisitions. Buyers will not use any of T’s assets to pursue such expansion opportunities. The individual employees who will pursue the opportunities for the buyers will not be the same employees authorized by Head to carry out its responsibilities or tasks, although they will all be employees of one of the buyers.</w:t>
      </w:r>
    </w:p>
    <w:p>
      <w:pPr>
        <w:pStyle w:val="BodyText"/>
      </w:pPr>
      <w:r>
        <w:t xml:space="preserve">What concerns does the proposal raise? How might the proposal be modified to address those concerns? How would you prioritize among those modifications?</w:t>
      </w:r>
    </w:p>
    <w:p>
      <w:pPr>
        <w:pStyle w:val="NodeEnd"/>
      </w:pPr>
      <w:r>
        <w:t xml:space="preserve"> </w:t>
      </w:r>
    </w:p>
    <w:p>
      <w:pPr>
        <w:pStyle w:val="NodeStart"/>
      </w:pPr>
      <w:r>
        <w:t xml:space="preserve"> </w:t>
      </w:r>
    </w:p>
    <w:p>
      <w:pPr>
        <w:pStyle w:val="HeadSeparator"/>
      </w:pPr>
      <w:r>
        <w:t xml:space="preserve"> </w:t>
      </w:r>
    </w:p>
    <w:p>
      <w:pPr>
        <w:pStyle w:val="ChapterSpacer"/>
        <w:sectPr>
          <w:footerReference w:type="even" r:id="rId14"/>
          <w:footerReference w:type="default" r:id="rId14"/>
          <w:headerReference w:type="even" r:id="rId11"/>
          <w:headerReference w:type="default" r:id="rId12"/>
          <w:pgSz w:h="15840" w:w="12240"/>
          <w:pgMar w:bottom="1440" w:gutter="720" w:header="1440" w:left="1440" w:right="1440" w:top="1800"/>
          <w:pgNumType w:pgNumType="decimal"/>
        </w:sectPr>
      </w:pPr>
      <w:r>
        <w:t xml:space="preserve"> </w:t>
      </w:r>
    </w:p>
    <w:bookmarkStart w:id="32" w:name="_auto_toc_32"/>
    <w:bookmarkEnd w:id="32"/>
    <w:p>
      <w:pPr>
        <w:pStyle w:val="ChapterNumber"/>
      </w:pPr>
      <w:r>
        <w:t xml:space="preserve">3</w:t>
      </w:r>
    </w:p>
    <w:p>
      <w:pPr>
        <w:pStyle w:val="ChapterTitle"/>
      </w:pPr>
      <w:r>
        <w:t xml:space="preserve">Entity choice and basic "rules" for corporations</w:t>
      </w:r>
    </w:p>
    <w:p>
      <w:pPr>
        <w:pStyle w:val="HeadEnd"/>
        <w:sectPr>
          <w:footerReference w:type="even" r:id="rId14"/>
          <w:footerReference w:type="default" r:id="rId14"/>
          <w:headerReference w:type="even" r:id="rId11"/>
          <w:headerReference w:type="default" r:id="rId12"/>
          <w:type w:val="oddPage"/>
          <w:pgSz w:h="15840" w:w="12240"/>
          <w:pgMar w:bottom="1440" w:gutter="720" w:header="1440" w:left="1440" w:right="1440" w:top="1800"/>
          <w:pgNumType w:pgNumType="decimal"/>
        </w:sectPr>
      </w:pPr>
      <w:r>
        <w:t xml:space="preserve"> </w:t>
      </w:r>
    </w:p>
    <w:p>
      <w:pPr>
        <w:pStyle w:val="NodeEnd"/>
      </w:pPr>
      <w:r>
        <w:t xml:space="preserve"> </w:t>
      </w:r>
    </w:p>
    <w:p>
      <w:pPr>
        <w:pStyle w:val="NodeStart"/>
      </w:pPr>
      <w:r>
        <w:t xml:space="preserve"> </w:t>
      </w:r>
    </w:p>
    <w:p>
      <w:pPr>
        <w:pStyle w:val="HeadSeparator"/>
      </w:pPr>
      <w:r>
        <w:t xml:space="preserve"> </w:t>
      </w:r>
    </w:p>
    <w:bookmarkStart w:id="33" w:name="_auto_toc_33"/>
    <w:bookmarkEnd w:id="33"/>
    <w:p>
      <w:pPr>
        <w:pStyle w:val="SectionNumber"/>
      </w:pPr>
      <w:r>
        <w:t xml:space="preserve">3.1</w:t>
      </w:r>
    </w:p>
    <w:p>
      <w:pPr>
        <w:pStyle w:val="SectionTitle"/>
      </w:pPr>
      <w:r>
        <w:t xml:space="preserve">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34" w:name="_auto_toc_34"/>
    <w:bookmarkEnd w:id="34"/>
    <w:p>
      <w:pPr>
        <w:pStyle w:val="ResourceNumber"/>
      </w:pPr>
      <w:r>
        <w:t xml:space="preserve">3.1.1</w:t>
      </w:r>
    </w:p>
    <w:p>
      <w:pPr>
        <w:pStyle w:val="ResourceTitle"/>
      </w:pPr>
      <w:r>
        <w:t xml:space="preserve">A. P. Smith Manufacturing Co. v. Barlow</w:t>
      </w:r>
    </w:p>
    <w:p>
      <w:pPr>
        <w:pStyle w:val="HeadEnd"/>
      </w:pPr>
      <w:r>
        <w:t xml:space="preserve"> </w:t>
      </w:r>
    </w:p>
    <w:p>
      <w:pPr>
        <w:pStyle w:val="CaseHeader"/>
      </w:pPr>
      <w:r>
        <w:t xml:space="preserve">Supreme Court of New Jersey</w:t>
      </w:r>
    </w:p>
    <w:p>
      <w:pPr>
        <w:pStyle w:val="CaseHeader"/>
      </w:pPr>
      <w:r>
        <w:t xml:space="preserve">13 N.J. 145</w:t>
      </w:r>
    </w:p>
    <w:p>
      <w:pPr>
        <w:pStyle w:val="CaseHeader"/>
      </w:pPr>
      <w:r>
        <w:t xml:space="preserve">1953-06-25</w:t>
      </w:r>
    </w:p>
    <w:p>
      <w:pPr>
        <w:pStyle w:val="CaseBody"/>
      </w:pPr>
      <w:r>
        <w:rPr>
          <w:rStyle w:val="Elision"/>
        </w:rPr>
        <w:t xml:space="preserve">[ … ]</w:t>
      </w:r>
    </w:p>
    <w:p>
      <w:pPr>
        <w:pStyle w:val="CaseBody"/>
      </w:pPr>
      <w:r>
        <w:t xml:space="preserve">The Chancery Division, in a well-reasoned opinion by Judge Stein, determined that a donation by the plaintiff The A. P. Smith Manufacturing Company to Princeton University was</w:t>
      </w:r>
      <w:r>
        <w:t xml:space="preserve"> </w:t>
      </w:r>
      <w:r>
        <w:rPr>
          <w:iCs/>
          <w:i/>
        </w:rPr>
        <w:t xml:space="preserve">intra vires.</w:t>
      </w:r>
      <w:r>
        <w:t xml:space="preserve"> </w:t>
      </w:r>
      <w:r>
        <w:t xml:space="preserve">Because of the public importance of the issues presented, the appeal duly taken to the Appellate Division has been certified directly to this court</w:t>
      </w:r>
      <w:r>
        <w:t xml:space="preserve"> </w:t>
      </w:r>
      <w:r>
        <w:rPr>
          <w:rStyle w:val="Elision"/>
        </w:rPr>
        <w:t xml:space="preserve">[ … ]</w:t>
      </w:r>
      <w:r>
        <w:t xml:space="preserve">.</w:t>
      </w:r>
    </w:p>
    <w:p>
      <w:pPr>
        <w:pStyle w:val="CaseBody"/>
      </w:pPr>
      <w:r>
        <w:t xml:space="preserve">The company was incorporated in 1896 and is engaged in the manufacture and sale of valves, fire hydrants and special equipment, mainly for water and gas industries. Its plant is located in East Orange and Bloomfield and it has approximately 300 employees. Over the years the company has contributed regularly to the local community chest and on occasions to Upsala College in East Orange and Newark University, now part of Rutgers, the State University. On July 24, 1951 the board of directors adopted a resolution which set forth that it was in the corporation’s best interests to join with others in the 1951 Annual Giving to Princeton University, and appropriated the sum of $1,500 to be transferred by the corporation’s treasurer to the university as a contribution towards its maintenance. When this action was questioned by stockholders the corporation instituted a declaratory judgment action in the Chancery Division and trial was had in due course.</w:t>
      </w:r>
    </w:p>
    <w:p>
      <w:pPr>
        <w:pStyle w:val="CaseBody"/>
      </w:pPr>
      <w:r>
        <w:t xml:space="preserve">Mr. Hubert E. O’Brien, the president of the company, testified that he considered the contribution to be a sound investment, that the public expects corporations to aid philanthropic and benevolent institutions, that they obtain good will in the community by so doing, and that their charitable donations create favorable environment for their business operations. In addition, he expressed the thought that in contributing to liberal arts institutions, corporations were furthering their self-interest in assuring the free flow of properly trained personnel for administrative and other corporate employment. Mr. Frank W. Abrams, chairman of the board of the Standard Oil Company of New Jersey, testified that corporations are expected to acknowledge their public responsibilities in support of the essential elements of our free enterprise system. He indicated that it was not “good business” to disappoint “this reasonable and justified public expectation,” nor was it good business for corporations “to take substantial benefits from their membership in the economic community while avoiding the normally accepted obligations of citizenship in the social community.” Mr. Irving S. Olds, former chairman of the board of the United States Steel Corporation, pointed out that corporations have a self-interest in the maintenance of liberal education as the bulwark of good government. He stated that “Capitalism and free enterprise owe their survival in no small degree to the existence of our private, independent universities” and that if American business does not aid in their maintenance it is not “properly protecting the long-range interest of its stockholders, its employees and its customers.” Similarly, Dr. Harold W. Dodds, President of Princeton University, suggested that if private institutions of higher learning were replaced by governmental institutions our society would be vastly different and private enterprise in other fields would fade out rather promptly. Further on he stated that “democratic society will not long endure if it does not nourish within itself strong centers of non-governmental fountains of knowledge, opinions of all sorts not gorernmentally or politically originated. If the time comes when all these centers are absorbed into government, then freedom as we know it, I submit, is at an end.”</w:t>
      </w:r>
    </w:p>
    <w:p>
      <w:pPr>
        <w:pStyle w:val="CaseBody"/>
      </w:pPr>
      <w:r>
        <w:t xml:space="preserve">The objecting stockholders have not disputed any of the foregoing testimony nor the showing of great need by Princeton and other private institutions of higher learning and the important public service being rendered by them for democratic government and industry alike. Similarly, they have acknowledged that for over two decades there has been state legislation on our books which expresses a strong public policy in favor of corporate contributions such as that being by them. Nevertheless, they have taken the position that (1) the plaintiff’s certificate of incorporation does not expressly authorize the contribution and under common-law principles the company does not possess any[]power to make it, and (2) the New Jersey statutes which expressly authorize the contribution may not constitutionally be applied to the plaintiff, a corporation created long before their enactment.</w:t>
      </w:r>
      <w:r>
        <w:t xml:space="preserve"> </w:t>
      </w:r>
      <w:r>
        <w:rPr>
          <w:rStyle w:val="Elision"/>
        </w:rPr>
        <w:t xml:space="preserve">[ … ]</w:t>
      </w:r>
    </w:p>
    <w:p>
      <w:pPr>
        <w:pStyle w:val="CaseBody"/>
      </w:pPr>
      <w:r>
        <w:rPr>
          <w:rStyle w:val="Elision"/>
        </w:rPr>
        <w:t xml:space="preserve">[ … ]</w:t>
      </w:r>
      <w:r>
        <w:t xml:space="preserve">In his discussion of the early history of business corporations Professor Williston refers to a 1702 publication where the author stated flatly that “The general intent and end of all civil incorporations is for better government.” And he points out that the early corporate charters, particularly their recitals, furnish additional support for the notion that the corporate object was the public one of managing and ordering the trade as well as the private one of profit for the members.</w:t>
      </w:r>
      <w:r>
        <w:rPr>
          <w:rStyle w:val="Elision"/>
        </w:rPr>
        <w:t xml:space="preserve">[ … ]</w:t>
      </w:r>
      <w:r>
        <w:t xml:space="preserve"> </w:t>
      </w:r>
      <w:r>
        <w:t xml:space="preserve">See also</w:t>
      </w:r>
      <w:r>
        <w:t xml:space="preserve"> </w:t>
      </w:r>
      <w:r>
        <w:rPr>
          <w:iCs/>
          <w:i/>
        </w:rPr>
        <w:t xml:space="preserve">Currie's Administrators v. The Mutual Assurance</w:t>
      </w:r>
      <w:r>
        <w:t xml:space="preserve"> </w:t>
      </w:r>
      <w:r>
        <w:t xml:space="preserve">Society, 4</w:t>
      </w:r>
      <w:r>
        <w:t xml:space="preserve"> </w:t>
      </w:r>
      <w:r>
        <w:rPr>
          <w:iCs/>
          <w:i/>
        </w:rPr>
        <w:t xml:space="preserve">Hen. &amp; M.</w:t>
      </w:r>
      <w:r>
        <w:t xml:space="preserve"> </w:t>
      </w:r>
      <w:r>
        <w:t xml:space="preserve">315, 347</w:t>
      </w:r>
      <w:r>
        <w:t xml:space="preserve"> </w:t>
      </w:r>
      <w:r>
        <w:rPr>
          <w:iCs/>
          <w:i/>
        </w:rPr>
        <w:t xml:space="preserve">(Va. Sup. Ct. App.</w:t>
      </w:r>
      <w:r>
        <w:t xml:space="preserve"> </w:t>
      </w:r>
      <w:r>
        <w:t xml:space="preserve">1809), where Judge Eoane referred to the English corporate charters and expressed the view that acts of incorporation ought never to be passed “but in consideration of services to be rendered to the public.” However, with later economic and social developments and the free availability of the corporate device for all trades, the end of private profit became generally accepted as the controlling one in all businesses other than those classed broadly as public utilities.</w:t>
      </w:r>
      <w:r>
        <w:t xml:space="preserve"> </w:t>
      </w:r>
      <w:r>
        <w:rPr>
          <w:iCs/>
          <w:i/>
        </w:rPr>
        <w:t xml:space="preserve">Cf.Dodd, For Whom Are Corporate Managers Trustees?,</w:t>
      </w:r>
      <w:r>
        <w:t xml:space="preserve"> </w:t>
      </w:r>
      <w:r>
        <w:t xml:space="preserve">45</w:t>
      </w:r>
      <w:r>
        <w:t xml:space="preserve"> </w:t>
      </w:r>
      <w:r>
        <w:rPr>
          <w:iCs/>
          <w:i/>
        </w:rPr>
        <w:t xml:space="preserve">Harv. L. Rev.</w:t>
      </w:r>
      <w:r>
        <w:t xml:space="preserve"> </w:t>
      </w:r>
      <w:r>
        <w:t xml:space="preserve">1145, 1148 (1932). As a concomitant the ruledeveloped that those who managed thecorporation could not disburse any corporate funds for philanthropic or other worthy public cause unless the expenditure would benefit the corporation.</w:t>
      </w:r>
      <w:r>
        <w:t xml:space="preserve"> </w:t>
      </w:r>
      <w:r>
        <w:rPr>
          <w:rStyle w:val="Elision"/>
        </w:rPr>
        <w:t xml:space="preserve">[ … ]</w:t>
      </w:r>
      <w:r>
        <w:rPr>
          <w:iCs/>
          <w:i/>
        </w:rPr>
        <w:t xml:space="preserve">Dodge v. Ford Motor Co.,</w:t>
      </w:r>
      <w:r>
        <w:t xml:space="preserve"> </w:t>
      </w:r>
      <w:r>
        <w:t xml:space="preserve">204</w:t>
      </w:r>
      <w:r>
        <w:t xml:space="preserve"> </w:t>
      </w:r>
      <w:r>
        <w:rPr>
          <w:iCs/>
          <w:i/>
        </w:rPr>
        <w:t xml:space="preserve">Mich.</w:t>
      </w:r>
      <w:r>
        <w:t xml:space="preserve"> </w:t>
      </w:r>
      <w:r>
        <w:t xml:space="preserve">459,</w:t>
      </w:r>
      <w:r>
        <w:t xml:space="preserve"> </w:t>
      </w:r>
      <w:r>
        <w:rPr>
          <w:rStyle w:val="Elision"/>
        </w:rPr>
        <w:t xml:space="preserve">[ … ]</w:t>
      </w:r>
      <w:r>
        <w:rPr>
          <w:iCs/>
          <w:i/>
        </w:rPr>
        <w:t xml:space="preserve">(Sup. Ct.</w:t>
      </w:r>
      <w:r>
        <w:t xml:space="preserve"> </w:t>
      </w:r>
      <w:r>
        <w:t xml:space="preserve">1919).</w:t>
      </w:r>
      <w:r>
        <w:t xml:space="preserve"> </w:t>
      </w:r>
      <w:r>
        <w:rPr>
          <w:rStyle w:val="Elision"/>
        </w:rPr>
        <w:t xml:space="preserve">[ … ]</w:t>
      </w:r>
      <w:r>
        <w:t xml:space="preserve"> </w:t>
      </w:r>
      <w:r>
        <w:t xml:space="preserve">During the 19th Century when corporations were relatively few and small and did not dominate the country’s wealth, the common-law rule did not significantly interfere with the public interest. But the 20th Century has presented a different climate.</w:t>
      </w:r>
      <w:r>
        <w:t xml:space="preserve"> </w:t>
      </w:r>
      <w:r>
        <w:rPr>
          <w:iCs/>
          <w:i/>
        </w:rPr>
        <w:t xml:space="preserve">Berle and Means, The Modern Corporation and Private</w:t>
      </w:r>
      <w:r>
        <w:t xml:space="preserve"> </w:t>
      </w:r>
      <w:r>
        <w:rPr>
          <w:iCs/>
          <w:i/>
        </w:rPr>
        <w:t xml:space="preserve">Property</w:t>
      </w:r>
      <w:r>
        <w:t xml:space="preserve"> </w:t>
      </w:r>
      <w:r>
        <w:t xml:space="preserve">(1948). Control of economic wealth has passed largely from individual entrepreneurs to dominating corporations, and calls upon the corporations for reasonable philanthropic donations have come to be made with increased public support. In many instances such contributions' have been sustained by the courts within the common-law doctrine upon liberal findings that the donations tended reasonably to promote the corporate objectives.</w:t>
      </w:r>
      <w:r>
        <w:t xml:space="preserve"> </w:t>
      </w:r>
      <w:r>
        <w:rPr>
          <w:rStyle w:val="Elision"/>
        </w:rPr>
        <w:t xml:space="preserve">[ … ]</w:t>
      </w:r>
    </w:p>
    <w:p>
      <w:pPr>
        <w:pStyle w:val="CaseBody"/>
      </w:pPr>
      <w:r>
        <w:t xml:space="preserve">Thus, in the leading case of</w:t>
      </w:r>
      <w:r>
        <w:t xml:space="preserve"> </w:t>
      </w:r>
      <w:r>
        <w:rPr>
          <w:iCs/>
          <w:i/>
        </w:rPr>
        <w:t xml:space="preserve">Evans v. Brunner, Mond &amp; Company, Ltd.</w:t>
      </w:r>
      <w:r>
        <w:t xml:space="preserve"> </w:t>
      </w:r>
      <w:r>
        <w:t xml:space="preserve">[1921] 1</w:t>
      </w:r>
      <w:r>
        <w:t xml:space="preserve"> </w:t>
      </w:r>
      <w:r>
        <w:rPr>
          <w:iCs/>
          <w:i/>
        </w:rPr>
        <w:t xml:space="preserve">Ch.</w:t>
      </w:r>
      <w:r>
        <w:t xml:space="preserve"> </w:t>
      </w:r>
      <w:r>
        <w:t xml:space="preserve">359, the court held that it was within the incidental power of a chemical company to grant £100,000 to universitiesor other scientific institutions selected by the directors “for the furtherance of scientific education and research.” The testimony indicated that the company desired to encourage and assist men who would devote their time and abilities to scientific study and research generally, a class of men' for whom the company was constantly on the lookout. This benefit was not considered by ...the. court to be so remote, as to bring it outside the common-law rule." Similarly,in</w:t>
      </w:r>
      <w:r>
        <w:t xml:space="preserve"> </w:t>
      </w:r>
      <w:r>
        <w:rPr>
          <w:iCs/>
          <w:i/>
        </w:rPr>
        <w:t xml:space="preserve">Armstrong Cork Co. v. H. A. Meldram Co.,</w:t>
      </w:r>
      <w:r>
        <w:t xml:space="preserve"> </w:t>
      </w:r>
      <w:r>
        <w:t xml:space="preserve">285</w:t>
      </w:r>
      <w:r>
        <w:t xml:space="preserve"> </w:t>
      </w:r>
      <w:r>
        <w:rPr>
          <w:iCs/>
          <w:i/>
        </w:rPr>
        <w:t xml:space="preserve">F.</w:t>
      </w:r>
      <w:r>
        <w:t xml:space="preserve"> </w:t>
      </w:r>
      <w:r>
        <w:t xml:space="preserve">58</w:t>
      </w:r>
      <w:r>
        <w:t xml:space="preserve"> </w:t>
      </w:r>
      <w:r>
        <w:rPr>
          <w:iCs/>
          <w:i/>
        </w:rPr>
        <w:t xml:space="preserve">(D. C. W. D. N. Y.</w:t>
      </w:r>
      <w:r>
        <w:t xml:space="preserve"> </w:t>
      </w:r>
      <w:r>
        <w:t xml:space="preserve">1922), the court sustained contributions made by the corporation to the University of Buffalo and Canisius College. In the course of its opinion the court quoted the familiar comment from</w:t>
      </w:r>
      <w:r>
        <w:t xml:space="preserve"> </w:t>
      </w:r>
      <w:r>
        <w:rPr>
          <w:iCs/>
          <w:i/>
        </w:rPr>
        <w:t xml:space="preserve">Steinway v. Steinway &amp; Sons,</w:t>
      </w:r>
      <w:r>
        <w:t xml:space="preserve"> </w:t>
      </w:r>
      <w:r>
        <w:t xml:space="preserve">17</w:t>
      </w:r>
      <w:r>
        <w:t xml:space="preserve"> </w:t>
      </w:r>
      <w:r>
        <w:rPr>
          <w:iCs/>
          <w:i/>
        </w:rPr>
        <w:t xml:space="preserve">Misc.</w:t>
      </w:r>
      <w:r>
        <w:t xml:space="preserve"> </w:t>
      </w:r>
      <w:r>
        <w:t xml:space="preserve">43, 40</w:t>
      </w:r>
      <w:r>
        <w:t xml:space="preserve"> </w:t>
      </w:r>
      <w:r>
        <w:rPr>
          <w:iCs/>
          <w:i/>
        </w:rPr>
        <w:t xml:space="preserve">N. Y. S.</w:t>
      </w:r>
      <w:r>
        <w:t xml:space="preserve"> </w:t>
      </w:r>
      <w:r>
        <w:t xml:space="preserve">718</w:t>
      </w:r>
      <w:r>
        <w:t xml:space="preserve"> </w:t>
      </w:r>
      <w:r>
        <w:rPr>
          <w:iCs/>
          <w:i/>
        </w:rPr>
        <w:t xml:space="preserve">(Sup. Ct.</w:t>
      </w:r>
      <w:r>
        <w:t xml:space="preserve"> </w:t>
      </w:r>
      <w:r>
        <w:t xml:space="preserve">1896), to the effect that as industrial conditions change business methods must change with them and acts become permissible which theretofore were considered beyond the corporate powers; and on the issue as to whether the corporation had received any corporate benefit it said:</w:t>
      </w:r>
    </w:p>
    <w:p>
      <w:pPr>
        <w:pStyle w:val="BlockText"/>
      </w:pPr>
      <w:r>
        <w:t xml:space="preserve">“It was also considered, in making the subscriptions or donations, that the company would receive advertisement of substantial value, including the good will of many influential citizens and of its</w:t>
      </w:r>
      <w:r>
        <w:t xml:space="preserve"> </w:t>
      </w:r>
      <w:r>
        <w:rPr>
          <w:iCs/>
          <w:i/>
        </w:rPr>
        <w:t xml:space="preserve">patrons,</w:t>
      </w:r>
      <w:r>
        <w:t xml:space="preserve"> </w:t>
      </w:r>
      <w:r>
        <w:t xml:space="preserve">who were interested in the success of the development of these branches of education, and, on the other hand, suffer a loss of prestige if the contributions were not made, in view of the fact that business competitors had donated and shown a commendable public spirit in that relation. In the circumstances the rule of law that may fairly be applied is that the action of the officers of the company was not</w:t>
      </w:r>
      <w:r>
        <w:t xml:space="preserve"> </w:t>
      </w:r>
      <w:r>
        <w:rPr>
          <w:iCs/>
          <w:i/>
        </w:rPr>
        <w:t xml:space="preserve">ultra vires,</w:t>
      </w:r>
      <w:r>
        <w:t xml:space="preserve"> </w:t>
      </w:r>
      <w:r>
        <w:t xml:space="preserve">but was in fact within their corporate powers, since it tended to promote the welfare of the business in which the corporation was engaged.”</w:t>
      </w:r>
    </w:p>
    <w:p>
      <w:pPr>
        <w:pStyle w:val="CaseBody"/>
      </w:pPr>
      <w:r>
        <w:t xml:space="preserve">In</w:t>
      </w:r>
      <w:r>
        <w:t xml:space="preserve"> </w:t>
      </w:r>
      <w:r>
        <w:rPr>
          <w:iCs/>
          <w:i/>
        </w:rPr>
        <w:t xml:space="preserve">American Rolling Mill Co. v. Commissioner of Internal Revenue,</w:t>
      </w:r>
      <w:r>
        <w:t xml:space="preserve"> </w:t>
      </w:r>
      <w:r>
        <w:t xml:space="preserve">41</w:t>
      </w:r>
      <w:r>
        <w:t xml:space="preserve"> </w:t>
      </w:r>
      <w:r>
        <w:rPr>
          <w:iCs/>
          <w:i/>
        </w:rPr>
        <w:t xml:space="preserve">F. 2d</w:t>
      </w:r>
      <w:r>
        <w:t xml:space="preserve"> </w:t>
      </w:r>
      <w:r>
        <w:t xml:space="preserve">314</w:t>
      </w:r>
      <w:r>
        <w:t xml:space="preserve"> </w:t>
      </w:r>
      <w:r>
        <w:rPr>
          <w:iCs/>
          <w:i/>
        </w:rPr>
        <w:t xml:space="preserve">(C. C. A.</w:t>
      </w:r>
      <w:r>
        <w:t xml:space="preserve"> </w:t>
      </w:r>
      <w:r>
        <w:t xml:space="preserve">6 1930), the corporation had joined with other local industries in the creation of a civic improvement fund to be distributed amongst community enterprises including the Boy Scouts and Girl Scouts, the Y. M. C. A., the Hospital, etc. The court readily sustained the contribution as an ordinary and necessary expense of the business within the Revenue Act. And in</w:t>
      </w:r>
      <w:r>
        <w:t xml:space="preserve"> </w:t>
      </w:r>
      <w:r>
        <w:rPr>
          <w:iCs/>
          <w:i/>
        </w:rPr>
        <w:t xml:space="preserve">Greene County Nat. Farm Loan Ass’n v. Federal Land Bank of Louisville, 57 F. Supp.</w:t>
      </w:r>
      <w:r>
        <w:t xml:space="preserve"> </w:t>
      </w:r>
      <w:r>
        <w:t xml:space="preserve">783, 789</w:t>
      </w:r>
      <w:r>
        <w:t xml:space="preserve"> </w:t>
      </w:r>
      <w:r>
        <w:rPr>
          <w:iCs/>
          <w:i/>
        </w:rPr>
        <w:t xml:space="preserve">(D. C. W. D. Ky.</w:t>
      </w:r>
      <w:r>
        <w:t xml:space="preserve"> </w:t>
      </w:r>
      <w:r>
        <w:t xml:space="preserve">1944),</w:t>
      </w:r>
      <w:r>
        <w:rPr>
          <w:rStyle w:val="Elision"/>
        </w:rPr>
        <w:t xml:space="preserve">[ … ]</w:t>
      </w:r>
      <w:r>
        <w:t xml:space="preserve">the court in dealing with a comparable problem said:</w:t>
      </w:r>
    </w:p>
    <w:p>
      <w:pPr>
        <w:pStyle w:val="BlockText"/>
      </w:pPr>
      <w:r>
        <w:t xml:space="preserve">“But it is equally well established that corporations are permitted to make substantial contributions which have the outward form of gifts where the activity being promoted by the so-called gift tends reasonably to promote the goodwill of the business of the contributing corporation. Courts recognize in such cases that although there is no dollar and cent supporting consideration, yet there is often substantial indirect benefit accruing to the corporation which supports such action. So-called contributions by corporations to churches, schools, hospitals, and civic improvement funds, and the establishment of bonus and pension plans with the payment of large sums flowing therefrom have been upheld many times as reasonable business expenditures rather than being classified as charitable gifts.</w:t>
      </w:r>
      <w:r>
        <w:t xml:space="preserve"> </w:t>
      </w:r>
      <w:r>
        <w:rPr>
          <w:rStyle w:val="Elision"/>
        </w:rPr>
        <w:t xml:space="preserve">[ … ]</w:t>
      </w:r>
      <w:r>
        <w:t xml:space="preserve">”</w:t>
      </w:r>
    </w:p>
    <w:p>
      <w:pPr>
        <w:pStyle w:val="CaseBody"/>
      </w:pPr>
      <w:r>
        <w:t xml:space="preserve">The foregoing authorities illustrate how courts, while adhering to the terms of the common-law rule, have applied it very broadly to enable worthy corporate donations with indirect benefits to the corporations. In</w:t>
      </w:r>
      <w:r>
        <w:t xml:space="preserve"> </w:t>
      </w:r>
      <w:r>
        <w:rPr>
          <w:iCs/>
          <w:i/>
        </w:rPr>
        <w:t xml:space="preserve">State ex rel. Sorensen v. Chicago B. &amp; Q. R. Co.,</w:t>
      </w:r>
      <w:r>
        <w:t xml:space="preserve"> </w:t>
      </w:r>
      <w:r>
        <w:t xml:space="preserve">112</w:t>
      </w:r>
      <w:r>
        <w:t xml:space="preserve"> </w:t>
      </w:r>
      <w:r>
        <w:rPr>
          <w:iCs/>
          <w:i/>
        </w:rPr>
        <w:t xml:space="preserve">Neb.</w:t>
      </w:r>
      <w:r>
        <w:t xml:space="preserve"> </w:t>
      </w:r>
      <w:r>
        <w:t xml:space="preserve">248, 199</w:t>
      </w:r>
      <w:r>
        <w:t xml:space="preserve"> </w:t>
      </w:r>
      <w:r>
        <w:rPr>
          <w:iCs/>
          <w:i/>
        </w:rPr>
        <w:t xml:space="preserve">N. W.</w:t>
      </w:r>
      <w:r>
        <w:t xml:space="preserve"> </w:t>
      </w:r>
      <w:r>
        <w:t xml:space="preserve">534, 537 (1924), the Supreme Court of Nebraska, through Justice Letton, went even further and without referring to any limitation based on economic benefits to the corporation said that it saw “no reason why if a railroad company desires to foster, encourage and contribute to a charitable enterprise, or to one designed for the public weal and welfare, it may not do so”; later in its opinion it repeated this view with the expression that it saw “no reason why a railroad corporation may not, to a reasonable extent, donate funds or services to aid in good works.”</w:t>
      </w:r>
      <w:r>
        <w:t xml:space="preserve"> </w:t>
      </w:r>
      <w:r>
        <w:rPr>
          <w:rStyle w:val="Elision"/>
        </w:rPr>
        <w:t xml:space="preserve">[ … ]</w:t>
      </w:r>
    </w:p>
    <w:p>
      <w:pPr>
        <w:pStyle w:val="CaseBody"/>
      </w:pPr>
      <w:r>
        <w:t xml:space="preserve">Over 20 years ago Professor Dodd, supra, 45</w:t>
      </w:r>
      <w:r>
        <w:t xml:space="preserve"> </w:t>
      </w:r>
      <w:r>
        <w:rPr>
          <w:iCs/>
          <w:i/>
        </w:rPr>
        <w:t xml:space="preserve">Harv. L. Rev.,</w:t>
      </w:r>
      <w:r>
        <w:t xml:space="preserve"> </w:t>
      </w:r>
      <w:r>
        <w:t xml:space="preserve">at 1159, 1160, cited the views of Justice Letton in</w:t>
      </w:r>
      <w:r>
        <w:t xml:space="preserve"> </w:t>
      </w:r>
      <w:r>
        <w:rPr>
          <w:iCs/>
          <w:i/>
        </w:rPr>
        <w:t xml:space="preserve">State ex rel. Sorensen v. Chicago B. &amp; Q. R. Co., supra,</w:t>
      </w:r>
      <w:r>
        <w:t xml:space="preserve"> </w:t>
      </w:r>
      <w:r>
        <w:t xml:space="preserve">with seeming approval and suggested the doctrine that corporations may properly support charities which are important to the welfare of the communities where they do business as soundly representative of the public attitude and actual corporate practice. Developments since he wrote leave no doubts on this score, When the wealth of the nation was primarily in the hands of individuals they discharged their responsibilities as citizens by donating freely for charitable purposes. With the transfer of most of the wealth to corporate hands and the imposition of heavy burdens of individual taxation, they have been unable to keep pace with increased philanthropic needs. They have therefore, with justification, turned to corporations to assume the modern obligations of good citizenship in the same manner as humans do. Congress and state legislatures have enacted laws which encourage corporate contributions, and much has recently been written to indicate the crying need and adequate legal basis therefor.</w:t>
      </w:r>
      <w:r>
        <w:t xml:space="preserve"> </w:t>
      </w:r>
      <w:r>
        <w:rPr>
          <w:rStyle w:val="Elision"/>
        </w:rPr>
        <w:t xml:space="preserve">[ … ]</w:t>
      </w:r>
      <w:r>
        <w:t xml:space="preserve">In actual practice corporate giving has correspondingly increased. Thus, it is estimated that annual corporate contributions throughout the nation aggregate over 300 million dollars with over 60 million dollars thereof going to universities and other educational institutions. Similarly, it is estimated that local community chests receive well over 40% of their contributions from corporations; these contributions and those made by corporations to the American Red Cross, to Boy Scouts and Girl Scouts, to 4-H Clubs and similar organizations have almost invariably been unquestioned.</w:t>
      </w:r>
    </w:p>
    <w:p>
      <w:pPr>
        <w:pStyle w:val="CaseBody"/>
      </w:pPr>
      <w:r>
        <w:t xml:space="preserve">During the first world war corporations loaned their personnel and contributed sxrbstantial corporate funds in order to insure survival; during* the depression of the ’30s</w:t>
      </w:r>
      <w:r>
        <w:t xml:space="preserve"> </w:t>
      </w:r>
      <w:r>
        <w:rPr>
          <w:iCs/>
          <w:i/>
        </w:rPr>
        <w:t xml:space="preserve">V</w:t>
      </w:r>
      <w:r>
        <w:t xml:space="preserve"> </w:t>
      </w:r>
      <w:r>
        <w:t xml:space="preserve">they made contributions to alleviate the desperate hardships of the millions of unemployed; and during the second world warthey again contributed to insure survival. They now recognize that we are faced with other, though nonetheless vigorous, threats from abroad which must be withstood without impairing our democratic institutions_at home and that otherwise victory will be pyrrhic indeed.</w:t>
      </w:r>
      <w:r>
        <w:t xml:space="preserve"> </w:t>
      </w:r>
      <w:r>
        <w:rPr>
          <w:rStyle w:val="Elision"/>
        </w:rPr>
        <w:t xml:space="preserve">[ … ]</w:t>
      </w:r>
      <w:r>
        <w:rPr>
          <w:rStyle w:val="Elision"/>
        </w:rPr>
        <w:t xml:space="preserve">[ … ]</w:t>
      </w:r>
      <w:r>
        <w:t xml:space="preserve">It seems to us that just .as the conditions prevailing when corporations were originally created required that they serve public as well as private interests, modern conditions require that corporations acknowledge and discharge social as well as private responsibilities as members of the communities within which they operate. Within this broad concept there is no difficulty insustaining corporation donations in aid of the public welfare, the power of corporations to contribute corporate funds within reasonable limits in support of academic institutions. But even if-we confine ourselves to the terms of the common-law, rule in its application—'to-cu-rrent conditions, such expenditures may likewise readily be justified as being for the benefit of the corporation; indeed, if need be the matter may be viewed strictly in terms of theactual survival of the corporation in a free enterprise system. The genius of our common law has been its capacity for growth and its adaptability to the needs of the times. Generally courts have accomplished the desired result indirectly through the molding of old forms. Occasionally they have done it directly through frank rejection of the old and recognition of the new. But whichever path the common law has taken it has not been found wanting as the proper tool for the advancement of the general good.</w:t>
      </w:r>
      <w:r>
        <w:t xml:space="preserve"> </w:t>
      </w:r>
      <w:r>
        <w:rPr>
          <w:rStyle w:val="Elision"/>
        </w:rPr>
        <w:t xml:space="preserve">[ … ]</w:t>
      </w:r>
    </w:p>
    <w:p>
      <w:pPr>
        <w:pStyle w:val="CaseBody"/>
      </w:pPr>
      <w:r>
        <w:t xml:space="preserve">In 1930 the statutewas enacted in our State which expressly provided that anycorporation could cooperate with other corporations and natural persons in the creation and maintenance of community funds and charitable, philanthropic or benevolent instrumentalities conducive to public welfare, and could for such purposes expend such corporate sums as the directors “deem expedient and as in their judgment, will contribute to the protection of the corporate interests.”</w:t>
      </w:r>
      <w:r>
        <w:t xml:space="preserve"> </w:t>
      </w:r>
      <w:r>
        <w:rPr>
          <w:rStyle w:val="Elision"/>
        </w:rPr>
        <w:t xml:space="preserve">[ … ]</w:t>
      </w:r>
      <w:r>
        <w:t xml:space="preserve"> </w:t>
      </w:r>
      <w:r>
        <w:t xml:space="preserve">Under the terms of the statute donations in excess of 1% of the capital stock required 10 days’ notice to stockholders and approval at a stockholders’ meeting if written objections were made by the holders of more than 25% of the stock; in 1949 the statute was amended to increase the limitation to 1% of capital and surplus.</w:t>
      </w:r>
      <w:r>
        <w:t xml:space="preserve"> </w:t>
      </w:r>
      <w:r>
        <w:rPr>
          <w:rStyle w:val="Elision"/>
        </w:rPr>
        <w:t xml:space="preserve">[ … ]</w:t>
      </w:r>
      <w:r>
        <w:t xml:space="preserve"> </w:t>
      </w:r>
      <w:r>
        <w:t xml:space="preserve">In 1950 a more comprehensive statute was enacted.</w:t>
      </w:r>
      <w:r>
        <w:t xml:space="preserve"> </w:t>
      </w:r>
      <w:r>
        <w:rPr>
          <w:rStyle w:val="Elision"/>
        </w:rPr>
        <w:t xml:space="preserve">[ … ]</w:t>
      </w:r>
      <w:r>
        <w:t xml:space="preserve"> </w:t>
      </w:r>
      <w:r>
        <w:t xml:space="preserve"> </w:t>
      </w:r>
      <w:r>
        <w:t xml:space="preserve">In this enactment the Legislature declared that it shall be the public policy of our State and in furtherance of the public interest and welfare that encouragement be given to the creation and maintenance of institutions engaged in community fund, hospital, charitable, philanthropic, educational, scientific or benevolent activities or patriotic or civic activities conducive to the betterment of social and economic conditions; and it expressly empowered corporations acting singly or with others to contribute reasonable sums to such institutions, provided, however, that the contribution shall not be permissible if the donee institution owns more than 10% of the voting stock of the donor and provided, further, that the contribution shall not exceed 1% of capital and surplus unless the excess is authorized by the stockholders at a regular or special meeting. To insure that the grant of express power in the 1950 statute would not displace preexisting power at common law or otherwise, the Legislature provided that the “act shall not be construed as directly or indirectly minimizing or interpreting the rights and powers qf corporations, as heretofore existing, with reference to appropriations, expenditures or contributions of the nature above specified.”</w:t>
      </w:r>
      <w:r>
        <w:t xml:space="preserve"> </w:t>
      </w:r>
      <w:r>
        <w:rPr>
          <w:rStyle w:val="Elision"/>
        </w:rPr>
        <w:t xml:space="preserve">[ … ]</w:t>
      </w:r>
      <w:r>
        <w:t xml:space="preserve"> </w:t>
      </w:r>
      <w:r>
        <w:t xml:space="preserve">It may be noted that statutes relating to charitable contributions by corporations have now been passed in 29 states.</w:t>
      </w:r>
      <w:r>
        <w:t xml:space="preserve"> </w:t>
      </w:r>
      <w:r>
        <w:rPr>
          <w:rStyle w:val="Elision"/>
        </w:rPr>
        <w:t xml:space="preserve">[ … ]</w:t>
      </w:r>
    </w:p>
    <w:p>
      <w:pPr>
        <w:pStyle w:val="CaseBody"/>
      </w:pPr>
      <w:r>
        <w:t xml:space="preserve">The appellants contend that the foregoing New Jersey statutes may not be applied to corporations created before their passage. Fifty years before the incorporation of The A. P. Smith Manufacturing Company our Legislature provided that every corporate charter thereafter granted “shall be subject to alteration, suspension and repeal,- in the discretion of the legislature.”</w:t>
      </w:r>
      <w:r>
        <w:t xml:space="preserve"> </w:t>
      </w:r>
      <w:r>
        <w:rPr>
          <w:rStyle w:val="Elision"/>
        </w:rPr>
        <w:t xml:space="preserve">[ … ]</w:t>
      </w:r>
      <w:r>
        <w:t xml:space="preserve"> </w:t>
      </w:r>
      <w:r>
        <w:t xml:space="preserve">A similar reserved power was placed into our State Constitution in 1875</w:t>
      </w:r>
      <w:r>
        <w:t xml:space="preserve"> </w:t>
      </w:r>
      <w:r>
        <w:rPr>
          <w:rStyle w:val="Elision"/>
        </w:rPr>
        <w:t xml:space="preserve">[ … ]</w:t>
      </w:r>
      <w:r>
        <w:t xml:space="preserve">, and is found in our present Constitution.</w:t>
      </w:r>
      <w:r>
        <w:t xml:space="preserve"> </w:t>
      </w:r>
      <w:r>
        <w:rPr>
          <w:rStyle w:val="Elision"/>
        </w:rPr>
        <w:t xml:space="preserve">[ … ]</w:t>
      </w:r>
      <w:r>
        <w:t xml:space="preserve"> </w:t>
      </w:r>
      <w:r>
        <w:t xml:space="preserve">In the early case</w:t>
      </w:r>
      <w:r>
        <w:t xml:space="preserve"> </w:t>
      </w:r>
      <w:r>
        <w:rPr>
          <w:iCs/>
          <w:i/>
        </w:rPr>
        <w:t xml:space="preserve">Zabriskie v. Hackensack and New York Railroad Company,</w:t>
      </w:r>
      <w:r>
        <w:t xml:space="preserve"> </w:t>
      </w:r>
      <w:r>
        <w:t xml:space="preserve">18</w:t>
      </w:r>
      <w:r>
        <w:t xml:space="preserve"> </w:t>
      </w:r>
      <w:r>
        <w:rPr>
          <w:iCs/>
          <w:i/>
        </w:rPr>
        <w:t xml:space="preserve">N. J. Eq.</w:t>
      </w:r>
      <w:r>
        <w:t xml:space="preserve"> </w:t>
      </w:r>
      <w:r>
        <w:t xml:space="preserve">178</w:t>
      </w:r>
      <w:r>
        <w:t xml:space="preserve"> </w:t>
      </w:r>
      <w:r>
        <w:rPr>
          <w:iCs/>
          <w:i/>
        </w:rPr>
        <w:t xml:space="preserve">(Ch.</w:t>
      </w:r>
      <w:r>
        <w:t xml:space="preserve"> </w:t>
      </w:r>
      <w:r>
        <w:t xml:space="preserve">1867), the court was called upon to determine whether a railroad could extend its line, above objection by a stockholder, under a legislative enactment passed under the reserve power after the incorporation of the railroad. Notwithstanding the breadth of the statutory language and persuasive authority elsewhere</w:t>
      </w:r>
      <w:r>
        <w:t xml:space="preserve"> </w:t>
      </w:r>
      <w:r>
        <w:rPr>
          <w:rStyle w:val="Elision"/>
        </w:rPr>
        <w:t xml:space="preserve">[ … ]</w:t>
      </w:r>
      <w:r>
        <w:t xml:space="preserve">, it was held that the proposed extension of the company's line constituted a vital change of its corporate object which could not be accomplished without unanimous consent.</w:t>
      </w:r>
      <w:r>
        <w:t xml:space="preserve"> </w:t>
      </w:r>
      <w:r>
        <w:rPr>
          <w:rStyle w:val="Elision"/>
        </w:rPr>
        <w:t xml:space="preserve">[ … ]</w:t>
      </w:r>
      <w:r>
        <w:t xml:space="preserve"> </w:t>
      </w:r>
      <w:r>
        <w:t xml:space="preserve">The court announced the now familiar New Jersey doctrine that although the reserved power permits alterations in the public interest of the contract between the state and the corporation, it has no effect on the contractual rights between the corporation and its stockholders and between stockholders</w:t>
      </w:r>
      <w:r>
        <w:t xml:space="preserve"> </w:t>
      </w:r>
      <w:r>
        <w:rPr>
          <w:iCs/>
          <w:i/>
        </w:rPr>
        <w:t xml:space="preserve">inter se.</w:t>
      </w:r>
      <w:r>
        <w:t xml:space="preserve"> </w:t>
      </w:r>
      <w:r>
        <w:t xml:space="preserve">Unfortunately, the court did not consider whether it was not contrary to the public interest to permit the single minority stockholder before it to restrain the railroad's normal corporate growth and development as authorized by the Legislature and approved, reasonably and in good faith, by the corporation’s managing directors and majority stockholders. Although the later cases in New Jersey have not disavowed the doctrine of the</w:t>
      </w:r>
      <w:r>
        <w:t xml:space="preserve"> </w:t>
      </w:r>
      <w:r>
        <w:rPr>
          <w:iCs/>
          <w:i/>
        </w:rPr>
        <w:t xml:space="preserve">Zabriskie</w:t>
      </w:r>
      <w:r>
        <w:t xml:space="preserve">case, it is noteworthy that they have repeatedly recognized that where justified by' the advancement of the public interest the reserved power may be invoked to sustain later charter alterations even though they affect contractual rights between the corporation and its stockholders and between stockholders</w:t>
      </w:r>
      <w:r>
        <w:t xml:space="preserve"> </w:t>
      </w:r>
      <w:r>
        <w:rPr>
          <w:iCs/>
          <w:i/>
        </w:rPr>
        <w:t xml:space="preserve">inter se.</w:t>
      </w:r>
      <w:r>
        <w:t xml:space="preserve"> </w:t>
      </w:r>
      <w:r>
        <w:rPr>
          <w:rStyle w:val="Elision"/>
        </w:rPr>
        <w:t xml:space="preserve">[ … ]</w:t>
      </w:r>
    </w:p>
    <w:p>
      <w:pPr>
        <w:pStyle w:val="CaseBody"/>
      </w:pPr>
      <w:r>
        <w:t xml:space="preserve">Thus, in</w:t>
      </w:r>
      <w:r>
        <w:t xml:space="preserve"> </w:t>
      </w:r>
      <w:r>
        <w:rPr>
          <w:rStyle w:val="Elision"/>
        </w:rPr>
        <w:t xml:space="preserve">[ … ]</w:t>
      </w:r>
      <w:r>
        <w:rPr>
          <w:iCs/>
          <w:i/>
        </w:rPr>
        <w:t xml:space="preserve">Berger</w:t>
      </w:r>
      <w:r>
        <w:t xml:space="preserve"> </w:t>
      </w:r>
      <w:r>
        <w:t xml:space="preserve">case the Court of Errors and Appeals sustained the applicability under the reserved power of provisions relating to corporate borrowing and the purchase of corporate stock, and</w:t>
      </w:r>
      <w:r>
        <w:t xml:space="preserve"> </w:t>
      </w:r>
      <w:r>
        <w:rPr>
          <w:rStyle w:val="Elision"/>
        </w:rPr>
        <w:t xml:space="preserve">[ … ]</w:t>
      </w:r>
      <w:r>
        <w:t xml:space="preserve">noted that the rights of the stockholders</w:t>
      </w:r>
      <w:r>
        <w:t xml:space="preserve"> </w:t>
      </w:r>
      <w:r>
        <w:rPr>
          <w:iCs/>
          <w:i/>
        </w:rPr>
        <w:t xml:space="preserve">inter se</w:t>
      </w:r>
      <w:r>
        <w:t xml:space="preserve"> </w:t>
      </w:r>
      <w:r>
        <w:t xml:space="preserve">may not be impaired “except in so far as impairment may result from an alteration required by the public interest.” And later in its opinion the court, referring to the provision in the Corporation Act of 1896 that the act and all amendments shall be a part of the charter of every corporation formed theretofore or thereafter, said: “It is difficult to perceive how any substantial force can be accorded to it, unless some amendment may be made which may affect the rights of stockholders</w:t>
      </w:r>
      <w:r>
        <w:t xml:space="preserve"> </w:t>
      </w:r>
      <w:r>
        <w:rPr>
          <w:iCs/>
          <w:i/>
        </w:rPr>
        <w:t xml:space="preserve">inter sese</w:t>
      </w:r>
      <w:r>
        <w:t xml:space="preserve"> </w:t>
      </w:r>
      <w:r>
        <w:t xml:space="preserve">to some extent.” In the</w:t>
      </w:r>
      <w:r>
        <w:t xml:space="preserve"> </w:t>
      </w:r>
      <w:r>
        <w:rPr>
          <w:iCs/>
          <w:i/>
        </w:rPr>
        <w:t xml:space="preserve">Murray</w:t>
      </w:r>
      <w:r>
        <w:t xml:space="preserve"> </w:t>
      </w:r>
      <w:r>
        <w:t xml:space="preserve">case the court sustained a statute substituting a discretionary power to pay dividends for a pre-existing duty; in the course of his opinion Justice Swayze indicated that even apart from stockholders’ consent the statutory alteration could be sustained since it was “a matter of state concern that a corporation should be permitted to accumulate a sufficient fund to secure its credit and make permanent its successful operation.” And in the</w:t>
      </w:r>
      <w:r>
        <w:t xml:space="preserve"> </w:t>
      </w:r>
      <w:r>
        <w:rPr>
          <w:iCs/>
          <w:i/>
        </w:rPr>
        <w:t xml:space="preserve">Bingham</w:t>
      </w:r>
      <w:r>
        <w:t xml:space="preserve"> </w:t>
      </w:r>
      <w:r>
        <w:t xml:space="preserve">case the court sustained a bank .merger under the authority of legislation enacted after the incorporation of the bank, with Vice-Chancellor Backes pointing out that the office of the reserve power in our organic and statutory law “is to safeguard the public interests in corporate grants.”</w:t>
      </w:r>
    </w:p>
    <w:p>
      <w:pPr>
        <w:pStyle w:val="CaseBody"/>
      </w:pPr>
      <w:r>
        <w:rPr>
          <w:rStyle w:val="Elision"/>
        </w:rPr>
        <w:t xml:space="preserve">[ … ]</w:t>
      </w:r>
      <w:r>
        <w:rPr>
          <w:rStyle w:val="Elision"/>
        </w:rPr>
        <w:t xml:space="preserve">[ … ]</w:t>
      </w:r>
      <w:r>
        <w:t xml:space="preserve">The legislative function recognized here may be considered somewhat akin to that under the police power generally where private interests frequently are called upon to give way to the paramount public interest.</w:t>
      </w:r>
      <w:r>
        <w:t xml:space="preserve"> </w:t>
      </w:r>
      <w:r>
        <w:rPr>
          <w:rStyle w:val="Elision"/>
        </w:rPr>
        <w:t xml:space="preserve">[ … ]</w:t>
      </w:r>
    </w:p>
    <w:p>
      <w:pPr>
        <w:pStyle w:val="CaseBody"/>
      </w:pPr>
      <w:r>
        <w:t xml:space="preserve">State legislation adopted in the public interest and applied to pre-existing corporations under the reserved power has repeatedly been sustained by the United States Supreme Court above the contention that it impairs the rights of stockholders and violates constitutional guarantees under the Federal Constitution.</w:t>
      </w:r>
      <w:r>
        <w:t xml:space="preserve"> </w:t>
      </w:r>
      <w:r>
        <w:rPr>
          <w:rStyle w:val="Elision"/>
        </w:rPr>
        <w:t xml:space="preserve">[ … ]</w:t>
      </w:r>
      <w:r>
        <w:rPr>
          <w:rStyle w:val="Elision"/>
        </w:rPr>
        <w:t xml:space="preserve">[ … ]</w:t>
      </w:r>
      <w:r>
        <w:t xml:space="preserve"> </w:t>
      </w:r>
      <w:r>
        <w:t xml:space="preserve">Many other instances which sustain legislative enactments adopted in the public interest but affecting the relations between the corporation and its stockholders and between stockholders</w:t>
      </w:r>
      <w:r>
        <w:t xml:space="preserve"> </w:t>
      </w:r>
      <w:r>
        <w:rPr>
          <w:iCs/>
          <w:i/>
        </w:rPr>
        <w:t xml:space="preserve">inter se,</w:t>
      </w:r>
      <w:r>
        <w:t xml:space="preserve"> </w:t>
      </w:r>
      <w:r>
        <w:t xml:space="preserve">as well as the contract between the State and the corporation, may be found cited in the opinion below</w:t>
      </w:r>
      <w:r>
        <w:t xml:space="preserve"> </w:t>
      </w:r>
      <w:r>
        <w:rPr>
          <w:rStyle w:val="Elision"/>
        </w:rPr>
        <w:t xml:space="preserve">[ … ]</w:t>
      </w:r>
      <w:r>
        <w:t xml:space="preserve">We are entirely satisfied that within the orbit of above authorities the legislative enactments found in</w:t>
      </w:r>
      <w:r>
        <w:t xml:space="preserve"> </w:t>
      </w:r>
      <w:r>
        <w:rPr>
          <w:iCs/>
          <w:i/>
        </w:rPr>
        <w:t xml:space="preserve">R. S.</w:t>
      </w:r>
      <w:r>
        <w:t xml:space="preserve"> </w:t>
      </w:r>
      <w:r>
        <w:t xml:space="preserve">14:3-13 and</w:t>
      </w:r>
      <w:r>
        <w:t xml:space="preserve"> </w:t>
      </w:r>
      <w:r>
        <w:rPr>
          <w:iCs/>
          <w:i/>
        </w:rPr>
        <w:t xml:space="preserve">N. J. S. A.</w:t>
      </w:r>
      <w:r>
        <w:t xml:space="preserve"> </w:t>
      </w:r>
      <w:r>
        <w:t xml:space="preserve">14:3-13.1 e</w:t>
      </w:r>
      <w:r>
        <w:rPr>
          <w:iCs/>
          <w:i/>
        </w:rPr>
        <w:t xml:space="preserve">t seq.</w:t>
      </w:r>
      <w:r>
        <w:t xml:space="preserve"> </w:t>
      </w:r>
      <w:r>
        <w:t xml:space="preserve">and applied to pre-existing corporations do not violate any constitutional guarantees afforded to their stockholders.</w:t>
      </w:r>
    </w:p>
    <w:p>
      <w:pPr>
        <w:pStyle w:val="CaseBody"/>
      </w:pPr>
      <w:r>
        <w:t xml:space="preserve">It seems clear to us that the public policy supporting the statutory enactments under consideration is far greater and the alteration of pre-existing rights of stockholders much lesser than in the cited cases sustaining various exercises of the reserve power. In encouraging and expressly authorizing reasonable charitable contributions by corporations, our State has not only joined with other states in advancing the national interest but has also specially furthered the interests of its own people who must bear the burdens of taxation resulting from increased state and federal aid upon default in voluntary giving.</w:t>
      </w:r>
      <w:r>
        <w:t xml:space="preserve"> </w:t>
      </w:r>
      <w:r>
        <w:rPr>
          <w:rStyle w:val="Elision"/>
        </w:rPr>
        <w:t xml:space="preserve">[ … ]</w:t>
      </w:r>
      <w:r>
        <w:t xml:space="preserve"> </w:t>
      </w:r>
      <w:r>
        <w:t xml:space="preserve">the corporate power to make reasonable charitable contributions exists under modern conditions, even apart from express statutory provision, its enactments simply constitute helpful and confirmatory declarations of such power, accompanied by limiting safeguards.</w:t>
      </w:r>
    </w:p>
    <w:p>
      <w:pPr>
        <w:pStyle w:val="CaseBody"/>
      </w:pPr>
      <w:r>
        <w:t xml:space="preserve">In the light of all of the foregoing we have no hesitancy in sustaining the validity of the donation by the plaintiff. It was not apet charity of the corporate directors in furtherance of_personal rather than corporate ends. On the contrary, it was made to a preeminent institution of higher learning, was modest in amount and well within the limitations imposed by the statutory enactments, and [] made in the reasonable,, belief that it.would._aid the public welfare and advance the interests of theplaintiff- as a private corporation and as part of the community in--which it operates. We find that it was a lawful exercise of the corporation’s implied and incidental powers- under common-law principles and that it came within the express authority of the pertinent state legislation. As has been indicated, there is now widespread belief throughout the nation that free and vigorous non-governmental institutions of learning are vital to our democracy and the system of free enterprise and that withdrawal of corporate authority to make such contributions within reasonable limits would seriously ^threaten their continuance. Corporations have come to recognize this and with their enlightenment have sought in varying measures, as has the plaintiff by its contribution, to insure and strengthen the society which gives them existence and the means of aiding themselves and their fellow citizens.</w:t>
      </w:r>
    </w:p>
    <w:p>
      <w:pPr>
        <w:pStyle w:val="CaseBody"/>
      </w:pPr>
      <w:r>
        <w:t xml:space="preserve">^Clearly then, the appellants, as individual stockholders whose private interests rest entirely upon the well-being of the plaintiff corporation, ought not be permitted to close their eyes to present-day realities and thwart the long-visioned corporate action in recognizing and voluntarily discharging its high obligations as a constituent of our modern social , .structure.</w:t>
      </w:r>
    </w:p>
    <w:p>
      <w:pPr>
        <w:pStyle w:val="CaseBody"/>
      </w:pPr>
      <w:r>
        <w:t xml:space="preserve">The judgment entered in the Chancery Division is in all respects</w:t>
      </w:r>
    </w:p>
    <w:p>
      <w:pPr>
        <w:pStyle w:val="CaseBody"/>
      </w:pPr>
      <w:r>
        <w:t xml:space="preserve">Affirmed.</w:t>
      </w:r>
    </w:p>
    <w:p>
      <w:pPr>
        <w:pStyle w:val="CaseBody"/>
      </w:pPr>
      <w:r>
        <w:rPr>
          <w:rStyle w:val="Elision"/>
        </w:rPr>
        <w:t xml:space="preserve">[ … ]</w:t>
      </w:r>
    </w:p>
    <w:p>
      <w:pPr>
        <w:pStyle w:val="NodeEnd"/>
      </w:pPr>
      <w:r>
        <w:t xml:space="preserve"> </w:t>
      </w:r>
    </w:p>
    <w:p>
      <w:pPr>
        <w:pStyle w:val="NodeStart"/>
      </w:pPr>
      <w:r>
        <w:t xml:space="preserve"> </w:t>
      </w:r>
    </w:p>
    <w:p>
      <w:pPr>
        <w:pStyle w:val="HeadSeparator"/>
      </w:pPr>
      <w:r>
        <w:t xml:space="preserve"> </w:t>
      </w:r>
    </w:p>
    <w:bookmarkStart w:id="35" w:name="_auto_toc_35"/>
    <w:bookmarkEnd w:id="35"/>
    <w:p>
      <w:pPr>
        <w:pStyle w:val="ResourceNumber"/>
      </w:pPr>
      <w:r>
        <w:t xml:space="preserve">3.1.2</w:t>
      </w:r>
    </w:p>
    <w:p>
      <w:pPr>
        <w:pStyle w:val="ResourceTitle"/>
      </w:pPr>
      <w:r>
        <w:t xml:space="preserve">Citizens United v. Federal Election Commission</w:t>
      </w:r>
    </w:p>
    <w:p>
      <w:pPr>
        <w:pStyle w:val="HeadEnd"/>
      </w:pPr>
      <w:r>
        <w:t xml:space="preserve"> </w:t>
      </w:r>
    </w:p>
    <w:p>
      <w:pPr>
        <w:pStyle w:val="CaseHeader"/>
      </w:pPr>
      <w:r>
        <w:t xml:space="preserve">Supreme Court of the United States</w:t>
      </w:r>
    </w:p>
    <w:p>
      <w:pPr>
        <w:pStyle w:val="CaseHeader"/>
      </w:pPr>
      <w:r>
        <w:t xml:space="preserve">558 U.S. 310, 175 L. Ed. 2d 753, 130 S. Ct. 876, 2010 U.S. LEXIS 766, SCDB 2009-012</w:t>
      </w:r>
    </w:p>
    <w:p>
      <w:pPr>
        <w:pStyle w:val="CaseHeader"/>
      </w:pPr>
      <w:r>
        <w:t xml:space="preserve">No. 08-205</w:t>
      </w:r>
    </w:p>
    <w:p>
      <w:pPr>
        <w:pStyle w:val="CaseHeader"/>
      </w:pPr>
      <w:r>
        <w:t xml:space="preserve">2010-01-21</w:t>
      </w:r>
    </w:p>
    <w:p>
      <w:pPr>
        <w:pStyle w:val="CaseBody"/>
      </w:pPr>
      <w:r>
        <w:t xml:space="preserve">Argued March 24, 2009 — Reargued September 9, 2009—</w:t>
      </w:r>
    </w:p>
    <w:p>
      <w:pPr>
        <w:pStyle w:val="CaseBody"/>
      </w:pPr>
      <w:r>
        <w:rPr>
          <w:rStyle w:val="Elision"/>
        </w:rPr>
        <w:t xml:space="preserve">[ … ]</w:t>
      </w:r>
    </w:p>
    <w:p>
      <w:pPr>
        <w:pStyle w:val="CaseBody"/>
      </w:pPr>
      <w:r>
        <w:t xml:space="preserve">Justice Kennedy</w:t>
      </w:r>
    </w:p>
    <w:p>
      <w:pPr>
        <w:pStyle w:val="CaseBody"/>
      </w:pPr>
      <w:r>
        <w:rPr>
          <w:rStyle w:val="Elision"/>
        </w:rPr>
        <w:t xml:space="preserve">[ … ]</w:t>
      </w:r>
    </w:p>
    <w:p>
      <w:pPr>
        <w:pStyle w:val="CaseBody"/>
      </w:pPr>
      <w:r>
        <w:t xml:space="preserve">Federal law prohibits corporations and unions from using their general treasury funds to make independent expenditures for speech defined as an “electioneering communication” or for speech expressly advocating the election or defeat of a candidate.</w:t>
      </w:r>
      <w:r>
        <w:t xml:space="preserve"> </w:t>
      </w:r>
      <w:r>
        <w:rPr>
          <w:rStyle w:val="Elision"/>
        </w:rPr>
        <w:t xml:space="preserve">[ … ]</w:t>
      </w:r>
      <w:r>
        <w:t xml:space="preserve"> </w:t>
      </w:r>
      <w:r>
        <w:t xml:space="preserve">Limits on electioneering communications were upheld in</w:t>
      </w:r>
      <w:r>
        <w:t xml:space="preserve"> </w:t>
      </w:r>
      <w:r>
        <w:rPr>
          <w:iCs/>
          <w:i/>
        </w:rPr>
        <w:t xml:space="preserve">McConnell</w:t>
      </w:r>
      <w:r>
        <w:t xml:space="preserve"> </w:t>
      </w:r>
      <w:r>
        <w:rPr>
          <w:rStyle w:val="Elision"/>
        </w:rPr>
        <w:t xml:space="preserve">[ … ]</w:t>
      </w:r>
      <w:r>
        <w:t xml:space="preserve"> </w:t>
      </w:r>
      <w:r>
        <w:t xml:space="preserve">(2003).</w:t>
      </w:r>
      <w:r>
        <w:t xml:space="preserve"> </w:t>
      </w:r>
      <w:r>
        <w:rPr>
          <w:rStyle w:val="Elision"/>
        </w:rPr>
        <w:t xml:space="preserve">[ … ]</w:t>
      </w:r>
      <w:r>
        <w:rPr>
          <w:iCs/>
          <w:i/>
        </w:rPr>
        <w:t xml:space="preserve">McConnell</w:t>
      </w:r>
      <w:r>
        <w:t xml:space="preserve"> </w:t>
      </w:r>
      <w:r>
        <w:t xml:space="preserve">rested to a large extent on</w:t>
      </w:r>
      <w:r>
        <w:t xml:space="preserve"> </w:t>
      </w:r>
      <w:r>
        <w:rPr>
          <w:rStyle w:val="Elision"/>
        </w:rPr>
        <w:t xml:space="preserve">[ … ]</w:t>
      </w:r>
      <w:r>
        <w:rPr>
          <w:iCs/>
          <w:i/>
        </w:rPr>
        <w:t xml:space="preserve">Austin</w:t>
      </w:r>
      <w:r>
        <w:t xml:space="preserve"> </w:t>
      </w:r>
      <w:r>
        <w:rPr>
          <w:rStyle w:val="Elision"/>
        </w:rPr>
        <w:t xml:space="preserve">[ … ]</w:t>
      </w:r>
      <w:r>
        <w:t xml:space="preserve">(1990).</w:t>
      </w:r>
      <w:r>
        <w:t xml:space="preserve"> </w:t>
      </w:r>
      <w:r>
        <w:rPr>
          <w:iCs/>
          <w:i/>
        </w:rPr>
        <w:t xml:space="preserve">Austin</w:t>
      </w:r>
      <w:r>
        <w:t xml:space="preserve"> </w:t>
      </w:r>
      <w:r>
        <w:t xml:space="preserve">had held that political speech may be banned based on the speaker’s corporate identity.</w:t>
      </w:r>
    </w:p>
    <w:p>
      <w:pPr>
        <w:pStyle w:val="CaseBody"/>
      </w:pPr>
      <w:r>
        <w:rPr>
          <w:rStyle w:val="Elision"/>
        </w:rPr>
        <w:t xml:space="preserve">[ … ]</w:t>
      </w:r>
      <w:r>
        <w:t xml:space="preserve">We</w:t>
      </w:r>
      <w:r>
        <w:t xml:space="preserve"> </w:t>
      </w:r>
      <w:r>
        <w:rPr>
          <w:rStyle w:val="Elision"/>
        </w:rPr>
        <w:t xml:space="preserve">[ … ]</w:t>
      </w:r>
      <w:r>
        <w:t xml:space="preserve">hold that</w:t>
      </w:r>
      <w:r>
        <w:t xml:space="preserve"> </w:t>
      </w:r>
      <w:r>
        <w:rPr>
          <w:iCs/>
          <w:i/>
        </w:rPr>
        <w:t xml:space="preserve">stare decisis</w:t>
      </w:r>
      <w:r>
        <w:t xml:space="preserve"> </w:t>
      </w:r>
      <w:r>
        <w:t xml:space="preserve">does not compel the continued acceptance of</w:t>
      </w:r>
      <w:r>
        <w:t xml:space="preserve"> </w:t>
      </w:r>
      <w:r>
        <w:rPr>
          <w:iCs/>
          <w:i/>
        </w:rPr>
        <w:t xml:space="preserve">Austin.</w:t>
      </w:r>
      <w:r>
        <w:t xml:space="preserve"> </w:t>
      </w:r>
      <w:r>
        <w:t xml:space="preserve">The Government may regulate corporate political speech through disclaimer and disclosure requirements, but it may not suppress that speech altogether.</w:t>
      </w:r>
      <w:r>
        <w:t xml:space="preserve"> </w:t>
      </w:r>
      <w:r>
        <w:rPr>
          <w:rStyle w:val="Elision"/>
        </w:rPr>
        <w:t xml:space="preserve">[ … ]</w:t>
      </w:r>
    </w:p>
    <w:p>
      <w:pPr>
        <w:pStyle w:val="CaseBody"/>
      </w:pPr>
      <w:r>
        <w:t xml:space="preserve">I</w:t>
      </w:r>
    </w:p>
    <w:p>
      <w:pPr>
        <w:pStyle w:val="CaseBody"/>
      </w:pPr>
      <w:r>
        <w:t xml:space="preserve">A</w:t>
      </w:r>
    </w:p>
    <w:p>
      <w:pPr>
        <w:pStyle w:val="CaseBody"/>
      </w:pPr>
      <w:r>
        <w:t xml:space="preserve">Citizens United is a nonprofit corporation.</w:t>
      </w:r>
      <w:r>
        <w:t xml:space="preserve"> </w:t>
      </w:r>
      <w:r>
        <w:rPr>
          <w:rStyle w:val="Elision"/>
        </w:rPr>
        <w:t xml:space="preserve">[ … ]</w:t>
      </w:r>
    </w:p>
    <w:p>
      <w:pPr>
        <w:pStyle w:val="CaseBody"/>
      </w:pPr>
      <w:r>
        <w:t xml:space="preserve">Citizens United has an annual budget of about $12 million. Most of its funds are from donations by individuals; but, in addition, it accepts a small portion of its funds from for-profit corporations.</w:t>
      </w:r>
    </w:p>
    <w:p>
      <w:pPr>
        <w:pStyle w:val="CaseBody"/>
      </w:pPr>
      <w:r>
        <w:t xml:space="preserve">In January 2008, Citizens United released a film entitled</w:t>
      </w:r>
      <w:r>
        <w:t xml:space="preserve"> </w:t>
      </w:r>
      <w:r>
        <w:rPr>
          <w:iCs/>
          <w:i/>
        </w:rPr>
        <w:t xml:space="preserve">Hillary: The Movie.</w:t>
      </w:r>
      <w:r>
        <w:t xml:space="preserve"> </w:t>
      </w:r>
      <w:r>
        <w:t xml:space="preserve">We refer to the film as</w:t>
      </w:r>
      <w:r>
        <w:t xml:space="preserve"> </w:t>
      </w:r>
      <w:r>
        <w:rPr>
          <w:iCs/>
          <w:i/>
        </w:rPr>
        <w:t xml:space="preserve">Hillary.</w:t>
      </w:r>
      <w:r>
        <w:t xml:space="preserve"> </w:t>
      </w:r>
      <w:r>
        <w:t xml:space="preserve">It is a 90-minute documentary about then-Senator Hillary Clinton, who was a candidate in the Democratic Party’s 2008 Presidential primary elections.</w:t>
      </w:r>
      <w:r>
        <w:t xml:space="preserve"> </w:t>
      </w:r>
      <w:r>
        <w:rPr>
          <w:iCs/>
          <w:i/>
        </w:rPr>
        <w:t xml:space="preserve">Hillary</w:t>
      </w:r>
      <w:r>
        <w:t xml:space="preserve"> </w:t>
      </w:r>
      <w:r>
        <w:t xml:space="preserve">mentions Senator Clinton by name and depicts interviews with political commentators and other persons, most of them quite critical of Senator Clinton.</w:t>
      </w:r>
      <w:r>
        <w:t xml:space="preserve"> </w:t>
      </w:r>
      <w:r>
        <w:rPr>
          <w:iCs/>
          <w:i/>
        </w:rPr>
        <w:t xml:space="preserve">Hillary</w:t>
      </w:r>
      <w:r>
        <w:t xml:space="preserve"> </w:t>
      </w:r>
      <w:r>
        <w:t xml:space="preserve">was released in theaters and on DVD, but Citizens United wanted to increase distribution by making it available through video-on-demand.</w:t>
      </w:r>
    </w:p>
    <w:p>
      <w:pPr>
        <w:pStyle w:val="CaseBody"/>
      </w:pPr>
      <w:r>
        <w:rPr>
          <w:rStyle w:val="Elision"/>
        </w:rPr>
        <w:t xml:space="preserve">[ … ]</w:t>
      </w:r>
      <w:r>
        <w:t xml:space="preserve">In December 2007, a cable company offered, for a payment of $1.2 million, to make</w:t>
      </w:r>
      <w:r>
        <w:t xml:space="preserve"> </w:t>
      </w:r>
      <w:r>
        <w:rPr>
          <w:iCs/>
          <w:i/>
        </w:rPr>
        <w:t xml:space="preserve">Hillary</w:t>
      </w:r>
      <w:r>
        <w:t xml:space="preserve"> </w:t>
      </w:r>
      <w:r>
        <w:t xml:space="preserve">available on a video-on-demand channel called “Elections ’08.”</w:t>
      </w:r>
      <w:r>
        <w:t xml:space="preserve"> </w:t>
      </w:r>
      <w:r>
        <w:rPr>
          <w:rStyle w:val="Elision"/>
        </w:rPr>
        <w:t xml:space="preserve">[ … ]</w:t>
      </w:r>
      <w:r>
        <w:t xml:space="preserve"> </w:t>
      </w:r>
      <w:r>
        <w:rPr>
          <w:rStyle w:val="Elision"/>
        </w:rPr>
        <w:t xml:space="preserve">[ … ]</w:t>
      </w:r>
      <w:r>
        <w:t xml:space="preserve">the proposal was to make</w:t>
      </w:r>
      <w:r>
        <w:t xml:space="preserve"> </w:t>
      </w:r>
      <w:r>
        <w:rPr>
          <w:iCs/>
          <w:i/>
        </w:rPr>
        <w:t xml:space="preserve">Hillary</w:t>
      </w:r>
      <w:r>
        <w:t xml:space="preserve"> </w:t>
      </w:r>
      <w:r>
        <w:t xml:space="preserve">available to viewers free of charge.</w:t>
      </w:r>
    </w:p>
    <w:p>
      <w:pPr>
        <w:pStyle w:val="CaseBody"/>
      </w:pPr>
      <w:r>
        <w:rPr>
          <w:rStyle w:val="Elision"/>
        </w:rPr>
        <w:t xml:space="preserve">[ … ]</w:t>
      </w:r>
      <w:r>
        <w:t xml:space="preserve">Citizens United was prepared to pay for the video-on-demand; and to promote the film, it produced two 10-second ads and one 30-second ad for</w:t>
      </w:r>
      <w:r>
        <w:t xml:space="preserve"> </w:t>
      </w:r>
      <w:r>
        <w:rPr>
          <w:iCs/>
          <w:i/>
        </w:rPr>
        <w:t xml:space="preserve">Hillary.</w:t>
      </w:r>
      <w:r>
        <w:t xml:space="preserve"> </w:t>
      </w:r>
      <w:r>
        <w:t xml:space="preserve">Each ad includes a short (and, in our view, pejorative) statement about Senator Clinton, followed by the name of the movie and the movie’s Web site address.</w:t>
      </w:r>
      <w:r>
        <w:t xml:space="preserve"> </w:t>
      </w:r>
      <w:r>
        <w:rPr>
          <w:rStyle w:val="Elision"/>
        </w:rPr>
        <w:t xml:space="preserve">[ … ]</w:t>
      </w:r>
      <w:r>
        <w:t xml:space="preserve">Citizens United desired to promote the video-on-demand offering by running advertisements on broadcast and cable television.</w:t>
      </w:r>
    </w:p>
    <w:p>
      <w:pPr>
        <w:pStyle w:val="CaseBody"/>
      </w:pPr>
      <w:r>
        <w:t xml:space="preserve">B</w:t>
      </w:r>
    </w:p>
    <w:p>
      <w:pPr>
        <w:pStyle w:val="CaseBody"/>
      </w:pPr>
      <w:r>
        <w:t xml:space="preserve">Before the Bipartisan Campaign Reform Act of 2002 (BCRA), federal law prohibited — and still does prohibit— corporations and unions from using general treasury funds to make direct contributions to candidates or independent expenditures that expressly advocate the election or defeat of a candidate, through any form of media, in connection with certain qualified federal elections.</w:t>
      </w:r>
      <w:r>
        <w:t xml:space="preserve"> </w:t>
      </w:r>
      <w:r>
        <w:rPr>
          <w:rStyle w:val="Elision"/>
        </w:rPr>
        <w:t xml:space="preserve">[ … ]</w:t>
      </w:r>
      <w:r>
        <w:t xml:space="preserve"> </w:t>
      </w:r>
      <w:r>
        <w:t xml:space="preserve"> </w:t>
      </w:r>
      <w:r>
        <w:t xml:space="preserve">BCRA §203 amended §441b to prohibit any “electioneering communication” as well.</w:t>
      </w:r>
      <w:r>
        <w:t xml:space="preserve"> </w:t>
      </w:r>
      <w:r>
        <w:rPr>
          <w:rStyle w:val="Elision"/>
        </w:rPr>
        <w:t xml:space="preserve">[ … ]</w:t>
      </w:r>
      <w:r>
        <w:t xml:space="preserve">An electioneering communication is defined as “any broadcast, cable, or satellite communication” that “refers to a clearly identified candidate for Federal office” and is made within 30 days of a primary or 60 days of a general election.</w:t>
      </w:r>
      <w:r>
        <w:t xml:space="preserve"> </w:t>
      </w:r>
      <w:r>
        <w:rPr>
          <w:rStyle w:val="Elision"/>
        </w:rPr>
        <w:t xml:space="preserve">[ … ]</w:t>
      </w:r>
      <w:r>
        <w:t xml:space="preserve"> </w:t>
      </w:r>
      <w:r>
        <w:t xml:space="preserve">Corporations and unions are barred from using their general treasury funds for express advocacy or electioneering communications. They may establish, however, a “separate segregated fund” (known as a political action committee, or PAC) for these purposes.</w:t>
      </w:r>
      <w:r>
        <w:t xml:space="preserve"> </w:t>
      </w:r>
      <w:r>
        <w:rPr>
          <w:rStyle w:val="Elision"/>
        </w:rPr>
        <w:t xml:space="preserve">[ … ]</w:t>
      </w:r>
      <w:r>
        <w:t xml:space="preserve"> </w:t>
      </w:r>
      <w:r>
        <w:t xml:space="preserve">The moneys received by the segregated fund are limited to donations from stockholders and employees of the corporation or, in the case of unions, members of the union.</w:t>
      </w:r>
      <w:r>
        <w:t xml:space="preserve"> </w:t>
      </w:r>
      <w:r>
        <w:rPr>
          <w:rStyle w:val="Elision"/>
        </w:rPr>
        <w:t xml:space="preserve">[ … ]</w:t>
      </w:r>
    </w:p>
    <w:p>
      <w:pPr>
        <w:pStyle w:val="CaseBody"/>
      </w:pPr>
      <w:r>
        <w:t xml:space="preserve">C</w:t>
      </w:r>
    </w:p>
    <w:p>
      <w:pPr>
        <w:pStyle w:val="CaseBody"/>
      </w:pPr>
      <w:r>
        <w:t xml:space="preserve">Citizens United wanted to make</w:t>
      </w:r>
      <w:r>
        <w:t xml:space="preserve"> </w:t>
      </w:r>
      <w:r>
        <w:rPr>
          <w:iCs/>
          <w:i/>
        </w:rPr>
        <w:t xml:space="preserve">Hillary</w:t>
      </w:r>
      <w:r>
        <w:t xml:space="preserve"> </w:t>
      </w:r>
      <w:r>
        <w:t xml:space="preserve">available through video-on-demand within 30 days of the 2008 primary elections. It feared, however, that both the film and the ads would be covered by §441b’s ban on corporate-funded independent expenditures, thus subjecting the corporation to civil and criminal penalties under §437g. In December 2007, Citizens United sought declaratory and injunctive relief against the FEC. It argued that (1) §441b is unconstitutional as applied to</w:t>
      </w:r>
      <w:r>
        <w:t xml:space="preserve"> </w:t>
      </w:r>
      <w:r>
        <w:rPr>
          <w:iCs/>
          <w:i/>
        </w:rPr>
        <w:t xml:space="preserve">Hillary;</w:t>
      </w:r>
      <w:r>
        <w:t xml:space="preserve"> </w:t>
      </w:r>
      <w:r>
        <w:t xml:space="preserve">and (2) BCRA’s disclaimer and disclosure requirements, BCRA §§201 and 311, 116 Stat. 88, 105, are unconstitutional as applied to</w:t>
      </w:r>
      <w:r>
        <w:t xml:space="preserve"> </w:t>
      </w:r>
      <w:r>
        <w:rPr>
          <w:iCs/>
          <w:i/>
        </w:rPr>
        <w:t xml:space="preserve">Hillary</w:t>
      </w:r>
      <w:r>
        <w:t xml:space="preserve"> </w:t>
      </w:r>
      <w:r>
        <w:t xml:space="preserve">and to the three ads for the movie.</w:t>
      </w:r>
    </w:p>
    <w:p>
      <w:pPr>
        <w:pStyle w:val="CaseBody"/>
      </w:pPr>
      <w:r>
        <w:t xml:space="preserve">The District Court</w:t>
      </w:r>
      <w:r>
        <w:t xml:space="preserve"> </w:t>
      </w:r>
      <w:r>
        <w:rPr>
          <w:rStyle w:val="Elision"/>
        </w:rPr>
        <w:t xml:space="preserve">[ … ]</w:t>
      </w:r>
      <w:r>
        <w:t xml:space="preserve"> </w:t>
      </w:r>
      <w:r>
        <w:rPr>
          <w:rStyle w:val="Elision"/>
        </w:rPr>
        <w:t xml:space="preserve">[ … ]</w:t>
      </w:r>
      <w:r>
        <w:rPr>
          <w:rStyle w:val="Elision"/>
        </w:rPr>
        <w:t xml:space="preserve">[ … ]</w:t>
      </w:r>
      <w:r>
        <w:t xml:space="preserve"> </w:t>
      </w:r>
      <w:r>
        <w:t xml:space="preserve">held that § 441b was facially constitutional under</w:t>
      </w:r>
      <w:r>
        <w:t xml:space="preserve"> </w:t>
      </w:r>
      <w:r>
        <w:rPr>
          <w:iCs/>
          <w:i/>
        </w:rPr>
        <w:t xml:space="preserve">McConnell,</w:t>
      </w:r>
      <w:r>
        <w:t xml:space="preserve"> </w:t>
      </w:r>
      <w:r>
        <w:t xml:space="preserve">and that §441b was constitutional as applied to</w:t>
      </w:r>
      <w:r>
        <w:t xml:space="preserve"> </w:t>
      </w:r>
      <w:r>
        <w:rPr>
          <w:iCs/>
          <w:i/>
        </w:rPr>
        <w:t xml:space="preserve">Hillary</w:t>
      </w:r>
      <w:r>
        <w:t xml:space="preserve"> </w:t>
      </w:r>
      <w:r>
        <w:t xml:space="preserve">because it was “susceptible of no other interpretation than to inform the electorate that Senator Clinton is unfit for office, that the United States would be a dangerous place in a President Hillary Clinton world, and that viewers should vote against her.”</w:t>
      </w:r>
      <w:r>
        <w:t xml:space="preserve"> </w:t>
      </w:r>
      <w:r>
        <w:rPr>
          <w:rStyle w:val="Elision"/>
        </w:rPr>
        <w:t xml:space="preserve">[ … ]</w:t>
      </w:r>
    </w:p>
    <w:p>
      <w:pPr>
        <w:pStyle w:val="CaseBody"/>
      </w:pPr>
      <w:r>
        <w:rPr>
          <w:rStyle w:val="HighlightedText"/>
        </w:rPr>
        <w:t xml:space="preserve">The case was reargued in this Court after the Court asked the parties to file supplemental briefs addressing whether we should overrule either or both</w:t>
      </w:r>
      <w:r>
        <w:rPr>
          <w:rStyle w:val="HighlightedText"/>
        </w:rPr>
        <w:t xml:space="preserve"> </w:t>
      </w:r>
      <w:r>
        <w:rPr>
          <w:rStyle w:val="HighlightedText"/>
          <w:iCs/>
          <w:i/>
        </w:rPr>
        <w:t xml:space="preserve">Austin</w:t>
      </w:r>
      <w:r>
        <w:rPr>
          <w:rStyle w:val="HighlightedText"/>
          <w:iCs/>
          <w:i/>
        </w:rPr>
        <w:t xml:space="preserve"> </w:t>
      </w:r>
      <w:r>
        <w:rPr>
          <w:rStyle w:val="HighlightedText"/>
        </w:rPr>
        <w:t xml:space="preserve">and the part of</w:t>
      </w:r>
      <w:r>
        <w:rPr>
          <w:rStyle w:val="HighlightedText"/>
        </w:rPr>
        <w:t xml:space="preserve"> </w:t>
      </w:r>
      <w:r>
        <w:rPr>
          <w:rStyle w:val="HighlightedText"/>
          <w:iCs/>
          <w:i/>
        </w:rPr>
        <w:t xml:space="preserve">McConnell</w:t>
      </w:r>
      <w:r>
        <w:rPr>
          <w:rStyle w:val="HighlightedText"/>
          <w:iCs/>
          <w:i/>
        </w:rPr>
        <w:t xml:space="preserve"> </w:t>
      </w:r>
      <w:r>
        <w:rPr>
          <w:rStyle w:val="HighlightedText"/>
        </w:rPr>
        <w:t xml:space="preserve">which addresses the facial validity of 2 U. S. C. § 441b</w:t>
      </w:r>
      <w:r>
        <w:t xml:space="preserve">.</w:t>
      </w:r>
      <w:r>
        <w:rPr>
          <w:rStyle w:val="Elision"/>
        </w:rPr>
        <w:t xml:space="preserve">[ … ]</w:t>
      </w:r>
    </w:p>
    <w:p>
      <w:pPr>
        <w:pStyle w:val="CaseBody"/>
      </w:pPr>
      <w:r>
        <w:t xml:space="preserve">II</w:t>
      </w:r>
    </w:p>
    <w:p>
      <w:pPr>
        <w:pStyle w:val="CaseBody"/>
      </w:pPr>
      <w:r>
        <w:rPr>
          <w:rStyle w:val="Elision"/>
        </w:rPr>
        <w:t xml:space="preserve">[ … ]</w:t>
      </w:r>
    </w:p>
    <w:p>
      <w:pPr>
        <w:pStyle w:val="CaseBody"/>
      </w:pPr>
      <w:r>
        <w:t xml:space="preserve">A</w:t>
      </w:r>
    </w:p>
    <w:p>
      <w:pPr>
        <w:pStyle w:val="CaseBody"/>
      </w:pPr>
      <w:r>
        <w:rPr>
          <w:rStyle w:val="Elision"/>
        </w:rPr>
        <w:t xml:space="preserve">[ … ]</w:t>
      </w:r>
    </w:p>
    <w:p>
      <w:pPr>
        <w:pStyle w:val="CaseBody"/>
      </w:pPr>
      <w:r>
        <w:t xml:space="preserve">As the District Court found, there is no reasonable interpretation of</w:t>
      </w:r>
      <w:r>
        <w:t xml:space="preserve"> </w:t>
      </w:r>
      <w:r>
        <w:rPr>
          <w:iCs/>
          <w:i/>
        </w:rPr>
        <w:t xml:space="preserve">Hillary</w:t>
      </w:r>
      <w:r>
        <w:t xml:space="preserve"> </w:t>
      </w:r>
      <w:r>
        <w:t xml:space="preserve">other than as an appeal to vote against Senator Clinton. Under the standard stated in</w:t>
      </w:r>
      <w:r>
        <w:t xml:space="preserve"> </w:t>
      </w:r>
      <w:r>
        <w:rPr>
          <w:iCs/>
          <w:i/>
        </w:rPr>
        <w:t xml:space="preserve">McConnell</w:t>
      </w:r>
      <w:r>
        <w:t xml:space="preserve"> </w:t>
      </w:r>
      <w:r>
        <w:t xml:space="preserve">and further elaborated in</w:t>
      </w:r>
      <w:r>
        <w:t xml:space="preserve"> </w:t>
      </w:r>
      <w:r>
        <w:rPr>
          <w:iCs/>
          <w:i/>
        </w:rPr>
        <w:t xml:space="preserve">WRTL,</w:t>
      </w:r>
      <w:r>
        <w:t xml:space="preserve"> </w:t>
      </w:r>
      <w:r>
        <w:t xml:space="preserve">the film qualifies as the functional equivalent of express advocacy.</w:t>
      </w:r>
    </w:p>
    <w:p>
      <w:pPr>
        <w:pStyle w:val="CaseBody"/>
      </w:pPr>
      <w:r>
        <w:rPr>
          <w:rStyle w:val="Elision"/>
        </w:rPr>
        <w:t xml:space="preserve">[ … ]</w:t>
      </w:r>
    </w:p>
    <w:p>
      <w:pPr>
        <w:pStyle w:val="CaseBody"/>
      </w:pPr>
      <w:r>
        <w:t xml:space="preserve">D</w:t>
      </w:r>
    </w:p>
    <w:p>
      <w:pPr>
        <w:pStyle w:val="CaseBody"/>
      </w:pPr>
      <w:r>
        <w:t xml:space="preserve">Citizens United also asks us to carve out an exception to §441b’s expenditure ban for nonprofit corporate political speech funded overwhelmingly by individuals. As an alternative to reconsidering</w:t>
      </w:r>
      <w:r>
        <w:t xml:space="preserve"> </w:t>
      </w:r>
      <w:r>
        <w:rPr>
          <w:iCs/>
          <w:i/>
        </w:rPr>
        <w:t xml:space="preserve">Austin,</w:t>
      </w:r>
      <w:r>
        <w:t xml:space="preserve"> </w:t>
      </w:r>
      <w:r>
        <w:t xml:space="preserve">the Government also seems to prefer this approach. This line of analysis, however, would be unavailing.</w:t>
      </w:r>
    </w:p>
    <w:p>
      <w:pPr>
        <w:pStyle w:val="CaseBody"/>
      </w:pPr>
      <w:r>
        <w:t xml:space="preserve">In</w:t>
      </w:r>
      <w:r>
        <w:t xml:space="preserve"> </w:t>
      </w:r>
      <w:r>
        <w:rPr>
          <w:iCs/>
          <w:i/>
        </w:rPr>
        <w:t xml:space="preserve">MCFL,</w:t>
      </w:r>
      <w:r>
        <w:t xml:space="preserve"> </w:t>
      </w:r>
      <w:r>
        <w:t xml:space="preserve">the Court found unconstitutional §441b’s restrictions on corporate expenditures as applied to nonprofit corporations that were formed for the sole purpose of promoting political ideas, did not engage in business activities, and did not accept contributions from for-profit corporations or labor unions.</w:t>
      </w:r>
      <w:r>
        <w:t xml:space="preserve"> </w:t>
      </w:r>
      <w:r>
        <w:rPr>
          <w:rStyle w:val="Elision"/>
        </w:rPr>
        <w:t xml:space="preserve">[ … ]</w:t>
      </w:r>
      <w:r>
        <w:t xml:space="preserve">BCRA’s so-called Wellstone Amendment applied §441b’s expenditure ban to all nonprofit corporations.</w:t>
      </w:r>
      <w:r>
        <w:t xml:space="preserve"> </w:t>
      </w:r>
      <w:r>
        <w:rPr>
          <w:rStyle w:val="Elision"/>
        </w:rPr>
        <w:t xml:space="preserve">[ … ]</w:t>
      </w:r>
      <w:r>
        <w:t xml:space="preserve"> </w:t>
      </w:r>
      <w:r>
        <w:rPr>
          <w:iCs/>
          <w:i/>
        </w:rPr>
        <w:t xml:space="preserve">McConnell</w:t>
      </w:r>
      <w:r>
        <w:t xml:space="preserve"> </w:t>
      </w:r>
      <w:r>
        <w:t xml:space="preserve">then interpreted the Wellstone Amendment to retain the</w:t>
      </w:r>
      <w:r>
        <w:t xml:space="preserve"> </w:t>
      </w:r>
      <w:r>
        <w:rPr>
          <w:iCs/>
          <w:i/>
        </w:rPr>
        <w:t xml:space="preserve">MCFL</w:t>
      </w:r>
      <w:r>
        <w:t xml:space="preserve"> </w:t>
      </w:r>
      <w:r>
        <w:t xml:space="preserve">exemption to §441b’s expenditure prohibition.</w:t>
      </w:r>
      <w:r>
        <w:t xml:space="preserve"> </w:t>
      </w:r>
      <w:r>
        <w:rPr>
          <w:rStyle w:val="Elision"/>
        </w:rPr>
        <w:t xml:space="preserve">[ … ]</w:t>
      </w:r>
      <w:r>
        <w:t xml:space="preserve"> </w:t>
      </w:r>
      <w:r>
        <w:t xml:space="preserve">Citizens United does not qualify for the</w:t>
      </w:r>
      <w:r>
        <w:t xml:space="preserve"> </w:t>
      </w:r>
      <w:r>
        <w:rPr>
          <w:iCs/>
          <w:i/>
        </w:rPr>
        <w:t xml:space="preserve">MCFL</w:t>
      </w:r>
      <w:r>
        <w:t xml:space="preserve"> </w:t>
      </w:r>
      <w:r>
        <w:t xml:space="preserve">exemption, however, since some funds used to make the movie were donations from for-profit corporations.</w:t>
      </w:r>
    </w:p>
    <w:p>
      <w:pPr>
        <w:pStyle w:val="CaseBody"/>
      </w:pPr>
      <w:r>
        <w:t xml:space="preserve">The Government suggests we could find BCRA’s Wellstone Amendment unconstitutional, sever it from the statute, and hold that Citizens United’s speech is exempt from §441b’s ban under BCRA’s Snowe-Jeffords Amendment, §441b(c)(2).</w:t>
      </w:r>
      <w:r>
        <w:t xml:space="preserve"> </w:t>
      </w:r>
      <w:r>
        <w:rPr>
          <w:rStyle w:val="Elision"/>
        </w:rPr>
        <w:t xml:space="preserve">[ … ]</w:t>
      </w:r>
      <w:r>
        <w:t xml:space="preserve"> </w:t>
      </w:r>
      <w:r>
        <w:t xml:space="preserve">The Snowe-Jeffords Amendment operates as a backup provision that only takes effect if the Wellstone Amendment is invalidated.</w:t>
      </w:r>
      <w:r>
        <w:t xml:space="preserve"> </w:t>
      </w:r>
      <w:r>
        <w:rPr>
          <w:rStyle w:val="Elision"/>
        </w:rPr>
        <w:t xml:space="preserve">[ … ]</w:t>
      </w:r>
      <w:r>
        <w:t xml:space="preserve"> </w:t>
      </w:r>
      <w:r>
        <w:t xml:space="preserve">The Snowe-Jeffords Amendment would exempt from § 44 lb’s expenditure ban the political speech of certain nonprofit corporations if the speech were funded “exclusively” by individual donors and the funds were maintained in a segregated account.</w:t>
      </w:r>
      <w:r>
        <w:t xml:space="preserve"> </w:t>
      </w:r>
      <w:r>
        <w:rPr>
          <w:rStyle w:val="Elision"/>
        </w:rPr>
        <w:t xml:space="preserve">[ … ]</w:t>
      </w:r>
      <w:r>
        <w:t xml:space="preserve">Citizens United would not qualify for the Snowe-Jeffords exemption, under its terms as written, because</w:t>
      </w:r>
      <w:r>
        <w:t xml:space="preserve"> </w:t>
      </w:r>
      <w:r>
        <w:rPr>
          <w:iCs/>
          <w:i/>
        </w:rPr>
        <w:t xml:space="preserve">Hillary</w:t>
      </w:r>
      <w:r>
        <w:t xml:space="preserve"> </w:t>
      </w:r>
      <w:r>
        <w:t xml:space="preserve">was funded in part with donations from for-profit corporations.</w:t>
      </w:r>
    </w:p>
    <w:p>
      <w:pPr>
        <w:pStyle w:val="CaseBody"/>
      </w:pPr>
      <w:r>
        <w:rPr>
          <w:rStyle w:val="Elision"/>
        </w:rPr>
        <w:t xml:space="preserve">[ … ]</w:t>
      </w:r>
      <w:r>
        <w:t xml:space="preserve">If the Court decided to create a</w:t>
      </w:r>
      <w:r>
        <w:t xml:space="preserve"> </w:t>
      </w:r>
      <w:r>
        <w:rPr>
          <w:iCs/>
          <w:i/>
        </w:rPr>
        <w:t xml:space="preserve">de minimis</w:t>
      </w:r>
      <w:r>
        <w:t xml:space="preserve"> </w:t>
      </w:r>
      <w:r>
        <w:t xml:space="preserve">exception to</w:t>
      </w:r>
      <w:r>
        <w:t xml:space="preserve"> </w:t>
      </w:r>
      <w:r>
        <w:rPr>
          <w:iCs/>
          <w:i/>
        </w:rPr>
        <w:t xml:space="preserve">MCFL</w:t>
      </w:r>
      <w:r>
        <w:t xml:space="preserve"> </w:t>
      </w:r>
      <w:r>
        <w:t xml:space="preserve">or the Snowe-Jeffords Amendment, the result would be to allow for-profit corporate general treasury funds to be spent for independent expenditures that support candidates.</w:t>
      </w:r>
      <w:r>
        <w:t xml:space="preserve"> </w:t>
      </w:r>
      <w:r>
        <w:rPr>
          <w:rStyle w:val="Elision"/>
        </w:rPr>
        <w:t xml:space="preserve">[ … ]</w:t>
      </w:r>
    </w:p>
    <w:p>
      <w:pPr>
        <w:pStyle w:val="CaseBody"/>
      </w:pPr>
      <w:r>
        <w:t xml:space="preserve">Though it is true that the Court should construe statutes as necessary to avoid constitutional questions, the series of steps suggested would be difficult to take in view of the language of the statute.</w:t>
      </w:r>
      <w:r>
        <w:t xml:space="preserve"> </w:t>
      </w:r>
      <w:r>
        <w:rPr>
          <w:rStyle w:val="Elision"/>
        </w:rPr>
        <w:t xml:space="preserve">[ … ]</w:t>
      </w:r>
      <w:r>
        <w:t xml:space="preserve">We decline to adopt an interpretation that requires intricate case-by-case determinations to verify whether political speech is banned, especially if we are convinced that, in the end,</w:t>
      </w:r>
      <w:r>
        <w:t xml:space="preserve"> </w:t>
      </w:r>
      <w:r>
        <w:rPr>
          <w:rStyle w:val="HighlightedText"/>
        </w:rPr>
        <w:t xml:space="preserve">this corporation has a constitutional right to speak on this subject</w:t>
      </w:r>
      <w:r>
        <w:t xml:space="preserve">.</w:t>
      </w:r>
    </w:p>
    <w:p>
      <w:pPr>
        <w:pStyle w:val="CaseBody"/>
      </w:pPr>
      <w:r>
        <w:t xml:space="preserve">E</w:t>
      </w:r>
    </w:p>
    <w:p>
      <w:pPr>
        <w:pStyle w:val="CaseBody"/>
      </w:pPr>
      <w:r>
        <w:rPr>
          <w:rStyle w:val="Elision"/>
        </w:rPr>
        <w:t xml:space="preserve">[ … ]</w:t>
      </w:r>
    </w:p>
    <w:p>
      <w:pPr>
        <w:pStyle w:val="CaseBody"/>
      </w:pPr>
      <w:r>
        <w:rPr>
          <w:rStyle w:val="HighlightedText"/>
        </w:rPr>
        <w:t xml:space="preserve">Citizens United stipulated to dismissing count 5 of its complaint,</w:t>
      </w:r>
      <w:r>
        <w:t xml:space="preserve"> </w:t>
      </w:r>
      <w:r>
        <w:t xml:space="preserve">which raised a facial challenge to § 441b, even though count 3 raised an as-applied challenge.</w:t>
      </w:r>
      <w:r>
        <w:rPr>
          <w:rStyle w:val="Elision"/>
        </w:rPr>
        <w:t xml:space="preserve">[ … ]</w:t>
      </w:r>
    </w:p>
    <w:p>
      <w:pPr>
        <w:pStyle w:val="CaseBody"/>
      </w:pPr>
      <w:r>
        <w:rPr>
          <w:rStyle w:val="Elision"/>
        </w:rPr>
        <w:t xml:space="preserve">[ … ]</w:t>
      </w:r>
    </w:p>
    <w:p>
      <w:pPr>
        <w:pStyle w:val="CaseBody"/>
      </w:pPr>
      <w:r>
        <w:rPr>
          <w:rStyle w:val="Elision"/>
        </w:rPr>
        <w:t xml:space="preserve">[ … ]</w:t>
      </w:r>
      <w:r>
        <w:t xml:space="preserve"> </w:t>
      </w:r>
      <w:r>
        <w:t xml:space="preserve">the distinction between facial and as-applied challenges is not so well defined that it has some automatic effect or that it must always control the pleadings and disposition in every case involving a constitutional challenge. The distinction is both instructive and necessary, for it goes to the breadth of the remedy employed by the Court, not what must be pleaded in a complaint.</w:t>
      </w:r>
      <w:r>
        <w:t xml:space="preserve"> </w:t>
      </w:r>
      <w:r>
        <w:rPr>
          <w:rStyle w:val="Elision"/>
        </w:rPr>
        <w:t xml:space="preserve">[ … ]</w:t>
      </w:r>
      <w:r>
        <w:t xml:space="preserve"> </w:t>
      </w:r>
      <w:r>
        <w:t xml:space="preserve">The parties cannot enter into a stipulation that prevents the Court from considering certain remedies if those remedies are necessary to resolve a claim that has been preserved. Citizens United has preserved its First Amendment challenge to §441b as applied to the facts of its case; and given all the circumstances, we cannot easily address that issue without assuming a premise — the permissibility of restricting corporate political speech — that is itself in doubt.</w:t>
      </w:r>
      <w:r>
        <w:t xml:space="preserve"> </w:t>
      </w:r>
      <w:r>
        <w:rPr>
          <w:rStyle w:val="Elision"/>
        </w:rPr>
        <w:t xml:space="preserve">[ … ]</w:t>
      </w:r>
    </w:p>
    <w:p>
      <w:pPr>
        <w:pStyle w:val="CaseBody"/>
      </w:pPr>
      <w:r>
        <w:rPr>
          <w:rStyle w:val="Elision"/>
        </w:rPr>
        <w:t xml:space="preserve">[ … ]</w:t>
      </w:r>
    </w:p>
    <w:p>
      <w:pPr>
        <w:pStyle w:val="CaseBody"/>
      </w:pPr>
      <w:r>
        <w:rPr>
          <w:rStyle w:val="Elision"/>
        </w:rPr>
        <w:t xml:space="preserve">[ … ]</w:t>
      </w:r>
    </w:p>
    <w:p>
      <w:pPr>
        <w:pStyle w:val="CaseBody"/>
      </w:pPr>
      <w:r>
        <w:rPr>
          <w:rStyle w:val="Elision"/>
        </w:rPr>
        <w:t xml:space="preserve">[ … ]</w:t>
      </w:r>
      <w:r>
        <w:rPr>
          <w:rStyle w:val="Elision"/>
        </w:rPr>
        <w:t xml:space="preserve">[ … ]</w:t>
      </w:r>
      <w:r>
        <w:rPr>
          <w:rStyle w:val="Elision"/>
        </w:rPr>
        <w:t xml:space="preserve">[ … ]</w:t>
      </w:r>
      <w:r>
        <w:rPr>
          <w:rStyle w:val="Elision"/>
        </w:rPr>
        <w:t xml:space="preserve">[ … ]</w:t>
      </w:r>
    </w:p>
    <w:p>
      <w:pPr>
        <w:pStyle w:val="CaseBody"/>
      </w:pPr>
      <w:r>
        <w:rPr>
          <w:rStyle w:val="Elision"/>
        </w:rPr>
        <w:t xml:space="preserve">[ … ]</w:t>
      </w:r>
    </w:p>
    <w:p>
      <w:pPr>
        <w:pStyle w:val="CaseBody"/>
      </w:pPr>
      <w:r>
        <w:t xml:space="preserve">III</w:t>
      </w:r>
    </w:p>
    <w:p>
      <w:pPr>
        <w:pStyle w:val="CaseBody"/>
      </w:pPr>
      <w:r>
        <w:t xml:space="preserve">The First Amendment provides that “Congress shall make no law... abridging the freedom of speech.”</w:t>
      </w:r>
      <w:r>
        <w:t xml:space="preserve"> </w:t>
      </w:r>
      <w:r>
        <w:rPr>
          <w:rStyle w:val="Elision"/>
        </w:rPr>
        <w:t xml:space="preserve">[ … ]</w:t>
      </w:r>
    </w:p>
    <w:p>
      <w:pPr>
        <w:pStyle w:val="CaseBody"/>
      </w:pPr>
      <w:r>
        <w:rPr>
          <w:rStyle w:val="Elision"/>
        </w:rPr>
        <w:t xml:space="preserve">[ … ]</w:t>
      </w:r>
      <w:r>
        <w:rPr>
          <w:rStyle w:val="Elision"/>
        </w:rPr>
        <w:t xml:space="preserve">[ … ]</w:t>
      </w:r>
    </w:p>
    <w:p>
      <w:pPr>
        <w:pStyle w:val="CaseBody"/>
      </w:pPr>
      <w:r>
        <w:t xml:space="preserve">Section 441b is a ban on corporate speech notwithstanding the fact that a PAC created by a corporation can still speak.</w:t>
      </w:r>
      <w:r>
        <w:t xml:space="preserve"> </w:t>
      </w:r>
      <w:r>
        <w:rPr>
          <w:rStyle w:val="Elision"/>
        </w:rPr>
        <w:t xml:space="preserve">[ … ]</w:t>
      </w:r>
      <w:r>
        <w:t xml:space="preserve"> </w:t>
      </w:r>
      <w:r>
        <w:t xml:space="preserve">A PAC is a separate association from the corporation. So the PAC exemption from §441b’s expenditure ban, §441b(b)(2), does not allow corporations to speak. Even if a PAC could somehow allow a corporation to speak — and it does not — the option to form PACs does not alleviate the First Amendment problems with §441b.</w:t>
      </w:r>
      <w:r>
        <w:t xml:space="preserve"> </w:t>
      </w:r>
      <w:r>
        <w:rPr>
          <w:rStyle w:val="HighlightedText"/>
        </w:rPr>
        <w:t xml:space="preserve">PACs are burdensome alternatives; they are expensive to administer and subject to extensive regulations.</w:t>
      </w:r>
      <w:r>
        <w:rPr>
          <w:rStyle w:val="HighlightedText"/>
        </w:rPr>
        <w:t xml:space="preserve"> </w:t>
      </w:r>
      <w:r>
        <w:t xml:space="preserve">For example, every PAC must appoint a treasurer, forward donations to the treasurer promptly, keep detailed records of the identities of the persons making donations, preserve receipts for three years, and file an organization statement and report changes to this information within 10 days.</w:t>
      </w:r>
      <w:r>
        <w:t xml:space="preserve"> </w:t>
      </w:r>
      <w:r>
        <w:rPr>
          <w:rStyle w:val="Elision"/>
        </w:rPr>
        <w:t xml:space="preserve">[ … ]</w:t>
      </w:r>
    </w:p>
    <w:p>
      <w:pPr>
        <w:pStyle w:val="CaseBody"/>
      </w:pPr>
      <w:r>
        <w:t xml:space="preserve">And that is just the beginning: PACs must file detailed monthly reports with the FEC, which are due at different times depending on the type of election that is about to occur:</w:t>
      </w:r>
    </w:p>
    <w:p>
      <w:pPr>
        <w:pStyle w:val="BlockText"/>
      </w:pPr>
      <w:r>
        <w:t xml:space="preserve">“ These reports must contain information regarding the amount of cash on hand; the total amount of receipts, detailed by 10 different categories; the identification of each political committee and candidate’s authorized or affiliated committee making contributions, and any persons making loans, providing rebates, refunds, dividends, or interest or any other offset to operating expenditures in an aggregate amount over $200; the total amount of all disbursements, detailed by 12 different categories; the names of all authorized or affiliated committees to whom expenditures aggregating over $200 have been made; persons to whom loan repayments or refunds have been made; the total sum of all contributions, operating expenses, outstanding debts and obligations, and the settlement terms of the retirement of any debt or obligation.’ ”</w:t>
      </w:r>
      <w:r>
        <w:rPr>
          <w:rStyle w:val="Elision"/>
        </w:rPr>
        <w:t xml:space="preserve">[ … ]</w:t>
      </w:r>
    </w:p>
    <w:p>
      <w:pPr>
        <w:pStyle w:val="CaseBody"/>
      </w:pPr>
      <w:r>
        <w:t xml:space="preserve">PACs have to comply with these regulations just to speak.</w:t>
      </w:r>
      <w:r>
        <w:t xml:space="preserve"> </w:t>
      </w:r>
      <w:r>
        <w:rPr>
          <w:rStyle w:val="HighlightedText"/>
        </w:rPr>
        <w:t xml:space="preserve">This might explain why fewer than 2,000 of the millions of corporations in this country have PACs.</w:t>
      </w:r>
      <w:r>
        <w:rPr>
          <w:rStyle w:val="HighlightedText"/>
        </w:rPr>
        <w:t xml:space="preserve"> </w:t>
      </w:r>
      <w:r>
        <w:rPr>
          <w:rStyle w:val="Elision"/>
        </w:rPr>
        <w:t xml:space="preserve">[ … ]</w:t>
      </w:r>
      <w:r>
        <w:t xml:space="preserve">PACs, furthermore, must exist before they can speak. Given the onerous restrictions, a corporation may not be able to establish a PAC in time to make its views known regarding candidates and issues in a current campaign.</w:t>
      </w:r>
    </w:p>
    <w:p>
      <w:pPr>
        <w:pStyle w:val="CaseBody"/>
      </w:pPr>
      <w:r>
        <w:rPr>
          <w:rStyle w:val="Elision"/>
        </w:rPr>
        <w:t xml:space="preserve">[ … ]</w:t>
      </w:r>
      <w:r>
        <w:t xml:space="preserve">Were the Court to uphold these restrictions, the Government could repress speech by silencing certain voices at any of the various points in the speech process.</w:t>
      </w:r>
      <w:r>
        <w:t xml:space="preserve"> </w:t>
      </w:r>
      <w:r>
        <w:rPr>
          <w:rStyle w:val="Elision"/>
        </w:rPr>
        <w:t xml:space="preserve">[ … ]</w:t>
      </w:r>
      <w:r>
        <w:t xml:space="preserve">If §441b applied to individuals, no one would believe that it is merely a time, place, or manner restriction on speech. Its purpose and effect are to silence entities whose voices the Government deems to be suspect.</w:t>
      </w:r>
    </w:p>
    <w:p>
      <w:pPr>
        <w:pStyle w:val="CaseBody"/>
      </w:pPr>
      <w:r>
        <w:rPr>
          <w:rStyle w:val="Elision"/>
        </w:rPr>
        <w:t xml:space="preserve">[ … ]</w:t>
      </w:r>
    </w:p>
    <w:p>
      <w:pPr>
        <w:pStyle w:val="CaseBody"/>
      </w:pPr>
      <w:r>
        <w:rPr>
          <w:rStyle w:val="Elision"/>
        </w:rPr>
        <w:t xml:space="preserve">[ … ]</w:t>
      </w:r>
    </w:p>
    <w:p>
      <w:pPr>
        <w:pStyle w:val="CaseBody"/>
      </w:pPr>
      <w:r>
        <w:t xml:space="preserve">Premised on mistrust of governmental power, the First Amendment stands against attempts to disfavor certain subjects or viewpoints.</w:t>
      </w:r>
      <w:r>
        <w:t xml:space="preserve"> </w:t>
      </w:r>
      <w:r>
        <w:rPr>
          <w:rStyle w:val="Elision"/>
        </w:rPr>
        <w:t xml:space="preserve">[ … ]</w:t>
      </w:r>
      <w:r>
        <w:t xml:space="preserve">Prohibited, too, are restrictions distinguishing among different speakers, allowing speech by some but not others.</w:t>
      </w:r>
      <w:r>
        <w:t xml:space="preserve"> </w:t>
      </w:r>
      <w:r>
        <w:rPr>
          <w:rStyle w:val="Elision"/>
        </w:rPr>
        <w:t xml:space="preserve">[ … ]</w:t>
      </w:r>
      <w:r>
        <w:t xml:space="preserve"> </w:t>
      </w:r>
      <w:r>
        <w:t xml:space="preserve">As instruments to censor, these categories are interrelated: Speech restrictions based on the identity of the speaker are all too often simply a means to control content.</w:t>
      </w:r>
    </w:p>
    <w:p>
      <w:pPr>
        <w:pStyle w:val="CaseBody"/>
      </w:pPr>
      <w:r>
        <w:t xml:space="preserve">Quite apart from the purpose or effect of regulating content, moreover, the Government may commit a constitutional wrong when by law it identifies certain preferred speakers. By taking the right to speak from some and giving it to others, the Government deprives the disadvantaged person or class of the right to use speech to strive to establish worth, standing, and respect for the speaker’s voice. The Government may not by these means deprive the public of the right and privilege to determine for itself what speech and speakers are worthy of consideration. The First Amendment protects speech and speaker, and the ideas that flow from each.</w:t>
      </w:r>
    </w:p>
    <w:p>
      <w:pPr>
        <w:pStyle w:val="CaseBody"/>
      </w:pPr>
      <w:r>
        <w:t xml:space="preserve">The Court has upheld a narrow class of speech restrictions that operate to the disadvantage of certain persons, but these rulings were based on an interest in allowing governmental entities to perform their functions. See,</w:t>
      </w:r>
      <w:r>
        <w:t xml:space="preserve"> </w:t>
      </w:r>
      <w:r>
        <w:rPr>
          <w:iCs/>
          <w:i/>
        </w:rPr>
        <w:t xml:space="preserve">e. g., Bethel School Dist. No. 403</w:t>
      </w:r>
      <w:r>
        <w:t xml:space="preserve"> </w:t>
      </w:r>
      <w:r>
        <w:t xml:space="preserve">v.</w:t>
      </w:r>
      <w:r>
        <w:t xml:space="preserve"> </w:t>
      </w:r>
      <w:r>
        <w:rPr>
          <w:iCs/>
          <w:i/>
        </w:rPr>
        <w:t xml:space="preserve">Fraser,</w:t>
      </w:r>
      <w:r>
        <w:t xml:space="preserve"> </w:t>
      </w:r>
      <w:r>
        <w:t xml:space="preserve">478 U. S. 675, 683 (1986) (protecting the “function of public school education”);</w:t>
      </w:r>
      <w:r>
        <w:t xml:space="preserve"> </w:t>
      </w:r>
      <w:r>
        <w:rPr>
          <w:iCs/>
          <w:i/>
        </w:rPr>
        <w:t xml:space="preserve">Jones</w:t>
      </w:r>
      <w:r>
        <w:t xml:space="preserve"> </w:t>
      </w:r>
      <w:r>
        <w:t xml:space="preserve">v.</w:t>
      </w:r>
      <w:r>
        <w:t xml:space="preserve"> </w:t>
      </w:r>
      <w:r>
        <w:rPr>
          <w:iCs/>
          <w:i/>
        </w:rPr>
        <w:t xml:space="preserve">North Carolina Prisoners’ Labor Union, Inc.,</w:t>
      </w:r>
      <w:r>
        <w:t xml:space="preserve"> </w:t>
      </w:r>
      <w:r>
        <w:t xml:space="preserve">433 U. S. 119, 129 (1977) (furthering “the legitimate penological objectives of the corrections system” (internal quotation marks omitted));</w:t>
      </w:r>
      <w:r>
        <w:t xml:space="preserve"> </w:t>
      </w:r>
      <w:r>
        <w:rPr>
          <w:iCs/>
          <w:i/>
        </w:rPr>
        <w:t xml:space="preserve">Parker</w:t>
      </w:r>
      <w:r>
        <w:t xml:space="preserve"> </w:t>
      </w:r>
      <w:r>
        <w:t xml:space="preserve">v.</w:t>
      </w:r>
      <w:r>
        <w:t xml:space="preserve"> </w:t>
      </w:r>
      <w:r>
        <w:rPr>
          <w:iCs/>
          <w:i/>
        </w:rPr>
        <w:t xml:space="preserve">Levy,</w:t>
      </w:r>
      <w:r>
        <w:t xml:space="preserve"> </w:t>
      </w:r>
      <w:r>
        <w:t xml:space="preserve">417 U. S. 733, 759 (1974) (ensuring “the capacity of the Government to discharge its [military] responsibilities” (internal quotation marks omitted));</w:t>
      </w:r>
      <w:r>
        <w:t xml:space="preserve"> </w:t>
      </w:r>
      <w:r>
        <w:rPr>
          <w:iCs/>
          <w:i/>
        </w:rPr>
        <w:t xml:space="preserve">Civil Service Comm’n</w:t>
      </w:r>
      <w:r>
        <w:t xml:space="preserve"> </w:t>
      </w:r>
      <w:r>
        <w:t xml:space="preserve">v.</w:t>
      </w:r>
      <w:r>
        <w:t xml:space="preserve"> </w:t>
      </w:r>
      <w:r>
        <w:rPr>
          <w:iCs/>
          <w:i/>
        </w:rPr>
        <w:t xml:space="preserve">Letter Carriers,</w:t>
      </w:r>
      <w:r>
        <w:t xml:space="preserve"> </w:t>
      </w:r>
      <w:r>
        <w:t xml:space="preserve">413 U. S. 548, 557 (1973) (“[F]ederal service should depend upon meritorious performance rather than political service”).</w:t>
      </w:r>
      <w:r>
        <w:t xml:space="preserve"> </w:t>
      </w:r>
      <w:r>
        <w:rPr>
          <w:rStyle w:val="HighlightedText"/>
        </w:rPr>
        <w:t xml:space="preserve">The corporate independent expenditures at issue in this ease, however, would not interfere with governmental functions, so these cases are inapposite.</w:t>
      </w:r>
      <w:r>
        <w:rPr>
          <w:rStyle w:val="HighlightedText"/>
        </w:rPr>
        <w:t xml:space="preserve"> </w:t>
      </w:r>
      <w:r>
        <w:t xml:space="preserve">These precedents stand only for the proposition that there are certain governmental functions that cannot operate without some restrictions on particular kinds of speech. By contrast, it is inherent in the nature of the political process that voters must be free to obtain information from diverse sources in order to determine how to cast their votes. At least before</w:t>
      </w:r>
      <w:r>
        <w:t xml:space="preserve"> </w:t>
      </w:r>
      <w:r>
        <w:rPr>
          <w:iCs/>
          <w:i/>
        </w:rPr>
        <w:t xml:space="preserve">Austin,</w:t>
      </w:r>
      <w:r>
        <w:t xml:space="preserve"> </w:t>
      </w:r>
      <w:r>
        <w:t xml:space="preserve">the Court had not allowed the exclusion of a class of speakers from the general public dialogue.</w:t>
      </w:r>
    </w:p>
    <w:p>
      <w:pPr>
        <w:pStyle w:val="CaseBody"/>
      </w:pPr>
      <w:r>
        <w:rPr>
          <w:rStyle w:val="Elision"/>
        </w:rPr>
        <w:t xml:space="preserve">[ … ]</w:t>
      </w:r>
    </w:p>
    <w:p>
      <w:pPr>
        <w:pStyle w:val="CaseBody"/>
      </w:pPr>
      <w:r>
        <w:t xml:space="preserve">A</w:t>
      </w:r>
    </w:p>
    <w:p>
      <w:pPr>
        <w:pStyle w:val="CaseBody"/>
      </w:pPr>
      <w:r>
        <w:t xml:space="preserve">1</w:t>
      </w:r>
    </w:p>
    <w:p>
      <w:pPr>
        <w:pStyle w:val="CaseBody"/>
      </w:pPr>
      <w:r>
        <w:t xml:space="preserve">The Court has recognized that First Amendment protection extends to corporations.</w:t>
      </w:r>
      <w:r>
        <w:t xml:space="preserve"> </w:t>
      </w:r>
      <w:r>
        <w:rPr>
          <w:iCs/>
          <w:i/>
        </w:rPr>
        <w:t xml:space="preserve">Bellotti, supra,</w:t>
      </w:r>
      <w:r>
        <w:t xml:space="preserve"> </w:t>
      </w:r>
      <w:r>
        <w:t xml:space="preserve">at 778, n. 14 (citing</w:t>
      </w:r>
      <w:r>
        <w:t xml:space="preserve"> </w:t>
      </w:r>
      <w:r>
        <w:rPr>
          <w:iCs/>
          <w:i/>
        </w:rPr>
        <w:t xml:space="preserve">Limnark Associates, Inc.</w:t>
      </w:r>
      <w:r>
        <w:t xml:space="preserve"> </w:t>
      </w:r>
      <w:r>
        <w:t xml:space="preserve">v.</w:t>
      </w:r>
      <w:r>
        <w:t xml:space="preserve"> </w:t>
      </w:r>
      <w:r>
        <w:rPr>
          <w:iCs/>
          <w:i/>
        </w:rPr>
        <w:t xml:space="preserve">Willingboro,</w:t>
      </w:r>
      <w:r>
        <w:t xml:space="preserve"> </w:t>
      </w:r>
      <w:r>
        <w:t xml:space="preserve">431 U. S. 85 (1977) ;</w:t>
      </w:r>
      <w:r>
        <w:t xml:space="preserve"> </w:t>
      </w:r>
      <w:r>
        <w:rPr>
          <w:iCs/>
          <w:i/>
        </w:rPr>
        <w:t xml:space="preserve">Time, Inc.</w:t>
      </w:r>
      <w:r>
        <w:t xml:space="preserve"> </w:t>
      </w:r>
      <w:r>
        <w:t xml:space="preserve">v.</w:t>
      </w:r>
      <w:r>
        <w:t xml:space="preserve"> </w:t>
      </w:r>
      <w:r>
        <w:rPr>
          <w:iCs/>
          <w:i/>
        </w:rPr>
        <w:t xml:space="preserve">Firestone,</w:t>
      </w:r>
      <w:r>
        <w:t xml:space="preserve"> </w:t>
      </w:r>
      <w:r>
        <w:t xml:space="preserve">424 U. S. 448 (1976);</w:t>
      </w:r>
      <w:r>
        <w:t xml:space="preserve"> </w:t>
      </w:r>
      <w:r>
        <w:rPr>
          <w:iCs/>
          <w:i/>
        </w:rPr>
        <w:t xml:space="preserve">Doran</w:t>
      </w:r>
      <w:r>
        <w:t xml:space="preserve"> </w:t>
      </w:r>
      <w:r>
        <w:t xml:space="preserve">v.</w:t>
      </w:r>
      <w:r>
        <w:t xml:space="preserve"> </w:t>
      </w:r>
      <w:r>
        <w:rPr>
          <w:iCs/>
          <w:i/>
        </w:rPr>
        <w:t xml:space="preserve">Salem Inn, Inc.,</w:t>
      </w:r>
      <w:r>
        <w:t xml:space="preserve"> </w:t>
      </w:r>
      <w:r>
        <w:t xml:space="preserve">422 U. S. 922 (1975);</w:t>
      </w:r>
      <w:r>
        <w:t xml:space="preserve"> </w:t>
      </w:r>
      <w:r>
        <w:rPr>
          <w:iCs/>
          <w:i/>
        </w:rPr>
        <w:t xml:space="preserve">Southeastern Promotions, Ltd.</w:t>
      </w:r>
      <w:r>
        <w:t xml:space="preserve"> </w:t>
      </w:r>
      <w:r>
        <w:t xml:space="preserve">v.</w:t>
      </w:r>
      <w:r>
        <w:t xml:space="preserve"> </w:t>
      </w:r>
      <w:r>
        <w:rPr>
          <w:iCs/>
          <w:i/>
        </w:rPr>
        <w:t xml:space="preserve">Conrad,</w:t>
      </w:r>
      <w:r>
        <w:t xml:space="preserve"> </w:t>
      </w:r>
      <w:r>
        <w:t xml:space="preserve">420 U. S. 546 (1975);</w:t>
      </w:r>
      <w:r>
        <w:t xml:space="preserve"> </w:t>
      </w:r>
      <w:r>
        <w:rPr>
          <w:iCs/>
          <w:i/>
        </w:rPr>
        <w:t xml:space="preserve">Cox Broadcasting Corp.</w:t>
      </w:r>
      <w:r>
        <w:t xml:space="preserve"> </w:t>
      </w:r>
      <w:r>
        <w:t xml:space="preserve">v.</w:t>
      </w:r>
      <w:r>
        <w:t xml:space="preserve"> </w:t>
      </w:r>
      <w:r>
        <w:rPr>
          <w:iCs/>
          <w:i/>
        </w:rPr>
        <w:t xml:space="preserve">Cohn,</w:t>
      </w:r>
      <w:r>
        <w:t xml:space="preserve"> </w:t>
      </w:r>
      <w:r>
        <w:t xml:space="preserve">420 U. S. 469 (1975);</w:t>
      </w:r>
      <w:r>
        <w:t xml:space="preserve"> </w:t>
      </w:r>
      <w:r>
        <w:rPr>
          <w:iCs/>
          <w:i/>
        </w:rPr>
        <w:t xml:space="preserve">Miami Herald Publishing Co.</w:t>
      </w:r>
      <w:r>
        <w:t xml:space="preserve"> </w:t>
      </w:r>
      <w:r>
        <w:t xml:space="preserve">v.</w:t>
      </w:r>
      <w:r>
        <w:t xml:space="preserve"> </w:t>
      </w:r>
      <w:r>
        <w:rPr>
          <w:iCs/>
          <w:i/>
        </w:rPr>
        <w:t xml:space="preserve">Tornillo,</w:t>
      </w:r>
      <w:r>
        <w:t xml:space="preserve"> </w:t>
      </w:r>
      <w:r>
        <w:t xml:space="preserve">418 U. S. 241 (1974);</w:t>
      </w:r>
      <w:r>
        <w:t xml:space="preserve"> </w:t>
      </w:r>
      <w:r>
        <w:rPr>
          <w:iCs/>
          <w:i/>
        </w:rPr>
        <w:t xml:space="preserve">New York Times Co.</w:t>
      </w:r>
      <w:r>
        <w:t xml:space="preserve"> </w:t>
      </w:r>
      <w:r>
        <w:t xml:space="preserve">v.</w:t>
      </w:r>
      <w:r>
        <w:t xml:space="preserve"> </w:t>
      </w:r>
      <w:r>
        <w:rPr>
          <w:iCs/>
          <w:i/>
        </w:rPr>
        <w:t xml:space="preserve">United States,</w:t>
      </w:r>
      <w:r>
        <w:t xml:space="preserve"> </w:t>
      </w:r>
      <w:r>
        <w:t xml:space="preserve">403 U. S. 713 (1971)</w:t>
      </w:r>
      <w:r>
        <w:t xml:space="preserve"> </w:t>
      </w:r>
      <w:r>
        <w:rPr>
          <w:iCs/>
          <w:i/>
        </w:rPr>
        <w:t xml:space="preserve">(per curiam); Time, Inc.</w:t>
      </w:r>
      <w:r>
        <w:t xml:space="preserve"> </w:t>
      </w:r>
      <w:r>
        <w:t xml:space="preserve">v.</w:t>
      </w:r>
      <w:r>
        <w:t xml:space="preserve"> </w:t>
      </w:r>
      <w:r>
        <w:rPr>
          <w:iCs/>
          <w:i/>
        </w:rPr>
        <w:t xml:space="preserve">Hill,</w:t>
      </w:r>
      <w:r>
        <w:t xml:space="preserve"> </w:t>
      </w:r>
      <w:r>
        <w:t xml:space="preserve">385 U. S. 374 (1967);</w:t>
      </w:r>
      <w:r>
        <w:t xml:space="preserve"> </w:t>
      </w:r>
      <w:r>
        <w:rPr>
          <w:iCs/>
          <w:i/>
        </w:rPr>
        <w:t xml:space="preserve">New York Times Co.</w:t>
      </w:r>
      <w:r>
        <w:t xml:space="preserve"> </w:t>
      </w:r>
      <w:r>
        <w:t xml:space="preserve">v.</w:t>
      </w:r>
      <w:r>
        <w:t xml:space="preserve"> </w:t>
      </w:r>
      <w:r>
        <w:rPr>
          <w:iCs/>
          <w:i/>
        </w:rPr>
        <w:t xml:space="preserve">Sullivan,</w:t>
      </w:r>
      <w:r>
        <w:t xml:space="preserve"> </w:t>
      </w:r>
      <w:r>
        <w:t xml:space="preserve">376 U. S. 254;</w:t>
      </w:r>
      <w:r>
        <w:t xml:space="preserve"> </w:t>
      </w:r>
      <w:r>
        <w:rPr>
          <w:iCs/>
          <w:i/>
        </w:rPr>
        <w:t xml:space="preserve">Kingsley Int’l Pictures Corp.</w:t>
      </w:r>
      <w:r>
        <w:t xml:space="preserve"> </w:t>
      </w:r>
      <w:r>
        <w:t xml:space="preserve">v.</w:t>
      </w:r>
      <w:r>
        <w:t xml:space="preserve"> </w:t>
      </w:r>
      <w:r>
        <w:rPr>
          <w:iCs/>
          <w:i/>
        </w:rPr>
        <w:t xml:space="preserve">Regents of Univ. of N. Y.,</w:t>
      </w:r>
      <w:r>
        <w:t xml:space="preserve"> </w:t>
      </w:r>
      <w:r>
        <w:t xml:space="preserve">360 U. S. 684 (1959);</w:t>
      </w:r>
      <w:r>
        <w:t xml:space="preserve"> </w:t>
      </w:r>
      <w:r>
        <w:rPr>
          <w:iCs/>
          <w:i/>
        </w:rPr>
        <w:t xml:space="preserve">Joseph Burstyn, Inc.</w:t>
      </w:r>
      <w:r>
        <w:t xml:space="preserve"> </w:t>
      </w:r>
      <w:r>
        <w:t xml:space="preserve">v.</w:t>
      </w:r>
      <w:r>
        <w:t xml:space="preserve"> </w:t>
      </w:r>
      <w:r>
        <w:rPr>
          <w:iCs/>
          <w:i/>
        </w:rPr>
        <w:t xml:space="preserve">Wilson,</w:t>
      </w:r>
      <w:r>
        <w:t xml:space="preserve"> </w:t>
      </w:r>
      <w:r>
        <w:t xml:space="preserve">343 U. S. 495 (1952)); see,</w:t>
      </w:r>
      <w:r>
        <w:t xml:space="preserve"> </w:t>
      </w:r>
      <w:r>
        <w:rPr>
          <w:iCs/>
          <w:i/>
        </w:rPr>
        <w:t xml:space="preserve">e. g., Turner Broadcasting System, Inc.</w:t>
      </w:r>
      <w:r>
        <w:t xml:space="preserve"> </w:t>
      </w:r>
      <w:r>
        <w:t xml:space="preserve">v.</w:t>
      </w:r>
      <w:r>
        <w:t xml:space="preserve"> </w:t>
      </w:r>
      <w:r>
        <w:rPr>
          <w:iCs/>
          <w:i/>
        </w:rPr>
        <w:t xml:space="preserve">FCC,</w:t>
      </w:r>
      <w:r>
        <w:t xml:space="preserve"> </w:t>
      </w:r>
      <w:r>
        <w:t xml:space="preserve">520 U. S. 180 (1997);</w:t>
      </w:r>
      <w:r>
        <w:t xml:space="preserve"> </w:t>
      </w:r>
      <w:r>
        <w:rPr>
          <w:iCs/>
          <w:i/>
        </w:rPr>
        <w:t xml:space="preserve">Denver Area Ed. Telecommunications Consortium, Inc.</w:t>
      </w:r>
      <w:r>
        <w:t xml:space="preserve"> </w:t>
      </w:r>
      <w:r>
        <w:t xml:space="preserve">v.</w:t>
      </w:r>
      <w:r>
        <w:t xml:space="preserve"> </w:t>
      </w:r>
      <w:r>
        <w:rPr>
          <w:iCs/>
          <w:i/>
        </w:rPr>
        <w:t xml:space="preserve">FCC,</w:t>
      </w:r>
      <w:r>
        <w:t xml:space="preserve"> </w:t>
      </w:r>
      <w:r>
        <w:t xml:space="preserve">518 U. S. 727 (1996);</w:t>
      </w:r>
      <w:r>
        <w:t xml:space="preserve"> </w:t>
      </w:r>
      <w:r>
        <w:rPr>
          <w:iCs/>
          <w:i/>
        </w:rPr>
        <w:t xml:space="preserve">Turner,</w:t>
      </w:r>
      <w:r>
        <w:t xml:space="preserve"> </w:t>
      </w:r>
      <w:r>
        <w:t xml:space="preserve">512 U. S. 622;</w:t>
      </w:r>
      <w:r>
        <w:t xml:space="preserve"> </w:t>
      </w:r>
      <w:r>
        <w:rPr>
          <w:iCs/>
          <w:i/>
        </w:rPr>
        <w:t xml:space="preserve">Simon &amp; Schuster,</w:t>
      </w:r>
      <w:r>
        <w:t xml:space="preserve"> </w:t>
      </w:r>
      <w:r>
        <w:t xml:space="preserve">502 U. S. 105;</w:t>
      </w:r>
      <w:r>
        <w:t xml:space="preserve"> </w:t>
      </w:r>
      <w:r>
        <w:rPr>
          <w:iCs/>
          <w:i/>
        </w:rPr>
        <w:t xml:space="preserve">Sable Communications of Cal., Inc.</w:t>
      </w:r>
      <w:r>
        <w:t xml:space="preserve"> </w:t>
      </w:r>
      <w:r>
        <w:t xml:space="preserve">v.</w:t>
      </w:r>
      <w:r>
        <w:t xml:space="preserve"> </w:t>
      </w:r>
      <w:r>
        <w:rPr>
          <w:iCs/>
          <w:i/>
        </w:rPr>
        <w:t xml:space="preserve">FCC,</w:t>
      </w:r>
      <w:r>
        <w:t xml:space="preserve"> </w:t>
      </w:r>
      <w:r>
        <w:t xml:space="preserve">492 U. S. 115 (1989);</w:t>
      </w:r>
      <w:r>
        <w:t xml:space="preserve"> </w:t>
      </w:r>
      <w:r>
        <w:rPr>
          <w:iCs/>
          <w:i/>
        </w:rPr>
        <w:t xml:space="preserve">Florida Star</w:t>
      </w:r>
      <w:r>
        <w:t xml:space="preserve"> </w:t>
      </w:r>
      <w:r>
        <w:t xml:space="preserve">v.</w:t>
      </w:r>
      <w:r>
        <w:t xml:space="preserve"> </w:t>
      </w:r>
      <w:r>
        <w:rPr>
          <w:iCs/>
          <w:i/>
        </w:rPr>
        <w:t xml:space="preserve">B. J. F.,</w:t>
      </w:r>
      <w:r>
        <w:t xml:space="preserve"> </w:t>
      </w:r>
      <w:r>
        <w:t xml:space="preserve">491 U. S. 524 (1989);</w:t>
      </w:r>
      <w:r>
        <w:t xml:space="preserve"> </w:t>
      </w:r>
      <w:r>
        <w:rPr>
          <w:iCs/>
          <w:i/>
        </w:rPr>
        <w:t xml:space="preserve">Philadelphia Newspapers, Inc.</w:t>
      </w:r>
      <w:r>
        <w:t xml:space="preserve"> </w:t>
      </w:r>
      <w:r>
        <w:t xml:space="preserve">v.</w:t>
      </w:r>
      <w:r>
        <w:t xml:space="preserve"> </w:t>
      </w:r>
      <w:r>
        <w:rPr>
          <w:iCs/>
          <w:i/>
        </w:rPr>
        <w:t xml:space="preserve">Hepps,</w:t>
      </w:r>
      <w:r>
        <w:t xml:space="preserve"> </w:t>
      </w:r>
      <w:r>
        <w:t xml:space="preserve">475 U. S. 767 (1986);</w:t>
      </w:r>
      <w:r>
        <w:t xml:space="preserve"> </w:t>
      </w:r>
      <w:r>
        <w:rPr>
          <w:iCs/>
          <w:i/>
        </w:rPr>
        <w:t xml:space="preserve">Landmark Communications, Inc.</w:t>
      </w:r>
      <w:r>
        <w:t xml:space="preserve"> </w:t>
      </w:r>
      <w:r>
        <w:t xml:space="preserve">v.</w:t>
      </w:r>
      <w:r>
        <w:t xml:space="preserve"> </w:t>
      </w:r>
      <w:r>
        <w:rPr>
          <w:iCs/>
          <w:i/>
        </w:rPr>
        <w:t xml:space="preserve">Virginia,</w:t>
      </w:r>
      <w:r>
        <w:t xml:space="preserve"> </w:t>
      </w:r>
      <w:r>
        <w:t xml:space="preserve">435 U. S. 829 (1978) ;</w:t>
      </w:r>
      <w:r>
        <w:t xml:space="preserve"> </w:t>
      </w:r>
      <w:r>
        <w:rPr>
          <w:iCs/>
          <w:i/>
        </w:rPr>
        <w:t xml:space="preserve">Young</w:t>
      </w:r>
      <w:r>
        <w:t xml:space="preserve"> </w:t>
      </w:r>
      <w:r>
        <w:t xml:space="preserve">v.</w:t>
      </w:r>
      <w:r>
        <w:t xml:space="preserve"> </w:t>
      </w:r>
      <w:r>
        <w:rPr>
          <w:iCs/>
          <w:i/>
        </w:rPr>
        <w:t xml:space="preserve">American Mini Theatres, Inc.,</w:t>
      </w:r>
      <w:r>
        <w:t xml:space="preserve"> </w:t>
      </w:r>
      <w:r>
        <w:t xml:space="preserve">427 U. S. 50 (1976);</w:t>
      </w:r>
      <w:r>
        <w:t xml:space="preserve"> </w:t>
      </w:r>
      <w:r>
        <w:rPr>
          <w:iCs/>
          <w:i/>
        </w:rPr>
        <w:t xml:space="preserve">Gertz</w:t>
      </w:r>
      <w:r>
        <w:t xml:space="preserve"> </w:t>
      </w:r>
      <w:r>
        <w:t xml:space="preserve">v.</w:t>
      </w:r>
      <w:r>
        <w:t xml:space="preserve"> </w:t>
      </w:r>
      <w:r>
        <w:rPr>
          <w:iCs/>
          <w:i/>
        </w:rPr>
        <w:t xml:space="preserve">Robert Welch, Inc.,</w:t>
      </w:r>
      <w:r>
        <w:t xml:space="preserve"> </w:t>
      </w:r>
      <w:r>
        <w:t xml:space="preserve">418 U. S. 323 (1974);</w:t>
      </w:r>
      <w:r>
        <w:t xml:space="preserve"> </w:t>
      </w:r>
      <w:r>
        <w:rPr>
          <w:iCs/>
          <w:i/>
        </w:rPr>
        <w:t xml:space="preserve">Greenbelt Cooperative Publishing Assn., Inc.</w:t>
      </w:r>
      <w:r>
        <w:t xml:space="preserve"> </w:t>
      </w:r>
      <w:r>
        <w:t xml:space="preserve">v.</w:t>
      </w:r>
      <w:r>
        <w:t xml:space="preserve"> </w:t>
      </w:r>
      <w:r>
        <w:rPr>
          <w:iCs/>
          <w:i/>
        </w:rPr>
        <w:t xml:space="preserve">Bresler,</w:t>
      </w:r>
      <w:r>
        <w:t xml:space="preserve"> </w:t>
      </w:r>
      <w:r>
        <w:t xml:space="preserve">398 U. S. 6 (1970).</w:t>
      </w:r>
    </w:p>
    <w:p>
      <w:pPr>
        <w:pStyle w:val="CaseBody"/>
      </w:pPr>
      <w:r>
        <w:rPr>
          <w:rStyle w:val="Elision"/>
        </w:rPr>
        <w:t xml:space="preserve">[ … ]</w:t>
      </w:r>
      <w:r>
        <w:t xml:space="preserve">Under the rationale of these precedents, political speech does not lose First Amendment protection “simply because its source is a corporation.”</w:t>
      </w:r>
      <w:r>
        <w:t xml:space="preserve"> </w:t>
      </w:r>
      <w:r>
        <w:rPr>
          <w:rStyle w:val="Elision"/>
        </w:rPr>
        <w:t xml:space="preserve">[ … ]</w:t>
      </w:r>
      <w:r>
        <w:t xml:space="preserve">The Court has thus rejected the argument that political speech of corporations or other associations should be treated differently under the First Amendment simply because such associations are not “natural persons.”</w:t>
      </w:r>
      <w:r>
        <w:t xml:space="preserve"> </w:t>
      </w:r>
      <w:r>
        <w:rPr>
          <w:rStyle w:val="Elision"/>
        </w:rPr>
        <w:t xml:space="preserve">[ … ]</w:t>
      </w:r>
    </w:p>
    <w:p>
      <w:pPr>
        <w:pStyle w:val="CaseBody"/>
      </w:pPr>
      <w:r>
        <w:t xml:space="preserve">At least since the latter part of the 19th century, the laws of some States and of the United States imposed a ban on corporate direct contributions to candidates.</w:t>
      </w:r>
      <w:r>
        <w:t xml:space="preserve"> </w:t>
      </w:r>
      <w:r>
        <w:rPr>
          <w:rStyle w:val="Elision"/>
        </w:rPr>
        <w:t xml:space="preserve">[ … ]</w:t>
      </w:r>
      <w:r>
        <w:t xml:space="preserve"> </w:t>
      </w:r>
      <w:r>
        <w:t xml:space="preserve">Yet not until 1947 did Congress first prohibit independent expenditures by corporations and labor unions in §304 of the Labor Management Relations Act, 1947,</w:t>
      </w:r>
      <w:r>
        <w:t xml:space="preserve"> </w:t>
      </w:r>
      <w:r>
        <w:rPr>
          <w:rStyle w:val="Elision"/>
        </w:rPr>
        <w:t xml:space="preserve">[ … ]</w:t>
      </w:r>
      <w:r>
        <w:t xml:space="preserve"> </w:t>
      </w:r>
      <w:r>
        <w:t xml:space="preserve">In passing this Act Congress overrode the veto of President Truman, who warned that the expenditure ban was a “dangerous intrusion on free speech.”</w:t>
      </w:r>
      <w:r>
        <w:t xml:space="preserve"> </w:t>
      </w:r>
      <w:r>
        <w:rPr>
          <w:rStyle w:val="Elision"/>
        </w:rPr>
        <w:t xml:space="preserve">[ … ]</w:t>
      </w:r>
    </w:p>
    <w:p>
      <w:pPr>
        <w:pStyle w:val="CaseBody"/>
      </w:pPr>
      <w:r>
        <w:rPr>
          <w:rStyle w:val="Elision"/>
        </w:rPr>
        <w:t xml:space="preserve">[ … ]</w:t>
      </w:r>
    </w:p>
    <w:p>
      <w:pPr>
        <w:pStyle w:val="CaseBody"/>
      </w:pPr>
      <w:r>
        <w:t xml:space="preserve">In</w:t>
      </w:r>
      <w:r>
        <w:t xml:space="preserve"> </w:t>
      </w:r>
      <w:r>
        <w:rPr>
          <w:iCs/>
          <w:i/>
        </w:rPr>
        <w:t xml:space="preserve">Buckley,</w:t>
      </w:r>
      <w:r>
        <w:t xml:space="preserve"> </w:t>
      </w:r>
      <w:r>
        <w:t xml:space="preserve">424 U. S. 1, the Court addressed various challenges to the Federal Election Campaign Act of 1971 (FECA) as amended in 1974. These amendments created 18 U. S. C. § 608(e) (1970 ed., Supp. V), see 88 Stat. 1265, an independent expenditure ban separate from §610 that applied to individuals as well as corporations and labor unions,</w:t>
      </w:r>
      <w:r>
        <w:t xml:space="preserve"> </w:t>
      </w:r>
      <w:r>
        <w:rPr>
          <w:iCs/>
          <w:i/>
        </w:rPr>
        <w:t xml:space="preserve">Buckley,</w:t>
      </w:r>
      <w:r>
        <w:t xml:space="preserve"> </w:t>
      </w:r>
      <w:r>
        <w:t xml:space="preserve">424 U. S., at 23, 39, and n. 45.</w:t>
      </w:r>
    </w:p>
    <w:p>
      <w:pPr>
        <w:pStyle w:val="CaseBody"/>
      </w:pPr>
      <w:r>
        <w:t xml:space="preserve">Before addressing the constitutionality of §608(e)’s independent expenditure ban,</w:t>
      </w:r>
      <w:r>
        <w:t xml:space="preserve"> </w:t>
      </w:r>
      <w:r>
        <w:rPr>
          <w:iCs/>
          <w:i/>
        </w:rPr>
        <w:t xml:space="preserve">Buckley</w:t>
      </w:r>
      <w:r>
        <w:t xml:space="preserve"> </w:t>
      </w:r>
      <w:r>
        <w:t xml:space="preserve">first upheld § 608(b), FECA’s limits on direct contributions to candidates.</w:t>
      </w:r>
      <w:r>
        <w:t xml:space="preserve"> </w:t>
      </w:r>
      <w:r>
        <w:rPr>
          <w:rStyle w:val="HighlightedText"/>
        </w:rPr>
        <w:t xml:space="preserve">The</w:t>
      </w:r>
      <w:r>
        <w:rPr>
          <w:rStyle w:val="HighlightedText"/>
        </w:rPr>
        <w:t xml:space="preserve"> </w:t>
      </w:r>
      <w:r>
        <w:rPr>
          <w:rStyle w:val="HighlightedText"/>
          <w:iCs/>
          <w:i/>
        </w:rPr>
        <w:t xml:space="preserve">Buckley</w:t>
      </w:r>
      <w:r>
        <w:rPr>
          <w:rStyle w:val="HighlightedText"/>
          <w:iCs/>
          <w:i/>
        </w:rPr>
        <w:t xml:space="preserve"> </w:t>
      </w:r>
      <w:r>
        <w:rPr>
          <w:rStyle w:val="HighlightedText"/>
        </w:rPr>
        <w:t xml:space="preserve">Court recognized a “sufficiently important” governmental interest in “the prevention of corruption and the appearance of corruption.”</w:t>
      </w:r>
      <w:r>
        <w:t xml:space="preserve"> </w:t>
      </w:r>
      <w:r>
        <w:rPr>
          <w:rStyle w:val="Elision"/>
        </w:rPr>
        <w:t xml:space="preserve">[ … ]</w:t>
      </w:r>
      <w:r>
        <w:t xml:space="preserve">This followed from the Court’s concern that large contributions could be given “to secure a political</w:t>
      </w:r>
      <w:r>
        <w:t xml:space="preserve"> </w:t>
      </w:r>
      <w:r>
        <w:rPr>
          <w:iCs/>
          <w:i/>
        </w:rPr>
        <w:t xml:space="preserve">quid pro quo.”</w:t>
      </w:r>
      <w:r>
        <w:t xml:space="preserve"> </w:t>
      </w:r>
      <w:r>
        <w:rPr>
          <w:rStyle w:val="Elision"/>
        </w:rPr>
        <w:t xml:space="preserve">[ … ]</w:t>
      </w:r>
    </w:p>
    <w:p>
      <w:pPr>
        <w:pStyle w:val="CaseBody"/>
      </w:pPr>
      <w:r>
        <w:rPr>
          <w:rStyle w:val="HighlightedText"/>
        </w:rPr>
        <w:t xml:space="preserve">The</w:t>
      </w:r>
      <w:r>
        <w:rPr>
          <w:rStyle w:val="HighlightedText"/>
        </w:rPr>
        <w:t xml:space="preserve"> </w:t>
      </w:r>
      <w:r>
        <w:rPr>
          <w:rStyle w:val="HighlightedText"/>
          <w:iCs/>
          <w:i/>
        </w:rPr>
        <w:t xml:space="preserve">Buckley</w:t>
      </w:r>
      <w:r>
        <w:rPr>
          <w:rStyle w:val="HighlightedText"/>
          <w:iCs/>
          <w:i/>
        </w:rPr>
        <w:t xml:space="preserve"> </w:t>
      </w:r>
      <w:r>
        <w:rPr>
          <w:rStyle w:val="HighlightedText"/>
        </w:rPr>
        <w:t xml:space="preserve">Court explained that the potential for</w:t>
      </w:r>
      <w:r>
        <w:rPr>
          <w:rStyle w:val="HighlightedText"/>
        </w:rPr>
        <w:t xml:space="preserve"> </w:t>
      </w:r>
      <w:r>
        <w:rPr>
          <w:rStyle w:val="HighlightedText"/>
          <w:iCs/>
          <w:i/>
        </w:rPr>
        <w:t xml:space="preserve">quid pro quo</w:t>
      </w:r>
      <w:r>
        <w:rPr>
          <w:rStyle w:val="HighlightedText"/>
          <w:iCs/>
          <w:i/>
        </w:rPr>
        <w:t xml:space="preserve"> </w:t>
      </w:r>
      <w:r>
        <w:rPr>
          <w:rStyle w:val="HighlightedText"/>
        </w:rPr>
        <w:t xml:space="preserve">corruption distinguished direct contributions to candidates from independent expenditures.</w:t>
      </w:r>
      <w:r>
        <w:rPr>
          <w:rStyle w:val="HighlightedText"/>
        </w:rPr>
        <w:t xml:space="preserve"> </w:t>
      </w:r>
      <w:r>
        <w:t xml:space="preserve">The Court emphasized that “the independent expenditure ceiling . . . fails to serve any substantial governmental interest in stemming the reality or appearance of corruption in the electoral process,”</w:t>
      </w:r>
      <w:r>
        <w:t xml:space="preserve"> </w:t>
      </w:r>
      <w:r>
        <w:rPr>
          <w:iCs/>
          <w:i/>
        </w:rPr>
        <w:t xml:space="preserve">id.,</w:t>
      </w:r>
      <w:r>
        <w:t xml:space="preserve"> </w:t>
      </w:r>
      <w:r>
        <w:t xml:space="preserve">at 47-48, because</w:t>
      </w:r>
      <w:r>
        <w:t xml:space="preserve"> </w:t>
      </w:r>
      <w:r>
        <w:rPr>
          <w:rStyle w:val="HighlightedText"/>
        </w:rPr>
        <w:t xml:space="preserve">“[t]he absence of prearrangement and coordination ... alleviates the danger that expenditures will be given as a</w:t>
      </w:r>
      <w:r>
        <w:rPr>
          <w:rStyle w:val="HighlightedText"/>
        </w:rPr>
        <w:t xml:space="preserve"> </w:t>
      </w:r>
      <w:r>
        <w:rPr>
          <w:rStyle w:val="HighlightedText"/>
          <w:iCs/>
          <w:i/>
        </w:rPr>
        <w:t xml:space="preserve">quid pro quo</w:t>
      </w:r>
      <w:r>
        <w:rPr>
          <w:rStyle w:val="HighlightedText"/>
          <w:iCs/>
          <w:i/>
        </w:rPr>
        <w:t xml:space="preserve"> </w:t>
      </w:r>
      <w:r>
        <w:rPr>
          <w:rStyle w:val="HighlightedText"/>
        </w:rPr>
        <w:t xml:space="preserve">for improper commitments from the candidate,”</w:t>
      </w:r>
      <w:r>
        <w:t xml:space="preserve"> </w:t>
      </w:r>
      <w:r>
        <w:rPr>
          <w:iCs/>
          <w:i/>
        </w:rPr>
        <w:t xml:space="preserve">id.,</w:t>
      </w:r>
      <w:r>
        <w:t xml:space="preserve"> </w:t>
      </w:r>
      <w:r>
        <w:t xml:space="preserve">at 47.</w:t>
      </w:r>
      <w:r>
        <w:t xml:space="preserve"> </w:t>
      </w:r>
      <w:r>
        <w:rPr>
          <w:iCs/>
          <w:i/>
        </w:rPr>
        <w:t xml:space="preserve">Buckley</w:t>
      </w:r>
      <w:r>
        <w:t xml:space="preserve"> </w:t>
      </w:r>
      <w:r>
        <w:t xml:space="preserve">invalidated § 608(e)’s restrictions on independent expenditures, with only one Justice dissenting.</w:t>
      </w:r>
      <w:r>
        <w:t xml:space="preserve"> </w:t>
      </w:r>
      <w:r>
        <w:rPr>
          <w:rStyle w:val="Elision"/>
        </w:rPr>
        <w:t xml:space="preserve">[ … ]</w:t>
      </w:r>
    </w:p>
    <w:p>
      <w:pPr>
        <w:pStyle w:val="CaseBody"/>
      </w:pPr>
      <w:r>
        <w:rPr>
          <w:rStyle w:val="Elision"/>
        </w:rPr>
        <w:t xml:space="preserve">[ … ]</w:t>
      </w:r>
    </w:p>
    <w:p>
      <w:pPr>
        <w:pStyle w:val="CaseBody"/>
      </w:pPr>
      <w:r>
        <w:t xml:space="preserve">Notwithstanding this precedent, Congress recodified § 61Q’s corporate and union expenditure ban at 2 U. S. C. § 441b four months after</w:t>
      </w:r>
      <w:r>
        <w:t xml:space="preserve"> </w:t>
      </w:r>
      <w:r>
        <w:rPr>
          <w:iCs/>
          <w:i/>
        </w:rPr>
        <w:t xml:space="preserve">Buckley</w:t>
      </w:r>
      <w:r>
        <w:t xml:space="preserve"> </w:t>
      </w:r>
      <w:r>
        <w:t xml:space="preserve">was decided.</w:t>
      </w:r>
      <w:r>
        <w:rPr>
          <w:rStyle w:val="Elision"/>
        </w:rPr>
        <w:t xml:space="preserve">[ … ]</w:t>
      </w:r>
      <w:r>
        <w:t xml:space="preserve"> </w:t>
      </w:r>
      <w:r>
        <w:t xml:space="preserve">Section 441b is the independent expenditure restriction challenged here.</w:t>
      </w:r>
    </w:p>
    <w:p>
      <w:pPr>
        <w:pStyle w:val="CaseBody"/>
      </w:pPr>
      <w:r>
        <w:t xml:space="preserve">Less than two years after</w:t>
      </w:r>
      <w:r>
        <w:t xml:space="preserve"> </w:t>
      </w:r>
      <w:r>
        <w:rPr>
          <w:iCs/>
          <w:i/>
        </w:rPr>
        <w:t xml:space="preserve">Buckley, Bellotti,</w:t>
      </w:r>
      <w:r>
        <w:t xml:space="preserve"> </w:t>
      </w:r>
      <w:r>
        <w:t xml:space="preserve">435 U. S. 765, reaffirmed the First Amendment principle that the Government cannot restrict political speech based on the speaker’s corporate identity.</w:t>
      </w:r>
      <w:r>
        <w:t xml:space="preserve"> </w:t>
      </w:r>
      <w:r>
        <w:rPr>
          <w:rStyle w:val="HighlightedText"/>
          <w:iCs/>
          <w:i/>
        </w:rPr>
        <w:t xml:space="preserve">Bellotti</w:t>
      </w:r>
      <w:r>
        <w:rPr>
          <w:rStyle w:val="HighlightedText"/>
          <w:iCs/>
          <w:i/>
        </w:rPr>
        <w:t xml:space="preserve"> </w:t>
      </w:r>
      <w:r>
        <w:rPr>
          <w:rStyle w:val="HighlightedText"/>
        </w:rPr>
        <w:t xml:space="preserve">could not have been clearer when it struck down a state-law prohibition on corporate independent expenditures related to referenda issues:</w:t>
      </w:r>
    </w:p>
    <w:p>
      <w:pPr>
        <w:pStyle w:val="BlockText"/>
      </w:pPr>
      <w:r>
        <w:t xml:space="preserve">“We thus find no support in the First... Amendment, or in the decisions of this Court, for the proposition that speech that otherwise would be within the protection of the First Amendment loses that protection simply because its source is a corporation that cannot prove, to the satisfaction of a court, a material effect on its business or property. . . . [That proposition] amounts to an impermissible legislative prohibition of speech based on the identity of the interests that spokesmen may represent in public debate over controversial issues and a requirement that the speaker have a sufficiently great interest in the subject to justify communication.</w:t>
      </w:r>
    </w:p>
    <w:p>
      <w:pPr>
        <w:pStyle w:val="BlockText"/>
      </w:pPr>
      <w:r>
        <w:t xml:space="preserve">“In the realm of protected speech, the legislature is constitutionally disqualified from dictating the subjects about which persons may speak and the speakers who may address a public issue.”</w:t>
      </w:r>
      <w:r>
        <w:t xml:space="preserve"> </w:t>
      </w:r>
      <w:r>
        <w:rPr>
          <w:rStyle w:val="Elision"/>
        </w:rPr>
        <w:t xml:space="preserve">[ … ]</w:t>
      </w:r>
    </w:p>
    <w:p>
      <w:pPr>
        <w:pStyle w:val="CaseBody"/>
      </w:pPr>
      <w:r>
        <w:rPr>
          <w:rStyle w:val="Elision"/>
        </w:rPr>
        <w:t xml:space="preserve">[ … ]</w:t>
      </w:r>
    </w:p>
    <w:p>
      <w:pPr>
        <w:pStyle w:val="CaseBody"/>
      </w:pPr>
      <w:r>
        <w:rPr>
          <w:iCs/>
          <w:i/>
        </w:rPr>
        <w:t xml:space="preserve">Bellotti</w:t>
      </w:r>
      <w:r>
        <w:t xml:space="preserve"> </w:t>
      </w:r>
      <w:r>
        <w:t xml:space="preserve">did not address the constitutionality of the State’s ban on corporate independent expenditures to support candidates.</w:t>
      </w:r>
      <w:r>
        <w:t xml:space="preserve"> </w:t>
      </w:r>
      <w:r>
        <w:rPr>
          <w:rStyle w:val="Elision"/>
        </w:rPr>
        <w:t xml:space="preserve">[ … ]</w:t>
      </w:r>
    </w:p>
    <w:p>
      <w:pPr>
        <w:pStyle w:val="CaseBody"/>
      </w:pPr>
      <w:r>
        <w:t xml:space="preserve">3</w:t>
      </w:r>
    </w:p>
    <w:p>
      <w:pPr>
        <w:pStyle w:val="CaseBody"/>
      </w:pPr>
      <w:r>
        <w:rPr>
          <w:rStyle w:val="Elision"/>
        </w:rPr>
        <w:t xml:space="preserve">[ … ]</w:t>
      </w:r>
      <w:r>
        <w:t xml:space="preserve"> </w:t>
      </w:r>
      <w:r>
        <w:rPr>
          <w:rStyle w:val="HighlightedText"/>
          <w:iCs/>
          <w:i/>
        </w:rPr>
        <w:t xml:space="preserve">Austin</w:t>
      </w:r>
      <w:r>
        <w:rPr>
          <w:rStyle w:val="HighlightedText"/>
          <w:iCs/>
          <w:i/>
        </w:rPr>
        <w:t xml:space="preserve"> </w:t>
      </w:r>
      <w:r>
        <w:rPr>
          <w:rStyle w:val="HighlightedText"/>
        </w:rPr>
        <w:t xml:space="preserve">“uph[eld] a direct restriction on the independent expenditure of funds</w:t>
      </w:r>
      <w:r>
        <w:rPr>
          <w:rStyle w:val="HighlightedText"/>
        </w:rPr>
        <w:t xml:space="preserve"> </w:t>
      </w:r>
      <w:r>
        <w:t xml:space="preserve">for political speech</w:t>
      </w:r>
      <w:r>
        <w:t xml:space="preserve"> </w:t>
      </w:r>
      <w:r>
        <w:rPr>
          <w:rStyle w:val="Elision"/>
        </w:rPr>
        <w:t xml:space="preserve">[ … ]</w:t>
      </w:r>
      <w:r>
        <w:t xml:space="preserve"> </w:t>
      </w:r>
      <w:r>
        <w:t xml:space="preserve">There, the Michigan Chamber of Commerce sought to use general treasury funds</w:t>
      </w:r>
      <w:r>
        <w:rPr>
          <w:rStyle w:val="HighlightedText"/>
        </w:rPr>
        <w:t xml:space="preserve"> </w:t>
      </w:r>
      <w:r>
        <w:rPr>
          <w:rStyle w:val="HighlightedText"/>
        </w:rPr>
        <w:t xml:space="preserve">to run a newspaper ad supporting a specific candidate</w:t>
      </w:r>
      <w:r>
        <w:t xml:space="preserve">. Michigan law, however, prohibited corporate independent expenditures that supported or opposed any candidate for state office. A violation of the law was punishable as a felony. The Court sustained the speech prohibition.</w:t>
      </w:r>
    </w:p>
    <w:p>
      <w:pPr>
        <w:pStyle w:val="CaseBody"/>
      </w:pPr>
      <w:r>
        <w:rPr>
          <w:rStyle w:val="Elision"/>
        </w:rPr>
        <w:t xml:space="preserve">[ … ]</w:t>
      </w:r>
      <w:r>
        <w:rPr>
          <w:rStyle w:val="HighlightedText"/>
          <w:iCs/>
          <w:i/>
        </w:rPr>
        <w:t xml:space="preserve">Austin</w:t>
      </w:r>
      <w:r>
        <w:rPr>
          <w:rStyle w:val="HighlightedText"/>
          <w:iCs/>
          <w:i/>
        </w:rPr>
        <w:t xml:space="preserve"> </w:t>
      </w:r>
      <w:r>
        <w:rPr>
          <w:rStyle w:val="Elision"/>
        </w:rPr>
        <w:t xml:space="preserve">[ … ]</w:t>
      </w:r>
      <w:r>
        <w:rPr>
          <w:rStyle w:val="HighlightedText"/>
        </w:rPr>
        <w:t xml:space="preserve">identified a new governmental interest in limiting political speech: an antidistortion interest</w:t>
      </w:r>
      <w:r>
        <w:t xml:space="preserve">.</w:t>
      </w:r>
      <w:r>
        <w:t xml:space="preserve"> </w:t>
      </w:r>
      <w:r>
        <w:rPr>
          <w:iCs/>
          <w:i/>
        </w:rPr>
        <w:t xml:space="preserve">Austin</w:t>
      </w:r>
      <w:r>
        <w:t xml:space="preserve"> </w:t>
      </w:r>
      <w:r>
        <w:t xml:space="preserve">found a compelling governmental interest in preventing “the corrosive and distorting effects of immense aggregations of wealth that are accumulated with the help of the corporate form and that have little or no correlation to the public’s support for the corporation’s political ideas.”</w:t>
      </w:r>
      <w:r>
        <w:t xml:space="preserve"> </w:t>
      </w:r>
      <w:r>
        <w:rPr>
          <w:rStyle w:val="Elision"/>
        </w:rPr>
        <w:t xml:space="preserve">[ … ]</w:t>
      </w:r>
    </w:p>
    <w:p>
      <w:pPr>
        <w:pStyle w:val="CaseBody"/>
      </w:pPr>
      <w:r>
        <w:t xml:space="preserve">B</w:t>
      </w:r>
    </w:p>
    <w:p>
      <w:pPr>
        <w:pStyle w:val="CaseBody"/>
      </w:pPr>
      <w:r>
        <w:rPr>
          <w:rStyle w:val="Elision"/>
        </w:rPr>
        <w:t xml:space="preserve">[ … ]</w:t>
      </w:r>
    </w:p>
    <w:p>
      <w:pPr>
        <w:pStyle w:val="CaseBody"/>
      </w:pPr>
      <w:r>
        <w:t xml:space="preserve">the Government</w:t>
      </w:r>
      <w:r>
        <w:t xml:space="preserve"> </w:t>
      </w:r>
      <w:r>
        <w:rPr>
          <w:rStyle w:val="Elision"/>
        </w:rPr>
        <w:t xml:space="preserve">[ … ]</w:t>
      </w:r>
      <w:r>
        <w:t xml:space="preserve"> </w:t>
      </w:r>
      <w:r>
        <w:t xml:space="preserve">argues instead that two other compelling interests support</w:t>
      </w:r>
      <w:r>
        <w:t xml:space="preserve"> </w:t>
      </w:r>
      <w:r>
        <w:rPr>
          <w:iCs/>
          <w:i/>
        </w:rPr>
        <w:t xml:space="preserve">Austin’s</w:t>
      </w:r>
      <w:r>
        <w:t xml:space="preserve"> </w:t>
      </w:r>
      <w:r>
        <w:t xml:space="preserve">holding that corporate expenditure restrictions are constitutional:</w:t>
      </w:r>
      <w:r>
        <w:t xml:space="preserve"> </w:t>
      </w:r>
      <w:r>
        <w:rPr>
          <w:rStyle w:val="HighlightedText"/>
        </w:rPr>
        <w:t xml:space="preserve">an anticorruption interest</w:t>
      </w:r>
      <w:r>
        <w:t xml:space="preserve">,</w:t>
      </w:r>
      <w:r>
        <w:t xml:space="preserve"> </w:t>
      </w:r>
      <w:r>
        <w:rPr>
          <w:rStyle w:val="Elision"/>
        </w:rPr>
        <w:t xml:space="preserve">[ … ]</w:t>
      </w:r>
      <w:r>
        <w:t xml:space="preserve">and a</w:t>
      </w:r>
      <w:r>
        <w:t xml:space="preserve"> </w:t>
      </w:r>
      <w:r>
        <w:rPr>
          <w:rStyle w:val="HighlightedText"/>
        </w:rPr>
        <w:t xml:space="preserve">shareholder-protection interest</w:t>
      </w:r>
      <w:r>
        <w:t xml:space="preserve">,</w:t>
      </w:r>
      <w:r>
        <w:t xml:space="preserve"> </w:t>
      </w:r>
      <w:r>
        <w:rPr>
          <w:rStyle w:val="Elision"/>
        </w:rPr>
        <w:t xml:space="preserve">[ … ]</w:t>
      </w:r>
      <w:r>
        <w:t xml:space="preserve">.</w:t>
      </w:r>
      <w:r>
        <w:t xml:space="preserve"> </w:t>
      </w:r>
      <w:r>
        <w:rPr>
          <w:rStyle w:val="Elision"/>
        </w:rPr>
        <w:t xml:space="preserve">[ … ]</w:t>
      </w:r>
    </w:p>
    <w:p>
      <w:pPr>
        <w:pStyle w:val="CaseBody"/>
      </w:pPr>
      <w:r>
        <w:t xml:space="preserve">1</w:t>
      </w:r>
    </w:p>
    <w:p>
      <w:pPr>
        <w:pStyle w:val="CaseBody"/>
      </w:pPr>
      <w:r>
        <w:rPr>
          <w:rStyle w:val="Elision"/>
        </w:rPr>
        <w:t xml:space="preserve">[ … ]</w:t>
      </w:r>
    </w:p>
    <w:p>
      <w:pPr>
        <w:pStyle w:val="CaseBody"/>
      </w:pPr>
      <w:r>
        <w:t xml:space="preserve">If the antidistortion rationale were to be accepted, however, it would permit Government to ban political speech simply because the speaker is an association that has taken on the corporate form. The Government contends that</w:t>
      </w:r>
      <w:r>
        <w:t xml:space="preserve"> </w:t>
      </w:r>
      <w:r>
        <w:rPr>
          <w:iCs/>
          <w:i/>
        </w:rPr>
        <w:t xml:space="preserve">Austin</w:t>
      </w:r>
      <w:r>
        <w:t xml:space="preserve"> </w:t>
      </w:r>
      <w:r>
        <w:t xml:space="preserve">permits it to ban corporate expenditures for almost all forms of communication stemming from a corporation.</w:t>
      </w:r>
      <w:r>
        <w:t xml:space="preserve"> </w:t>
      </w:r>
      <w:r>
        <w:rPr>
          <w:rStyle w:val="Elision"/>
        </w:rPr>
        <w:t xml:space="preserve">[ … ]</w:t>
      </w:r>
      <w:r>
        <w:t xml:space="preserve"> </w:t>
      </w:r>
      <w:r>
        <w:t xml:space="preserve">If</w:t>
      </w:r>
      <w:r>
        <w:t xml:space="preserve"> </w:t>
      </w:r>
      <w:r>
        <w:rPr>
          <w:iCs/>
          <w:i/>
        </w:rPr>
        <w:t xml:space="preserve">Austin</w:t>
      </w:r>
      <w:r>
        <w:t xml:space="preserve"> </w:t>
      </w:r>
      <w:r>
        <w:t xml:space="preserve">were correct, the Government could prohibit a corporation from expressing political views in media beyond those presented here, such as by printing books. The Government responds “that the FEC has never applied this statute to a book,” and if it did, “there would be quite [a] good as-applied challenge.”</w:t>
      </w:r>
      <w:r>
        <w:t xml:space="preserve"> </w:t>
      </w:r>
      <w:r>
        <w:rPr>
          <w:rStyle w:val="Elision"/>
        </w:rPr>
        <w:t xml:space="preserve">[ … ]</w:t>
      </w:r>
      <w:r>
        <w:t xml:space="preserve">This troubling assertion of brooding governmental power cannot be reconciled with the confidence and stability in civic discourse that the First Amendment must secure.</w:t>
      </w:r>
    </w:p>
    <w:p>
      <w:pPr>
        <w:pStyle w:val="CaseBody"/>
      </w:pPr>
      <w:r>
        <w:t xml:space="preserve">Political speech is “indispensable to decisionmaking in a democracy, and this is no less true because the speech comes from a corporation rather than an individual.”</w:t>
      </w:r>
      <w:r>
        <w:t xml:space="preserve"> </w:t>
      </w:r>
      <w:r>
        <w:rPr>
          <w:rStyle w:val="Elision"/>
        </w:rPr>
        <w:t xml:space="preserve">[ … ]</w:t>
      </w:r>
      <w:r>
        <w:t xml:space="preserve">This protection for speech is inconsistent with</w:t>
      </w:r>
      <w:r>
        <w:t xml:space="preserve"> </w:t>
      </w:r>
      <w:r>
        <w:rPr>
          <w:iCs/>
          <w:i/>
        </w:rPr>
        <w:t xml:space="preserve">Austin’s</w:t>
      </w:r>
      <w:r>
        <w:t xml:space="preserve"> </w:t>
      </w:r>
      <w:r>
        <w:t xml:space="preserve">antidistortion rationale.</w:t>
      </w:r>
      <w:r>
        <w:t xml:space="preserve"> </w:t>
      </w:r>
      <w:r>
        <w:rPr>
          <w:iCs/>
          <w:i/>
        </w:rPr>
        <w:t xml:space="preserve">Austin</w:t>
      </w:r>
      <w:r>
        <w:t xml:space="preserve"> </w:t>
      </w:r>
      <w:r>
        <w:t xml:space="preserve">sought to defend the antidistortion rationale as a means to prevent corporations from obtaining “'an unfair advantage in the political marketplace’ ” by using “ ‘resources amassed in the economic marketplace.’ ”</w:t>
      </w:r>
      <w:r>
        <w:t xml:space="preserve"> </w:t>
      </w:r>
      <w:r>
        <w:rPr>
          <w:rStyle w:val="Elision"/>
        </w:rPr>
        <w:t xml:space="preserve">[ … ]</w:t>
      </w:r>
      <w:r>
        <w:t xml:space="preserve">But</w:t>
      </w:r>
      <w:r>
        <w:t xml:space="preserve"> </w:t>
      </w:r>
      <w:r>
        <w:rPr>
          <w:iCs/>
          <w:i/>
        </w:rPr>
        <w:t xml:space="preserve">Buckley</w:t>
      </w:r>
      <w:r>
        <w:t xml:space="preserve"> </w:t>
      </w:r>
      <w:r>
        <w:t xml:space="preserve">rejected the premise that the Government has an interest “in equalizing the relative ability of individuals and groups to influence the outcome of elections.”</w:t>
      </w:r>
      <w:r>
        <w:t xml:space="preserve"> </w:t>
      </w:r>
      <w:r>
        <w:rPr>
          <w:rStyle w:val="Elision"/>
        </w:rPr>
        <w:t xml:space="preserve">[ … ]</w:t>
      </w:r>
      <w:r>
        <w:rPr>
          <w:iCs/>
          <w:i/>
        </w:rPr>
        <w:t xml:space="preserve">Buckley</w:t>
      </w:r>
      <w:r>
        <w:t xml:space="preserve"> </w:t>
      </w:r>
      <w:r>
        <w:t xml:space="preserve">was specific in stating that “the skyrocketing cost of political campaigns” could not sustain the governmental prohibition.</w:t>
      </w:r>
      <w:r>
        <w:t xml:space="preserve"> </w:t>
      </w:r>
      <w:r>
        <w:rPr>
          <w:rStyle w:val="Elision"/>
        </w:rPr>
        <w:t xml:space="preserve">[ … ]</w:t>
      </w:r>
      <w:r>
        <w:t xml:space="preserve"> </w:t>
      </w:r>
      <w:r>
        <w:t xml:space="preserve">The First Amendment’s protections do not depend on the speaker’s “financial ability to engage in public discussion.”</w:t>
      </w:r>
      <w:r>
        <w:rPr>
          <w:rStyle w:val="Elision"/>
        </w:rPr>
        <w:t xml:space="preserve">[ … ]</w:t>
      </w:r>
    </w:p>
    <w:p>
      <w:pPr>
        <w:pStyle w:val="CaseBody"/>
      </w:pPr>
      <w:r>
        <w:rPr>
          <w:rStyle w:val="Elision"/>
        </w:rPr>
        <w:t xml:space="preserve">[ … ]</w:t>
      </w:r>
      <w:r>
        <w:t xml:space="preserve">The rule that political speech cannot be limited based on a speaker’s wealth is a necessary consequence of the premise that the First Amendment generally prohibits the suppression of political speech based on the speaker’s identity.</w:t>
      </w:r>
    </w:p>
    <w:p>
      <w:pPr>
        <w:pStyle w:val="CaseBody"/>
      </w:pPr>
      <w:r>
        <w:t xml:space="preserve">Either as support for its antidistortion rationale or as a further argument, the</w:t>
      </w:r>
      <w:r>
        <w:t xml:space="preserve"> </w:t>
      </w:r>
      <w:r>
        <w:rPr>
          <w:iCs/>
          <w:i/>
        </w:rPr>
        <w:t xml:space="preserve">Austin</w:t>
      </w:r>
      <w:r>
        <w:t xml:space="preserve"> </w:t>
      </w:r>
      <w:r>
        <w:t xml:space="preserve">majority undertook to distinguish wealthy individuals from corporations on the ground that</w:t>
      </w:r>
      <w:r>
        <w:t xml:space="preserve"> </w:t>
      </w:r>
      <w:r>
        <w:rPr>
          <w:rStyle w:val="HighlightedText"/>
        </w:rPr>
        <w:t xml:space="preserve">“[s]tate law grants corporations special advantages— such as limited liability, perpetual life, and favorable treatment of the accumulation and distribution of assets.”</w:t>
      </w:r>
      <w:r>
        <w:t xml:space="preserve"> </w:t>
      </w:r>
      <w:r>
        <w:rPr>
          <w:rStyle w:val="Elision"/>
        </w:rPr>
        <w:t xml:space="preserve">[ … ]</w:t>
      </w:r>
      <w:r>
        <w:t xml:space="preserve">This does not suffice, however, to allow laws prohibiting speech. “</w:t>
      </w:r>
      <w:r>
        <w:rPr>
          <w:rStyle w:val="HighlightedText"/>
        </w:rPr>
        <w:t xml:space="preserve">It is rudimentary that the State cannot exact as the price of those special advantages the forfeiture of First Amendment rights.”</w:t>
      </w:r>
      <w:r>
        <w:rPr>
          <w:rStyle w:val="HighlightedText"/>
        </w:rPr>
        <w:t xml:space="preserve"> </w:t>
      </w:r>
    </w:p>
    <w:p>
      <w:pPr>
        <w:pStyle w:val="CaseBody"/>
      </w:pPr>
      <w:r>
        <w:rPr>
          <w:rStyle w:val="Elision"/>
        </w:rPr>
        <w:t xml:space="preserve">[ … ]</w:t>
      </w:r>
    </w:p>
    <w:p>
      <w:pPr>
        <w:pStyle w:val="CaseBody"/>
      </w:pPr>
      <w:r>
        <w:t xml:space="preserve">It is irrelevant for purposes of the First Amendment that corporate funds may “have little or no correlation to the public’s support for the corporation’s political ideas.”</w:t>
      </w:r>
      <w:r>
        <w:t xml:space="preserve"> </w:t>
      </w:r>
      <w:r>
        <w:rPr>
          <w:rStyle w:val="Elision"/>
        </w:rPr>
        <w:t xml:space="preserve">[ … ]</w:t>
      </w:r>
      <w:r>
        <w:t xml:space="preserve">All speakers, including individuals and the media, use money amassed from the economic marketplace to fund their speech. The First Amendment protects the resulting speech, even if it was enabled by economic transactions with persons or entities who disagree with the speaker’s ideas.</w:t>
      </w:r>
      <w:r>
        <w:t xml:space="preserve"> </w:t>
      </w:r>
      <w:r>
        <w:rPr>
          <w:rStyle w:val="Elision"/>
        </w:rPr>
        <w:t xml:space="preserve">[ … ]</w:t>
      </w:r>
    </w:p>
    <w:p>
      <w:pPr>
        <w:pStyle w:val="CaseBody"/>
      </w:pPr>
      <w:r>
        <w:rPr>
          <w:iCs/>
          <w:i/>
        </w:rPr>
        <w:t xml:space="preserve">Austin’s</w:t>
      </w:r>
      <w:r>
        <w:t xml:space="preserve"> </w:t>
      </w:r>
      <w:r>
        <w:t xml:space="preserve">antidistortion rationale would produce the dangerous, and unacceptable, consequence that Congress could ban political speech of media corporations.</w:t>
      </w:r>
      <w:r>
        <w:t xml:space="preserve"> </w:t>
      </w:r>
      <w:r>
        <w:rPr>
          <w:rStyle w:val="Elision"/>
        </w:rPr>
        <w:t xml:space="preserve">[ … ]</w:t>
      </w:r>
      <w:r>
        <w:t xml:space="preserve"> </w:t>
      </w:r>
      <w:r>
        <w:t xml:space="preserve">Media corporations are now exempt from §441b’s ban on corporate expenditures.</w:t>
      </w:r>
      <w:r>
        <w:t xml:space="preserve"> </w:t>
      </w:r>
      <w:r>
        <w:rPr>
          <w:rStyle w:val="Elision"/>
        </w:rPr>
        <w:t xml:space="preserve">[ … ]</w:t>
      </w:r>
      <w:r>
        <w:t xml:space="preserve">Yet media corporations accumulate wealth with the help of the corporate form, the largest media corporations have “immense aggregations of wealth,” and the views expressed by media corporations often “have little or no correlation to the public’s support” for those views.</w:t>
      </w:r>
      <w:r>
        <w:t xml:space="preserve"> </w:t>
      </w:r>
      <w:r>
        <w:rPr>
          <w:rStyle w:val="Elision"/>
        </w:rPr>
        <w:t xml:space="preserve">[ … ]</w:t>
      </w:r>
      <w:r>
        <w:t xml:space="preserve">Thus, under the Government’s reasoning, wealthy media corporations could have their voices diminished to put them on par with other media entities. There is no precedent for permitting this under the First Amendment.</w:t>
      </w:r>
    </w:p>
    <w:p>
      <w:pPr>
        <w:pStyle w:val="CaseBody"/>
      </w:pPr>
      <w:r>
        <w:t xml:space="preserve">The media exemption discloses further difficulties with the law now under consideration. There is no precedent supporting laws that attempt to distinguish between corporations which are deemed to be exempt as media corporations and those which are not. “We have consistently rejected the proposition that the institutional press has any constitutional privilege beyond that of other speakers.”</w:t>
      </w:r>
      <w:r>
        <w:t xml:space="preserve"> </w:t>
      </w:r>
      <w:r>
        <w:rPr>
          <w:rStyle w:val="Elision"/>
        </w:rPr>
        <w:t xml:space="preserve">[ … ]</w:t>
      </w:r>
      <w:r>
        <w:t xml:space="preserve"> </w:t>
      </w:r>
      <w:r>
        <w:t xml:space="preserve">With the advent of the Internet and the decline of print and broadcast media, moreover, the line between the media and others who wish to comment on political and social issues becomes far more blurred.</w:t>
      </w:r>
    </w:p>
    <w:p>
      <w:pPr>
        <w:pStyle w:val="CaseBody"/>
      </w:pPr>
      <w:r>
        <w:t xml:space="preserve">The law’s exception for media corporations is, on its own terms, all but an admission of the invalidity of the antidistortion rationale. And the exemption results in a further, separate reason for finding this law invalid: Again by its own terms, the law exempts some corporations but covers others, even though both have the need or the motive to communicate their views. The exemption applies-to media corporations owned or controlled by corporations that have diverse and substantial investments and participate in endeavors other than news. So even assuming the most doubtful proposition that a news organization has a right to speak when others do not, the exemption would allow a conglomerate that owns both a media business and ah unrelated business to influence or control the media in order to advance its overall business interest. At the same time, some other corporation, with an identical business interest but no media outlet in its ownership structure, would be forbidden to speak or inform the public about the same issue. This differential treatment cannot be squared with the First Amendment.</w:t>
      </w:r>
    </w:p>
    <w:p>
      <w:pPr>
        <w:pStyle w:val="CaseBody"/>
      </w:pPr>
      <w:r>
        <w:t xml:space="preserve">There is simply no support for the view that the First Amendment, as originally understood, would permit the suppression of political speech by media corporations. The Framers may not have anticipated modern business and media corporations.</w:t>
      </w:r>
      <w:r>
        <w:t xml:space="preserve"> </w:t>
      </w:r>
      <w:r>
        <w:rPr>
          <w:rStyle w:val="Elision"/>
        </w:rPr>
        <w:t xml:space="preserve">[ … ]</w:t>
      </w:r>
      <w:r>
        <w:t xml:space="preserve">Yet television networks and maj or newspapers owned by media corporations have become the most important means of mass communication in modern times. The First Amendment was certainly not understood to condone the suppression of political speech in society’s most salient media. It was understood as a response to the repression of speech and the press that had existed in England and the heavy taxes on the press that were imposed in the Colonies.</w:t>
      </w:r>
      <w:r>
        <w:t xml:space="preserve"> </w:t>
      </w:r>
      <w:r>
        <w:rPr>
          <w:rStyle w:val="Elision"/>
        </w:rPr>
        <w:t xml:space="preserve">[ … ]</w:t>
      </w:r>
      <w:r>
        <w:t xml:space="preserve">The great debates between the Federalists and the Anti-Federalists over our founding document were published and expressed in the most important means of mass communication of that era — newspapers owned by individuals.</w:t>
      </w:r>
      <w:r>
        <w:t xml:space="preserve"> </w:t>
      </w:r>
      <w:r>
        <w:rPr>
          <w:rStyle w:val="Elision"/>
        </w:rPr>
        <w:t xml:space="preserve">[ … ]</w:t>
      </w:r>
      <w:r>
        <w:t xml:space="preserve"> </w:t>
      </w:r>
      <w:r>
        <w:rPr>
          <w:rStyle w:val="Elision"/>
        </w:rPr>
        <w:t xml:space="preserve">[ … ]</w:t>
      </w:r>
    </w:p>
    <w:p>
      <w:pPr>
        <w:pStyle w:val="CaseBody"/>
      </w:pPr>
      <w:r>
        <w:rPr>
          <w:rStyle w:val="HighlightedText"/>
          <w:iCs/>
          <w:i/>
        </w:rPr>
        <w:t xml:space="preserve">Austin</w:t>
      </w:r>
      <w:r>
        <w:rPr>
          <w:rStyle w:val="HighlightedText"/>
          <w:iCs/>
          <w:i/>
        </w:rPr>
        <w:t xml:space="preserve"> </w:t>
      </w:r>
      <w:r>
        <w:rPr>
          <w:rStyle w:val="Elision"/>
        </w:rPr>
        <w:t xml:space="preserve">[ … ]</w:t>
      </w:r>
    </w:p>
    <w:p>
      <w:pPr>
        <w:pStyle w:val="CaseBody"/>
      </w:pPr>
      <w:r>
        <w:rPr>
          <w:rStyle w:val="Elision"/>
        </w:rPr>
        <w:t xml:space="preserve">[ … ]</w:t>
      </w:r>
      <w:r>
        <w:rPr>
          <w:rStyle w:val="HighlightedText"/>
        </w:rPr>
        <w:t xml:space="preserve"> </w:t>
      </w:r>
      <w:r>
        <w:rPr>
          <w:rStyle w:val="HighlightedText"/>
        </w:rPr>
        <w:t xml:space="preserve">permits the Government to ban the political speech of millions of associations of citizens.</w:t>
      </w:r>
      <w:r>
        <w:rPr>
          <w:rStyle w:val="HighlightedText"/>
        </w:rPr>
        <w:t xml:space="preserve"> </w:t>
      </w:r>
      <w:r>
        <w:rPr>
          <w:rStyle w:val="Elision"/>
        </w:rPr>
        <w:t xml:space="preserve">[ … ]</w:t>
      </w:r>
      <w:r>
        <w:rPr>
          <w:rStyle w:val="HighlightedText"/>
        </w:rPr>
        <w:t xml:space="preserve"> </w:t>
      </w:r>
      <w:r>
        <w:rPr>
          <w:rStyle w:val="HighlightedText"/>
        </w:rPr>
        <w:t xml:space="preserve">Most of these are small corporations without large amounts of wealth.</w:t>
      </w:r>
      <w:r>
        <w:rPr>
          <w:rStyle w:val="HighlightedText"/>
        </w:rPr>
        <w:t xml:space="preserve"> </w:t>
      </w:r>
      <w:r>
        <w:rPr>
          <w:rStyle w:val="Elision"/>
        </w:rPr>
        <w:t xml:space="preserve">[ … ]</w:t>
      </w:r>
      <w:r>
        <w:t xml:space="preserve">This fact belies the Government’s argument that the statute is justified, on the ground that it prevents the “distorting effects of immense aggregations of wealth.”</w:t>
      </w:r>
      <w:r>
        <w:t xml:space="preserve"> </w:t>
      </w:r>
      <w:r>
        <w:rPr>
          <w:rStyle w:val="Elision"/>
        </w:rPr>
        <w:t xml:space="preserve">[ … ]</w:t>
      </w:r>
      <w:r>
        <w:t xml:space="preserve">It is not even aimed at amassed wealth.</w:t>
      </w:r>
    </w:p>
    <w:p>
      <w:pPr>
        <w:pStyle w:val="CaseBody"/>
      </w:pPr>
      <w:r>
        <w:rPr>
          <w:rStyle w:val="Elision"/>
        </w:rPr>
        <w:t xml:space="preserve">[ … ]</w:t>
      </w:r>
    </w:p>
    <w:p>
      <w:pPr>
        <w:pStyle w:val="CaseBody"/>
      </w:pPr>
      <w:r>
        <w:t xml:space="preserve">Corporate executives and employees counsel Members of Congress and Presidential administrations on many issues, as a matter of routine and often in private. An</w:t>
      </w:r>
      <w:r>
        <w:t xml:space="preserve"> </w:t>
      </w:r>
      <w:r>
        <w:rPr>
          <w:iCs/>
          <w:i/>
        </w:rPr>
        <w:t xml:space="preserve">amici</w:t>
      </w:r>
      <w:r>
        <w:t xml:space="preserve"> </w:t>
      </w:r>
      <w:r>
        <w:t xml:space="preserve">brief filed on behalf of Montana and 25 other States notes that lobbying and corporate communications with elected officials occur on a regular basis.</w:t>
      </w:r>
      <w:r>
        <w:t xml:space="preserve"> </w:t>
      </w:r>
      <w:r>
        <w:rPr>
          <w:rStyle w:val="Elision"/>
        </w:rPr>
        <w:t xml:space="preserve">[ … ]</w:t>
      </w:r>
      <w:r>
        <w:t xml:space="preserve"> </w:t>
      </w:r>
      <w:r>
        <w:t xml:space="preserve">When that phenomenon is coupled with § 441b, the result is that</w:t>
      </w:r>
      <w:r>
        <w:rPr>
          <w:rStyle w:val="HighlightedText"/>
        </w:rPr>
        <w:t xml:space="preserve"> </w:t>
      </w:r>
      <w:r>
        <w:rPr>
          <w:rStyle w:val="HighlightedText"/>
        </w:rPr>
        <w:t xml:space="preserve">smaller or nonprofit corporations cannot raise a voice to object when other corporations, including those with vast wealth, are cooperating with the Government</w:t>
      </w:r>
      <w:r>
        <w:t xml:space="preserve">. That cooperation may sometimes be voluntary, or it may be at the demand of a Government official who uses his or her authority, influence, and power to threaten corporations to support the Government’s policies. Those kinds of interactions are often unknown and unseen. The speech that §441b forbids, though, is public, and all can judge its content and purpose. References to massive corporate treasuries should not mask the real operation of this law. Rhetoric ought not obscure reality.</w:t>
      </w:r>
    </w:p>
    <w:p>
      <w:pPr>
        <w:pStyle w:val="CaseBody"/>
      </w:pPr>
      <w:r>
        <w:t xml:space="preserve">Even if § 441b’s expenditure ban were constitutional, wealthy corporations could still lobby elected officials, although smaller corporations may not have the resources to do so. And wealthy individuals and unincorporated associations can spend unlimited amounts on independent expenditures.</w:t>
      </w:r>
      <w:r>
        <w:t xml:space="preserve"> </w:t>
      </w:r>
      <w:r>
        <w:rPr>
          <w:rStyle w:val="Elision"/>
        </w:rPr>
        <w:t xml:space="preserve">[ … ]</w:t>
      </w:r>
      <w:r>
        <w:t xml:space="preserve"> </w:t>
      </w:r>
      <w:r>
        <w:t xml:space="preserve">Yet certain disfavored associations of citizens — those that have taken on the corporate form— are penalized for engaging in the same political speech.</w:t>
      </w:r>
    </w:p>
    <w:p>
      <w:pPr>
        <w:pStyle w:val="CaseBody"/>
      </w:pPr>
      <w:r>
        <w:rPr>
          <w:rStyle w:val="Elision"/>
        </w:rPr>
        <w:t xml:space="preserve">[ … ]</w:t>
      </w:r>
    </w:p>
    <w:p>
      <w:pPr>
        <w:pStyle w:val="CaseBody"/>
      </w:pPr>
      <w:r>
        <w:t xml:space="preserve">2</w:t>
      </w:r>
    </w:p>
    <w:p>
      <w:pPr>
        <w:pStyle w:val="CaseBody"/>
      </w:pPr>
      <w:r>
        <w:rPr>
          <w:rStyle w:val="Elision"/>
        </w:rPr>
        <w:t xml:space="preserve">[ … ]</w:t>
      </w:r>
    </w:p>
    <w:p>
      <w:pPr>
        <w:pStyle w:val="CaseBody"/>
      </w:pPr>
      <w:r>
        <w:t xml:space="preserve">With regard to large direct contributions,</w:t>
      </w:r>
      <w:r>
        <w:t xml:space="preserve"> </w:t>
      </w:r>
      <w:r>
        <w:rPr>
          <w:iCs/>
          <w:i/>
        </w:rPr>
        <w:t xml:space="preserve">Buckley</w:t>
      </w:r>
      <w:r>
        <w:t xml:space="preserve"> </w:t>
      </w:r>
      <w:r>
        <w:t xml:space="preserve">reasoned that they could be given “to secure a political</w:t>
      </w:r>
      <w:r>
        <w:t xml:space="preserve"> </w:t>
      </w:r>
      <w:r>
        <w:rPr>
          <w:iCs/>
          <w:i/>
        </w:rPr>
        <w:t xml:space="preserve">quid pro quo,”</w:t>
      </w:r>
      <w:r>
        <w:t xml:space="preserve"> </w:t>
      </w:r>
      <w:r>
        <w:rPr>
          <w:rStyle w:val="Elision"/>
        </w:rPr>
        <w:t xml:space="preserve">[ … ]</w:t>
      </w:r>
      <w:r>
        <w:t xml:space="preserve"> </w:t>
      </w:r>
      <w:r>
        <w:t xml:space="preserve">and that “the scope of such pernicious practices can never be reliably ascertained,”</w:t>
      </w:r>
      <w:r>
        <w:rPr>
          <w:rStyle w:val="Elision"/>
        </w:rPr>
        <w:t xml:space="preserve">[ … ]</w:t>
      </w:r>
      <w:r>
        <w:t xml:space="preserve">. The practices</w:t>
      </w:r>
      <w:r>
        <w:t xml:space="preserve"> </w:t>
      </w:r>
      <w:r>
        <w:rPr>
          <w:iCs/>
          <w:i/>
        </w:rPr>
        <w:t xml:space="preserve">Buckley</w:t>
      </w:r>
      <w:r>
        <w:t xml:space="preserve"> </w:t>
      </w:r>
      <w:r>
        <w:t xml:space="preserve">noted would be covered by bribery laws, see,</w:t>
      </w:r>
      <w:r>
        <w:t xml:space="preserve"> </w:t>
      </w:r>
      <w:r>
        <w:rPr>
          <w:iCs/>
          <w:i/>
        </w:rPr>
        <w:t xml:space="preserve">e. g.,</w:t>
      </w:r>
      <w:r>
        <w:t xml:space="preserve"> </w:t>
      </w:r>
      <w:r>
        <w:t xml:space="preserve">18 U. S. C. § 201, if a</w:t>
      </w:r>
      <w:r>
        <w:t xml:space="preserve"> </w:t>
      </w:r>
      <w:r>
        <w:rPr>
          <w:iCs/>
          <w:i/>
        </w:rPr>
        <w:t xml:space="preserve">quid pro quo</w:t>
      </w:r>
      <w:r>
        <w:t xml:space="preserve"> </w:t>
      </w:r>
      <w:r>
        <w:t xml:space="preserve">arrangement were proved.</w:t>
      </w:r>
      <w:r>
        <w:t xml:space="preserve"> </w:t>
      </w:r>
      <w:r>
        <w:rPr>
          <w:rStyle w:val="Elision"/>
        </w:rPr>
        <w:t xml:space="preserve">[ … ]</w:t>
      </w:r>
      <w:r>
        <w:t xml:space="preserve"> </w:t>
      </w:r>
      <w:r>
        <w:t xml:space="preserve"> </w:t>
      </w:r>
      <w:r>
        <w:rPr>
          <w:rStyle w:val="HighlightedText"/>
        </w:rPr>
        <w:t xml:space="preserve">The Court, in consequence, has noted that restrictions on direct contributions are preventative, because few if any contributions to candidates will involve</w:t>
      </w:r>
      <w:r>
        <w:rPr>
          <w:rStyle w:val="HighlightedText"/>
        </w:rPr>
        <w:t xml:space="preserve"> </w:t>
      </w:r>
      <w:r>
        <w:rPr>
          <w:rStyle w:val="HighlightedText"/>
          <w:iCs/>
          <w:i/>
        </w:rPr>
        <w:t xml:space="preserve">quid pro quo</w:t>
      </w:r>
      <w:r>
        <w:rPr>
          <w:rStyle w:val="HighlightedText"/>
          <w:iCs/>
          <w:i/>
        </w:rPr>
        <w:t xml:space="preserve"> </w:t>
      </w:r>
      <w:r>
        <w:rPr>
          <w:rStyle w:val="HighlightedText"/>
        </w:rPr>
        <w:t xml:space="preserve">arrangements</w:t>
      </w:r>
      <w:r>
        <w:t xml:space="preserve">.</w:t>
      </w:r>
      <w:r>
        <w:t xml:space="preserve"> </w:t>
      </w:r>
      <w:r>
        <w:rPr>
          <w:rStyle w:val="Elision"/>
        </w:rPr>
        <w:t xml:space="preserve">[ … ]</w:t>
      </w:r>
      <w:r>
        <w:t xml:space="preserve"> </w:t>
      </w:r>
      <w:r>
        <w:t xml:space="preserve"> </w:t>
      </w:r>
      <w:r>
        <w:t xml:space="preserve">The</w:t>
      </w:r>
      <w:r>
        <w:t xml:space="preserve"> </w:t>
      </w:r>
      <w:r>
        <w:rPr>
          <w:iCs/>
          <w:i/>
        </w:rPr>
        <w:t xml:space="preserve">Buckley</w:t>
      </w:r>
      <w:r>
        <w:t xml:space="preserve"> </w:t>
      </w:r>
      <w:r>
        <w:t xml:space="preserve">Court, nevertheless, sustained limits on direct contributions in order to ensure against the reality or appearance of corruption. That case did not extend this rationale to independent expenditures, and the Court does not do so here.</w:t>
      </w:r>
    </w:p>
    <w:p>
      <w:pPr>
        <w:pStyle w:val="CaseBody"/>
      </w:pPr>
      <w:r>
        <w:rPr>
          <w:rStyle w:val="Elision"/>
        </w:rPr>
        <w:t xml:space="preserve">[ … ]</w:t>
      </w:r>
    </w:p>
    <w:p>
      <w:pPr>
        <w:pStyle w:val="CaseBody"/>
      </w:pPr>
      <w:r>
        <w:rPr>
          <w:rStyle w:val="Elision"/>
        </w:rPr>
        <w:t xml:space="preserve">[ … ]</w:t>
      </w:r>
      <w:r>
        <w:rPr>
          <w:iCs/>
          <w:i/>
        </w:rPr>
        <w:t xml:space="preserve">Bellotti</w:t>
      </w:r>
      <w:r>
        <w:t xml:space="preserve"> </w:t>
      </w:r>
      <w:r>
        <w:t xml:space="preserve">purported to leave open the possibility that corporate independent expenditures could be shown to cause corruption.</w:t>
      </w:r>
      <w:r>
        <w:t xml:space="preserve"> </w:t>
      </w:r>
      <w:r>
        <w:rPr>
          <w:rStyle w:val="Elision"/>
        </w:rPr>
        <w:t xml:space="preserve">[ … ]</w:t>
      </w:r>
      <w:r>
        <w:t xml:space="preserve">For the reasons explained above, we now conclude that independent expenditures, including those made by corporations, do not give rise to corruption or the appearance of corruption. Dicta in Bellotti’s footnote suggested that “a corporation’s right to speak on issues of general public interest implies no comparable right in the quite different context of participation in a political campaign for election to public office.”</w:t>
      </w:r>
      <w:r>
        <w:t xml:space="preserve"> </w:t>
      </w:r>
      <w:r>
        <w:rPr>
          <w:rStyle w:val="Elision"/>
        </w:rPr>
        <w:t xml:space="preserve">[ … ]</w:t>
      </w:r>
      <w:r>
        <w:rPr>
          <w:iCs/>
          <w:i/>
        </w:rPr>
        <w:t xml:space="preserve">.</w:t>
      </w:r>
      <w:r>
        <w:t xml:space="preserve"> </w:t>
      </w:r>
      <w:r>
        <w:t xml:space="preserve">Citing the portion of</w:t>
      </w:r>
      <w:r>
        <w:t xml:space="preserve"> </w:t>
      </w:r>
      <w:r>
        <w:rPr>
          <w:iCs/>
          <w:i/>
        </w:rPr>
        <w:t xml:space="preserve">Buckley</w:t>
      </w:r>
      <w:r>
        <w:t xml:space="preserve"> </w:t>
      </w:r>
      <w:r>
        <w:t xml:space="preserve">that invalidated the federal independent expenditure ban,</w:t>
      </w:r>
      <w:r>
        <w:t xml:space="preserve"> </w:t>
      </w:r>
      <w:r>
        <w:rPr>
          <w:rStyle w:val="Elision"/>
        </w:rPr>
        <w:t xml:space="preserve">[ … ]</w:t>
      </w:r>
      <w:r>
        <w:rPr>
          <w:iCs/>
          <w:i/>
        </w:rPr>
        <w:t xml:space="preserve">Bellotti</w:t>
      </w:r>
      <w:r>
        <w:t xml:space="preserve"> </w:t>
      </w:r>
      <w:r>
        <w:t xml:space="preserve">surmised that “Congress might well be able to demonstrate the existence of a danger of real or apparent corruption in independent expenditures by corporations to influence candidate elections.”</w:t>
      </w:r>
      <w:r>
        <w:t xml:space="preserve"> </w:t>
      </w:r>
      <w:r>
        <w:rPr>
          <w:rStyle w:val="Elision"/>
        </w:rPr>
        <w:t xml:space="preserve">[ … ]</w:t>
      </w:r>
    </w:p>
    <w:p>
      <w:pPr>
        <w:pStyle w:val="CaseBody"/>
      </w:pPr>
      <w:r>
        <w:rPr>
          <w:rStyle w:val="Elision"/>
        </w:rPr>
        <w:t xml:space="preserve">[ … ]</w:t>
      </w:r>
      <w:r>
        <w:rPr>
          <w:iCs/>
          <w:i/>
        </w:rPr>
        <w:t xml:space="preserve">NRWC</w:t>
      </w:r>
      <w:r>
        <w:t xml:space="preserve"> </w:t>
      </w:r>
      <w:r>
        <w:t xml:space="preserve">did say there is a “sufficient” governmental interest in “ensuring] that substantial aggregations of wealth amassed” by corporations would not “be used to incur political debts from legislators who are aided by the contributions.”</w:t>
      </w:r>
      <w:r>
        <w:t xml:space="preserve"> </w:t>
      </w:r>
      <w:r>
        <w:rPr>
          <w:rStyle w:val="Elision"/>
        </w:rPr>
        <w:t xml:space="preserve">[ … ]</w:t>
      </w:r>
      <w:r>
        <w:rPr>
          <w:iCs/>
          <w:i/>
        </w:rPr>
        <w:t xml:space="preserve">NRWC</w:t>
      </w:r>
      <w:r>
        <w:t xml:space="preserve"> </w:t>
      </w:r>
      <w:r>
        <w:t xml:space="preserve">decided</w:t>
      </w:r>
      <w:r>
        <w:t xml:space="preserve"> </w:t>
      </w:r>
      <w:r>
        <w:rPr>
          <w:rStyle w:val="Elision"/>
        </w:rPr>
        <w:t xml:space="preserve">[ … ]</w:t>
      </w:r>
      <w:r>
        <w:t xml:space="preserve"> </w:t>
      </w:r>
      <w:r>
        <w:t xml:space="preserve">that a restriction on a corporation’s ability to solicit funds for its segregated PAC, which made direct contributions to candidates, did not violate the First Amendment.</w:t>
      </w:r>
      <w:r>
        <w:t xml:space="preserve"> </w:t>
      </w:r>
      <w:r>
        <w:rPr>
          <w:rStyle w:val="Elision"/>
        </w:rPr>
        <w:t xml:space="preserve">[ … ]</w:t>
      </w:r>
      <w:r>
        <w:t xml:space="preserve"> </w:t>
      </w:r>
      <w:r>
        <w:t xml:space="preserve">Citizens United has not made direct contributions to candidates, and it has not suggested that the Court should reconsider whether contribution limits should be subjected to rigorous First Amendment scrutiny.</w:t>
      </w:r>
    </w:p>
    <w:p>
      <w:pPr>
        <w:pStyle w:val="CaseBody"/>
      </w:pPr>
      <w:r>
        <w:rPr>
          <w:rStyle w:val="HighlightedText"/>
        </w:rPr>
        <w:t xml:space="preserve">When</w:t>
      </w:r>
      <w:r>
        <w:rPr>
          <w:rStyle w:val="HighlightedText"/>
        </w:rPr>
        <w:t xml:space="preserve"> </w:t>
      </w:r>
      <w:r>
        <w:rPr>
          <w:rStyle w:val="HighlightedText"/>
          <w:iCs/>
          <w:i/>
        </w:rPr>
        <w:t xml:space="preserve">Buckley</w:t>
      </w:r>
      <w:r>
        <w:rPr>
          <w:rStyle w:val="HighlightedText"/>
          <w:iCs/>
          <w:i/>
        </w:rPr>
        <w:t xml:space="preserve"> </w:t>
      </w:r>
      <w:r>
        <w:rPr>
          <w:rStyle w:val="HighlightedText"/>
        </w:rPr>
        <w:t xml:space="preserve">identified a sufficiently important governmental interest in preventing corruption or the appearance of corruption, that interest was limited to</w:t>
      </w:r>
      <w:r>
        <w:rPr>
          <w:rStyle w:val="HighlightedText"/>
        </w:rPr>
        <w:t xml:space="preserve"> </w:t>
      </w:r>
      <w:r>
        <w:rPr>
          <w:rStyle w:val="HighlightedText"/>
          <w:iCs/>
          <w:i/>
        </w:rPr>
        <w:t xml:space="preserve">quid pro quo</w:t>
      </w:r>
      <w:r>
        <w:rPr>
          <w:rStyle w:val="HighlightedText"/>
          <w:iCs/>
          <w:i/>
        </w:rPr>
        <w:t xml:space="preserve"> </w:t>
      </w:r>
      <w:r>
        <w:rPr>
          <w:rStyle w:val="HighlightedText"/>
        </w:rPr>
        <w:t xml:space="preserve">corruption.</w:t>
      </w:r>
      <w:r>
        <w:t xml:space="preserve"> </w:t>
      </w:r>
      <w:r>
        <w:rPr>
          <w:rStyle w:val="Elision"/>
        </w:rPr>
        <w:t xml:space="preserve">[ … ]</w:t>
      </w:r>
      <w:r>
        <w:t xml:space="preserve">The fact that speakers may have influence over or access to elected officials does not mean that these officials are corrupt:</w:t>
      </w:r>
    </w:p>
    <w:p>
      <w:pPr>
        <w:pStyle w:val="BlockText"/>
      </w:pPr>
      <w:r>
        <w:t xml:space="preserve">“</w:t>
      </w:r>
      <w:r>
        <w:rPr>
          <w:rStyle w:val="HighlightedText"/>
        </w:rPr>
        <w:t xml:space="preserve">Favoritism and influence are not... avoidable in representative politics.</w:t>
      </w:r>
      <w:r>
        <w:t xml:space="preserve"> </w:t>
      </w:r>
      <w:r>
        <w:t xml:space="preserve">It is in the nature of an elected representative to favor certain policies, and, by necessary corollary, to favor the voters and contributors who support those policies. It is well understood that a substantial and legitimate reason, if not the only reason, to cast a vote for, or to make a contribution to, one candidate over another is that the candidate will respond by producing those political outcomes the supporter favors. Democracy is premised on responsiveness.”</w:t>
      </w:r>
      <w:r>
        <w:t xml:space="preserve"> </w:t>
      </w:r>
      <w:r>
        <w:rPr>
          <w:rStyle w:val="Elision"/>
        </w:rPr>
        <w:t xml:space="preserve">[ … ]</w:t>
      </w:r>
    </w:p>
    <w:p>
      <w:pPr>
        <w:pStyle w:val="CaseBody"/>
      </w:pPr>
      <w:r>
        <w:t xml:space="preserve">Reliance on a “generic favoritism or influence theory ... is at odds with standard First Amendment analyses because it is unbounded and susceptible to no limiting principle.”</w:t>
      </w:r>
      <w:r>
        <w:t xml:space="preserve"> </w:t>
      </w:r>
      <w:r>
        <w:rPr>
          <w:rStyle w:val="Elision"/>
        </w:rPr>
        <w:t xml:space="preserve">[ … ]</w:t>
      </w:r>
    </w:p>
    <w:p>
      <w:pPr>
        <w:pStyle w:val="CaseBody"/>
      </w:pPr>
      <w:r>
        <w:rPr>
          <w:rStyle w:val="HighlightedText"/>
        </w:rPr>
        <w:t xml:space="preserve">The appearance of influence or access, furthermore, will not cause the electorate to lose faith in our democracy.</w:t>
      </w:r>
      <w:r>
        <w:t xml:space="preserve"> </w:t>
      </w:r>
      <w:r>
        <w:t xml:space="preserve">By definition, an independent expenditure is political speech presented to the electorate that is not coordinated with a candidate.</w:t>
      </w:r>
      <w:r>
        <w:t xml:space="preserve"> </w:t>
      </w:r>
      <w:r>
        <w:rPr>
          <w:rStyle w:val="Elision"/>
        </w:rPr>
        <w:t xml:space="preserve">[ … ]</w:t>
      </w:r>
      <w:r>
        <w:t xml:space="preserve"> </w:t>
      </w:r>
      <w:r>
        <w:t xml:space="preserve">The fact that a corporation, or any other speaker, is willing to spend money to try to persuade voters presupposes that the people have the ultimate influence over elected officials. This is inconsistent with any suggestion that the electorate will refuse “ ‘to take part in democratic governance’ ” because of additional political speech made by a corporation or any other speaker.</w:t>
      </w:r>
      <w:r>
        <w:t xml:space="preserve"> </w:t>
      </w:r>
      <w:r>
        <w:rPr>
          <w:rStyle w:val="Elision"/>
        </w:rPr>
        <w:t xml:space="preserve">[ … ]</w:t>
      </w:r>
    </w:p>
    <w:p>
      <w:pPr>
        <w:pStyle w:val="CaseBody"/>
      </w:pPr>
      <w:r>
        <w:rPr>
          <w:rStyle w:val="Elision"/>
        </w:rPr>
        <w:t xml:space="preserve">[ … ]</w:t>
      </w:r>
    </w:p>
    <w:p>
      <w:pPr>
        <w:pStyle w:val="CaseBody"/>
      </w:pPr>
      <w:r>
        <w:t xml:space="preserve">Ingratiation and access, in any event, are not corruption. The BCRA record establishes that certain donations to political parties, called “soft money,” were made to gain access to elected officials.</w:t>
      </w:r>
      <w:r>
        <w:t xml:space="preserve"> </w:t>
      </w:r>
      <w:r>
        <w:rPr>
          <w:rStyle w:val="Elision"/>
        </w:rPr>
        <w:t xml:space="preserve">[ … ]</w:t>
      </w:r>
      <w:r>
        <w:t xml:space="preserve">This case, however, is about independent expenditures, not soft money. When Congress finds that a problem exists, we must give that finding due deference; but Congress may not choose an unconstitutional remedy.</w:t>
      </w:r>
      <w:r>
        <w:t xml:space="preserve"> </w:t>
      </w:r>
      <w:r>
        <w:rPr>
          <w:rStyle w:val="HighlightedText"/>
        </w:rPr>
        <w:t xml:space="preserve">If elected officials succumb to improper influences from independent expenditures; if they surrender their best judgment; and if they put expediency before principle, then surely there is cause for concern</w:t>
      </w:r>
      <w:r>
        <w:t xml:space="preserve">. We must give weight to attempts by Congress to seek to dispel either the appearance or the reality of these influences. The remedies enacted by law, however, must comply with the First Amendment; and it is our law and our tradition that more speech, not less, is the governing rule.</w:t>
      </w:r>
      <w:r>
        <w:t xml:space="preserve"> </w:t>
      </w:r>
      <w:r>
        <w:rPr>
          <w:rStyle w:val="HighlightedText"/>
        </w:rPr>
        <w:t xml:space="preserve">An outright ban on corporate political speech during the critical preelection period is not a permissible remedy.</w:t>
      </w:r>
      <w:r>
        <w:t xml:space="preserve">Here Congress has created categorical bans on speech that are asymmetrical to preventing</w:t>
      </w:r>
      <w:r>
        <w:t xml:space="preserve"> </w:t>
      </w:r>
      <w:r>
        <w:rPr>
          <w:iCs/>
          <w:i/>
        </w:rPr>
        <w:t xml:space="preserve">quid pro quo</w:t>
      </w:r>
      <w:r>
        <w:t xml:space="preserve"> </w:t>
      </w:r>
      <w:r>
        <w:t xml:space="preserve">corruption.</w:t>
      </w:r>
    </w:p>
    <w:p>
      <w:pPr>
        <w:pStyle w:val="CaseBody"/>
      </w:pPr>
      <w:r>
        <w:t xml:space="preserve">3</w:t>
      </w:r>
    </w:p>
    <w:p>
      <w:pPr>
        <w:pStyle w:val="CaseBody"/>
      </w:pPr>
      <w:r>
        <w:t xml:space="preserve">The Government contends further that corporate independent expenditures can be limited because of its interest in protecting dissenting shareholders from being compelled to fund corporate political speech. This asserted interest, like</w:t>
      </w:r>
      <w:r>
        <w:t xml:space="preserve"> </w:t>
      </w:r>
      <w:r>
        <w:rPr>
          <w:iCs/>
          <w:i/>
        </w:rPr>
        <w:t xml:space="preserve">Austin’s</w:t>
      </w:r>
      <w:r>
        <w:t xml:space="preserve"> </w:t>
      </w:r>
      <w:r>
        <w:t xml:space="preserve">antidistortion rationale, would allow the Government to ban the political speech even of media corporations.</w:t>
      </w:r>
      <w:r>
        <w:rPr>
          <w:rStyle w:val="Elision"/>
        </w:rPr>
        <w:t xml:space="preserve">[ … ]</w:t>
      </w:r>
      <w:r>
        <w:t xml:space="preserve">Assume, for example, that a shareholder of a corporation that owns a newspaper disagrees with the political views the newspaper expresses.</w:t>
      </w:r>
      <w:r>
        <w:rPr>
          <w:rStyle w:val="Elision"/>
        </w:rPr>
        <w:t xml:space="preserve">[ … ]</w:t>
      </w:r>
      <w:r>
        <w:t xml:space="preserve">Under the Government’s view, that potential disagreement could give the Government the authority to restrict the media corporation’s political speech. The First Amendment does not allow that power.</w:t>
      </w:r>
      <w:r>
        <w:t xml:space="preserve"> </w:t>
      </w:r>
      <w:r>
        <w:rPr>
          <w:rStyle w:val="HighlightedText"/>
        </w:rPr>
        <w:t xml:space="preserve">There is, furthermore, little evidence of</w:t>
      </w:r>
      <w:r>
        <w:rPr>
          <w:rStyle w:val="HighlightedText"/>
        </w:rPr>
        <w:t xml:space="preserve"> </w:t>
      </w:r>
      <w:r>
        <w:rPr>
          <w:rStyle w:val="HighlightedText"/>
        </w:rPr>
        <w:t xml:space="preserve">abuse that cannot be corrected by shareholders “through the procedures of corporate democracy.</w:t>
      </w:r>
      <w:r>
        <w:t xml:space="preserve">”</w:t>
      </w:r>
      <w:r>
        <w:t xml:space="preserve"> </w:t>
      </w:r>
      <w:r>
        <w:rPr>
          <w:rStyle w:val="Elision"/>
        </w:rPr>
        <w:t xml:space="preserve">[ … ]</w:t>
      </w:r>
    </w:p>
    <w:p>
      <w:pPr>
        <w:pStyle w:val="CaseBody"/>
      </w:pPr>
      <w:r>
        <w:t xml:space="preserve">Those reasons are sufficient to reject this shareholder-protection interest; and, moreover, the statute is both under-inclusive and overinclusive. As to the first, if Congress had been seeking to protect dissenting shareholders, it would not have banned corporate speech in only certain media within 30 or 60 days before an election. A dissenting shareholder’s interests would be implicated by speech in any media at any time. As to the second, the statute is overinclusive because it covers all corporations, including nonprofit corporations and for-profit corporations with only single shareholders. As to other corporations, the remedy is not to restrict speech but to consider and explore other regulatory mechanisms. The regulatory mechanism here, based on speech, contravenes the First Amendment.</w:t>
      </w:r>
    </w:p>
    <w:p>
      <w:pPr>
        <w:pStyle w:val="CaseBody"/>
      </w:pPr>
      <w:r>
        <w:t xml:space="preserve">4</w:t>
      </w:r>
    </w:p>
    <w:p>
      <w:pPr>
        <w:pStyle w:val="CaseBody"/>
      </w:pPr>
      <w:r>
        <w:rPr>
          <w:rStyle w:val="HighlightedText"/>
        </w:rPr>
        <w:t xml:space="preserve">We need not reach the question whether the Government has a compelling interest in preventing foreign individuals or associations from influencing our Nation’s political process</w:t>
      </w:r>
      <w:r>
        <w:t xml:space="preserve">.</w:t>
      </w:r>
      <w:r>
        <w:t xml:space="preserve"> </w:t>
      </w:r>
      <w:r>
        <w:rPr>
          <w:rStyle w:val="Elision"/>
        </w:rPr>
        <w:t xml:space="preserve">[ … ]</w:t>
      </w:r>
      <w:r>
        <w:t xml:space="preserve"> </w:t>
      </w:r>
      <w:r>
        <w:t xml:space="preserve">Section 441b is not limited to corporations or associations that were created in foreign countries or funded predominantly by foreign shareholders. Section 441b therefore would be overbroad even if we assumed,</w:t>
      </w:r>
      <w:r>
        <w:t xml:space="preserve"> </w:t>
      </w:r>
      <w:r>
        <w:rPr>
          <w:iCs/>
          <w:i/>
        </w:rPr>
        <w:t xml:space="preserve">arguendo,</w:t>
      </w:r>
      <w:r>
        <w:t xml:space="preserve"> </w:t>
      </w:r>
      <w:r>
        <w:t xml:space="preserve">that the Government has a compelling interest in limiting foreign influence over our political process.</w:t>
      </w:r>
      <w:r>
        <w:t xml:space="preserve"> </w:t>
      </w:r>
      <w:r>
        <w:rPr>
          <w:rStyle w:val="Elision"/>
        </w:rPr>
        <w:t xml:space="preserve">[ … ]</w:t>
      </w:r>
    </w:p>
    <w:p>
      <w:pPr>
        <w:pStyle w:val="CaseBody"/>
      </w:pPr>
      <w:r>
        <w:rPr>
          <w:rStyle w:val="Elision"/>
        </w:rPr>
        <w:t xml:space="preserve">[ … ]</w:t>
      </w:r>
    </w:p>
    <w:p>
      <w:pPr>
        <w:pStyle w:val="CaseBody"/>
      </w:pPr>
      <w:r>
        <w:t xml:space="preserve">Shareholder objections raised through the procedures of corporate democracy, see</w:t>
      </w:r>
      <w:r>
        <w:t xml:space="preserve"> </w:t>
      </w:r>
      <w:r>
        <w:rPr>
          <w:iCs/>
          <w:i/>
        </w:rPr>
        <w:t xml:space="preserve">Bellotti, supra,</w:t>
      </w:r>
      <w:r>
        <w:t xml:space="preserve"> </w:t>
      </w:r>
      <w:r>
        <w:t xml:space="preserve">at 794, and n. 34, can be more effective today because modern technology makes disclosures rapid and informative.</w:t>
      </w:r>
      <w:r>
        <w:t xml:space="preserve"> </w:t>
      </w:r>
      <w:r>
        <w:rPr>
          <w:rStyle w:val="HighlightedText"/>
        </w:rPr>
        <w:t xml:space="preserve">A campaign finance system that pairs corporate independent expenditures with effective disclosure has not existed before today.</w:t>
      </w:r>
      <w:r>
        <w:t xml:space="preserve"> </w:t>
      </w:r>
      <w:r>
        <w:t xml:space="preserve">It must be noted, furthermore, that many of Congress’ findings in passing BCRA were premised on a system without adequate disclosure.</w:t>
      </w:r>
      <w:r>
        <w:t xml:space="preserve"> </w:t>
      </w:r>
      <w:r>
        <w:rPr>
          <w:rStyle w:val="Elision"/>
        </w:rPr>
        <w:t xml:space="preserve">[ … ]</w:t>
      </w:r>
      <w:r>
        <w:t xml:space="preserve">With the advent of the Internet, prompt disclosure of expenditures can provide shareholders and citizens with the information needed to hold corporations and elected officials accountable for their positions and supporters. Shareholders can determine whether their corporation’s political speech advances the corporation’s interest in making profits, and citizens can see whether elected officials are “‘in the pocket’ of so-called moneyed interests.”</w:t>
      </w:r>
      <w:r>
        <w:t xml:space="preserve"> </w:t>
      </w:r>
      <w:r>
        <w:rPr>
          <w:rStyle w:val="Elision"/>
        </w:rPr>
        <w:t xml:space="preserve">[ … ]</w:t>
      </w:r>
      <w:r>
        <w:t xml:space="preserve">The First Amendment protects political speech; and disclosure permits citizens and shareholders to react to the speech of corporate entities in a proper way. This transparency enables the electorate to make informed decisions and give proper weight to different speakers and messages.</w:t>
      </w:r>
    </w:p>
    <w:p>
      <w:pPr>
        <w:pStyle w:val="CaseBody"/>
      </w:pPr>
      <w:r>
        <w:t xml:space="preserve">C</w:t>
      </w:r>
    </w:p>
    <w:p>
      <w:pPr>
        <w:pStyle w:val="CaseBody"/>
      </w:pPr>
      <w:r>
        <w:t xml:space="preserve">For the same reasons we uphold the application of BCRA §§201 and 311 to the ads, we affirm their application to</w:t>
      </w:r>
      <w:r>
        <w:t xml:space="preserve"> </w:t>
      </w:r>
      <w:r>
        <w:rPr>
          <w:iCs/>
          <w:i/>
        </w:rPr>
        <w:t xml:space="preserve">Hillary.</w:t>
      </w:r>
      <w:r>
        <w:t xml:space="preserve"> </w:t>
      </w:r>
      <w:r>
        <w:t xml:space="preserve">We find no constitutional impediment to the application of BCRA’s disclaimer and disclosure requirements to a movie broadcast via video-on-demand. And there has been no showing that, as applied in this case, these requirements would impose a chill on speech or expression.</w:t>
      </w:r>
    </w:p>
    <w:p>
      <w:pPr>
        <w:pStyle w:val="CaseBody"/>
      </w:pPr>
      <w:r>
        <w:rPr>
          <w:rStyle w:val="Elision"/>
        </w:rPr>
        <w:t xml:space="preserve">[ … ]</w:t>
      </w:r>
    </w:p>
    <w:p>
      <w:pPr>
        <w:pStyle w:val="CaseBody"/>
      </w:pPr>
      <w:r>
        <w:rPr>
          <w:rStyle w:val="Elision"/>
        </w:rPr>
        <w:t xml:space="preserve">[ … ]</w:t>
      </w:r>
    </w:p>
    <w:p>
      <w:pPr>
        <w:pStyle w:val="CaseBody"/>
      </w:pPr>
      <w:r>
        <w:t xml:space="preserve">Justice Stevens,</w:t>
      </w:r>
    </w:p>
    <w:p>
      <w:pPr>
        <w:pStyle w:val="CaseBody"/>
      </w:pPr>
      <w:r>
        <w:t xml:space="preserve">with whom Justice Ginsbueg, Justice Breyer, and Justice Sotomayor join, concurring in part and dissenting in part.</w:t>
      </w:r>
    </w:p>
    <w:p>
      <w:pPr>
        <w:pStyle w:val="CaseBody"/>
      </w:pPr>
      <w:r>
        <w:t xml:space="preserve">The real issue in this case concerns how, not if, the appellant may finance its electioneering. Citizens United is a wealthy nonprofit corporation that runs a political action committee (PAC) with millions of dollars in assets. Under the Bipartisan Campaign Reform Act of 2002 (BCRA), it could have used those assets to televise and promote</w:t>
      </w:r>
      <w:r>
        <w:t xml:space="preserve"> </w:t>
      </w:r>
      <w:r>
        <w:rPr>
          <w:iCs/>
          <w:i/>
        </w:rPr>
        <w:t xml:space="preserve">Hillary: The Movie</w:t>
      </w:r>
      <w:r>
        <w:t xml:space="preserve"> </w:t>
      </w:r>
      <w:r>
        <w:t xml:space="preserve">wherever and whenever it wanted to. It also could have spent unrestricted sums to broadcast</w:t>
      </w:r>
      <w:r>
        <w:t xml:space="preserve"> </w:t>
      </w:r>
      <w:r>
        <w:rPr>
          <w:iCs/>
          <w:i/>
        </w:rPr>
        <w:t xml:space="preserve">Hillary</w:t>
      </w:r>
      <w:r>
        <w:t xml:space="preserve"> </w:t>
      </w:r>
      <w:r>
        <w:t xml:space="preserve">at any time other than the 30 days before the last primary election. Neither Citizens United’s nor any other corporation’s speech has been “banned,”</w:t>
      </w:r>
      <w:r>
        <w:t xml:space="preserve"> </w:t>
      </w:r>
      <w:r>
        <w:rPr>
          <w:iCs/>
          <w:i/>
        </w:rPr>
        <w:t xml:space="preserve">ante,</w:t>
      </w:r>
      <w:r>
        <w:t xml:space="preserve"> </w:t>
      </w:r>
      <w:r>
        <w:t xml:space="preserve">at 319. All that the parties dispute is whether Citizens United had a right to use the funds in its general treasury to pay for broadcasts during the 30-day period. The notion that the First Amendment dictates an affirmative answer to that question is, in my judgment, profoundly misguided. Even more misguided is the notion that the Court must rewrite the law relating to campaign expenditures by</w:t>
      </w:r>
      <w:r>
        <w:t xml:space="preserve"> </w:t>
      </w:r>
      <w:r>
        <w:rPr>
          <w:iCs/>
          <w:i/>
        </w:rPr>
        <w:t xml:space="preserve">for-profit</w:t>
      </w:r>
      <w:r>
        <w:t xml:space="preserve"> </w:t>
      </w:r>
      <w:r>
        <w:t xml:space="preserve">corporations and unions to decide this case.</w:t>
      </w:r>
    </w:p>
    <w:p>
      <w:pPr>
        <w:pStyle w:val="CaseBody"/>
      </w:pPr>
      <w:r>
        <w:t xml:space="preserve">The basic premise underlying the Court’s ruling is its iteration, and constant reiteration, of the proposition that the First Amendment bars regulatory distinctions based on a speaker’s identity, including its “identity” as a corporation. While that glittering generality has rhetorical appeal, it is not a correct statement of the law. Nor does it tell us when a corporation may engage in electioneering that some of its shareholders oppose. It does not even resolve the specific question whether Citizens United may be required to finance some of its messages with the money in its PAC. The conceit that corporations must be treated identically to natural persons in the political sphere is not only inaccurate but also inadequate to justify the Court’s disposition of this case.</w:t>
      </w:r>
    </w:p>
    <w:p>
      <w:pPr>
        <w:pStyle w:val="CaseBody"/>
      </w:pPr>
      <w:r>
        <w:t xml:space="preserve">In the context of election to public office, the distinction between corporate and human speakers is significant. Although they make enormous contributions to our society, corporations are not actually members of it. They cannot vote or run for office. Because they may be managed and controlled by nonresidents, their interests may conflict in fundamental respects with the interests of eligible voters. The financial resources, legal structure, and instrumental orientation of corporations raise legitimate concerns about their role in the electoral process. Our lawmakers have a compelling constitutional basis, if not also a democratic duty, to take measures designed to guard against the potentially deleterious effects of corporate spending in local and national races.</w:t>
      </w:r>
    </w:p>
    <w:p>
      <w:pPr>
        <w:pStyle w:val="CaseBody"/>
      </w:pPr>
      <w:r>
        <w:t xml:space="preserve">The majority’s approach to corporate electioneering marks a dramatic break from our past. Congress has placed special limitations on campaign spending by corporations ever since the passage of the Tillman Act in 1907, ch. 420, 34 Stat. 864. We have unanimously concluded that this “reflects a permissible assessment of the dangers posed by those entities to the electoral process,”</w:t>
      </w:r>
      <w:r>
        <w:t xml:space="preserve"> </w:t>
      </w:r>
      <w:r>
        <w:rPr>
          <w:iCs/>
          <w:i/>
        </w:rPr>
        <w:t xml:space="preserve">FEC</w:t>
      </w:r>
      <w:r>
        <w:t xml:space="preserve"> </w:t>
      </w:r>
      <w:r>
        <w:t xml:space="preserve">v.</w:t>
      </w:r>
      <w:r>
        <w:t xml:space="preserve"> </w:t>
      </w:r>
      <w:r>
        <w:rPr>
          <w:iCs/>
          <w:i/>
        </w:rPr>
        <w:t xml:space="preserve">National Right to Work Comm.,</w:t>
      </w:r>
      <w:r>
        <w:t xml:space="preserve"> </w:t>
      </w:r>
      <w:r>
        <w:t xml:space="preserve">459 U. S. 197, 209 (1982)</w:t>
      </w:r>
      <w:r>
        <w:t xml:space="preserve"> </w:t>
      </w:r>
      <w:r>
        <w:rPr>
          <w:iCs/>
          <w:i/>
        </w:rPr>
        <w:t xml:space="preserve">(NRWC),</w:t>
      </w:r>
      <w:r>
        <w:t xml:space="preserve"> </w:t>
      </w:r>
      <w:r>
        <w:t xml:space="preserve">and have accepted the “legislative judgment that the special characteristics of the corporate structure require particularly careful regulation,”</w:t>
      </w:r>
      <w:r>
        <w:t xml:space="preserve"> </w:t>
      </w:r>
      <w:r>
        <w:rPr>
          <w:iCs/>
          <w:i/>
        </w:rPr>
        <w:t xml:space="preserve">id.,</w:t>
      </w:r>
      <w:r>
        <w:t xml:space="preserve"> </w:t>
      </w:r>
      <w:r>
        <w:t xml:space="preserve">at 209-210. The Court today rejects a century of history when it treats the distinction between corporate and individual campaign spending as an invidious novelty born of</w:t>
      </w:r>
      <w:r>
        <w:t xml:space="preserve"> </w:t>
      </w:r>
      <w:r>
        <w:rPr>
          <w:iCs/>
          <w:i/>
        </w:rPr>
        <w:t xml:space="preserve">Austin</w:t>
      </w:r>
      <w:r>
        <w:t xml:space="preserve"> </w:t>
      </w:r>
      <w:r>
        <w:t xml:space="preserve">v.</w:t>
      </w:r>
      <w:r>
        <w:t xml:space="preserve"> </w:t>
      </w:r>
      <w:r>
        <w:rPr>
          <w:iCs/>
          <w:i/>
        </w:rPr>
        <w:t xml:space="preserve">Michigan Chamber of Commerce,</w:t>
      </w:r>
      <w:r>
        <w:t xml:space="preserve"> </w:t>
      </w:r>
      <w:r>
        <w:t xml:space="preserve">494 U. S. 652 (1990). Relying largely on individual dissenting opinions, the majority blazes through our precedents, overruling or disavowing a body of case law including</w:t>
      </w:r>
      <w:r>
        <w:t xml:space="preserve"> </w:t>
      </w:r>
      <w:r>
        <w:rPr>
          <w:iCs/>
          <w:i/>
        </w:rPr>
        <w:t xml:space="preserve">FEC</w:t>
      </w:r>
      <w:r>
        <w:t xml:space="preserve"> </w:t>
      </w:r>
      <w:r>
        <w:t xml:space="preserve">v.</w:t>
      </w:r>
      <w:r>
        <w:t xml:space="preserve"> </w:t>
      </w:r>
      <w:r>
        <w:rPr>
          <w:iCs/>
          <w:i/>
        </w:rPr>
        <w:t xml:space="preserve">Wisconsin Right to Life, Inc.,</w:t>
      </w:r>
      <w:r>
        <w:t xml:space="preserve"> </w:t>
      </w:r>
      <w:r>
        <w:t xml:space="preserve">551 U. S. 449 (2007)</w:t>
      </w:r>
      <w:r>
        <w:t xml:space="preserve"> </w:t>
      </w:r>
      <w:r>
        <w:rPr>
          <w:iCs/>
          <w:i/>
        </w:rPr>
        <w:t xml:space="preserve">(WRTL), McConnell</w:t>
      </w:r>
      <w:r>
        <w:t xml:space="preserve"> </w:t>
      </w:r>
      <w:r>
        <w:t xml:space="preserve">v.</w:t>
      </w:r>
      <w:r>
        <w:t xml:space="preserve"> </w:t>
      </w:r>
      <w:r>
        <w:rPr>
          <w:iCs/>
          <w:i/>
        </w:rPr>
        <w:t xml:space="preserve">FEC,</w:t>
      </w:r>
      <w:r>
        <w:t xml:space="preserve"> </w:t>
      </w:r>
      <w:r>
        <w:t xml:space="preserve">540 U. S. 93 (2003),</w:t>
      </w:r>
      <w:r>
        <w:t xml:space="preserve"> </w:t>
      </w:r>
      <w:r>
        <w:rPr>
          <w:iCs/>
          <w:i/>
        </w:rPr>
        <w:t xml:space="preserve">FEC</w:t>
      </w:r>
      <w:r>
        <w:t xml:space="preserve"> </w:t>
      </w:r>
      <w:r>
        <w:t xml:space="preserve">v.</w:t>
      </w:r>
      <w:r>
        <w:t xml:space="preserve"> </w:t>
      </w:r>
      <w:r>
        <w:rPr>
          <w:iCs/>
          <w:i/>
        </w:rPr>
        <w:t xml:space="preserve">Beaumont,</w:t>
      </w:r>
      <w:r>
        <w:t xml:space="preserve"> </w:t>
      </w:r>
      <w:r>
        <w:t xml:space="preserve">539 U. S. 146 (2003),</w:t>
      </w:r>
      <w:r>
        <w:t xml:space="preserve"> </w:t>
      </w:r>
      <w:r>
        <w:rPr>
          <w:iCs/>
          <w:i/>
        </w:rPr>
        <w:t xml:space="preserve">FEC</w:t>
      </w:r>
      <w:r>
        <w:t xml:space="preserve"> </w:t>
      </w:r>
      <w:r>
        <w:t xml:space="preserve">v.</w:t>
      </w:r>
      <w:r>
        <w:t xml:space="preserve"> </w:t>
      </w:r>
      <w:r>
        <w:rPr>
          <w:iCs/>
          <w:i/>
        </w:rPr>
        <w:t xml:space="preserve">Massachusetts Citizens for Life, Inc.,</w:t>
      </w:r>
      <w:r>
        <w:t xml:space="preserve"> </w:t>
      </w:r>
      <w:r>
        <w:t xml:space="preserve">479 U. S. 238 (1986)</w:t>
      </w:r>
      <w:r>
        <w:t xml:space="preserve"> </w:t>
      </w:r>
      <w:r>
        <w:rPr>
          <w:iCs/>
          <w:i/>
        </w:rPr>
        <w:t xml:space="preserve">(MCFL), NRWC,</w:t>
      </w:r>
      <w:r>
        <w:t xml:space="preserve"> </w:t>
      </w:r>
      <w:r>
        <w:t xml:space="preserve">459 U. S. 197, and</w:t>
      </w:r>
      <w:r>
        <w:t xml:space="preserve"> </w:t>
      </w:r>
      <w:r>
        <w:rPr>
          <w:iCs/>
          <w:i/>
        </w:rPr>
        <w:t xml:space="preserve">California Medical Assn.</w:t>
      </w:r>
      <w:r>
        <w:t xml:space="preserve"> </w:t>
      </w:r>
      <w:r>
        <w:t xml:space="preserve">v.</w:t>
      </w:r>
      <w:r>
        <w:t xml:space="preserve"> </w:t>
      </w:r>
      <w:r>
        <w:rPr>
          <w:iCs/>
          <w:i/>
        </w:rPr>
        <w:t xml:space="preserve">FEC,</w:t>
      </w:r>
      <w:r>
        <w:t xml:space="preserve"> </w:t>
      </w:r>
      <w:r>
        <w:t xml:space="preserve">453 U. S. 182 (1981).</w:t>
      </w:r>
    </w:p>
    <w:p>
      <w:pPr>
        <w:pStyle w:val="CaseBody"/>
      </w:pPr>
      <w:r>
        <w:t xml:space="preserve">In his landmark concurrence in</w:t>
      </w:r>
      <w:r>
        <w:t xml:space="preserve"> </w:t>
      </w:r>
      <w:r>
        <w:rPr>
          <w:iCs/>
          <w:i/>
        </w:rPr>
        <w:t xml:space="preserve">Ashwander</w:t>
      </w:r>
      <w:r>
        <w:t xml:space="preserve"> </w:t>
      </w:r>
      <w:r>
        <w:t xml:space="preserve">v.</w:t>
      </w:r>
      <w:r>
        <w:t xml:space="preserve"> </w:t>
      </w:r>
      <w:r>
        <w:rPr>
          <w:iCs/>
          <w:i/>
        </w:rPr>
        <w:t xml:space="preserve">TVA,</w:t>
      </w:r>
      <w:r>
        <w:t xml:space="preserve"> </w:t>
      </w:r>
      <w:r>
        <w:t xml:space="preserve">297 U. S. 288, 346 (1936), Justice Brandéis stressed the importance of adhering to rules the Court has “developed ... for its own governance” when deciding constitutional questions. Because departures from those rules always enhance the risk of error, I shall review the background of this case in some detail before explaining why the Court’s analysis rests on a faulty understanding of</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and of our campaign finance jurisprudence more generally.</w:t>
      </w:r>
      <w:r>
        <w:rPr>
          <w:rStyle w:val="FootnoteReference"/>
        </w:rPr>
        <w:footnoteReference w:customMarkFollows="1" w:id="14"/>
        <w:t xml:space="preserve">1</w:t>
      </w:r>
      <w:r>
        <w:t xml:space="preserve"> </w:t>
      </w:r>
      <w:r>
        <w:t xml:space="preserve">I regret the length of what follows, but the importance and novelty of the Court’s opinion require a full response. Although I concur in the Court’s decision to sustain BCRA’s disclosure provisions and join Part IV of its opinion, I emphatically dissent from its principal holding.</w:t>
      </w:r>
    </w:p>
    <w:p>
      <w:pPr>
        <w:pStyle w:val="CaseBody"/>
      </w:pPr>
      <w:r>
        <w:t xml:space="preserve">I</w:t>
      </w:r>
    </w:p>
    <w:p>
      <w:pPr>
        <w:pStyle w:val="CaseBody"/>
      </w:pPr>
      <w:r>
        <w:t xml:space="preserve">The Court’s ruling threatens to undermine the integrity of elected institutions across the Nation. The path it has taken to reach its outcome will, I fear, do damage to this institution. Before turning to the question whether to overrule</w:t>
      </w:r>
      <w:r>
        <w:t xml:space="preserve"> </w:t>
      </w:r>
      <w:r>
        <w:rPr>
          <w:iCs/>
          <w:i/>
        </w:rPr>
        <w:t xml:space="preserve">Austin</w:t>
      </w:r>
      <w:r>
        <w:t xml:space="preserve"> </w:t>
      </w:r>
      <w:r>
        <w:t xml:space="preserve">and part of</w:t>
      </w:r>
      <w:r>
        <w:t xml:space="preserve"> </w:t>
      </w:r>
      <w:r>
        <w:rPr>
          <w:iCs/>
          <w:i/>
        </w:rPr>
        <w:t xml:space="preserve">McConnell,</w:t>
      </w:r>
      <w:r>
        <w:t xml:space="preserve"> </w:t>
      </w:r>
      <w:r>
        <w:t xml:space="preserve">it is important to explain why the Court should not be deciding that question.</w:t>
      </w:r>
    </w:p>
    <w:p>
      <w:pPr>
        <w:pStyle w:val="CaseBody"/>
      </w:pPr>
      <w:r>
        <w:rPr>
          <w:iCs/>
          <w:i/>
        </w:rPr>
        <w:t xml:space="preserve">Scope of the Case</w:t>
      </w:r>
    </w:p>
    <w:p>
      <w:pPr>
        <w:pStyle w:val="CaseBody"/>
      </w:pPr>
      <w:r>
        <w:t xml:space="preserve">The first reason is that the question was not properly brought before us. In declaring § 203 of BCRA facially unconstitutional on the ground that corporations’ electoral expenditures may not be regulated any more stringently than those of individuals, the majority decides this case on a basis relinquished below, not included in the questions presented to us by the litigants, and argued here only in response to the Court’s invitation. This procedure is unusual and inadvisable for a court.</w:t>
      </w:r>
      <w:r>
        <w:rPr>
          <w:rStyle w:val="FootnoteReference"/>
        </w:rPr>
        <w:footnoteReference w:customMarkFollows="1" w:id="45"/>
        <w:t xml:space="preserve">2</w:t>
      </w:r>
      <w:r>
        <w:t xml:space="preserve"> </w:t>
      </w:r>
      <w:r>
        <w:t xml:space="preserve">Our colleagues’ suggestion that “we are asked to reconsider</w:t>
      </w:r>
      <w:r>
        <w:t xml:space="preserve"> </w:t>
      </w:r>
      <w:r>
        <w:rPr>
          <w:iCs/>
          <w:i/>
        </w:rPr>
        <w:t xml:space="preserve">Austin</w:t>
      </w:r>
      <w:r>
        <w:t xml:space="preserve"> </w:t>
      </w:r>
      <w:r>
        <w:t xml:space="preserve">and, in effect,</w:t>
      </w:r>
      <w:r>
        <w:t xml:space="preserve"> </w:t>
      </w:r>
      <w:r>
        <w:rPr>
          <w:iCs/>
          <w:i/>
        </w:rPr>
        <w:t xml:space="preserve">McConnell,” ante,</w:t>
      </w:r>
      <w:r>
        <w:t xml:space="preserve"> </w:t>
      </w:r>
      <w:r>
        <w:t xml:space="preserve">at 319, would be more accurate if rephrased to state that “we have asked ourselves” to reconsider those cases.</w:t>
      </w:r>
    </w:p>
    <w:p>
      <w:pPr>
        <w:pStyle w:val="CaseBody"/>
      </w:pPr>
      <w:r>
        <w:t xml:space="preserve">In the District Court, Citizens United initially raised a facial challenge to the constitutionality of §203. App. 23a-24a. In its motion for summary judgment, however, Citizens United expressly abandoned its facial challenge, 1:07-cv-2240-RCL-RWR, Docket Entry No. 52, pp. 1-2 (May 16, 2008), and the parties stipulated to the dismissal of that claim,</w:t>
      </w:r>
      <w:r>
        <w:t xml:space="preserve"> </w:t>
      </w:r>
      <w:r>
        <w:rPr>
          <w:iCs/>
          <w:i/>
        </w:rPr>
        <w:t xml:space="preserve">id.,</w:t>
      </w:r>
      <w:r>
        <w:t xml:space="preserve"> </w:t>
      </w:r>
      <w:r>
        <w:t xml:space="preserve">Nos. 53 (May 22,2008), 54 (May 23, 2008), App. 6a. The District Court therefore resolved the case on alternative grounds,</w:t>
      </w:r>
      <w:r>
        <w:rPr>
          <w:rStyle w:val="FootnoteReference"/>
        </w:rPr>
        <w:footnoteReference w:customMarkFollows="1" w:id="74"/>
        <w:t xml:space="preserve">3</w:t>
      </w:r>
      <w:r>
        <w:t xml:space="preserve"> </w:t>
      </w:r>
      <w:r>
        <w:t xml:space="preserve">and in its jurisdictional statement to this Court, Citizens United properly advised us that it was raising only “an as-applied challenge to the constitutionality of... BCRA §203.” Juris. Statement 5. The jurisdictional statement never so much as cited</w:t>
      </w:r>
      <w:r>
        <w:t xml:space="preserve"> </w:t>
      </w:r>
      <w:r>
        <w:rPr>
          <w:iCs/>
          <w:i/>
        </w:rPr>
        <w:t xml:space="preserve">Austin,</w:t>
      </w:r>
      <w:r>
        <w:t xml:space="preserve"> </w:t>
      </w:r>
      <w:r>
        <w:t xml:space="preserve">the key case the majority today overrules. And not one of the questions presented suggested that Citizens United was surreptitiously raising the facial challenge to § 203 that it previously agreed to dismiss. In fact, not one of those questions raised an issue based on Citizens United’s corporate status. Juris. Statement (i). Moreover, even in its merits briefing, when Citizens United injected its request to overrule</w:t>
      </w:r>
      <w:r>
        <w:t xml:space="preserve"> </w:t>
      </w:r>
      <w:r>
        <w:rPr>
          <w:iCs/>
          <w:i/>
        </w:rPr>
        <w:t xml:space="preserve">Austin,</w:t>
      </w:r>
      <w:r>
        <w:t xml:space="preserve"> </w:t>
      </w:r>
      <w:r>
        <w:t xml:space="preserve">it never sought a declaration that § 203 was facially unconstitutional as to all corporations and unions; instead it argued only that the statute could not be applied to it because it was “fimded overwhelmingly by individuals. ” Brief for Appellant 29; see also</w:t>
      </w:r>
      <w:r>
        <w:t xml:space="preserve"> </w:t>
      </w:r>
      <w:r>
        <w:rPr>
          <w:iCs/>
          <w:i/>
        </w:rPr>
        <w:t xml:space="preserve">id.,</w:t>
      </w:r>
      <w:r>
        <w:t xml:space="preserve"> </w:t>
      </w:r>
      <w:r>
        <w:t xml:space="preserve">at 10, 12, 16, 28 (affirming “as applied” character of challenge to §203); Tr. of Oral Arg. 4-9 (Mar. 24, 2009) (counsel for Citizens United conceding that § 203 could be applied to General Motors);</w:t>
      </w:r>
      <w:r>
        <w:t xml:space="preserve"> </w:t>
      </w:r>
      <w:r>
        <w:rPr>
          <w:iCs/>
          <w:i/>
        </w:rPr>
        <w:t xml:space="preserve">id.,</w:t>
      </w:r>
      <w:r>
        <w:t xml:space="preserve"> </w:t>
      </w:r>
      <w:r>
        <w:t xml:space="preserve">at 55 (counsel for Citizens United stating that “we accept the Court’s decision in</w:t>
      </w:r>
      <w:r>
        <w:t xml:space="preserve"> </w:t>
      </w:r>
      <w:r>
        <w:rPr>
          <w:iCs/>
          <w:i/>
        </w:rPr>
        <w:t xml:space="preserve">[WRTL]”).</w:t>
      </w:r>
    </w:p>
    <w:p>
      <w:pPr>
        <w:pStyle w:val="CaseBody"/>
      </w:pPr>
      <w:r>
        <w:t xml:space="preserve">“ ‘It is only in exceptional cases coming here from the federal courts that questions not pressed or passed upon below are reviewed,’ ”</w:t>
      </w:r>
      <w:r>
        <w:t xml:space="preserve"> </w:t>
      </w:r>
      <w:r>
        <w:rPr>
          <w:iCs/>
          <w:i/>
        </w:rPr>
        <w:t xml:space="preserve">Youakim</w:t>
      </w:r>
      <w:r>
        <w:t xml:space="preserve"> </w:t>
      </w:r>
      <w:r>
        <w:t xml:space="preserve">v.</w:t>
      </w:r>
      <w:r>
        <w:t xml:space="preserve"> </w:t>
      </w:r>
      <w:r>
        <w:rPr>
          <w:iCs/>
          <w:i/>
        </w:rPr>
        <w:t xml:space="preserve">Miller,</w:t>
      </w:r>
      <w:r>
        <w:t xml:space="preserve"> </w:t>
      </w:r>
      <w:r>
        <w:t xml:space="preserve">425 U. S. 231, 234 (1976)</w:t>
      </w:r>
      <w:r>
        <w:t xml:space="preserve"> </w:t>
      </w:r>
      <w:r>
        <w:rPr>
          <w:iCs/>
          <w:i/>
        </w:rPr>
        <w:t xml:space="preserve">(per curiam)</w:t>
      </w:r>
      <w:r>
        <w:t xml:space="preserve"> </w:t>
      </w:r>
      <w:r>
        <w:t xml:space="preserve">(quoting</w:t>
      </w:r>
      <w:r>
        <w:t xml:space="preserve"> </w:t>
      </w:r>
      <w:r>
        <w:rPr>
          <w:iCs/>
          <w:i/>
        </w:rPr>
        <w:t xml:space="preserve">Duignan</w:t>
      </w:r>
      <w:r>
        <w:t xml:space="preserve"> </w:t>
      </w:r>
      <w:r>
        <w:t xml:space="preserve">v.</w:t>
      </w:r>
      <w:r>
        <w:t xml:space="preserve"> </w:t>
      </w:r>
      <w:r>
        <w:rPr>
          <w:iCs/>
          <w:i/>
        </w:rPr>
        <w:t xml:space="preserve">United States,</w:t>
      </w:r>
      <w:r>
        <w:t xml:space="preserve"> </w:t>
      </w:r>
      <w:r>
        <w:t xml:space="preserve">274 U. S. 195, 200 (1927)), and it is “only in the most exceptional cases” that we will consider issues outside the questions presented,</w:t>
      </w:r>
      <w:r>
        <w:t xml:space="preserve"> </w:t>
      </w:r>
      <w:r>
        <w:rPr>
          <w:iCs/>
          <w:i/>
        </w:rPr>
        <w:t xml:space="preserve">Stone</w:t>
      </w:r>
      <w:r>
        <w:t xml:space="preserve"> </w:t>
      </w:r>
      <w:r>
        <w:t xml:space="preserve">v.</w:t>
      </w:r>
      <w:r>
        <w:t xml:space="preserve"> </w:t>
      </w:r>
      <w:r>
        <w:rPr>
          <w:iCs/>
          <w:i/>
        </w:rPr>
        <w:t xml:space="preserve">Powell,</w:t>
      </w:r>
      <w:r>
        <w:t xml:space="preserve"> </w:t>
      </w:r>
      <w:r>
        <w:t xml:space="preserve">428 U. S. 465, 481, n. 15 (1976). The appellant in this case did not so much as assert an exceptional circumstance, and one searches the majority opinion in vain for the mention of any. That is unsurprising, for none exists.</w:t>
      </w:r>
    </w:p>
    <w:p>
      <w:pPr>
        <w:pStyle w:val="CaseBody"/>
      </w:pPr>
      <w:r>
        <w:t xml:space="preserve">Setting the case for reargument was a constructive step, but it did not cure this fundamental problem. Essentially, five Justices were unhappy with the limited nature of the case before us, so they changed the case to give themselves an opportunity to change the law.</w:t>
      </w:r>
    </w:p>
    <w:p>
      <w:pPr>
        <w:pStyle w:val="CaseBody"/>
      </w:pPr>
      <w:r>
        <w:rPr>
          <w:iCs/>
          <w:i/>
        </w:rPr>
        <w:t xml:space="preserve">As-Applied and Facial Challenges</w:t>
      </w:r>
    </w:p>
    <w:p>
      <w:pPr>
        <w:pStyle w:val="CaseBody"/>
      </w:pPr>
      <w:r>
        <w:t xml:space="preserve">This Court has repeatedly emphasized in recent years that “[fjacial challenges are disfavored.”</w:t>
      </w:r>
      <w:r>
        <w:t xml:space="preserve"> </w:t>
      </w:r>
      <w:r>
        <w:rPr>
          <w:iCs/>
          <w:i/>
        </w:rPr>
        <w:t xml:space="preserve">Washington State Grange</w:t>
      </w:r>
      <w:r>
        <w:t xml:space="preserve"> </w:t>
      </w:r>
      <w:r>
        <w:t xml:space="preserve">v.</w:t>
      </w:r>
      <w:r>
        <w:t xml:space="preserve"> </w:t>
      </w:r>
      <w:r>
        <w:rPr>
          <w:iCs/>
          <w:i/>
        </w:rPr>
        <w:t xml:space="preserve">Washington State Republican Party,</w:t>
      </w:r>
      <w:r>
        <w:t xml:space="preserve"> </w:t>
      </w:r>
      <w:r>
        <w:t xml:space="preserve">552 U. S. 442, 450 (2008); see also</w:t>
      </w:r>
      <w:r>
        <w:t xml:space="preserve"> </w:t>
      </w:r>
      <w:r>
        <w:rPr>
          <w:iCs/>
          <w:i/>
        </w:rPr>
        <w:t xml:space="preserve">Ayotte</w:t>
      </w:r>
      <w:r>
        <w:t xml:space="preserve"> </w:t>
      </w:r>
      <w:r>
        <w:t xml:space="preserve">v.</w:t>
      </w:r>
      <w:r>
        <w:t xml:space="preserve"> </w:t>
      </w:r>
      <w:r>
        <w:rPr>
          <w:iCs/>
          <w:i/>
        </w:rPr>
        <w:t xml:space="preserve">Planned Parenthood of Northern New Eng.,</w:t>
      </w:r>
      <w:r>
        <w:t xml:space="preserve"> </w:t>
      </w:r>
      <w:r>
        <w:t xml:space="preserve">546 U. S. 320, 329 (2006) (“[T]he ‘normal rule’ is that ‘partial, rather .than facial, invalidation is the required course,’ such that a ‘statute may ... be declared invalid to the extent that it reaches too far, but otherwise left intact’ ” (quoting</w:t>
      </w:r>
      <w:r>
        <w:t xml:space="preserve"> </w:t>
      </w:r>
      <w:r>
        <w:rPr>
          <w:iCs/>
          <w:i/>
        </w:rPr>
        <w:t xml:space="preserve">Brockett</w:t>
      </w:r>
      <w:r>
        <w:t xml:space="preserve"> </w:t>
      </w:r>
      <w:r>
        <w:t xml:space="preserve">v.</w:t>
      </w:r>
      <w:r>
        <w:t xml:space="preserve"> </w:t>
      </w:r>
      <w:r>
        <w:rPr>
          <w:iCs/>
          <w:i/>
        </w:rPr>
        <w:t xml:space="preserve">Spokane Arcades, Inc.,</w:t>
      </w:r>
      <w:r>
        <w:t xml:space="preserve"> </w:t>
      </w:r>
      <w:r>
        <w:t xml:space="preserve">472 U. S. 491, 504 (1985); alteration in original)). By declaring § 203 facially unconstitutional, our colleagues have turned an as-applied challenge into a facial challenge, in defiance of this principle.</w:t>
      </w:r>
    </w:p>
    <w:p>
      <w:pPr>
        <w:pStyle w:val="CaseBody"/>
      </w:pPr>
      <w:r>
        <w:t xml:space="preserve">This is not merely a technical defect in the Court’s decision. The unnecessary resort to a facial inquiry “run[s] contrary to the fundamental principle of judicial restraint that courts should neither anticipate a question of constitutional law in advance of the necessity of deciding it nor formulate a rule of constitutional law broader than is required by the precise facts to which it is to be applied.”</w:t>
      </w:r>
      <w:r>
        <w:t xml:space="preserve"> </w:t>
      </w:r>
      <w:r>
        <w:rPr>
          <w:iCs/>
          <w:i/>
        </w:rPr>
        <w:t xml:space="preserve">Washington State Grange,</w:t>
      </w:r>
      <w:r>
        <w:t xml:space="preserve"> </w:t>
      </w:r>
      <w:r>
        <w:t xml:space="preserve">552 U. S., at 450 (internal quotation marks omitted). Scanting that principle “threaten[s] to short circuit the democratic process by preventing laws embodying the will of the people from being implemented in a manner consistent with the Constitution.”</w:t>
      </w:r>
      <w:r>
        <w:t xml:space="preserve"> </w:t>
      </w:r>
      <w:r>
        <w:rPr>
          <w:iCs/>
          <w:i/>
        </w:rPr>
        <w:t xml:space="preserve">Id.,</w:t>
      </w:r>
      <w:r>
        <w:t xml:space="preserve"> </w:t>
      </w:r>
      <w:r>
        <w:t xml:space="preserve">at 451. These concerns are heightened when judges overrule settled doctrine upon which the legislature has relied. The Court operates with a sledge hammer rather than a scalpel when it strikes down one of Congress’ most significant efforts to regulate the role that corporations and unions play in electoral polities. It compounds the offense by implicitly striking down a great many state laws as well.</w:t>
      </w:r>
    </w:p>
    <w:p>
      <w:pPr>
        <w:pStyle w:val="CaseBody"/>
      </w:pPr>
      <w:r>
        <w:t xml:space="preserve">The problem goes still deeper, for the Court does all of this on the basis of pure speculation. Had Citizens United maintained a facial challenge, and thus argued that there are virtually no circumstances in which BCRA §203 can be applied constitutionally, the parties could have developed, through the normal process of litigation, a record about the</w:t>
      </w:r>
      <w:r>
        <w:t xml:space="preserve"> </w:t>
      </w:r>
      <w:r>
        <w:rPr>
          <w:iCs/>
          <w:i/>
        </w:rPr>
        <w:t xml:space="preserve">actual</w:t>
      </w:r>
      <w:r>
        <w:t xml:space="preserve"> </w:t>
      </w:r>
      <w:r>
        <w:t xml:space="preserve">effects of § 203, its actual burdens and its actual benefits, on</w:t>
      </w:r>
      <w:r>
        <w:t xml:space="preserve"> </w:t>
      </w:r>
      <w:r>
        <w:rPr>
          <w:iCs/>
          <w:i/>
        </w:rPr>
        <w:t xml:space="preserve">all</w:t>
      </w:r>
      <w:r>
        <w:t xml:space="preserve"> </w:t>
      </w:r>
      <w:r>
        <w:t xml:space="preserve">manner of corporations and unions.</w:t>
      </w:r>
      <w:r>
        <w:rPr>
          <w:rStyle w:val="FootnoteReference"/>
        </w:rPr>
        <w:footnoteReference w:customMarkFollows="1" w:id="99"/>
        <w:t xml:space="preserve">4</w:t>
      </w:r>
      <w:r>
        <w:t xml:space="preserve"> </w:t>
      </w:r>
      <w:r>
        <w:t xml:space="preserve">“Claims of facial invalidity often rest on speculation,” and consequently “raise the risk of premature interpretation of statutes on the basis of factually barebones records.”</w:t>
      </w:r>
      <w:r>
        <w:t xml:space="preserve"> </w:t>
      </w:r>
      <w:r>
        <w:rPr>
          <w:iCs/>
          <w:i/>
        </w:rPr>
        <w:t xml:space="preserve">Id.,</w:t>
      </w:r>
      <w:r>
        <w:t xml:space="preserve"> </w:t>
      </w:r>
      <w:r>
        <w:t xml:space="preserve">at 450 (internal quotation marks omitted). In this case, the record is not simply incomplete or unsatisfactory; it is nonexistent. Congress crafted BCRA in response to a virtual mountain of research on the corruption that previous legislation had failed to avert. The Court now negates Congress’ efforts without a shred of evidence on how §203 or its state-law counterparts have been affecting any entity other than Citizens United.</w:t>
      </w:r>
      <w:r>
        <w:rPr>
          <w:rStyle w:val="FootnoteReference"/>
        </w:rPr>
        <w:footnoteReference w:customMarkFollows="1" w:id="122"/>
        <w:t xml:space="preserve">5</w:t>
      </w:r>
    </w:p>
    <w:p>
      <w:pPr>
        <w:pStyle w:val="CaseBody"/>
      </w:pPr>
      <w:r>
        <w:t xml:space="preserve">Faced with this gaping empirical hole, the majority throws up its hands. Were we to confine our inquiry to Citizens United’s as-applied challenge, it protests, we would commence an “extended” process of “draw[ing], and then redrawing], constitutional lines based on the particular media or technology used to disseminate political speech from a particular speaker.”</w:t>
      </w:r>
      <w:r>
        <w:t xml:space="preserve"> </w:t>
      </w:r>
      <w:r>
        <w:rPr>
          <w:iCs/>
          <w:i/>
        </w:rPr>
        <w:t xml:space="preserve">Ante,</w:t>
      </w:r>
      <w:r>
        <w:t xml:space="preserve"> </w:t>
      </w:r>
      <w:r>
        <w:t xml:space="preserve">at 326. While tacitly acknowledging that some applications of § 203 might be found constitutional, the majority thus posits a future in which novel First Amendment standards must be devised on an ad hoc basis, and then leaps from this unfounded prediction to the unfounded conclusion that such complexity counsels the abandonment of all normal restraint. Yet it is a pervasive feature of regulatory systems that unanticipated events, such as new technologies, may raise some unanticipated difficulties at the margins. The fluid nature of electioneering communications does not make this case special. The fact that a Court can hypothesize situations in which a statute might, at some point down the line, pose some unforeseen as-applied problems, does not come close to meeting the standard for a facial challenge.</w:t>
      </w:r>
      <w:r>
        <w:rPr>
          <w:rStyle w:val="FootnoteReference"/>
        </w:rPr>
        <w:footnoteReference w:customMarkFollows="1" w:id="145"/>
        <w:t xml:space="preserve">6</w:t>
      </w:r>
    </w:p>
    <w:p>
      <w:pPr>
        <w:pStyle w:val="CaseBody"/>
      </w:pPr>
      <w:r>
        <w:t xml:space="preserve">The majority proposes several other justifications for the sweep of its ruling. It suggests that a facial ruling is necessary because, if the Court were to continue on its normal course of resolving as-applied challenges as they present themselves, that process would itself run afoul of the First Amendment. See,</w:t>
      </w:r>
      <w:r>
        <w:t xml:space="preserve"> </w:t>
      </w:r>
      <w:r>
        <w:rPr>
          <w:iCs/>
          <w:i/>
        </w:rPr>
        <w:t xml:space="preserve">e. g., ante,</w:t>
      </w:r>
      <w:r>
        <w:t xml:space="preserve"> </w:t>
      </w:r>
      <w:r>
        <w:t xml:space="preserve">at 326 (as-applied review process “would raise questions as to the courts’ own lawful authority”);</w:t>
      </w:r>
      <w:r>
        <w:t xml:space="preserve"> </w:t>
      </w:r>
      <w:r>
        <w:rPr>
          <w:iCs/>
          <w:i/>
        </w:rPr>
        <w:t xml:space="preserve">ibid.</w:t>
      </w:r>
      <w:r>
        <w:t xml:space="preserve"> </w:t>
      </w:r>
      <w:r>
        <w:t xml:space="preserve">(“Courts, too, are bound by the First Amendment”). This suggestion is perplexing. Our colleagues elsewhere trumpet “our duty ‘to say what the law is,’ ” even when our predecessors on the bench and our counterparts in Congress have interpreted the law differently.</w:t>
      </w:r>
      <w:r>
        <w:t xml:space="preserve"> </w:t>
      </w:r>
      <w:r>
        <w:rPr>
          <w:iCs/>
          <w:i/>
        </w:rPr>
        <w:t xml:space="preserve">Ante,</w:t>
      </w:r>
      <w:r>
        <w:t xml:space="preserve"> </w:t>
      </w:r>
      <w:r>
        <w:t xml:space="preserve">at 365 (quoting</w:t>
      </w:r>
      <w:r>
        <w:t xml:space="preserve"> </w:t>
      </w:r>
      <w:r>
        <w:rPr>
          <w:iCs/>
          <w:i/>
        </w:rPr>
        <w:t xml:space="preserve">Marbury</w:t>
      </w:r>
      <w:r>
        <w:t xml:space="preserve"> </w:t>
      </w:r>
      <w:r>
        <w:t xml:space="preserve">v.</w:t>
      </w:r>
      <w:r>
        <w:t xml:space="preserve"> </w:t>
      </w:r>
      <w:r>
        <w:rPr>
          <w:iCs/>
          <w:i/>
        </w:rPr>
        <w:t xml:space="preserve">Madison,</w:t>
      </w:r>
      <w:r>
        <w:t xml:space="preserve"> </w:t>
      </w:r>
      <w:r>
        <w:t xml:space="preserve">1 Cranch 137, 177 (1803)). We do not typically say what the law</w:t>
      </w:r>
      <w:r>
        <w:t xml:space="preserve"> </w:t>
      </w:r>
      <w:r>
        <w:rPr>
          <w:iCs/>
          <w:i/>
        </w:rPr>
        <w:t xml:space="preserve">is not</w:t>
      </w:r>
      <w:r>
        <w:t xml:space="preserve"> </w:t>
      </w:r>
      <w:r>
        <w:t xml:space="preserve">as a hedge against future judicial error. The possibility that later courts will misapply a constitutional provision does not give</w:t>
      </w:r>
    </w:p>
    <w:p>
      <w:pPr>
        <w:pStyle w:val="CaseBody"/>
      </w:pPr>
      <w:r>
        <w:t xml:space="preserve">us a basis for pretermitting litigation relating to that provision.</w:t>
      </w:r>
      <w:r>
        <w:rPr>
          <w:rStyle w:val="FootnoteReference"/>
        </w:rPr>
        <w:footnoteReference w:customMarkFollows="1" w:id="166"/>
        <w:t xml:space="preserve">7</w:t>
      </w:r>
    </w:p>
    <w:p>
      <w:pPr>
        <w:pStyle w:val="CaseBody"/>
      </w:pPr>
      <w:r>
        <w:t xml:space="preserve">The majority suggests that a facial ruling is necessary because anything less would chill too much protected speech. See</w:t>
      </w:r>
      <w:r>
        <w:t xml:space="preserve"> </w:t>
      </w:r>
      <w:r>
        <w:rPr>
          <w:iCs/>
          <w:i/>
        </w:rPr>
        <w:t xml:space="preserve">ante,</w:t>
      </w:r>
      <w:r>
        <w:t xml:space="preserve"> </w:t>
      </w:r>
      <w:r>
        <w:t xml:space="preserve">at 326-327, 329, 333-336. In addition to begging the question what types of corporate spending are constitutionally protected and to what extent, this claim rests on the assertion that some significant number of corporations have been cowed into quiescence by FEC “ ‘censorship].’ ”</w:t>
      </w:r>
      <w:r>
        <w:t xml:space="preserve"> </w:t>
      </w:r>
      <w:r>
        <w:rPr>
          <w:iCs/>
          <w:i/>
        </w:rPr>
        <w:t xml:space="preserve">Ante,</w:t>
      </w:r>
      <w:r>
        <w:t xml:space="preserve"> </w:t>
      </w:r>
      <w:r>
        <w:t xml:space="preserve">at 335. That assertion is unsubstantiated, and it is hard to square with practical experience. It is particularly hard to square with the legal landscape following</w:t>
      </w:r>
      <w:r>
        <w:t xml:space="preserve"> </w:t>
      </w:r>
      <w:r>
        <w:rPr>
          <w:iCs/>
          <w:i/>
        </w:rPr>
        <w:t xml:space="preserve">WRTL,</w:t>
      </w:r>
      <w:r>
        <w:t xml:space="preserve"> </w:t>
      </w:r>
      <w:r>
        <w:t xml:space="preserve">which held that a corporate communication could be regulated under §203 only if it was “susceptible of</w:t>
      </w:r>
      <w:r>
        <w:t xml:space="preserve"> </w:t>
      </w:r>
      <w:r>
        <w:rPr>
          <w:iCs/>
          <w:i/>
        </w:rPr>
        <w:t xml:space="preserve">no</w:t>
      </w:r>
      <w:r>
        <w:t xml:space="preserve"> </w:t>
      </w:r>
      <w:r>
        <w:t xml:space="preserve">reasonable interpretation other than as an appeal to vote for or against a specific candidate.” 551 U. S., at 470 (opinion of Roberts, C. J.) (emphasis added). The whole point of this test was to make §203 as simple and speech-protective as possible. The Court does not explain how, in the span of a single election cycle, it has determined The Chief Justice’s project to be a failure. In this respect, too, the majority’s critique of line-drawing collapses into a critique of the as-applied review method generally.</w:t>
      </w:r>
      <w:r>
        <w:rPr>
          <w:rStyle w:val="FootnoteReference"/>
        </w:rPr>
        <w:footnoteReference w:customMarkFollows="1" w:id="186"/>
        <w:t xml:space="preserve">8</w:t>
      </w:r>
    </w:p>
    <w:p>
      <w:pPr>
        <w:pStyle w:val="CaseBody"/>
      </w:pPr>
      <w:r>
        <w:t xml:space="preserve">The majority suggests that, even though it expressly dismissed its facial challenge, Citizens United nevertheless preserved it — not as a freestanding “claim,” but as a potential argument in support of “a claim that the FEC has violated its First Amendment right to free speech.”</w:t>
      </w:r>
      <w:r>
        <w:t xml:space="preserve"> </w:t>
      </w:r>
      <w:r>
        <w:rPr>
          <w:iCs/>
          <w:i/>
        </w:rPr>
        <w:t xml:space="preserve">Ante,</w:t>
      </w:r>
      <w:r>
        <w:t xml:space="preserve"> </w:t>
      </w:r>
      <w:r>
        <w:t xml:space="preserve">at 330; see also</w:t>
      </w:r>
      <w:r>
        <w:t xml:space="preserve"> </w:t>
      </w:r>
      <w:r>
        <w:rPr>
          <w:iCs/>
          <w:i/>
        </w:rPr>
        <w:t xml:space="preserve">ante,</w:t>
      </w:r>
      <w:r>
        <w:t xml:space="preserve"> </w:t>
      </w:r>
      <w:r>
        <w:t xml:space="preserve">at 376 (Roberts, C. J., concurring) (describing Citizens United’s claim as: “[T]he Act violates the First Amendment”). By this novel logic, virtually any submission could be reconceptualized as “a claim that the Government has violated my rights,” and it would then be available to the Court to entertain any conceivable issue that might be relevant to that claim’s disposition. Not only the as-applied/facial distinction, but the basic relationship between litigants and courts, would be upended if the latter had free rein to construe the former’s claims at such high levels of generality. There would be no need for plaintiffs to argue their case; they could just cite the constitutional provisions they think relevant, and leave the rest to us.</w:t>
      </w:r>
      <w:r>
        <w:rPr>
          <w:rStyle w:val="FootnoteReference"/>
        </w:rPr>
        <w:footnoteReference w:customMarkFollows="1" w:id="205"/>
        <w:t xml:space="preserve">9</w:t>
      </w:r>
    </w:p>
    <w:p>
      <w:pPr>
        <w:pStyle w:val="CaseBody"/>
      </w:pPr>
      <w:r>
        <w:t xml:space="preserve">Finally, the majority suggests that though the scope of Citizens United’s claim may be narrow, a facial ruling is necessary as a matter of remedy. Relying on a law review article, it asserts that Citizens United’s dismissal of the facial challenge does not prevent us “ ‘from making broader pronouncements of invalidity in properly “as-applied” cases.’”</w:t>
      </w:r>
      <w:r>
        <w:t xml:space="preserve"> </w:t>
      </w:r>
      <w:r>
        <w:rPr>
          <w:iCs/>
          <w:i/>
        </w:rPr>
        <w:t xml:space="preserve">Ante,</w:t>
      </w:r>
      <w:r>
        <w:t xml:space="preserve"> </w:t>
      </w:r>
      <w:r>
        <w:t xml:space="preserve">at 331 (quoting Fallon, As-Applied and Facial Challenges and Third-Party Standing, 113 Harv. L. Rev. 1321, 1339 (2000) (hereinafter Fallon)); accord,</w:t>
      </w:r>
      <w:r>
        <w:t xml:space="preserve"> </w:t>
      </w:r>
      <w:r>
        <w:rPr>
          <w:iCs/>
          <w:i/>
        </w:rPr>
        <w:t xml:space="preserve">ante,</w:t>
      </w:r>
      <w:r>
        <w:t xml:space="preserve"> </w:t>
      </w:r>
      <w:r>
        <w:t xml:space="preserve">at 376 (opinion of Roberts, C. J.) (“Regardless whether we label Citizens United’s claim a ‘facial’ or ‘as-applied’ challenge, the consequences of the Court’s decision are the same”). The majority is on firmer conceptual ground here. Yet even if one accepts this part of Professor Fallon’s thesis, one must proceed to ask</w:t>
      </w:r>
      <w:r>
        <w:t xml:space="preserve"> </w:t>
      </w:r>
      <w:r>
        <w:rPr>
          <w:iCs/>
          <w:i/>
        </w:rPr>
        <w:t xml:space="preserve">which</w:t>
      </w:r>
      <w:r>
        <w:t xml:space="preserve"> </w:t>
      </w:r>
      <w:r>
        <w:t xml:space="preserve">as-applied challenges, if successful, will “properly” invite or entail invalidation of the underlying statute.</w:t>
      </w:r>
      <w:r>
        <w:rPr>
          <w:rStyle w:val="FootnoteReference"/>
        </w:rPr>
        <w:footnoteReference w:customMarkFollows="1" w:id="223"/>
        <w:t xml:space="preserve">10</w:t>
      </w:r>
      <w:r>
        <w:t xml:space="preserve"> </w:t>
      </w:r>
      <w:r>
        <w:t xml:space="preserve">The paradigmatic case is a judicial determination that the legislature acted with an impermissible purpose in enacting a provision, as this carries the necessary implication that all fiiture as-applied challenges to the provision must prevail. See Fallon 1339-1340.</w:t>
      </w:r>
    </w:p>
    <w:p>
      <w:pPr>
        <w:pStyle w:val="CaseBody"/>
      </w:pPr>
      <w:r>
        <w:t xml:space="preserve">Citizens United’s as-applied challenge was not of this sort. Until this Court ordered reargument, its contention was that BCRA § 208 could not lawfully be applied to a feature-length video-on-demand film (such as</w:t>
      </w:r>
      <w:r>
        <w:t xml:space="preserve"> </w:t>
      </w:r>
      <w:r>
        <w:rPr>
          <w:iCs/>
          <w:i/>
        </w:rPr>
        <w:t xml:space="preserve">Hillary)</w:t>
      </w:r>
      <w:r>
        <w:t xml:space="preserve"> </w:t>
      </w:r>
      <w:r>
        <w:t xml:space="preserve">or to a nonprofit corporation exempt from taxation under 26 U. S. C. § 501(c)(4)</w:t>
      </w:r>
      <w:r>
        <w:rPr>
          <w:rStyle w:val="FootnoteReference"/>
        </w:rPr>
        <w:footnoteReference w:customMarkFollows="1" w:id="240"/>
        <w:t xml:space="preserve">11</w:t>
      </w:r>
      <w:r>
        <w:t xml:space="preserve"> </w:t>
      </w:r>
      <w:r>
        <w:t xml:space="preserve">and funded overwhelmingly by individuals (such as itself). See Brief for Appellant 16-41. Success on either of these claims would not necessarily carry any implications for the validity of § 203 as applied to other types of broadcasts, other types of corporations, or unions. It certainly would not invalidate the statute as applied to a large for-profit corporation. See Tr. of Oral Arg. 8, 4 (Mar. 24, 2009) (counsel for Citizens United emphasizing that appellant is “a small, nonprofit organization, which is very much like [an</w:t>
      </w:r>
      <w:r>
        <w:t xml:space="preserve"> </w:t>
      </w:r>
      <w:r>
        <w:rPr>
          <w:iCs/>
          <w:i/>
        </w:rPr>
        <w:t xml:space="preserve">MCFL</w:t>
      </w:r>
      <w:r>
        <w:t xml:space="preserve"> </w:t>
      </w:r>
      <w:r>
        <w:t xml:space="preserve">corporation],” and affirming that its argument “definitely would not be the same” if</w:t>
      </w:r>
      <w:r>
        <w:t xml:space="preserve"> </w:t>
      </w:r>
      <w:r>
        <w:rPr>
          <w:iCs/>
          <w:i/>
        </w:rPr>
        <w:t xml:space="preserve">Hillary</w:t>
      </w:r>
      <w:r>
        <w:t xml:space="preserve"> </w:t>
      </w:r>
      <w:r>
        <w:t xml:space="preserve">were distributed by General Motors).</w:t>
      </w:r>
      <w:r>
        <w:rPr>
          <w:rStyle w:val="FootnoteReference"/>
        </w:rPr>
        <w:footnoteReference w:customMarkFollows="1" w:id="256"/>
        <w:t xml:space="preserve">12</w:t>
      </w:r>
      <w:r>
        <w:t xml:space="preserve"> </w:t>
      </w:r>
      <w:r>
        <w:t xml:space="preserve">There is no legitimate basis for resurrecting a facial challenge that dropped out of this case 20 months ago.</w:t>
      </w:r>
    </w:p>
    <w:p>
      <w:pPr>
        <w:pStyle w:val="CaseBody"/>
      </w:pPr>
      <w:r>
        <w:rPr>
          <w:iCs/>
          <w:i/>
        </w:rPr>
        <w:t xml:space="preserve">Narrower Grounds</w:t>
      </w:r>
    </w:p>
    <w:p>
      <w:pPr>
        <w:pStyle w:val="CaseBody"/>
      </w:pPr>
      <w:r>
        <w:t xml:space="preserve">It is all the more distressing that our colleagues have manufactured a facial challenge, because the parties have advanced numerous ways to resolve the case that would facilitate electioneering by nonprofit advocacy corporations such as Citizens United, without toppling statutes and precedents. Which is to say, the majority has transgressed yet another “cardinal” principle of the judicial process: “[I]f it is not necessary to decide more, it is necessary not to decide more,”</w:t>
      </w:r>
      <w:r>
        <w:t xml:space="preserve"> </w:t>
      </w:r>
      <w:r>
        <w:rPr>
          <w:iCs/>
          <w:i/>
        </w:rPr>
        <w:t xml:space="preserve">PDK Labs. Inc.</w:t>
      </w:r>
      <w:r>
        <w:t xml:space="preserve"> </w:t>
      </w:r>
      <w:r>
        <w:t xml:space="preserve">v.</w:t>
      </w:r>
      <w:r>
        <w:t xml:space="preserve"> </w:t>
      </w:r>
      <w:r>
        <w:rPr>
          <w:iCs/>
          <w:i/>
        </w:rPr>
        <w:t xml:space="preserve">Drug Enforcement Admin.,</w:t>
      </w:r>
      <w:r>
        <w:t xml:space="preserve"> </w:t>
      </w:r>
      <w:r>
        <w:t xml:space="preserve">362 F. 3d 786, 799 (CADC 2004) (Roberts, J., concurring in part and concurring in judgment).</w:t>
      </w:r>
    </w:p>
    <w:p>
      <w:pPr>
        <w:pStyle w:val="CaseBody"/>
      </w:pPr>
      <w:r>
        <w:t xml:space="preserve">Consider just three of the narrower grounds of decision that the majority has bypassed. First, the Court eould have ruled, on statutory grounds, that a feature-length film distributed through video-on-demand does not qualify as an “electioneering communication” under §203 of BCRA, 2 U. S. C. § 441b. BCRA defines that term to encompass certain communications transmitted by “broadcast, cable, or satellite.” § 434(f)(3)(A). When Congress was developing BCRA, the video-on-demand medium was still in its infancy, and legislators were focused on a very different sort of programming: short advertisements run on television or radio. See</w:t>
      </w:r>
      <w:r>
        <w:t xml:space="preserve"> </w:t>
      </w:r>
      <w:r>
        <w:rPr>
          <w:iCs/>
          <w:i/>
        </w:rPr>
        <w:t xml:space="preserve">McConnell,</w:t>
      </w:r>
      <w:r>
        <w:t xml:space="preserve"> </w:t>
      </w:r>
      <w:r>
        <w:t xml:space="preserve">540 U. S., at 207. The sponsors of BCRA acknowledge that the FEC’s implementing regulations do not clearly apply to video-on-demand transmissions. See Brief for Senator John McCain et al. as</w:t>
      </w:r>
      <w:r>
        <w:t xml:space="preserve"> </w:t>
      </w:r>
      <w:r>
        <w:rPr>
          <w:iCs/>
          <w:i/>
        </w:rPr>
        <w:t xml:space="preserve">Amici Curiae</w:t>
      </w:r>
      <w:r>
        <w:t xml:space="preserve"> </w:t>
      </w:r>
      <w:r>
        <w:t xml:space="preserve">17-18. In light of this ambiguity, the distinctive characteristics of video-on-demand, and “[t]he elementary rule . . . that every reasonable construction must be resorted to, in order to save a statute from unconstitutionality,”</w:t>
      </w:r>
      <w:r>
        <w:t xml:space="preserve"> </w:t>
      </w:r>
      <w:r>
        <w:rPr>
          <w:iCs/>
          <w:i/>
        </w:rPr>
        <w:t xml:space="preserve">Hooper</w:t>
      </w:r>
      <w:r>
        <w:t xml:space="preserve"> </w:t>
      </w:r>
      <w:r>
        <w:t xml:space="preserve">v.</w:t>
      </w:r>
      <w:r>
        <w:t xml:space="preserve"> </w:t>
      </w:r>
      <w:r>
        <w:rPr>
          <w:iCs/>
          <w:i/>
        </w:rPr>
        <w:t xml:space="preserve">California,</w:t>
      </w:r>
      <w:r>
        <w:t xml:space="preserve"> </w:t>
      </w:r>
      <w:r>
        <w:t xml:space="preserve">155 U. S. 648, 657 (1895), the Court could have reasonably ruled that §203 does not apply to Hillary.</w:t>
      </w:r>
      <w:r>
        <w:rPr>
          <w:rStyle w:val="FootnoteReference"/>
        </w:rPr>
        <w:footnoteReference w:customMarkFollows="1" w:id="272"/>
        <w:t xml:space="preserve">13</w:t>
      </w:r>
    </w:p>
    <w:p>
      <w:pPr>
        <w:pStyle w:val="CaseBody"/>
      </w:pPr>
      <w:r>
        <w:t xml:space="preserve">Second, the Court could have expanded the</w:t>
      </w:r>
      <w:r>
        <w:t xml:space="preserve"> </w:t>
      </w:r>
      <w:r>
        <w:rPr>
          <w:iCs/>
          <w:i/>
        </w:rPr>
        <w:t xml:space="preserve">MCFL</w:t>
      </w:r>
      <w:r>
        <w:t xml:space="preserve"> </w:t>
      </w:r>
      <w:r>
        <w:t xml:space="preserve">exemption to cover § 501(c)(4) nonprofits that accept only a</w:t>
      </w:r>
      <w:r>
        <w:t xml:space="preserve"> </w:t>
      </w:r>
      <w:r>
        <w:rPr>
          <w:iCs/>
          <w:i/>
        </w:rPr>
        <w:t xml:space="preserve">de minimis</w:t>
      </w:r>
      <w:r>
        <w:t xml:space="preserve"> </w:t>
      </w:r>
      <w:r>
        <w:t xml:space="preserve">amount of money from for-profit corporations. Citizens United professes to be such a group: Its brief says it “is funded predominantly by donations from individuals who support [its] ideological message.” Brief for Appellant 5. Numerous Courts of Appeals have held that</w:t>
      </w:r>
      <w:r>
        <w:t xml:space="preserve"> </w:t>
      </w:r>
      <w:r>
        <w:rPr>
          <w:iCs/>
          <w:i/>
        </w:rPr>
        <w:t xml:space="preserve">de minimis</w:t>
      </w:r>
      <w:r>
        <w:t xml:space="preserve"> </w:t>
      </w:r>
      <w:r>
        <w:t xml:space="preserve">business support does not, in itself, remove an otherwise qualifying organization from the ambit of</w:t>
      </w:r>
      <w:r>
        <w:t xml:space="preserve"> </w:t>
      </w:r>
      <w:r>
        <w:rPr>
          <w:iCs/>
          <w:i/>
        </w:rPr>
        <w:t xml:space="preserve">MCFL.</w:t>
      </w:r>
      <w:r>
        <w:rPr>
          <w:rStyle w:val="FootnoteReference"/>
          <w:iCs/>
          <w:i/>
        </w:rPr>
        <w:footnoteReference w:customMarkFollows="1" w:id="288"/>
        <w:t xml:space="preserve">14</w:t>
      </w:r>
      <w:r>
        <w:t xml:space="preserve"> </w:t>
      </w:r>
      <w:r>
        <w:t xml:space="preserve"> </w:t>
      </w:r>
      <w:r>
        <w:t xml:space="preserve">This Court could have simply followed their lead.</w:t>
      </w:r>
      <w:r>
        <w:rPr>
          <w:rStyle w:val="FootnoteReference"/>
        </w:rPr>
        <w:footnoteReference w:customMarkFollows="1" w:id="304"/>
        <w:t xml:space="preserve">15</w:t>
      </w:r>
    </w:p>
    <w:p>
      <w:pPr>
        <w:pStyle w:val="CaseBody"/>
      </w:pPr>
      <w:r>
        <w:t xml:space="preserve">Finally, let us not forget Citizens United’s as-applied constitutional challenge. Precisely because Citizens United looks so much like the</w:t>
      </w:r>
      <w:r>
        <w:t xml:space="preserve"> </w:t>
      </w:r>
      <w:r>
        <w:rPr>
          <w:iCs/>
          <w:i/>
        </w:rPr>
        <w:t xml:space="preserve">MCFL</w:t>
      </w:r>
      <w:r>
        <w:t xml:space="preserve"> </w:t>
      </w:r>
      <w:r>
        <w:t xml:space="preserve">organizations we have exempted from regulation, while a feature-length video-on-demand film looks so unlike the types of electoral advocacy Congress has found deserving of regulation, this challenge is a substantial one. As the appellant’s own arguments show, the Court could have easily limited the breadth of its constitutional holding had it declined to adopt the novel notion that speakers and speech acts must always be treated identically — and always spared expenditures restrictions — in the political realm. Yet the Court nonetheless turns its back on the as-applied review process that has been a staple of campaign finance litigation since</w:t>
      </w:r>
      <w:r>
        <w:t xml:space="preserve"> </w:t>
      </w:r>
      <w:r>
        <w:rPr>
          <w:iCs/>
          <w:i/>
        </w:rPr>
        <w:t xml:space="preserve">Buckley</w:t>
      </w:r>
      <w:r>
        <w:t xml:space="preserve"> </w:t>
      </w:r>
      <w:r>
        <w:t xml:space="preserve">v.</w:t>
      </w:r>
      <w:r>
        <w:t xml:space="preserve"> </w:t>
      </w:r>
      <w:r>
        <w:rPr>
          <w:iCs/>
          <w:i/>
        </w:rPr>
        <w:t xml:space="preserve">Valeo,</w:t>
      </w:r>
      <w:r>
        <w:t xml:space="preserve"> </w:t>
      </w:r>
      <w:r>
        <w:t xml:space="preserve">424 U. S. 1 (1976)</w:t>
      </w:r>
      <w:r>
        <w:t xml:space="preserve"> </w:t>
      </w:r>
      <w:r>
        <w:rPr>
          <w:iCs/>
          <w:i/>
        </w:rPr>
        <w:t xml:space="preserve">(per curiam),</w:t>
      </w:r>
      <w:r>
        <w:t xml:space="preserve"> </w:t>
      </w:r>
      <w:r>
        <w:t xml:space="preserve">and that was affirmed and expanded just two Terms ago in</w:t>
      </w:r>
      <w:r>
        <w:t xml:space="preserve"> </w:t>
      </w:r>
      <w:r>
        <w:rPr>
          <w:iCs/>
          <w:i/>
        </w:rPr>
        <w:t xml:space="preserve">WRTL,</w:t>
      </w:r>
      <w:r>
        <w:t xml:space="preserve"> </w:t>
      </w:r>
      <w:r>
        <w:t xml:space="preserve">551 U. S. 449.</w:t>
      </w:r>
    </w:p>
    <w:p>
      <w:pPr>
        <w:pStyle w:val="CaseBody"/>
      </w:pPr>
      <w:r>
        <w:t xml:space="preserve">This brief tour of alternative grounds on which the ease could have been decided is not meant to show that any of these grounds is ideal, though each is perfectly “valid,”</w:t>
      </w:r>
      <w:r>
        <w:t xml:space="preserve"> </w:t>
      </w:r>
      <w:r>
        <w:rPr>
          <w:iCs/>
          <w:i/>
        </w:rPr>
        <w:t xml:space="preserve">ante,</w:t>
      </w:r>
      <w:r>
        <w:t xml:space="preserve"> </w:t>
      </w:r>
      <w:r>
        <w:t xml:space="preserve">at 329 (majority opinion).</w:t>
      </w:r>
      <w:r>
        <w:rPr>
          <w:rStyle w:val="FootnoteReference"/>
        </w:rPr>
        <w:footnoteReference w:customMarkFollows="1" w:id="319"/>
        <w:t xml:space="preserve">16</w:t>
      </w:r>
      <w:r>
        <w:t xml:space="preserve"> </w:t>
      </w:r>
      <w:r>
        <w:t xml:space="preserve">It is meant to show that there were principled, narrower paths that a Court that was serious about judicial restraint could have taken. There was also the straightforward path: applying</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just as the District Court did in holding that the funding of Citizens United's film can be regulated under them. The only thing preventing the majority from affirming the District Court, or adopting a narrower ground that would retain</w:t>
      </w:r>
      <w:r>
        <w:t xml:space="preserve"> </w:t>
      </w:r>
      <w:r>
        <w:rPr>
          <w:iCs/>
          <w:i/>
        </w:rPr>
        <w:t xml:space="preserve">Austin,</w:t>
      </w:r>
      <w:r>
        <w:t xml:space="preserve"> </w:t>
      </w:r>
      <w:r>
        <w:t xml:space="preserve">is its disdain for</w:t>
      </w:r>
      <w:r>
        <w:t xml:space="preserve"> </w:t>
      </w:r>
      <w:r>
        <w:rPr>
          <w:iCs/>
          <w:i/>
        </w:rPr>
        <w:t xml:space="preserve">Austin.</w:t>
      </w:r>
    </w:p>
    <w:p>
      <w:pPr>
        <w:pStyle w:val="CaseBody"/>
      </w:pPr>
      <w:r>
        <w:t xml:space="preserve">II</w:t>
      </w:r>
    </w:p>
    <w:p>
      <w:pPr>
        <w:pStyle w:val="CaseBody"/>
      </w:pPr>
      <w:r>
        <w:t xml:space="preserve">The final principle of judicial process that the majority violates is the most transparent:</w:t>
      </w:r>
      <w:r>
        <w:t xml:space="preserve"> </w:t>
      </w:r>
      <w:r>
        <w:rPr>
          <w:iCs/>
          <w:i/>
        </w:rPr>
        <w:t xml:space="preserve">stare decisis.</w:t>
      </w:r>
      <w:r>
        <w:t xml:space="preserve"> </w:t>
      </w:r>
      <w:r>
        <w:t xml:space="preserve">I am not an absolutist when it comes to</w:t>
      </w:r>
      <w:r>
        <w:t xml:space="preserve"> </w:t>
      </w:r>
      <w:r>
        <w:rPr>
          <w:iCs/>
          <w:i/>
        </w:rPr>
        <w:t xml:space="preserve">stare decisis,</w:t>
      </w:r>
      <w:r>
        <w:t xml:space="preserve"> </w:t>
      </w:r>
      <w:r>
        <w:t xml:space="preserve">in the campaign finance area or in any other. No one is. But if this principle is to do any meaningful work in supporting the rule of law, it must at least demand a significant justification, beyond the preferences of five Justices, for overturning settled doctrine. “[A] decision to overrule should rest on some special reason over and above the belief that a prior case was wrongly decided.”</w:t>
      </w:r>
      <w:r>
        <w:t xml:space="preserve"> </w:t>
      </w:r>
      <w:r>
        <w:rPr>
          <w:iCs/>
          <w:i/>
        </w:rPr>
        <w:t xml:space="preserve">Planned Parenthood of Southeastern Pa.</w:t>
      </w:r>
      <w:r>
        <w:t xml:space="preserve"> </w:t>
      </w:r>
      <w:r>
        <w:t xml:space="preserve">v.</w:t>
      </w:r>
      <w:r>
        <w:t xml:space="preserve"> </w:t>
      </w:r>
      <w:r>
        <w:rPr>
          <w:iCs/>
          <w:i/>
        </w:rPr>
        <w:t xml:space="preserve">Casey,</w:t>
      </w:r>
      <w:r>
        <w:t xml:space="preserve"> </w:t>
      </w:r>
      <w:r>
        <w:t xml:space="preserve">505 U. S. 833, 864 (1992). No such justification exists in this case, and to the contrary there are powerful prudential reasons to keep faith with our precedents.</w:t>
      </w:r>
      <w:r>
        <w:rPr>
          <w:rStyle w:val="FootnoteReference"/>
        </w:rPr>
        <w:footnoteReference w:customMarkFollows="1" w:id="333"/>
        <w:t xml:space="preserve">17</w:t>
      </w:r>
    </w:p>
    <w:p>
      <w:pPr>
        <w:pStyle w:val="CaseBody"/>
      </w:pPr>
      <w:r>
        <w:t xml:space="preserve">The Court’s central argument for why</w:t>
      </w:r>
      <w:r>
        <w:t xml:space="preserve"> </w:t>
      </w:r>
      <w:r>
        <w:rPr>
          <w:iCs/>
          <w:i/>
        </w:rPr>
        <w:t xml:space="preserve">stare decisis</w:t>
      </w:r>
      <w:r>
        <w:t xml:space="preserve"> </w:t>
      </w:r>
      <w:r>
        <w:t xml:space="preserve">ought to be trumped is that it does not like</w:t>
      </w:r>
      <w:r>
        <w:t xml:space="preserve"> </w:t>
      </w:r>
      <w:r>
        <w:rPr>
          <w:iCs/>
          <w:i/>
        </w:rPr>
        <w:t xml:space="preserve">Austin.</w:t>
      </w:r>
      <w:r>
        <w:t xml:space="preserve"> </w:t>
      </w:r>
      <w:r>
        <w:t xml:space="preserve">The opinion “was not well reasoned,” our colleagues assert, and it conflicts with First Amendment principles.</w:t>
      </w:r>
      <w:r>
        <w:t xml:space="preserve"> </w:t>
      </w:r>
      <w:r>
        <w:rPr>
          <w:iCs/>
          <w:i/>
        </w:rPr>
        <w:t xml:space="preserve">Ante,</w:t>
      </w:r>
      <w:r>
        <w:t xml:space="preserve"> </w:t>
      </w:r>
      <w:r>
        <w:t xml:space="preserve">at 363. This, of course, is the Court’s merits argument, the many defects in which we will soon consider. I am perfectly willing to concede that if one of our precedents were dead wrong in its reasoning or irreconcilable with the rest of our doctrine, there would be a compelling basis for revisiting it. But neither is true of</w:t>
      </w:r>
      <w:r>
        <w:t xml:space="preserve"> </w:t>
      </w:r>
      <w:r>
        <w:rPr>
          <w:iCs/>
          <w:i/>
        </w:rPr>
        <w:t xml:space="preserve">Austin,</w:t>
      </w:r>
      <w:r>
        <w:t xml:space="preserve"> </w:t>
      </w:r>
      <w:r>
        <w:t xml:space="preserve">as I explain at length in Parts III and IV,</w:t>
      </w:r>
      <w:r>
        <w:t xml:space="preserve"> </w:t>
      </w:r>
      <w:r>
        <w:rPr>
          <w:iCs/>
          <w:i/>
        </w:rPr>
        <w:t xml:space="preserve">infra,</w:t>
      </w:r>
      <w:r>
        <w:t xml:space="preserve"> </w:t>
      </w:r>
      <w:r>
        <w:t xml:space="preserve">at 414-478, and restating a merits argument with additional vigor does not give it extra weight in the</w:t>
      </w:r>
      <w:r>
        <w:t xml:space="preserve"> </w:t>
      </w:r>
      <w:r>
        <w:rPr>
          <w:iCs/>
          <w:i/>
        </w:rPr>
        <w:t xml:space="preserve">stare decisis</w:t>
      </w:r>
      <w:r>
        <w:t xml:space="preserve"> </w:t>
      </w:r>
      <w:r>
        <w:t xml:space="preserve">calculus.</w:t>
      </w:r>
    </w:p>
    <w:p>
      <w:pPr>
        <w:pStyle w:val="CaseBody"/>
      </w:pPr>
      <w:r>
        <w:t xml:space="preserve">Perhaps in recognition of this point, the Court supplements its merits case with a smattering of assertions. The Court proclaims that</w:t>
      </w:r>
      <w:r>
        <w:t xml:space="preserve"> </w:t>
      </w:r>
      <w:r>
        <w:rPr>
          <w:iCs/>
          <w:i/>
        </w:rPr>
        <w:t xml:space="preserve">“Austin</w:t>
      </w:r>
      <w:r>
        <w:t xml:space="preserve"> </w:t>
      </w:r>
      <w:r>
        <w:t xml:space="preserve">is undermined by experience since its announcement.”</w:t>
      </w:r>
      <w:r>
        <w:t xml:space="preserve"> </w:t>
      </w:r>
      <w:r>
        <w:rPr>
          <w:iCs/>
          <w:i/>
        </w:rPr>
        <w:t xml:space="preserve">Ante,</w:t>
      </w:r>
      <w:r>
        <w:t xml:space="preserve"> </w:t>
      </w:r>
      <w:r>
        <w:t xml:space="preserve">at 364. This is a curious claim to make in a case that lacks a developed record. The majority has no empirical evidence with which to substantiate the claim; we just have its</w:t>
      </w:r>
      <w:r>
        <w:t xml:space="preserve"> </w:t>
      </w:r>
      <w:r>
        <w:rPr>
          <w:iCs/>
          <w:i/>
        </w:rPr>
        <w:t xml:space="preserve">ipse dixit</w:t>
      </w:r>
      <w:r>
        <w:t xml:space="preserve"> </w:t>
      </w:r>
      <w:r>
        <w:t xml:space="preserve">that the real world has not been kind to</w:t>
      </w:r>
      <w:r>
        <w:t xml:space="preserve"> </w:t>
      </w:r>
      <w:r>
        <w:rPr>
          <w:iCs/>
          <w:i/>
        </w:rPr>
        <w:t xml:space="preserve">Austin.</w:t>
      </w:r>
      <w:r>
        <w:t xml:space="preserve"> </w:t>
      </w:r>
      <w:r>
        <w:t xml:space="preserve">Nor does the majority bother to specify in what sense</w:t>
      </w:r>
      <w:r>
        <w:t xml:space="preserve"> </w:t>
      </w:r>
      <w:r>
        <w:rPr>
          <w:iCs/>
          <w:i/>
        </w:rPr>
        <w:t xml:space="preserve">Austin</w:t>
      </w:r>
      <w:r>
        <w:t xml:space="preserve"> </w:t>
      </w:r>
      <w:r>
        <w:t xml:space="preserve">has been “undermined. ” Instead it treats the reader to a string of non sequiturs: “Our Nation’s speech dynamic is changing,”</w:t>
      </w:r>
      <w:r>
        <w:t xml:space="preserve"> </w:t>
      </w:r>
      <w:r>
        <w:rPr>
          <w:iCs/>
          <w:i/>
        </w:rPr>
        <w:t xml:space="preserve">ante,</w:t>
      </w:r>
      <w:r>
        <w:t xml:space="preserve"> </w:t>
      </w:r>
      <w:r>
        <w:t xml:space="preserve">at 364; “[speakers have become adept at presenting citizens with sound bites, talking points, and scripted messages,”</w:t>
      </w:r>
      <w:r>
        <w:t xml:space="preserve"> </w:t>
      </w:r>
      <w:r>
        <w:rPr>
          <w:iCs/>
          <w:i/>
        </w:rPr>
        <w:t xml:space="preserve">ibid.;</w:t>
      </w:r>
      <w:r>
        <w:t xml:space="preserve"> </w:t>
      </w:r>
      <w:r>
        <w:t xml:space="preserve">“[corporations ... do not have monolithic views,”</w:t>
      </w:r>
      <w:r>
        <w:t xml:space="preserve"> </w:t>
      </w:r>
      <w:r>
        <w:rPr>
          <w:iCs/>
          <w:i/>
        </w:rPr>
        <w:t xml:space="preserve">ibid.</w:t>
      </w:r>
      <w:r>
        <w:t xml:space="preserve"> </w:t>
      </w:r>
      <w:r>
        <w:t xml:space="preserve">How any of these ruminations weakens the force of</w:t>
      </w:r>
      <w:r>
        <w:t xml:space="preserve"> </w:t>
      </w:r>
      <w:r>
        <w:rPr>
          <w:iCs/>
          <w:i/>
        </w:rPr>
        <w:t xml:space="preserve">stare decisis</w:t>
      </w:r>
      <w:r>
        <w:t xml:space="preserve"> </w:t>
      </w:r>
      <w:r>
        <w:t xml:space="preserve">escapes my comprehension.</w:t>
      </w:r>
      <w:r>
        <w:rPr>
          <w:rStyle w:val="FootnoteReference"/>
        </w:rPr>
        <w:footnoteReference w:customMarkFollows="1" w:id="347"/>
        <w:t xml:space="preserve">18</w:t>
      </w:r>
    </w:p>
    <w:p>
      <w:pPr>
        <w:pStyle w:val="CaseBody"/>
      </w:pPr>
      <w:r>
        <w:t xml:space="preserve">The majority also contends that the Government’s hesitation to rely on</w:t>
      </w:r>
      <w:r>
        <w:t xml:space="preserve"> </w:t>
      </w:r>
      <w:r>
        <w:rPr>
          <w:iCs/>
          <w:i/>
        </w:rPr>
        <w:t xml:space="preserve">Austin’s</w:t>
      </w:r>
      <w:r>
        <w:t xml:space="preserve"> </w:t>
      </w:r>
      <w:r>
        <w:t xml:space="preserve">antidistortion rationale “diminished]” “the principle of adhering to that precedent.”</w:t>
      </w:r>
      <w:r>
        <w:t xml:space="preserve"> </w:t>
      </w:r>
      <w:r>
        <w:rPr>
          <w:iCs/>
          <w:i/>
        </w:rPr>
        <w:t xml:space="preserve">Ante,</w:t>
      </w:r>
      <w:r>
        <w:t xml:space="preserve"> </w:t>
      </w:r>
      <w:r>
        <w:t xml:space="preserve">at 363; see also</w:t>
      </w:r>
      <w:r>
        <w:t xml:space="preserve"> </w:t>
      </w:r>
      <w:r>
        <w:rPr>
          <w:iCs/>
          <w:i/>
        </w:rPr>
        <w:t xml:space="preserve">ante,</w:t>
      </w:r>
      <w:r>
        <w:t xml:space="preserve"> </w:t>
      </w:r>
      <w:r>
        <w:t xml:space="preserve">at 382 (opinion of Roberts, C. J.) (Government’s litigating position is “most importan[t]” factor undermining</w:t>
      </w:r>
      <w:r>
        <w:t xml:space="preserve"> </w:t>
      </w:r>
      <w:r>
        <w:rPr>
          <w:iCs/>
          <w:i/>
        </w:rPr>
        <w:t xml:space="preserve">Austin).</w:t>
      </w:r>
      <w:r>
        <w:t xml:space="preserve"> </w:t>
      </w:r>
      <w:r>
        <w:t xml:space="preserve">Why it diminishes the value of</w:t>
      </w:r>
      <w:r>
        <w:t xml:space="preserve"> </w:t>
      </w:r>
      <w:r>
        <w:rPr>
          <w:iCs/>
          <w:i/>
        </w:rPr>
        <w:t xml:space="preserve">stare decisis</w:t>
      </w:r>
      <w:r>
        <w:t xml:space="preserve"> </w:t>
      </w:r>
      <w:r>
        <w:t xml:space="preserve">is left unexplained. We have never thought fit to overrule a precedent because a litigant has taken any particular tack. Nor should we. Our decisions can often be defended on multiple grounds, and a litigant may have strategic or case-specific reasons for emphasizing only a subset of them. Members of the public, moreover, often rely on our bottom-line holdings far more than our precise legal arguments; surely this is true for the legislatures that have been regulating corporate electioneering since</w:t>
      </w:r>
      <w:r>
        <w:t xml:space="preserve"> </w:t>
      </w:r>
      <w:r>
        <w:rPr>
          <w:iCs/>
          <w:i/>
        </w:rPr>
        <w:t xml:space="preserve">Austin.</w:t>
      </w:r>
      <w:r>
        <w:t xml:space="preserve"> </w:t>
      </w:r>
      <w:r>
        <w:t xml:space="preserve">The task of evaluating the continued viability of precedents falls to this Court, not to the parties.</w:t>
      </w:r>
      <w:r>
        <w:rPr>
          <w:rStyle w:val="FootnoteReference"/>
        </w:rPr>
        <w:footnoteReference w:customMarkFollows="1" w:id="360"/>
        <w:t xml:space="preserve">19</w:t>
      </w:r>
    </w:p>
    <w:p>
      <w:pPr>
        <w:pStyle w:val="CaseBody"/>
      </w:pPr>
      <w:r>
        <w:t xml:space="preserve">Although the majority opinion spends several pages making these surprising arguments, it says almost nothing about the standard considerations we have used to determine</w:t>
      </w:r>
      <w:r>
        <w:t xml:space="preserve"> </w:t>
      </w:r>
      <w:r>
        <w:rPr>
          <w:iCs/>
          <w:i/>
        </w:rPr>
        <w:t xml:space="preserve">stare decisis</w:t>
      </w:r>
      <w:r>
        <w:t xml:space="preserve"> </w:t>
      </w:r>
      <w:r>
        <w:t xml:space="preserve">value, such as the antiquity of the precedent, the workability of its legal rule, and the reliance interests at stake. It is also conspicuously silent about</w:t>
      </w:r>
      <w:r>
        <w:t xml:space="preserve"> </w:t>
      </w:r>
      <w:r>
        <w:rPr>
          <w:iCs/>
          <w:i/>
        </w:rPr>
        <w:t xml:space="preserve">McConnell,</w:t>
      </w:r>
      <w:r>
        <w:t xml:space="preserve"> </w:t>
      </w:r>
      <w:r>
        <w:t xml:space="preserve">even though the</w:t>
      </w:r>
      <w:r>
        <w:t xml:space="preserve"> </w:t>
      </w:r>
      <w:r>
        <w:rPr>
          <w:iCs/>
          <w:i/>
        </w:rPr>
        <w:t xml:space="preserve">McConnell</w:t>
      </w:r>
      <w:r>
        <w:t xml:space="preserve"> </w:t>
      </w:r>
      <w:r>
        <w:t xml:space="preserve">Court’s decision to uphold BCRA § 203 relied not only on the antidistortion logic of</w:t>
      </w:r>
      <w:r>
        <w:t xml:space="preserve"> </w:t>
      </w:r>
      <w:r>
        <w:rPr>
          <w:iCs/>
          <w:i/>
        </w:rPr>
        <w:t xml:space="preserve">Austin</w:t>
      </w:r>
      <w:r>
        <w:t xml:space="preserve"> </w:t>
      </w:r>
      <w:r>
        <w:t xml:space="preserve">but also on the statute’s historical pedigree, see,</w:t>
      </w:r>
      <w:r>
        <w:t xml:space="preserve"> </w:t>
      </w:r>
      <w:r>
        <w:rPr>
          <w:iCs/>
          <w:i/>
        </w:rPr>
        <w:t xml:space="preserve">e. g.,</w:t>
      </w:r>
      <w:r>
        <w:t xml:space="preserve"> </w:t>
      </w:r>
      <w:r>
        <w:t xml:space="preserve">540 U. S., at 115-132, 223-224, and the need to preserve the integrity of federal campaigns, see</w:t>
      </w:r>
      <w:r>
        <w:t xml:space="preserve"> </w:t>
      </w:r>
      <w:r>
        <w:rPr>
          <w:iCs/>
          <w:i/>
        </w:rPr>
        <w:t xml:space="preserve">id.,</w:t>
      </w:r>
      <w:r>
        <w:t xml:space="preserve"> </w:t>
      </w:r>
      <w:r>
        <w:t xml:space="preserve">at 126-129, 205-208, and n. 88.</w:t>
      </w:r>
    </w:p>
    <w:p>
      <w:pPr>
        <w:pStyle w:val="CaseBody"/>
      </w:pPr>
      <w:r>
        <w:t xml:space="preserve">We have recognized that</w:t>
      </w:r>
      <w:r>
        <w:t xml:space="preserve"> </w:t>
      </w:r>
      <w:r>
        <w:rPr>
          <w:iCs/>
          <w:i/>
        </w:rPr>
        <w:t xml:space="preserve">“[s]tare decisis</w:t>
      </w:r>
      <w:r>
        <w:t xml:space="preserve"> </w:t>
      </w:r>
      <w:r>
        <w:t xml:space="preserve">has special force when legislators or citizens ‘have acted in reliance on a previous decision, for in this instance overruling the decision would dislodge settled rights and expectations or require an extensive legislative response.’ ”</w:t>
      </w:r>
      <w:r>
        <w:t xml:space="preserve"> </w:t>
      </w:r>
      <w:r>
        <w:rPr>
          <w:iCs/>
          <w:i/>
        </w:rPr>
        <w:t xml:space="preserve">Hubbard</w:t>
      </w:r>
      <w:r>
        <w:t xml:space="preserve"> </w:t>
      </w:r>
      <w:r>
        <w:t xml:space="preserve">v.</w:t>
      </w:r>
      <w:r>
        <w:t xml:space="preserve"> </w:t>
      </w:r>
      <w:r>
        <w:rPr>
          <w:iCs/>
          <w:i/>
        </w:rPr>
        <w:t xml:space="preserve">United States,</w:t>
      </w:r>
      <w:r>
        <w:t xml:space="preserve"> </w:t>
      </w:r>
      <w:r>
        <w:t xml:space="preserve">514 U. S. 695, 714 (1995) (plurality opinion) (quoting</w:t>
      </w:r>
      <w:r>
        <w:t xml:space="preserve"> </w:t>
      </w:r>
      <w:r>
        <w:rPr>
          <w:iCs/>
          <w:i/>
        </w:rPr>
        <w:t xml:space="preserve">Hilton</w:t>
      </w:r>
      <w:r>
        <w:t xml:space="preserve"> </w:t>
      </w:r>
      <w:r>
        <w:t xml:space="preserve">v.</w:t>
      </w:r>
      <w:r>
        <w:t xml:space="preserve"> </w:t>
      </w:r>
      <w:r>
        <w:rPr>
          <w:iCs/>
          <w:i/>
        </w:rPr>
        <w:t xml:space="preserve">South Carolina Public Railways Comm’n,</w:t>
      </w:r>
      <w:r>
        <w:t xml:space="preserve"> </w:t>
      </w:r>
      <w:r>
        <w:t xml:space="preserve">502 U. S. 197, 202 (1991)).</w:t>
      </w:r>
      <w:r>
        <w:t xml:space="preserve"> </w:t>
      </w:r>
      <w:r>
        <w:rPr>
          <w:iCs/>
          <w:i/>
        </w:rPr>
        <w:t xml:space="preserve">Stare decisis</w:t>
      </w:r>
      <w:r>
        <w:t xml:space="preserve"> </w:t>
      </w:r>
      <w:r>
        <w:t xml:space="preserve">protects not only personal rights involving property or contract but also the ability of the elected branches to shape their laws in an effective and coherent fashion. Today’s decision takes away a power that we have long permitted these branches to exercise. State legislatures have relied on their authority to regulate corporate electioneering, confirmed in</w:t>
      </w:r>
      <w:r>
        <w:t xml:space="preserve"> </w:t>
      </w:r>
      <w:r>
        <w:rPr>
          <w:iCs/>
          <w:i/>
        </w:rPr>
        <w:t xml:space="preserve">Austin,</w:t>
      </w:r>
      <w:r>
        <w:t xml:space="preserve"> </w:t>
      </w:r>
      <w:r>
        <w:t xml:space="preserve">for more than a century.</w:t>
      </w:r>
      <w:r>
        <w:rPr>
          <w:rStyle w:val="FootnoteReference"/>
        </w:rPr>
        <w:footnoteReference w:customMarkFollows="1" w:id="373"/>
        <w:t xml:space="preserve">20</w:t>
      </w:r>
      <w:r>
        <w:t xml:space="preserve"> </w:t>
      </w:r>
      <w:r>
        <w:t xml:space="preserve">The Federal Congress has relied on this authority for a comparable stretch of time, and it specifically relied on</w:t>
      </w:r>
      <w:r>
        <w:t xml:space="preserve"> </w:t>
      </w:r>
      <w:r>
        <w:rPr>
          <w:iCs/>
          <w:i/>
        </w:rPr>
        <w:t xml:space="preserve">Austin</w:t>
      </w:r>
      <w:r>
        <w:t xml:space="preserve"> </w:t>
      </w:r>
      <w:r>
        <w:t xml:space="preserve">throughout the years it spent developing and debating BCR A. The total record it compiled was</w:t>
      </w:r>
      <w:r>
        <w:t xml:space="preserve"> </w:t>
      </w:r>
      <w:r>
        <w:rPr>
          <w:iCs/>
          <w:i/>
        </w:rPr>
        <w:t xml:space="preserve">100,000 pages</w:t>
      </w:r>
      <w:r>
        <w:t xml:space="preserve"> </w:t>
      </w:r>
      <w:r>
        <w:t xml:space="preserve">long.</w:t>
      </w:r>
      <w:r>
        <w:rPr>
          <w:rStyle w:val="FootnoteReference"/>
        </w:rPr>
        <w:footnoteReference w:customMarkFollows="1" w:id="386"/>
        <w:t xml:space="preserve">21</w:t>
      </w:r>
      <w:r>
        <w:t xml:space="preserve"> </w:t>
      </w:r>
      <w:r>
        <w:t xml:space="preserve">Pulling out the rug beneath Congress after affirming the constitutionality of §203 six years ago show's great disrespect for a coequal branch.</w:t>
      </w:r>
    </w:p>
    <w:p>
      <w:pPr>
        <w:pStyle w:val="CaseBody"/>
      </w:pPr>
      <w:r>
        <w:t xml:space="preserve">By removing one of its central components, today’s ruling makes a hash out of BCRA’s “delicate and interconnected regulatory scheme.”</w:t>
      </w:r>
      <w:r>
        <w:t xml:space="preserve"> </w:t>
      </w:r>
      <w:r>
        <w:rPr>
          <w:iCs/>
          <w:i/>
        </w:rPr>
        <w:t xml:space="preserve">McConnell,</w:t>
      </w:r>
      <w:r>
        <w:t xml:space="preserve"> </w:t>
      </w:r>
      <w:r>
        <w:t xml:space="preserve">540 U. S., at 172. Consider just one example of the distortions that will follow: Political parties are barred under BCRA from soliciting or spending “soft money,” funds that are not subject to the statute’s disclosure requirements or its source and amount limitations. 2 U. S. C. § 441i;</w:t>
      </w:r>
      <w:r>
        <w:t xml:space="preserve"> </w:t>
      </w:r>
      <w:r>
        <w:rPr>
          <w:iCs/>
          <w:i/>
        </w:rPr>
        <w:t xml:space="preserve">McConnell,</w:t>
      </w:r>
      <w:r>
        <w:t xml:space="preserve"> </w:t>
      </w:r>
      <w:r>
        <w:t xml:space="preserve">540 U. S., at 122-126. Going forward, corporations and unions will be free to spend as much general treasury money as they wish on ads that support or attack specific candidates, whereas national parties will not be able to spend a dime of soft money on ads of any kind. The Court’s ruling thus dramatically enhances the role of corporations and unions — and the narrow interests they represent — vis-a-vis the role of political parties— and the broad coalitions they represent — in determining who will hold public office.</w:t>
      </w:r>
      <w:r>
        <w:rPr>
          <w:rStyle w:val="FootnoteReference"/>
        </w:rPr>
        <w:footnoteReference w:customMarkFollows="1" w:id="399"/>
        <w:t xml:space="preserve">22</w:t>
      </w:r>
    </w:p>
    <w:p>
      <w:pPr>
        <w:pStyle w:val="CaseBody"/>
      </w:pPr>
      <w:r>
        <w:t xml:space="preserve">Beyond the reliance interests at stake, the other</w:t>
      </w:r>
      <w:r>
        <w:t xml:space="preserve"> </w:t>
      </w:r>
      <w:r>
        <w:rPr>
          <w:iCs/>
          <w:i/>
        </w:rPr>
        <w:t xml:space="preserve">stare decisis</w:t>
      </w:r>
      <w:r>
        <w:t xml:space="preserve"> </w:t>
      </w:r>
      <w:r>
        <w:t xml:space="preserve">factors also cut against the Court. Considerations of antiquity are significant for similar reasons.</w:t>
      </w:r>
      <w:r>
        <w:t xml:space="preserve"> </w:t>
      </w:r>
      <w:r>
        <w:rPr>
          <w:iCs/>
          <w:i/>
        </w:rPr>
        <w:t xml:space="preserve">McConnell</w:t>
      </w:r>
      <w:r>
        <w:t xml:space="preserve"> </w:t>
      </w:r>
      <w:r>
        <w:t xml:space="preserve">is only six years old, but</w:t>
      </w:r>
      <w:r>
        <w:t xml:space="preserve"> </w:t>
      </w:r>
      <w:r>
        <w:rPr>
          <w:iCs/>
          <w:i/>
        </w:rPr>
        <w:t xml:space="preserve">Austin</w:t>
      </w:r>
      <w:r>
        <w:t xml:space="preserve"> </w:t>
      </w:r>
      <w:r>
        <w:t xml:space="preserve">has been on the books for two decades, and many of the statutes called into question by today’s opinion have been on the books for a half century or more. The Court points to no intervening change in circumstances that warrants revisiting</w:t>
      </w:r>
      <w:r>
        <w:t xml:space="preserve"> </w:t>
      </w:r>
      <w:r>
        <w:rPr>
          <w:iCs/>
          <w:i/>
        </w:rPr>
        <w:t xml:space="preserve">Austin.</w:t>
      </w:r>
      <w:r>
        <w:t xml:space="preserve"> </w:t>
      </w:r>
      <w:r>
        <w:t xml:space="preserve">Certainly nothing relevant has changed since we decided</w:t>
      </w:r>
      <w:r>
        <w:t xml:space="preserve"> </w:t>
      </w:r>
      <w:r>
        <w:rPr>
          <w:iCs/>
          <w:i/>
        </w:rPr>
        <w:t xml:space="preserve">WRTL</w:t>
      </w:r>
      <w:r>
        <w:t xml:space="preserve"> </w:t>
      </w:r>
      <w:r>
        <w:t xml:space="preserve">two Terms ago. And the Court gives no reason to think that</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are unworkable.</w:t>
      </w:r>
    </w:p>
    <w:p>
      <w:pPr>
        <w:pStyle w:val="CaseBody"/>
      </w:pPr>
      <w:r>
        <w:t xml:space="preserve">In fact, no one has argued to us that</w:t>
      </w:r>
      <w:r>
        <w:t xml:space="preserve"> </w:t>
      </w:r>
      <w:r>
        <w:rPr>
          <w:iCs/>
          <w:i/>
        </w:rPr>
        <w:t xml:space="preserve">Austin’s</w:t>
      </w:r>
      <w:r>
        <w:t xml:space="preserve"> </w:t>
      </w:r>
      <w:r>
        <w:t xml:space="preserve">rule has proved impracticable, and not a single for-profit corporation, union, or State has asked us to overrule it. Quite to the contrary, leading groups representing the business community,</w:t>
      </w:r>
      <w:r>
        <w:rPr>
          <w:rStyle w:val="FootnoteReference"/>
        </w:rPr>
        <w:footnoteReference w:customMarkFollows="1" w:id="411"/>
        <w:t xml:space="preserve">23</w:t>
      </w:r>
      <w:r>
        <w:t xml:space="preserve"> </w:t>
      </w:r>
      <w:r>
        <w:t xml:space="preserve">organized labor,</w:t>
      </w:r>
      <w:r>
        <w:rPr>
          <w:rStyle w:val="FootnoteReference"/>
        </w:rPr>
        <w:footnoteReference w:customMarkFollows="1" w:id="423"/>
        <w:t xml:space="preserve">24</w:t>
      </w:r>
      <w:r>
        <w:t xml:space="preserve"> </w:t>
      </w:r>
      <w:r>
        <w:t xml:space="preserve">and the nonprofit sector,</w:t>
      </w:r>
      <w:r>
        <w:rPr>
          <w:rStyle w:val="FootnoteReference"/>
        </w:rPr>
        <w:footnoteReference w:customMarkFollows="1" w:id="435"/>
        <w:t xml:space="preserve">25</w:t>
      </w:r>
      <w:r>
        <w:t xml:space="preserve"> </w:t>
      </w:r>
      <w:r>
        <w:t xml:space="preserve">together with more than half of the States</w:t>
      </w:r>
      <w:r>
        <w:rPr>
          <w:rStyle w:val="FootnoteReference"/>
        </w:rPr>
        <w:footnoteReference w:customMarkFollows="1" w:id="446"/>
        <w:t xml:space="preserve">26</w:t>
      </w:r>
      <w:r>
        <w:t xml:space="preserve"> </w:t>
      </w:r>
      <w:r>
        <w:t xml:space="preserve">urge that we preserve</w:t>
      </w:r>
      <w:r>
        <w:t xml:space="preserve"> </w:t>
      </w:r>
      <w:r>
        <w:rPr>
          <w:iCs/>
          <w:i/>
        </w:rPr>
        <w:t xml:space="preserve">Austin.</w:t>
      </w:r>
      <w:r>
        <w:t xml:space="preserve"> </w:t>
      </w:r>
      <w:r>
        <w:t xml:space="preserve">As for</w:t>
      </w:r>
      <w:r>
        <w:t xml:space="preserve"> </w:t>
      </w:r>
      <w:r>
        <w:rPr>
          <w:iCs/>
          <w:i/>
        </w:rPr>
        <w:t xml:space="preserve">McConnell,</w:t>
      </w:r>
      <w:r>
        <w:t xml:space="preserve"> </w:t>
      </w:r>
      <w:r>
        <w:t xml:space="preserve">the portions of BCR A it upheld may be prolix, but all three branches of Government have worked to make §203 as user-friendly as possible. For instance, Congress established a special mechanism for expedited review of constitutional challenges, see note following 2 U. S. C. §437h; the FEC has established a standardized process, with clearly defined safe harbors, for corporations to claim that a particular electioneering communication is permissible under</w:t>
      </w:r>
      <w:r>
        <w:t xml:space="preserve"> </w:t>
      </w:r>
      <w:r>
        <w:rPr>
          <w:iCs/>
          <w:i/>
        </w:rPr>
        <w:t xml:space="preserve">WRTL,</w:t>
      </w:r>
      <w:r>
        <w:t xml:space="preserve"> </w:t>
      </w:r>
      <w:r>
        <w:t xml:space="preserve">see 11 CFR §114.15 (2009);</w:t>
      </w:r>
      <w:r>
        <w:rPr>
          <w:rStyle w:val="FootnoteReference"/>
        </w:rPr>
        <w:footnoteReference w:customMarkFollows="1" w:id="457"/>
        <w:t xml:space="preserve">27</w:t>
      </w:r>
      <w:r>
        <w:t xml:space="preserve"> </w:t>
      </w:r>
      <w:r>
        <w:t xml:space="preserve">and, as noted above, The Chief Justice crafted his controlling opinion in</w:t>
      </w:r>
      <w:r>
        <w:t xml:space="preserve"> </w:t>
      </w:r>
      <w:r>
        <w:rPr>
          <w:iCs/>
          <w:i/>
        </w:rPr>
        <w:t xml:space="preserve">WRTL</w:t>
      </w:r>
      <w:r>
        <w:t xml:space="preserve"> </w:t>
      </w:r>
      <w:r>
        <w:t xml:space="preserve">with the express goal of maximizing clarity and administrability, 551 U. S., at 469-470, 473-474. The case for</w:t>
      </w:r>
      <w:r>
        <w:t xml:space="preserve"> </w:t>
      </w:r>
      <w:r>
        <w:rPr>
          <w:iCs/>
          <w:i/>
        </w:rPr>
        <w:t xml:space="preserve">stare decisis</w:t>
      </w:r>
      <w:r>
        <w:t xml:space="preserve"> </w:t>
      </w:r>
      <w:r>
        <w:t xml:space="preserve">may be bolstered, we have said, when subsequent rulings “have reduced the impact” of a precedent “while reaffirming the decision’s core ruling.”</w:t>
      </w:r>
      <w:r>
        <w:t xml:space="preserve"> </w:t>
      </w:r>
      <w:r>
        <w:rPr>
          <w:iCs/>
          <w:i/>
        </w:rPr>
        <w:t xml:space="preserve">Dickerson</w:t>
      </w:r>
      <w:r>
        <w:t xml:space="preserve"> </w:t>
      </w:r>
      <w:r>
        <w:t xml:space="preserve">v.</w:t>
      </w:r>
      <w:r>
        <w:t xml:space="preserve"> </w:t>
      </w:r>
      <w:r>
        <w:rPr>
          <w:iCs/>
          <w:i/>
        </w:rPr>
        <w:t xml:space="preserve">United States,</w:t>
      </w:r>
      <w:r>
        <w:t xml:space="preserve"> </w:t>
      </w:r>
      <w:r>
        <w:t xml:space="preserve">530 U. S. 428, 443 (2000).</w:t>
      </w:r>
      <w:r>
        <w:rPr>
          <w:rStyle w:val="FootnoteReference"/>
        </w:rPr>
        <w:footnoteReference w:customMarkFollows="1" w:id="467"/>
        <w:t xml:space="preserve">28</w:t>
      </w:r>
    </w:p>
    <w:p>
      <w:pPr>
        <w:pStyle w:val="CaseBody"/>
      </w:pPr>
      <w:r>
        <w:t xml:space="preserve">In the end, the Court’s rejection of</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comes down to nothing more than its disagreement with their results. Virtually every one of its arguments was made and rejected in those cases, and the majority opinion is essentially an amalgamation of resuscitated dissents. The only relevant thing that has changed since</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is the composition of this Court. Today’s ruling thus strikes at the vitals of</w:t>
      </w:r>
      <w:r>
        <w:t xml:space="preserve"> </w:t>
      </w:r>
      <w:r>
        <w:rPr>
          <w:iCs/>
          <w:i/>
        </w:rPr>
        <w:t xml:space="preserve">stare decisis,</w:t>
      </w:r>
      <w:r>
        <w:t xml:space="preserve"> </w:t>
      </w:r>
      <w:r>
        <w:t xml:space="preserve">“the means by which we ensure that the law will not merely change erratically, but will develop in a principled and intelligible fashion” that “permits society to presume that bedrock principles are founded in the law rather than in the proclivities of individuals.”</w:t>
      </w:r>
      <w:r>
        <w:t xml:space="preserve"> </w:t>
      </w:r>
      <w:r>
        <w:rPr>
          <w:iCs/>
          <w:i/>
        </w:rPr>
        <w:t xml:space="preserve">Vasquez</w:t>
      </w:r>
      <w:r>
        <w:t xml:space="preserve"> </w:t>
      </w:r>
      <w:r>
        <w:t xml:space="preserve">v.</w:t>
      </w:r>
      <w:r>
        <w:t xml:space="preserve"> </w:t>
      </w:r>
      <w:r>
        <w:rPr>
          <w:iCs/>
          <w:i/>
        </w:rPr>
        <w:t xml:space="preserve">Hillery,</w:t>
      </w:r>
      <w:r>
        <w:t xml:space="preserve"> </w:t>
      </w:r>
      <w:r>
        <w:t xml:space="preserve">474 U. S. 254, 265 (1986).</w:t>
      </w:r>
    </w:p>
    <w:p>
      <w:pPr>
        <w:pStyle w:val="CaseBody"/>
      </w:pPr>
      <w:r>
        <w:t xml:space="preserve">III</w:t>
      </w:r>
    </w:p>
    <w:p>
      <w:pPr>
        <w:pStyle w:val="CaseBody"/>
      </w:pPr>
      <w:r>
        <w:t xml:space="preserve">The novelty of the Court’s procedural dereliction and its approach to</w:t>
      </w:r>
      <w:r>
        <w:t xml:space="preserve"> </w:t>
      </w:r>
      <w:r>
        <w:rPr>
          <w:iCs/>
          <w:i/>
        </w:rPr>
        <w:t xml:space="preserve">stare decisis</w:t>
      </w:r>
      <w:r>
        <w:t xml:space="preserve"> </w:t>
      </w:r>
      <w:r>
        <w:t xml:space="preserve">is matched by the novelty of its ruling on the merits. The ruling rests on several premises. First, the Court claims that</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have “banned” corporate speech. Second, it claims that the First Amendment precludes regulatory distinctions based on speaker identity, including the speaker’s identity as a corporation. Third, it claims that</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were radical outliers in our First Amendment tradition and our campaign finance jurisprudence. Each of these claims is wrong.</w:t>
      </w:r>
    </w:p>
    <w:p>
      <w:pPr>
        <w:pStyle w:val="CaseBody"/>
      </w:pPr>
      <w:r>
        <w:rPr>
          <w:iCs/>
          <w:i/>
        </w:rPr>
        <w:t xml:space="preserve">The So-Called “Ban”</w:t>
      </w:r>
    </w:p>
    <w:p>
      <w:pPr>
        <w:pStyle w:val="CaseBody"/>
      </w:pPr>
      <w:r>
        <w:t xml:space="preserve">Pervading the Court’s analysis is the ominous image of a “categorical ba[n]” on corporate speech.</w:t>
      </w:r>
      <w:r>
        <w:t xml:space="preserve"> </w:t>
      </w:r>
      <w:r>
        <w:rPr>
          <w:iCs/>
          <w:i/>
        </w:rPr>
        <w:t xml:space="preserve">Ante,</w:t>
      </w:r>
      <w:r>
        <w:t xml:space="preserve"> </w:t>
      </w:r>
      <w:r>
        <w:t xml:space="preserve">at 361. Indeed, the majority invokes the specter of a “ban” on nearly every page of its opinion.</w:t>
      </w:r>
      <w:r>
        <w:t xml:space="preserve"> </w:t>
      </w:r>
      <w:r>
        <w:rPr>
          <w:iCs/>
          <w:i/>
        </w:rPr>
        <w:t xml:space="preserve">Ante,</w:t>
      </w:r>
      <w:r>
        <w:t xml:space="preserve"> </w:t>
      </w:r>
      <w:r>
        <w:t xml:space="preserve">at 319, 321, 324, 327, 328, 329, 330, 333, 337, 339, 340, 343, 344, 345, 346, 347, 349, 351, 354, 355, 358, 360, 361, 362, 364, 369. This characterization is highly misleading, and needs to be corrected.</w:t>
      </w:r>
    </w:p>
    <w:p>
      <w:pPr>
        <w:pStyle w:val="CaseBody"/>
      </w:pPr>
      <w:r>
        <w:t xml:space="preserve">In fact it already has been. Our cases have repeatedly pointed out that, “[c]ontrary to the [majority’s] critical assumptions,” the statutes upheld in</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do “not impose an</w:t>
      </w:r>
      <w:r>
        <w:t xml:space="preserve"> </w:t>
      </w:r>
      <w:r>
        <w:rPr>
          <w:iCs/>
          <w:i/>
        </w:rPr>
        <w:t xml:space="preserve">absolute</w:t>
      </w:r>
      <w:r>
        <w:t xml:space="preserve"> </w:t>
      </w:r>
      <w:r>
        <w:t xml:space="preserve">ban on all forms of corporate political spending.”</w:t>
      </w:r>
      <w:r>
        <w:t xml:space="preserve"> </w:t>
      </w:r>
      <w:r>
        <w:rPr>
          <w:iCs/>
          <w:i/>
        </w:rPr>
        <w:t xml:space="preserve">Austin,</w:t>
      </w:r>
      <w:r>
        <w:t xml:space="preserve"> </w:t>
      </w:r>
      <w:r>
        <w:t xml:space="preserve">494 U. S., at 660; see also</w:t>
      </w:r>
      <w:r>
        <w:t xml:space="preserve"> </w:t>
      </w:r>
      <w:r>
        <w:rPr>
          <w:iCs/>
          <w:i/>
        </w:rPr>
        <w:t xml:space="preserve">McConnell,</w:t>
      </w:r>
      <w:r>
        <w:t xml:space="preserve"> </w:t>
      </w:r>
      <w:r>
        <w:t xml:space="preserve">540 U. S., at 203-204;</w:t>
      </w:r>
      <w:r>
        <w:t xml:space="preserve"> </w:t>
      </w:r>
      <w:r>
        <w:rPr>
          <w:iCs/>
          <w:i/>
        </w:rPr>
        <w:t xml:space="preserve">Beaumont,</w:t>
      </w:r>
      <w:r>
        <w:t xml:space="preserve"> </w:t>
      </w:r>
      <w:r>
        <w:t xml:space="preserve">539 U. S., at 162-163. For starters, both statutes provide exemptions for PACs, separate segregated funds established by a corporation for political purposes. See 2 U. S. C. § 441b(b)(2)(C); Mich. Comp. Laws Ann. §169.255 (West 2005). “The ability to form and administer separate segregated funds,” we observed in</w:t>
      </w:r>
      <w:r>
        <w:t xml:space="preserve"> </w:t>
      </w:r>
      <w:r>
        <w:rPr>
          <w:iCs/>
          <w:i/>
        </w:rPr>
        <w:t xml:space="preserve">McConnell,</w:t>
      </w:r>
      <w:r>
        <w:t xml:space="preserve"> </w:t>
      </w:r>
      <w:r>
        <w:t xml:space="preserve">“has provided corporations and unions with a constitutionally sufficient opportunity to engage in express advocacy. That has been this Court’s unanimous view.” 540 U. S., at 203.</w:t>
      </w:r>
    </w:p>
    <w:p>
      <w:pPr>
        <w:pStyle w:val="CaseBody"/>
      </w:pPr>
      <w:r>
        <w:t xml:space="preserve">Under BCRA, any corporation’s “stockholders and their families and its executive or administrative personnel and their families” can pool their resources to finance electioneering communications. 2 U. S. C. § 441b(b)(4)(A)(i). A significant and growing number of corporations avail themselves of this option;</w:t>
      </w:r>
      <w:r>
        <w:rPr>
          <w:rStyle w:val="FootnoteReference"/>
        </w:rPr>
        <w:footnoteReference w:customMarkFollows="1" w:id="477"/>
        <w:t xml:space="preserve">29</w:t>
      </w:r>
      <w:r>
        <w:t xml:space="preserve"> </w:t>
      </w:r>
      <w:r>
        <w:t xml:space="preserve">during the most recent election cycle, corporate and union PACs raised nearly a billion dollars.</w:t>
      </w:r>
      <w:r>
        <w:rPr>
          <w:rStyle w:val="FootnoteReference"/>
        </w:rPr>
        <w:footnoteReference w:customMarkFollows="1" w:id="485"/>
        <w:t xml:space="preserve">30</w:t>
      </w:r>
      <w:r>
        <w:t xml:space="preserve"> </w:t>
      </w:r>
      <w:r>
        <w:t xml:space="preserve">Administering a PAC entails some administrative burden, but so does complying with the disclaimer, disclosure, and reporting requirements that the Court today upholds, see</w:t>
      </w:r>
      <w:r>
        <w:t xml:space="preserve"> </w:t>
      </w:r>
      <w:r>
        <w:rPr>
          <w:iCs/>
          <w:i/>
        </w:rPr>
        <w:t xml:space="preserve">ante,</w:t>
      </w:r>
      <w:r>
        <w:t xml:space="preserve"> </w:t>
      </w:r>
      <w:r>
        <w:t xml:space="preserve">at 366-367, and no one has suggested that the burden is severe for a sophisticated for-profit corporation. To the extent the majority is worried about this issue, it is important to keep in mind that we have no record to show how substantial the burden really is, just the majority’s own unsupported factfinding, see</w:t>
      </w:r>
      <w:r>
        <w:t xml:space="preserve"> </w:t>
      </w:r>
      <w:r>
        <w:rPr>
          <w:iCs/>
          <w:i/>
        </w:rPr>
        <w:t xml:space="preserve">ante,</w:t>
      </w:r>
      <w:r>
        <w:t xml:space="preserve"> </w:t>
      </w:r>
      <w:r>
        <w:t xml:space="preserve">at 337-339. Like all other natural persons, every shareholder of every corporation remains entirely free under</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to do however much electioneering she pleases outside of the corporate form. The owners of a “mom &amp; pop” store can simply place ads in their own names, rather than the store’s. If ideologically aligned individuals wish to make unlimited expenditures through the corporate form, they may utilize an</w:t>
      </w:r>
      <w:r>
        <w:t xml:space="preserve"> </w:t>
      </w:r>
      <w:r>
        <w:rPr>
          <w:iCs/>
          <w:i/>
        </w:rPr>
        <w:t xml:space="preserve">MCFL</w:t>
      </w:r>
      <w:r>
        <w:t xml:space="preserve"> </w:t>
      </w:r>
      <w:r>
        <w:t xml:space="preserve">organization that has policies in place to avoid becoming a conduit for business or union interests. See</w:t>
      </w:r>
      <w:r>
        <w:t xml:space="preserve"> </w:t>
      </w:r>
      <w:r>
        <w:rPr>
          <w:iCs/>
          <w:i/>
        </w:rPr>
        <w:t xml:space="preserve">MCFL,</w:t>
      </w:r>
      <w:r>
        <w:t xml:space="preserve"> </w:t>
      </w:r>
      <w:r>
        <w:t xml:space="preserve">479 U. S., at 263-264.</w:t>
      </w:r>
    </w:p>
    <w:p>
      <w:pPr>
        <w:pStyle w:val="CaseBody"/>
      </w:pPr>
      <w:r>
        <w:t xml:space="preserve">The laws upheld in</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leave open many additional avenues for corporations’ political speech. Consider the statutory provision we are ostensibly evaluating in this case, BCRA § 203. It has no application to genuine issue advertising — a category of corporate speech Congress found to be far more substantial than election-related advertising, see</w:t>
      </w:r>
      <w:r>
        <w:t xml:space="preserve"> </w:t>
      </w:r>
      <w:r>
        <w:rPr>
          <w:iCs/>
          <w:i/>
        </w:rPr>
        <w:t xml:space="preserve">McConnell,</w:t>
      </w:r>
      <w:r>
        <w:t xml:space="preserve"> </w:t>
      </w:r>
      <w:r>
        <w:t xml:space="preserve">540 U. S., at 207 — or to Internet, telephone, and print advocacy.</w:t>
      </w:r>
      <w:r>
        <w:rPr>
          <w:rStyle w:val="FootnoteReference"/>
        </w:rPr>
        <w:footnoteReference w:customMarkFollows="1" w:id="493"/>
        <w:t xml:space="preserve">31</w:t>
      </w:r>
      <w:r>
        <w:t xml:space="preserve"> </w:t>
      </w:r>
      <w:r>
        <w:t xml:space="preserve">Like numerous statutes, it exempts media companies' news stories, commentaries, and editorials from its electioneering restrictions, in recognition of the unique role played by the institutional press in sustaining public debate.</w:t>
      </w:r>
      <w:r>
        <w:rPr>
          <w:rStyle w:val="FootnoteReference"/>
        </w:rPr>
        <w:footnoteReference w:customMarkFollows="1" w:id="501"/>
        <w:t xml:space="preserve">32</w:t>
      </w:r>
      <w:r>
        <w:t xml:space="preserve"> </w:t>
      </w:r>
      <w:r>
        <w:t xml:space="preserve">See 2 U. S. C. § 434(f)(3)(B)(i);</w:t>
      </w:r>
      <w:r>
        <w:t xml:space="preserve"> </w:t>
      </w:r>
      <w:r>
        <w:rPr>
          <w:iCs/>
          <w:i/>
        </w:rPr>
        <w:t xml:space="preserve">McConnell,</w:t>
      </w:r>
      <w:r>
        <w:t xml:space="preserve"> </w:t>
      </w:r>
      <w:r>
        <w:t xml:space="preserve">540 U. S., at 208-209; see also</w:t>
      </w:r>
      <w:r>
        <w:t xml:space="preserve"> </w:t>
      </w:r>
      <w:r>
        <w:rPr>
          <w:iCs/>
          <w:i/>
        </w:rPr>
        <w:t xml:space="preserve">Austin,</w:t>
      </w:r>
      <w:r>
        <w:t xml:space="preserve"> </w:t>
      </w:r>
      <w:r>
        <w:t xml:space="preserve">494 U. S., at 666-668. It also allows corporations to spend unlimited sums on political communications with their executives and shareholders, § 441b(b)(2)(A); 11 CFR § 114.3(a)(1), to fund additional PAC activity through trade associations, 2 U. S. C. § 441b(b)(4)(D), to distribute voting guides and voting records, 11 CFR §§ 114.4(c)(4)-(5), to underwrite voter registration and voter turnout activities, § 114.3(c)(4); § 114.4(c)(2), to host fundraising events for candidates within certain limits, § 114.4(c); § 114.2(f)(2), and to publicly endorse candidates through a press release and press conference, § 114.4(c)(6).</w:t>
      </w:r>
    </w:p>
    <w:p>
      <w:pPr>
        <w:pStyle w:val="CaseBody"/>
      </w:pPr>
      <w:r>
        <w:t xml:space="preserve">At the time Citizens United brought this lawsuit, the only types of speech that could be regulated under §203 were: (1) broadcast, cable, or satellite communications;</w:t>
      </w:r>
      <w:r>
        <w:rPr>
          <w:rStyle w:val="FootnoteReference"/>
        </w:rPr>
        <w:footnoteReference w:customMarkFollows="1" w:id="509"/>
        <w:t xml:space="preserve">33</w:t>
      </w:r>
      <w:r>
        <w:t xml:space="preserve"> </w:t>
      </w:r>
      <w:r>
        <w:t xml:space="preserve">(2) capable of reaching at least 50,000 persons in the relevant electorate;</w:t>
      </w:r>
      <w:r>
        <w:rPr>
          <w:rStyle w:val="FootnoteReference"/>
        </w:rPr>
        <w:footnoteReference w:customMarkFollows="1" w:id="517"/>
        <w:t xml:space="preserve">34</w:t>
      </w:r>
      <w:r>
        <w:t xml:space="preserve"> </w:t>
      </w:r>
      <w:r>
        <w:t xml:space="preserve">(3) made within 30 days of a primary or 60 days of a general federal election;</w:t>
      </w:r>
      <w:r>
        <w:rPr>
          <w:rStyle w:val="FootnoteReference"/>
        </w:rPr>
        <w:footnoteReference w:customMarkFollows="1" w:id="525"/>
        <w:t xml:space="preserve">35</w:t>
      </w:r>
      <w:r>
        <w:t xml:space="preserve"> </w:t>
      </w:r>
      <w:r>
        <w:t xml:space="preserve">(4) by a labor union or a non</w:t>
      </w:r>
      <w:r>
        <w:rPr>
          <w:iCs/>
          <w:i/>
        </w:rPr>
        <w:t xml:space="preserve">MCFL,</w:t>
      </w:r>
      <w:r>
        <w:t xml:space="preserve"> </w:t>
      </w:r>
      <w:r>
        <w:t xml:space="preserve">nonmedia corporation;</w:t>
      </w:r>
      <w:r>
        <w:rPr>
          <w:rStyle w:val="FootnoteReference"/>
        </w:rPr>
        <w:footnoteReference w:customMarkFollows="1" w:id="533"/>
        <w:t xml:space="preserve">36</w:t>
      </w:r>
      <w:r>
        <w:t xml:space="preserve"> </w:t>
      </w:r>
      <w:r>
        <w:t xml:space="preserve">(5) paid for with general treasury funds;</w:t>
      </w:r>
      <w:r>
        <w:rPr>
          <w:rStyle w:val="FootnoteReference"/>
        </w:rPr>
        <w:footnoteReference w:customMarkFollows="1" w:id="540"/>
        <w:t xml:space="preserve">37</w:t>
      </w:r>
      <w:r>
        <w:t xml:space="preserve"> </w:t>
      </w:r>
      <w:r>
        <w:t xml:space="preserve">and (6) “susceptible of no reasonable interpretation other than as an appeal to vote for or against a specific candidate.”</w:t>
      </w:r>
      <w:r>
        <w:rPr>
          <w:rStyle w:val="FootnoteReference"/>
        </w:rPr>
        <w:footnoteReference w:customMarkFollows="1" w:id="547"/>
        <w:t xml:space="preserve">38</w:t>
      </w:r>
      <w:r>
        <w:t xml:space="preserve"> </w:t>
      </w:r>
      <w:r>
        <w:t xml:space="preserve">The category of communications meeting all of these criteria is not trivial, but the notion that corporate political speech has been “suppressfed] . . . altogether,”</w:t>
      </w:r>
      <w:r>
        <w:t xml:space="preserve"> </w:t>
      </w:r>
      <w:r>
        <w:rPr>
          <w:iCs/>
          <w:i/>
        </w:rPr>
        <w:t xml:space="preserve">ante,</w:t>
      </w:r>
      <w:r>
        <w:t xml:space="preserve"> </w:t>
      </w:r>
      <w:r>
        <w:t xml:space="preserve">at 319, that corporations have been “exelu[ded] . . . from the general public dialogue,”</w:t>
      </w:r>
      <w:r>
        <w:t xml:space="preserve"> </w:t>
      </w:r>
      <w:r>
        <w:rPr>
          <w:iCs/>
          <w:i/>
        </w:rPr>
        <w:t xml:space="preserve">ante,</w:t>
      </w:r>
      <w:r>
        <w:t xml:space="preserve"> </w:t>
      </w:r>
      <w:r>
        <w:t xml:space="preserve">at 341, or that a work of fiction such as</w:t>
      </w:r>
      <w:r>
        <w:t xml:space="preserve"> </w:t>
      </w:r>
      <w:r>
        <w:rPr>
          <w:iCs/>
          <w:i/>
        </w:rPr>
        <w:t xml:space="preserve">Mr. Smith Goes to Washington</w:t>
      </w:r>
      <w:r>
        <w:t xml:space="preserve"> </w:t>
      </w:r>
      <w:r>
        <w:t xml:space="preserve">might be covered,</w:t>
      </w:r>
      <w:r>
        <w:t xml:space="preserve"> </w:t>
      </w:r>
      <w:r>
        <w:rPr>
          <w:iCs/>
          <w:i/>
        </w:rPr>
        <w:t xml:space="preserve">ante,</w:t>
      </w:r>
      <w:r>
        <w:t xml:space="preserve"> </w:t>
      </w:r>
      <w:r>
        <w:t xml:space="preserve">at 371-372, is nonsense.</w:t>
      </w:r>
      <w:r>
        <w:rPr>
          <w:rStyle w:val="FootnoteReference"/>
        </w:rPr>
        <w:footnoteReference w:customMarkFollows="1" w:id="554"/>
        <w:t xml:space="preserve">39</w:t>
      </w:r>
      <w:r>
        <w:t xml:space="preserve"> </w:t>
      </w:r>
      <w:r>
        <w:t xml:space="preserve">Even the plaintiffs in</w:t>
      </w:r>
      <w:r>
        <w:t xml:space="preserve"> </w:t>
      </w:r>
      <w:r>
        <w:rPr>
          <w:iCs/>
          <w:i/>
        </w:rPr>
        <w:t xml:space="preserve">McConnell,</w:t>
      </w:r>
      <w:r>
        <w:t xml:space="preserve"> </w:t>
      </w:r>
      <w:r>
        <w:t xml:space="preserve">who had every incentive to depict BORA as negatively as possible, declined to argue that § 203’s prohibition on certain uses of general treasury funds amounts to a complete ban. See 540 U. S., at 204.</w:t>
      </w:r>
    </w:p>
    <w:p>
      <w:pPr>
        <w:pStyle w:val="CaseBody"/>
      </w:pPr>
      <w:r>
        <w:t xml:space="preserve">In many ways, then, §203 functions as a source restriction or a time, place, and manner restriction. It applies in a viewpoint-neutral fashion to a narrow subset of advocacy messages about clearly identified candidates for federal office, made during discrete time periods through discrete channels. In the case at hand, all Citizens United needed to do to broadcast</w:t>
      </w:r>
      <w:r>
        <w:t xml:space="preserve"> </w:t>
      </w:r>
      <w:r>
        <w:rPr>
          <w:iCs/>
          <w:i/>
        </w:rPr>
        <w:t xml:space="preserve">Hillary</w:t>
      </w:r>
      <w:r>
        <w:t xml:space="preserve"> </w:t>
      </w:r>
      <w:r>
        <w:t xml:space="preserve">right before the primary was to abjure business contributions or use the funds in its PAC, which by its own account is “one of the most active conservative PACs in America,” Citizens United Political Victory Fund, http://www.cupvf.org/.</w:t>
      </w:r>
      <w:r>
        <w:rPr>
          <w:rStyle w:val="FootnoteReference"/>
        </w:rPr>
        <w:footnoteReference w:customMarkFollows="1" w:id="560"/>
        <w:t xml:space="preserve">40</w:t>
      </w:r>
    </w:p>
    <w:p>
      <w:pPr>
        <w:pStyle w:val="CaseBody"/>
      </w:pPr>
      <w:r>
        <w:t xml:space="preserve">So let us be clear: Neither</w:t>
      </w:r>
      <w:r>
        <w:t xml:space="preserve"> </w:t>
      </w:r>
      <w:r>
        <w:rPr>
          <w:iCs/>
          <w:i/>
        </w:rPr>
        <w:t xml:space="preserve">Austin</w:t>
      </w:r>
      <w:r>
        <w:t xml:space="preserve"> </w:t>
      </w:r>
      <w:r>
        <w:t xml:space="preserve">nor</w:t>
      </w:r>
      <w:r>
        <w:t xml:space="preserve"> </w:t>
      </w:r>
      <w:r>
        <w:rPr>
          <w:iCs/>
          <w:i/>
        </w:rPr>
        <w:t xml:space="preserve">McConnell</w:t>
      </w:r>
      <w:r>
        <w:t xml:space="preserve"> </w:t>
      </w:r>
      <w:r>
        <w:t xml:space="preserve">held or implied that corporations may be silenced; the FEC is not a “censor”; and in the years since these cases were decided, corporations have continued to play a major role in the national dialogue. Laws such as §203 target a class of communications that is especially likely to corrupt the political process, that is at least one degree removed from the views of individual citizens, and that may not even reflect the views of those who pay for it. Such laws burden political speech, and that is always a serious matter, demanding careful scrutiny. But the majority’s incessant talk of a “ban” aims at a straw man.</w:t>
      </w:r>
    </w:p>
    <w:p>
      <w:pPr>
        <w:pStyle w:val="CaseBody"/>
      </w:pPr>
      <w:r>
        <w:rPr>
          <w:iCs/>
          <w:i/>
        </w:rPr>
        <w:t xml:space="preserve">Identity-Based Distinctions</w:t>
      </w:r>
    </w:p>
    <w:p>
      <w:pPr>
        <w:pStyle w:val="CaseBody"/>
      </w:pPr>
      <w:r>
        <w:t xml:space="preserve">The second pillar of the Court’s opinion is its assertion that “the Government cannot restrict political speech based on the speaker’s . . . identity.”</w:t>
      </w:r>
      <w:r>
        <w:t xml:space="preserve"> </w:t>
      </w:r>
      <w:r>
        <w:rPr>
          <w:iCs/>
          <w:i/>
        </w:rPr>
        <w:t xml:space="preserve">Ante,</w:t>
      </w:r>
      <w:r>
        <w:t xml:space="preserve"> </w:t>
      </w:r>
      <w:r>
        <w:t xml:space="preserve">at 346; accord,</w:t>
      </w:r>
      <w:r>
        <w:t xml:space="preserve"> </w:t>
      </w:r>
      <w:r>
        <w:rPr>
          <w:iCs/>
          <w:i/>
        </w:rPr>
        <w:t xml:space="preserve">ante,</w:t>
      </w:r>
      <w:r>
        <w:t xml:space="preserve"> </w:t>
      </w:r>
      <w:r>
        <w:t xml:space="preserve">at 319, 340-341, 342-343, 346-347, 347, 348, 349, 350, 364, 365. The case on which it relies for this proposition is</w:t>
      </w:r>
      <w:r>
        <w:t xml:space="preserve"> </w:t>
      </w:r>
      <w:r>
        <w:rPr>
          <w:iCs/>
          <w:i/>
        </w:rPr>
        <w:t xml:space="preserve">First Nat. Bank of Boston</w:t>
      </w:r>
      <w:r>
        <w:t xml:space="preserve"> </w:t>
      </w:r>
      <w:r>
        <w:t xml:space="preserve">v.</w:t>
      </w:r>
      <w:r>
        <w:t xml:space="preserve"> </w:t>
      </w:r>
      <w:r>
        <w:rPr>
          <w:iCs/>
          <w:i/>
        </w:rPr>
        <w:t xml:space="preserve">Bellotti,</w:t>
      </w:r>
      <w:r>
        <w:t xml:space="preserve"> </w:t>
      </w:r>
      <w:r>
        <w:t xml:space="preserve">435 U. S. 765 (1978). As I shall explain,</w:t>
      </w:r>
      <w:r>
        <w:t xml:space="preserve"> </w:t>
      </w:r>
      <w:r>
        <w:rPr>
          <w:iCs/>
          <w:i/>
        </w:rPr>
        <w:t xml:space="preserve">infra,</w:t>
      </w:r>
      <w:r>
        <w:t xml:space="preserve"> </w:t>
      </w:r>
      <w:r>
        <w:t xml:space="preserve">at 442-446, the holding in that case was far narrower than the Court implies. Like its paeans to unfettered discourse, the Court’s denunciation of identity-based distinctions may have rhetorical appeal but it obscures reality.</w:t>
      </w:r>
    </w:p>
    <w:p>
      <w:pPr>
        <w:pStyle w:val="CaseBody"/>
      </w:pPr>
      <w:r>
        <w:t xml:space="preserve">“Our jurisprudence over the past 216 years has rejected an absolutist interpretation” of the First Amendment.</w:t>
      </w:r>
      <w:r>
        <w:t xml:space="preserve"> </w:t>
      </w:r>
      <w:r>
        <w:rPr>
          <w:iCs/>
          <w:i/>
        </w:rPr>
        <w:t xml:space="preserve">WRTL,</w:t>
      </w:r>
      <w:r>
        <w:t xml:space="preserve"> </w:t>
      </w:r>
      <w:r>
        <w:t xml:space="preserve">551 U. S., at 482 (opinion of Roberts, C. J.). The First Amendment provides that “Congress shall make no law ... abridging the freedom of speech, or of the press.” Apart perhaps from measures designed to protect the press, that text might seem to permit no distinctions of any kind. Yet in a variety of contexts, we have held that speech can be regulated differentially on account of the speaker’s identity, when identity is understood in categorical or institutional terms. The Government routinely places special restrictions on the speech rights of students,</w:t>
      </w:r>
      <w:r>
        <w:rPr>
          <w:rStyle w:val="FootnoteReference"/>
        </w:rPr>
        <w:footnoteReference w:customMarkFollows="1" w:id="566"/>
        <w:t xml:space="preserve">41</w:t>
      </w:r>
      <w:r>
        <w:t xml:space="preserve"> </w:t>
      </w:r>
      <w:r>
        <w:t xml:space="preserve">prisoners,</w:t>
      </w:r>
      <w:r>
        <w:rPr>
          <w:rStyle w:val="FootnoteReference"/>
        </w:rPr>
        <w:footnoteReference w:customMarkFollows="1" w:id="572"/>
        <w:t xml:space="preserve">42</w:t>
      </w:r>
      <w:r>
        <w:t xml:space="preserve"> </w:t>
      </w:r>
      <w:r>
        <w:t xml:space="preserve">members of the Armed Forces,</w:t>
      </w:r>
      <w:r>
        <w:rPr>
          <w:rStyle w:val="FootnoteReference"/>
        </w:rPr>
        <w:footnoteReference w:customMarkFollows="1" w:id="578"/>
        <w:t xml:space="preserve">43</w:t>
      </w:r>
      <w:r>
        <w:t xml:space="preserve"> </w:t>
      </w:r>
      <w:r>
        <w:t xml:space="preserve">foreigners,</w:t>
      </w:r>
      <w:r>
        <w:rPr>
          <w:rStyle w:val="FootnoteReference"/>
        </w:rPr>
        <w:footnoteReference w:customMarkFollows="1" w:id="584"/>
        <w:t xml:space="preserve">44</w:t>
      </w:r>
      <w:r>
        <w:t xml:space="preserve"> </w:t>
      </w:r>
      <w:r>
        <w:t xml:space="preserve">and its own employees.</w:t>
      </w:r>
      <w:r>
        <w:rPr>
          <w:rStyle w:val="FootnoteReference"/>
        </w:rPr>
        <w:footnoteReference w:customMarkFollows="1" w:id="590"/>
        <w:t xml:space="preserve">45</w:t>
      </w:r>
      <w:r>
        <w:t xml:space="preserve"> </w:t>
      </w:r>
      <w:r>
        <w:t xml:space="preserve">When such restrictions are justified by a legitimate governmental interest, they do not necessarily raise constitutional problems.</w:t>
      </w:r>
      <w:r>
        <w:rPr>
          <w:rStyle w:val="FootnoteReference"/>
        </w:rPr>
        <w:footnoteReference w:customMarkFollows="1" w:id="596"/>
        <w:t xml:space="preserve">46</w:t>
      </w:r>
      <w:r>
        <w:t xml:space="preserve"> </w:t>
      </w:r>
      <w:r>
        <w:t xml:space="preserve">In contrast to the blanket rule that the majority espouses, our cases recognize that the Government’s interests may be more or less compelling with respect to different classes of speakers,</w:t>
      </w:r>
      <w:r>
        <w:rPr>
          <w:rStyle w:val="FootnoteReference"/>
        </w:rPr>
        <w:footnoteReference w:customMarkFollows="1" w:id="601"/>
        <w:t xml:space="preserve">47</w:t>
      </w:r>
      <w:r>
        <w:t xml:space="preserve"> </w:t>
      </w:r>
      <w:r>
        <w:t xml:space="preserve">cf.</w:t>
      </w:r>
      <w:r>
        <w:t xml:space="preserve"> </w:t>
      </w:r>
      <w:r>
        <w:rPr>
          <w:iCs/>
          <w:i/>
        </w:rPr>
        <w:t xml:space="preserve">Minneapolis Star &amp; Tribune Co.</w:t>
      </w:r>
      <w:r>
        <w:t xml:space="preserve"> </w:t>
      </w:r>
      <w:r>
        <w:t xml:space="preserve">v.</w:t>
      </w:r>
      <w:r>
        <w:t xml:space="preserve"> </w:t>
      </w:r>
      <w:r>
        <w:rPr>
          <w:iCs/>
          <w:i/>
        </w:rPr>
        <w:t xml:space="preserve">Minnesota Comm’r of Revenue,</w:t>
      </w:r>
      <w:r>
        <w:t xml:space="preserve"> </w:t>
      </w:r>
      <w:r>
        <w:t xml:space="preserve">460 U. S. 575, 585 (1983) (“[Djifferential treatment” is constitutionally suspect</w:t>
      </w:r>
      <w:r>
        <w:t xml:space="preserve"> </w:t>
      </w:r>
      <w:r>
        <w:rPr>
          <w:iCs/>
          <w:i/>
        </w:rPr>
        <w:t xml:space="preserve">“unless</w:t>
      </w:r>
      <w:r>
        <w:t xml:space="preserve"> </w:t>
      </w:r>
      <w:r>
        <w:t xml:space="preserve">justified by some special characteristic” of the regulated class of speakers (emphasis added)), and that the constitutional rights of certain categories of speakers, in certain contexts, “‘are not automatically coextensive with the rights’ ” that are normally accorded to members of our society,</w:t>
      </w:r>
      <w:r>
        <w:t xml:space="preserve"> </w:t>
      </w:r>
      <w:r>
        <w:rPr>
          <w:iCs/>
          <w:i/>
        </w:rPr>
        <w:t xml:space="preserve">Morse</w:t>
      </w:r>
      <w:r>
        <w:t xml:space="preserve"> </w:t>
      </w:r>
      <w:r>
        <w:t xml:space="preserve">v.</w:t>
      </w:r>
      <w:r>
        <w:t xml:space="preserve"> </w:t>
      </w:r>
      <w:r>
        <w:rPr>
          <w:iCs/>
          <w:i/>
        </w:rPr>
        <w:t xml:space="preserve">Frederick,</w:t>
      </w:r>
      <w:r>
        <w:t xml:space="preserve"> </w:t>
      </w:r>
      <w:r>
        <w:t xml:space="preserve">551 U. S. 393, 396-397, 404 (2007) (quoting</w:t>
      </w:r>
      <w:r>
        <w:t xml:space="preserve"> </w:t>
      </w:r>
      <w:r>
        <w:rPr>
          <w:iCs/>
          <w:i/>
        </w:rPr>
        <w:t xml:space="preserve">Bethel School Dist. No. 403</w:t>
      </w:r>
      <w:r>
        <w:t xml:space="preserve"> </w:t>
      </w:r>
      <w:r>
        <w:t xml:space="preserve">v.</w:t>
      </w:r>
      <w:r>
        <w:t xml:space="preserve"> </w:t>
      </w:r>
      <w:r>
        <w:rPr>
          <w:iCs/>
          <w:i/>
        </w:rPr>
        <w:t xml:space="preserve">Fraser,</w:t>
      </w:r>
      <w:r>
        <w:t xml:space="preserve"> </w:t>
      </w:r>
      <w:r>
        <w:t xml:space="preserve">478 U. S. 675, 682 (1986)).</w:t>
      </w:r>
    </w:p>
    <w:p>
      <w:pPr>
        <w:pStyle w:val="CaseBody"/>
      </w:pPr>
      <w:r>
        <w:t xml:space="preserve">The free speech guarantee thus does not render every other public interest an illegitimate basis for qualifying a speaker’s autonomy; society could scarcely function if it did. It is fair to say that our First Amendment doctrine has “frowned on” certain identity-based distinctions,</w:t>
      </w:r>
      <w:r>
        <w:t xml:space="preserve"> </w:t>
      </w:r>
      <w:r>
        <w:rPr>
          <w:iCs/>
          <w:i/>
        </w:rPr>
        <w:t xml:space="preserve">Los Angeles Police Dept.</w:t>
      </w:r>
      <w:r>
        <w:t xml:space="preserve"> </w:t>
      </w:r>
      <w:r>
        <w:t xml:space="preserve">v.</w:t>
      </w:r>
      <w:r>
        <w:t xml:space="preserve"> </w:t>
      </w:r>
      <w:r>
        <w:rPr>
          <w:iCs/>
          <w:i/>
        </w:rPr>
        <w:t xml:space="preserve">United Reporting Publishing Corp.,</w:t>
      </w:r>
      <w:r>
        <w:t xml:space="preserve"> </w:t>
      </w:r>
      <w:r>
        <w:t xml:space="preserve">528 U. S. 32, 47, n. 4 (1999) (Stevens, J., dissenting), particularly those that may reflect invidious discrimination or preferential treatment of a politically powerful group. But it is simply incorrect to suggest that we have prohibited all legislative distinctions based on identity or content. Not even close.</w:t>
      </w:r>
    </w:p>
    <w:p>
      <w:pPr>
        <w:pStyle w:val="CaseBody"/>
      </w:pPr>
      <w:r>
        <w:t xml:space="preserve">The election context is distinctive in many ways, and the Court, of course, is right thát the First Amendment closely guards political speech. But in this context, too, the authority of legislatures to enact viewpoint-neutral regulations based on content and identity is well settled. We have, for example, allowed state-run broadcasters to exclude independent candidates from televised debates.</w:t>
      </w:r>
      <w:r>
        <w:t xml:space="preserve"> </w:t>
      </w:r>
      <w:r>
        <w:rPr>
          <w:iCs/>
          <w:i/>
        </w:rPr>
        <w:t xml:space="preserve">Arkansas Ed. Television Comm’n</w:t>
      </w:r>
      <w:r>
        <w:t xml:space="preserve"> </w:t>
      </w:r>
      <w:r>
        <w:t xml:space="preserve">v.</w:t>
      </w:r>
      <w:r>
        <w:t xml:space="preserve"> </w:t>
      </w:r>
      <w:r>
        <w:rPr>
          <w:iCs/>
          <w:i/>
        </w:rPr>
        <w:t xml:space="preserve">Forbes,</w:t>
      </w:r>
      <w:r>
        <w:t xml:space="preserve"> </w:t>
      </w:r>
      <w:r>
        <w:t xml:space="preserve">523 U. S. 666 (1998).</w:t>
      </w:r>
      <w:r>
        <w:rPr>
          <w:rStyle w:val="FootnoteReference"/>
        </w:rPr>
        <w:footnoteReference w:customMarkFollows="1" w:id="606"/>
        <w:t xml:space="preserve">48</w:t>
      </w:r>
      <w:r>
        <w:t xml:space="preserve"> </w:t>
      </w:r>
      <w:r>
        <w:t xml:space="preserve">We have upheld statutes that prohibit the distribution or display of campaign materials near a polling place.</w:t>
      </w:r>
      <w:r>
        <w:t xml:space="preserve"> </w:t>
      </w:r>
      <w:r>
        <w:rPr>
          <w:iCs/>
          <w:i/>
        </w:rPr>
        <w:t xml:space="preserve">Burson</w:t>
      </w:r>
      <w:r>
        <w:t xml:space="preserve"> </w:t>
      </w:r>
      <w:r>
        <w:t xml:space="preserve">v.</w:t>
      </w:r>
      <w:r>
        <w:t xml:space="preserve"> </w:t>
      </w:r>
      <w:r>
        <w:rPr>
          <w:iCs/>
          <w:i/>
        </w:rPr>
        <w:t xml:space="preserve">Freeman,</w:t>
      </w:r>
      <w:r>
        <w:t xml:space="preserve"> </w:t>
      </w:r>
      <w:r>
        <w:t xml:space="preserve">504 U. S. 191 (1992).</w:t>
      </w:r>
      <w:r>
        <w:rPr>
          <w:rStyle w:val="FootnoteReference"/>
        </w:rPr>
        <w:footnoteReference w:customMarkFollows="1" w:id="611"/>
        <w:t xml:space="preserve">49</w:t>
      </w:r>
      <w:r>
        <w:t xml:space="preserve"> </w:t>
      </w:r>
      <w:r>
        <w:t xml:space="preserve">Although we have not reviewed them directly, we have never cast doubt on laws that place special restrictions on campaign spending by foreign nationals. See,</w:t>
      </w:r>
      <w:r>
        <w:t xml:space="preserve"> </w:t>
      </w:r>
      <w:r>
        <w:rPr>
          <w:iCs/>
          <w:i/>
        </w:rPr>
        <w:t xml:space="preserve">e. g.,</w:t>
      </w:r>
      <w:r>
        <w:t xml:space="preserve"> </w:t>
      </w:r>
      <w:r>
        <w:t xml:space="preserve">2 U. S. C. § 441e(a)(1). And we have consistently approved laws that bar Government employees, but not others, from contributing to or participating in political activities. See n. 45,</w:t>
      </w:r>
      <w:r>
        <w:t xml:space="preserve"> </w:t>
      </w:r>
      <w:r>
        <w:rPr>
          <w:iCs/>
          <w:i/>
        </w:rPr>
        <w:t xml:space="preserve">supra.</w:t>
      </w:r>
      <w:r>
        <w:t xml:space="preserve"> </w:t>
      </w:r>
      <w:r>
        <w:t xml:space="preserve">These statutes burden the political expression of one class of speakers, namely, civil servants. Yet we have sustained them on the basis of longstanding practice and Congress’ reasoned judgment that certain regulations which leave “untouched full participation ... in political decisions at the ballot box,”</w:t>
      </w:r>
      <w:r>
        <w:t xml:space="preserve"> </w:t>
      </w:r>
      <w:r>
        <w:rPr>
          <w:iCs/>
          <w:i/>
        </w:rPr>
        <w:t xml:space="preserve">Civil Service Comm’n</w:t>
      </w:r>
      <w:r>
        <w:t xml:space="preserve"> </w:t>
      </w:r>
      <w:r>
        <w:t xml:space="preserve">v.</w:t>
      </w:r>
      <w:r>
        <w:t xml:space="preserve"> </w:t>
      </w:r>
      <w:r>
        <w:rPr>
          <w:iCs/>
          <w:i/>
        </w:rPr>
        <w:t xml:space="preserve">Letter Carriers,</w:t>
      </w:r>
      <w:r>
        <w:t xml:space="preserve"> </w:t>
      </w:r>
      <w:r>
        <w:t xml:space="preserve">413 U. S. 548, 556 (1973) (internal quotation marks omitted), help ensure that public officials are “sufficiently free from improper influences,”</w:t>
      </w:r>
      <w:r>
        <w:t xml:space="preserve"> </w:t>
      </w:r>
      <w:r>
        <w:rPr>
          <w:iCs/>
          <w:i/>
        </w:rPr>
        <w:t xml:space="preserve">id.,</w:t>
      </w:r>
      <w:r>
        <w:t xml:space="preserve"> </w:t>
      </w:r>
      <w:r>
        <w:t xml:space="preserve">at 564, and that “confidence in the system of representative Government is not... eroded to a disastrous extent,”</w:t>
      </w:r>
      <w:r>
        <w:t xml:space="preserve"> </w:t>
      </w:r>
      <w:r>
        <w:rPr>
          <w:iCs/>
          <w:i/>
        </w:rPr>
        <w:t xml:space="preserve">id.,</w:t>
      </w:r>
      <w:r>
        <w:t xml:space="preserve"> </w:t>
      </w:r>
      <w:r>
        <w:t xml:space="preserve">at 565.</w:t>
      </w:r>
    </w:p>
    <w:p>
      <w:pPr>
        <w:pStyle w:val="CaseBody"/>
      </w:pPr>
      <w:r>
        <w:t xml:space="preserve">The same logic applies to this case with additional force because it is the identity of corporations, rather than individuals, that the Legislature has taken into account. As we have unanimously observed, legislatures are entitled to decide “that the special characteristics of the corporate structure require particularly careful regulation” in an electoral context.</w:t>
      </w:r>
      <w:r>
        <w:t xml:space="preserve"> </w:t>
      </w:r>
      <w:r>
        <w:rPr>
          <w:iCs/>
          <w:i/>
        </w:rPr>
        <w:t xml:space="preserve">NRWC,</w:t>
      </w:r>
      <w:r>
        <w:t xml:space="preserve"> </w:t>
      </w:r>
      <w:r>
        <w:t xml:space="preserve">459 U. S., at 209-210.</w:t>
      </w:r>
      <w:r>
        <w:rPr>
          <w:rStyle w:val="FootnoteReference"/>
        </w:rPr>
        <w:footnoteReference w:customMarkFollows="1" w:id="616"/>
        <w:t xml:space="preserve">50</w:t>
      </w:r>
      <w:r>
        <w:t xml:space="preserve"> </w:t>
      </w:r>
      <w:r>
        <w:t xml:space="preserve">Not only has the distinctive potential of corporations to corrupt the electoral process long been recognized, but within the area of campaign finance, corporate spending is also “furthest from the core of political expression, since corporations’ First Amendment speech and association interests are derived largely from those of their members and of the public in receiving information,”</w:t>
      </w:r>
      <w:r>
        <w:t xml:space="preserve"> </w:t>
      </w:r>
      <w:r>
        <w:rPr>
          <w:iCs/>
          <w:i/>
        </w:rPr>
        <w:t xml:space="preserve">Beaumont,</w:t>
      </w:r>
      <w:r>
        <w:t xml:space="preserve"> </w:t>
      </w:r>
      <w:r>
        <w:t xml:space="preserve">539 U. S., at 161, n. 8 (citation omitted). Campaign finance distinctions based on corporate identity tend to be less worrisome, in other words, because the “speakers” are not natural persons, much less members of our political community, and the governmental interests are of the highest order. Furthermore, when corporations, as a class, are distinguished from noncorporations, as a class, there is a lesser risk that regulatory distinctions will reflect invidious discrimination or political favoritism.</w:t>
      </w:r>
    </w:p>
    <w:p>
      <w:pPr>
        <w:pStyle w:val="CaseBody"/>
      </w:pPr>
      <w:r>
        <w:t xml:space="preserve">If taken seriously, our colleagues’ assumption that the identity of a speaker has</w:t>
      </w:r>
      <w:r>
        <w:t xml:space="preserve"> </w:t>
      </w:r>
      <w:r>
        <w:rPr>
          <w:iCs/>
          <w:i/>
        </w:rPr>
        <w:t xml:space="preserve">no</w:t>
      </w:r>
      <w:r>
        <w:t xml:space="preserve"> </w:t>
      </w:r>
      <w:r>
        <w:t xml:space="preserve">relevance to the Government’s ability to regulate political speech would lead to some remarkable conclusions. Such an assumption would have accorded the propaganda broadcasts to our troops by “Tokyo Rose” during World War II the same protection as speech by Allied commanders. More pertinently, it would appear to afford the same protection to multinational corporations controlled by foreigners as to individual Americans: To do otherwise, after all, could “ ‘enhance the relative voice’ ” of some</w:t>
      </w:r>
      <w:r>
        <w:t xml:space="preserve"> </w:t>
      </w:r>
      <w:r>
        <w:rPr>
          <w:iCs/>
          <w:i/>
        </w:rPr>
        <w:t xml:space="preserve">(i. e.,</w:t>
      </w:r>
      <w:r>
        <w:t xml:space="preserve"> </w:t>
      </w:r>
      <w:r>
        <w:t xml:space="preserve">humans) over others (i.</w:t>
      </w:r>
      <w:r>
        <w:t xml:space="preserve"> </w:t>
      </w:r>
      <w:r>
        <w:rPr>
          <w:iCs/>
          <w:i/>
        </w:rPr>
        <w:t xml:space="preserve">e.,</w:t>
      </w:r>
      <w:r>
        <w:t xml:space="preserve"> </w:t>
      </w:r>
      <w:r>
        <w:t xml:space="preserve">nonhumans).</w:t>
      </w:r>
      <w:r>
        <w:t xml:space="preserve"> </w:t>
      </w:r>
      <w:r>
        <w:rPr>
          <w:iCs/>
          <w:i/>
        </w:rPr>
        <w:t xml:space="preserve">Ante,</w:t>
      </w:r>
      <w:r>
        <w:t xml:space="preserve"> </w:t>
      </w:r>
      <w:r>
        <w:t xml:space="preserve">at 349-350 (quoting</w:t>
      </w:r>
      <w:r>
        <w:t xml:space="preserve"> </w:t>
      </w:r>
      <w:r>
        <w:rPr>
          <w:iCs/>
          <w:i/>
        </w:rPr>
        <w:t xml:space="preserve">Buckley,</w:t>
      </w:r>
      <w:r>
        <w:t xml:space="preserve"> </w:t>
      </w:r>
      <w:r>
        <w:t xml:space="preserve">424 U. S., at 49).</w:t>
      </w:r>
      <w:r>
        <w:rPr>
          <w:rStyle w:val="FootnoteReference"/>
        </w:rPr>
        <w:footnoteReference w:customMarkFollows="1" w:id="621"/>
        <w:t xml:space="preserve">51</w:t>
      </w:r>
      <w:r>
        <w:t xml:space="preserve"> </w:t>
      </w:r>
      <w:r>
        <w:t xml:space="preserve">Under the majority’s view, I suppose it may be a First Amendment problem that corporations are not permitted to vote, given that voting is, among other things, a form of speech.</w:t>
      </w:r>
      <w:r>
        <w:rPr>
          <w:rStyle w:val="FootnoteReference"/>
        </w:rPr>
        <w:footnoteReference w:customMarkFollows="1" w:id="626"/>
        <w:t xml:space="preserve">52</w:t>
      </w:r>
    </w:p>
    <w:p>
      <w:pPr>
        <w:pStyle w:val="CaseBody"/>
      </w:pPr>
      <w:r>
        <w:t xml:space="preserve">In short, the Court dramatically overstates its critique of identity-based distinctions, without ever explaining why corporate identity demands the same treatment as individual identity. Only the most wooden approach to the First Amendment could justify the unprecedented line it seeks to draw.</w:t>
      </w:r>
    </w:p>
    <w:p>
      <w:pPr>
        <w:pStyle w:val="CaseBody"/>
      </w:pPr>
      <w:r>
        <w:rPr>
          <w:iCs/>
          <w:i/>
        </w:rPr>
        <w:t xml:space="preserve">Our First Amendment Tradition</w:t>
      </w:r>
    </w:p>
    <w:p>
      <w:pPr>
        <w:pStyle w:val="CaseBody"/>
      </w:pPr>
      <w:r>
        <w:t xml:space="preserve">A third fulcrum of the Court’s opinion is the idea that</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are radical outliers, “aberration[s],” in our First Amendment tradition.</w:t>
      </w:r>
      <w:r>
        <w:t xml:space="preserve"> </w:t>
      </w:r>
      <w:r>
        <w:rPr>
          <w:iCs/>
          <w:i/>
        </w:rPr>
        <w:t xml:space="preserve">Ante,</w:t>
      </w:r>
      <w:r>
        <w:t xml:space="preserve"> </w:t>
      </w:r>
      <w:r>
        <w:t xml:space="preserve">at 355; see also</w:t>
      </w:r>
      <w:r>
        <w:t xml:space="preserve"> </w:t>
      </w:r>
      <w:r>
        <w:rPr>
          <w:iCs/>
          <w:i/>
        </w:rPr>
        <w:t xml:space="preserve">ante,</w:t>
      </w:r>
      <w:r>
        <w:t xml:space="preserve"> </w:t>
      </w:r>
      <w:r>
        <w:t xml:space="preserve">at 361, 372 (professing fidelity to “our law and our tradition”). The Court has it exactly backwards. It is today’s holding that is the radical departure from what had been settled First Amendment law. To see why, it is useful to take a long view.</w:t>
      </w:r>
    </w:p>
    <w:p>
      <w:pPr>
        <w:pStyle w:val="CaseBody"/>
      </w:pPr>
      <w:r>
        <w:t xml:space="preserve">1.</w:t>
      </w:r>
      <w:r>
        <w:t xml:space="preserve"> </w:t>
      </w:r>
      <w:r>
        <w:rPr>
          <w:iCs/>
          <w:i/>
        </w:rPr>
        <w:t xml:space="preserve">Original Understandings</w:t>
      </w:r>
    </w:p>
    <w:p>
      <w:pPr>
        <w:pStyle w:val="CaseBody"/>
      </w:pPr>
      <w:r>
        <w:t xml:space="preserve">Let us start from the beginning. The Court invokes “ancient First Amendment principles,”</w:t>
      </w:r>
      <w:r>
        <w:t xml:space="preserve"> </w:t>
      </w:r>
      <w:r>
        <w:rPr>
          <w:iCs/>
          <w:i/>
        </w:rPr>
        <w:t xml:space="preserve">ante,</w:t>
      </w:r>
      <w:r>
        <w:t xml:space="preserve"> </w:t>
      </w:r>
      <w:r>
        <w:t xml:space="preserve">at 319 (internal quotation marks omitted), and original understandings,</w:t>
      </w:r>
      <w:r>
        <w:t xml:space="preserve"> </w:t>
      </w:r>
      <w:r>
        <w:rPr>
          <w:iCs/>
          <w:i/>
        </w:rPr>
        <w:t xml:space="preserve">ante,</w:t>
      </w:r>
      <w:r>
        <w:t xml:space="preserve"> </w:t>
      </w:r>
      <w:r>
        <w:t xml:space="preserve">at 353-354, to defend today’s ruling, yet it makes only a perfunctory attempt to ground its analysis in the principles or understandings of those who drafted and ratified the Amendment. Perhaps this is because there is not a scintilla of evidence to support the notion that anyone believed it would preclude regulatory distinctions based on the corporate form. To the extent that the Framers’ views are discernible and relevant to the disposition of this case, they would appear to cut strongly against the majority’s position.</w:t>
      </w:r>
    </w:p>
    <w:p>
      <w:pPr>
        <w:pStyle w:val="CaseBody"/>
      </w:pPr>
      <w:r>
        <w:t xml:space="preserve">This is not only because the Framers and their contemporaries conceived of speech more narrowly than we now think of it, see Bork, Neutral Principles and Some First Amendment Problems, 47 Ind. L. J. 1, 22 (1971), but also because they held very different views about the nature of the First Amendment right and the role of corporations in society. Those few corporations that existed at the founding were authorized by grant of a special legislative charter.</w:t>
      </w:r>
      <w:r>
        <w:rPr>
          <w:rStyle w:val="FootnoteReference"/>
        </w:rPr>
        <w:footnoteReference w:customMarkFollows="1" w:id="631"/>
        <w:t xml:space="preserve">53</w:t>
      </w:r>
      <w:r>
        <w:t xml:space="preserve"> </w:t>
      </w:r>
      <w:r>
        <w:t xml:space="preserve">Corporate sponsors would petition the legislature, and the legislature, if amenable, would issue a charter that specified the corporation’s powers and purposes and “authoritatively fixed the scope and content of corporate organization,” including “the internal structure of the corporation.” J. Hurst, The Legitimacy of the Business Corporation in the Law of the United States 1780-1970, pp. 15-16 (1970) (reprinted 2004). Corporations were created, supervised, and conceptualized as quasi-public entities, “designed to serve a social function for the state.” Handlin</w:t>
      </w:r>
      <w:r>
        <w:t xml:space="preserve"> </w:t>
      </w:r>
      <w:r>
        <w:rPr>
          <w:iCs/>
          <w:i/>
        </w:rPr>
        <w:t xml:space="preserve">&amp;</w:t>
      </w:r>
      <w:r>
        <w:t xml:space="preserve"> </w:t>
      </w:r>
      <w:r>
        <w:t xml:space="preserve">Handlin, Origins of the American Business Corporation, 5 J. Econ. Hist. 1, 22 (1945). It was “assumed that [they] were legally privileged organizations that had to be closely scrutinized by the legislature because their purposes had to be made consistent with public welfare.” R. Seavoy, Origins of the American Business Corporation, 1784-1855, p. 5 (1982).</w:t>
      </w:r>
    </w:p>
    <w:p>
      <w:pPr>
        <w:pStyle w:val="CaseBody"/>
      </w:pPr>
      <w:r>
        <w:t xml:space="preserve">The individualized charter mode of incorporation reflected the “cloud of disfavor under which corporations labored” in the early years of this Nation. 1 W. Fletcher, Cyclopedia of the Law of Corporations §2, p. 8 (rev. ed. 2006); see also</w:t>
      </w:r>
      <w:r>
        <w:t xml:space="preserve"> </w:t>
      </w:r>
      <w:r>
        <w:rPr>
          <w:iCs/>
          <w:i/>
        </w:rPr>
        <w:t xml:space="preserve">Louis K. Liggett Co.</w:t>
      </w:r>
      <w:r>
        <w:t xml:space="preserve"> </w:t>
      </w:r>
      <w:r>
        <w:t xml:space="preserve">v.</w:t>
      </w:r>
      <w:r>
        <w:t xml:space="preserve"> </w:t>
      </w:r>
      <w:r>
        <w:rPr>
          <w:iCs/>
          <w:i/>
        </w:rPr>
        <w:t xml:space="preserve">Lee,</w:t>
      </w:r>
      <w:r>
        <w:t xml:space="preserve"> </w:t>
      </w:r>
      <w:r>
        <w:t xml:space="preserve">288 U. S. 517, 548-549 (1933) (Brandeis, J., dissenting) (discussing fears of the “evils” of business corporations); L. Friedman, A History of American Law 194 (2d ed. 1985) (“The word 'soulless’ constantly recurs in debates over corporations.... Corporations, it was feared, could concentrate the worst urges of whole groups of men”). Thomas Jefferson famously fretted that corporations would subvert the Republic.</w:t>
      </w:r>
      <w:r>
        <w:rPr>
          <w:rStyle w:val="FootnoteReference"/>
        </w:rPr>
        <w:footnoteReference w:customMarkFollows="1" w:id="636"/>
        <w:t xml:space="preserve">54</w:t>
      </w:r>
      <w:r>
        <w:t xml:space="preserve"> </w:t>
      </w:r>
      <w:r>
        <w:t xml:space="preserve">General incorporation statutes, and widespread acceptance of business corporations as socially useful actors, did not emerge until the 1800’s. See Hansmann &amp; Kraakman, The End of History for Corporate Law, 89 Geo. L. J. 439, 440 (2001) (hereinafter Hansmann &amp; Kraakman) (“[A]ll general business corporation statutes appear to date from well after 1800”).</w:t>
      </w:r>
    </w:p>
    <w:p>
      <w:pPr>
        <w:pStyle w:val="CaseBody"/>
      </w:pPr>
      <w:r>
        <w:t xml:space="preserve">The Framers thus took it as a given that corporations could be comprehensively regulated in the service of the public welfare. Unlike our colleagues, they had little trouble distinguishing corporations from human beings, and when they constitutionalized the right to free speech in the First Amendment, it was the free speech of individual Americans that they had in mind.</w:t>
      </w:r>
      <w:r>
        <w:rPr>
          <w:rStyle w:val="FootnoteReference"/>
        </w:rPr>
        <w:footnoteReference w:customMarkFollows="1" w:id="641"/>
        <w:t xml:space="preserve">55</w:t>
      </w:r>
      <w:r>
        <w:t xml:space="preserve"> </w:t>
      </w:r>
      <w:r>
        <w:t xml:space="preserve">While individuals might join together to exercise their speech rights, business corporations, at least, were plainly not seen as facilitating such assoeiational or expressive ends. Even “the notion that business corporations could invoke the First Amendment would probably have been quite a novelty,” given that “at the time, the legitimacy of every corporate activity was thought to rest entirely in a concession of the sovereign.” Shelledy, Autonomy, Debate, and Corporate Speech, 18 Hastings Const. L. Q. 541, 578 (1991); cf.</w:t>
      </w:r>
      <w:r>
        <w:t xml:space="preserve"> </w:t>
      </w:r>
      <w:r>
        <w:rPr>
          <w:iCs/>
          <w:i/>
        </w:rPr>
        <w:t xml:space="preserve">Trustees of Dartmouth College</w:t>
      </w:r>
      <w:r>
        <w:t xml:space="preserve"> </w:t>
      </w:r>
      <w:r>
        <w:t xml:space="preserve">v.</w:t>
      </w:r>
      <w:r>
        <w:t xml:space="preserve"> </w:t>
      </w:r>
      <w:r>
        <w:rPr>
          <w:iCs/>
          <w:i/>
        </w:rPr>
        <w:t xml:space="preserve">Woodward,</w:t>
      </w:r>
      <w:r>
        <w:t xml:space="preserve"> </w:t>
      </w:r>
      <w:r>
        <w:t xml:space="preserve">4 Wheat. 518, 636 (1819) (Marshall, C. J.) (“A corporation is an artificial being, invisible, intangible, and existing only in contemplation of law. Being the mere creature of law, it possesses only those properties which the charter of its creation confers upon it”); Eule, Promoting Speaker Diversity: Austin and Metro Broadcasting, 1990 S. Ct. Rev. 105, 129 (“The framers of the First Amendment could scarcely have anticipated its application to the corporation form. That, of course, ought not to be dispositive. What is compelling, however, is an understanding of who was supposed to be the beneficiary of the free speech guaranty — the individual”). In light of these background practices and understandings, it seems to me implausible that the Framers believed “the freedom of speech” would extend equally to all corporate speakers, much less that it would preclude legislatures from taking limited measures to guard against corporate capture of elections.</w:t>
      </w:r>
    </w:p>
    <w:p>
      <w:pPr>
        <w:pStyle w:val="CaseBody"/>
      </w:pPr>
      <w:r>
        <w:t xml:space="preserve">The Court observes that the Framers drew on diverse intellectual sources, communicated through newspapers, and aimed to provide greater freedom of speech than had existed in England.</w:t>
      </w:r>
      <w:r>
        <w:t xml:space="preserve"> </w:t>
      </w:r>
      <w:r>
        <w:rPr>
          <w:iCs/>
          <w:i/>
        </w:rPr>
        <w:t xml:space="preserve">Ante,</w:t>
      </w:r>
      <w:r>
        <w:t xml:space="preserve"> </w:t>
      </w:r>
      <w:r>
        <w:t xml:space="preserve">at 353. From these (accurate) observations, the Court concludes that “[t]he First Amendment was certainly not understood to condone the suppression of political speech in society’s most salient media.”</w:t>
      </w:r>
      <w:r>
        <w:t xml:space="preserve"> </w:t>
      </w:r>
      <w:r>
        <w:rPr>
          <w:iCs/>
          <w:i/>
        </w:rPr>
        <w:t xml:space="preserve">Ibid.</w:t>
      </w:r>
      <w:r>
        <w:t xml:space="preserve"> </w:t>
      </w:r>
      <w:r>
        <w:t xml:space="preserve">This conclusion is far from certain, given that many historians believe the Framers were focused on prior restraints on publication and did not -understand the First Amendment to “prevent the subsequent punishment of such [publications] as may be deemed contrary to the public welfare.”</w:t>
      </w:r>
      <w:r>
        <w:t xml:space="preserve"> </w:t>
      </w:r>
      <w:r>
        <w:rPr>
          <w:iCs/>
          <w:i/>
        </w:rPr>
        <w:t xml:space="preserve">Near</w:t>
      </w:r>
      <w:r>
        <w:t xml:space="preserve"> </w:t>
      </w:r>
      <w:r>
        <w:t xml:space="preserve">v.</w:t>
      </w:r>
      <w:r>
        <w:t xml:space="preserve"> </w:t>
      </w:r>
      <w:r>
        <w:rPr>
          <w:iCs/>
          <w:i/>
        </w:rPr>
        <w:t xml:space="preserve">Minnesota ex rel. Olson,</w:t>
      </w:r>
      <w:r>
        <w:t xml:space="preserve"> </w:t>
      </w:r>
      <w:r>
        <w:t xml:space="preserve">283 U. S. 697, 714 (1931) (internal quotation marks omitted). Yet, even if the majority’s conclusion were correct, it would tell us only that the First Amendment was understood to protect political speech</w:t>
      </w:r>
      <w:r>
        <w:t xml:space="preserve"> </w:t>
      </w:r>
      <w:r>
        <w:rPr>
          <w:iCs/>
          <w:i/>
        </w:rPr>
        <w:t xml:space="preserve">in</w:t>
      </w:r>
      <w:r>
        <w:t xml:space="preserve"> </w:t>
      </w:r>
      <w:r>
        <w:t xml:space="preserve">certain media. It would tell us little about whether the Amendment was understood to protect general treasury electioneering expenditures</w:t>
      </w:r>
      <w:r>
        <w:t xml:space="preserve"> </w:t>
      </w:r>
      <w:r>
        <w:rPr>
          <w:iCs/>
          <w:i/>
        </w:rPr>
        <w:t xml:space="preserve">by</w:t>
      </w:r>
      <w:r>
        <w:t xml:space="preserve"> </w:t>
      </w:r>
      <w:r>
        <w:t xml:space="preserve">corporations, and to what extent.</w:t>
      </w:r>
    </w:p>
    <w:p>
      <w:pPr>
        <w:pStyle w:val="CaseBody"/>
      </w:pPr>
      <w:r>
        <w:t xml:space="preserve">As a matter of original expectations, then, it seems absurd to think that the First Amendment prohibits legislatures from taking into account the corporate identity of a sponsor of electoral advocacy. As a matter of original meaning, it likewise seems baseless — unless one evaluates the First Amendment’s “principles,”</w:t>
      </w:r>
      <w:r>
        <w:t xml:space="preserve"> </w:t>
      </w:r>
      <w:r>
        <w:rPr>
          <w:iCs/>
          <w:i/>
        </w:rPr>
        <w:t xml:space="preserve">ante,</w:t>
      </w:r>
      <w:r>
        <w:t xml:space="preserve"> </w:t>
      </w:r>
      <w:r>
        <w:t xml:space="preserve">at 319, 363, or its “purpose,”</w:t>
      </w:r>
      <w:r>
        <w:t xml:space="preserve"> </w:t>
      </w:r>
      <w:r>
        <w:rPr>
          <w:iCs/>
          <w:i/>
        </w:rPr>
        <w:t xml:space="preserve">ante,</w:t>
      </w:r>
      <w:r>
        <w:t xml:space="preserve"> </w:t>
      </w:r>
      <w:r>
        <w:t xml:space="preserve">at 376 (opinion of Roberts, C. J.), at such a high level of generality that the historical understandings of the Amendment cease to be a meaningful constraint on the judicial task. This case sheds a revelatory light on the assumption of some that an impartial judge’s application of an originalist methodology is likely to yield more determinate answers, or to play a more decisive role in the decisional process, than his or her views about sound policy.</w:t>
      </w:r>
    </w:p>
    <w:p>
      <w:pPr>
        <w:pStyle w:val="CaseBody"/>
      </w:pPr>
      <w:r>
        <w:t xml:space="preserve">Justice Scalia criticizes the foregoing discussion for failing to adduce statements from the founding era showing that corporations were understood to be excluded from the First Amendment’s free speech guarantee.</w:t>
      </w:r>
      <w:r>
        <w:t xml:space="preserve"> </w:t>
      </w:r>
      <w:r>
        <w:rPr>
          <w:iCs/>
          <w:i/>
        </w:rPr>
        <w:t xml:space="preserve">Ante,</w:t>
      </w:r>
      <w:r>
        <w:t xml:space="preserve"> </w:t>
      </w:r>
      <w:r>
        <w:t xml:space="preserve">at 386, 393. Of course, Justice Scalia adduces no statements to suggest the contrary proposition, or even to suggest that the contrary proposition better reflects the kind of right that the drafters and ratiflers of the Free Speech Clause thought they were enshrining. Although Justice Scalia makes a perfectly sensible argument that an individual’s right to speak entails a right to speak with others for a common cause, cf.</w:t>
      </w:r>
      <w:r>
        <w:t xml:space="preserve"> </w:t>
      </w:r>
      <w:r>
        <w:rPr>
          <w:iCs/>
          <w:i/>
        </w:rPr>
        <w:t xml:space="preserve">MCFL,</w:t>
      </w:r>
      <w:r>
        <w:t xml:space="preserve"> </w:t>
      </w:r>
      <w:r>
        <w:t xml:space="preserve">479 U. S. 238, he does not explain why those two rights must be precisely identical, or why that principle applies to electioneering by corporations that serve no “common cause.”</w:t>
      </w:r>
      <w:r>
        <w:t xml:space="preserve"> </w:t>
      </w:r>
      <w:r>
        <w:rPr>
          <w:iCs/>
          <w:i/>
        </w:rPr>
        <w:t xml:space="preserve">Ante,</w:t>
      </w:r>
      <w:r>
        <w:t xml:space="preserve"> </w:t>
      </w:r>
      <w:r>
        <w:t xml:space="preserve">at 392. Nothing in his account dislodges my basic point that members of the founding generation held a cautious view of corporate power and a narrow view of corporate rights (not that they “despised” corporations,</w:t>
      </w:r>
      <w:r>
        <w:t xml:space="preserve"> </w:t>
      </w:r>
      <w:r>
        <w:rPr>
          <w:iCs/>
          <w:i/>
        </w:rPr>
        <w:t xml:space="preserve">ante,</w:t>
      </w:r>
      <w:r>
        <w:t xml:space="preserve"> </w:t>
      </w:r>
      <w:r>
        <w:t xml:space="preserve">at 386), and that they conceptualized speech in individualistic terms. If no prominent Framer bothered to articulate that corporate speech would have lesser status than individual speech, that may well be because the contrary proposition— if not also the very notion of “corporate speech” — was inconceivable.</w:t>
      </w:r>
      <w:r>
        <w:rPr>
          <w:rStyle w:val="FootnoteReference"/>
        </w:rPr>
        <w:footnoteReference w:customMarkFollows="1" w:id="646"/>
        <w:t xml:space="preserve">56</w:t>
      </w:r>
    </w:p>
    <w:p>
      <w:pPr>
        <w:pStyle w:val="CaseBody"/>
      </w:pPr>
      <w:r>
        <w:t xml:space="preserve">Justice Scalia also emphasizes the unqualified nature of the First Amendment text.</w:t>
      </w:r>
      <w:r>
        <w:t xml:space="preserve"> </w:t>
      </w:r>
      <w:r>
        <w:rPr>
          <w:iCs/>
          <w:i/>
        </w:rPr>
        <w:t xml:space="preserve">Ante,</w:t>
      </w:r>
      <w:r>
        <w:t xml:space="preserve"> </w:t>
      </w:r>
      <w:r>
        <w:t xml:space="preserve">at 386, 392-393. Yet he would seemingly read out the Free Press Clause: How else could he claim that my purported views on newspapers must track my views on corporations generally?</w:t>
      </w:r>
      <w:r>
        <w:t xml:space="preserve"> </w:t>
      </w:r>
      <w:r>
        <w:rPr>
          <w:iCs/>
          <w:i/>
        </w:rPr>
        <w:t xml:space="preserve">Ante,</w:t>
      </w:r>
      <w:r>
        <w:t xml:space="preserve"> </w:t>
      </w:r>
      <w:r>
        <w:t xml:space="preserve">at 390.</w:t>
      </w:r>
      <w:r>
        <w:rPr>
          <w:rStyle w:val="FootnoteReference"/>
        </w:rPr>
        <w:footnoteReference w:customMarkFollows="1" w:id="651"/>
        <w:t xml:space="preserve">57</w:t>
      </w:r>
      <w:r>
        <w:t xml:space="preserve"> </w:t>
      </w:r>
      <w:r>
        <w:t xml:space="preserve">Like virtually all modern lawyers, Justice Scalia presumably believes that the First Amendment restricts the Executive, even though its language refers to Congress alone. In any event, the text only leads us back to the questions who or what is guaranteed “the freedom of speech,” and, just as critically, what that freedom consists of and under what circumstances it may be limited. Justice Scalia appears to believe that because corporations are created and utilized by individuals, it follows (as night the day) that their electioneering must be equally protected by the First Amendment and equally immunized from expenditure limits. See</w:t>
      </w:r>
      <w:r>
        <w:t xml:space="preserve"> </w:t>
      </w:r>
      <w:r>
        <w:rPr>
          <w:iCs/>
          <w:i/>
        </w:rPr>
        <w:t xml:space="preserve">ante,</w:t>
      </w:r>
      <w:r>
        <w:t xml:space="preserve"> </w:t>
      </w:r>
      <w:r>
        <w:t xml:space="preserve">at 391-392. That conclusion certainly does not follow as a logical matter, and Justice Scalia fails to explain why the original public meaning leads it to follow as a matter of interpretation.</w:t>
      </w:r>
    </w:p>
    <w:p>
      <w:pPr>
        <w:pStyle w:val="CaseBody"/>
      </w:pPr>
      <w:r>
        <w:t xml:space="preserve">The truth is we cannot be certain how a law such as BCR A § 203 meshes with the original meaning of the First Amendment.</w:t>
      </w:r>
      <w:r>
        <w:rPr>
          <w:rStyle w:val="FootnoteReference"/>
        </w:rPr>
        <w:footnoteReference w:customMarkFollows="1" w:id="656"/>
        <w:t xml:space="preserve">58</w:t>
      </w:r>
      <w:r>
        <w:t xml:space="preserve"> </w:t>
      </w:r>
      <w:r>
        <w:t xml:space="preserve">I have given several reasons why I believe the Constitution would have been understood then, and ought to be understood now, to permit reasonable restrictions on corporate electioneering, and I will give many more reasons in the pages to come. The Court enlists the Framers in its defense without seriously grappling with their understandings of corporations or the free speech right, or with the republican principles that underlay those understandings.</w:t>
      </w:r>
    </w:p>
    <w:p>
      <w:pPr>
        <w:pStyle w:val="CaseBody"/>
      </w:pPr>
      <w:r>
        <w:t xml:space="preserve">In fairness, our campaign finance jurisprudence has never attended very closely to the views of the Framers, see</w:t>
      </w:r>
      <w:r>
        <w:t xml:space="preserve"> </w:t>
      </w:r>
      <w:r>
        <w:rPr>
          <w:iCs/>
          <w:i/>
        </w:rPr>
        <w:t xml:space="preserve">Randall</w:t>
      </w:r>
      <w:r>
        <w:t xml:space="preserve"> </w:t>
      </w:r>
      <w:r>
        <w:t xml:space="preserve">v.</w:t>
      </w:r>
      <w:r>
        <w:t xml:space="preserve"> </w:t>
      </w:r>
      <w:r>
        <w:rPr>
          <w:iCs/>
          <w:i/>
        </w:rPr>
        <w:t xml:space="preserve">Sorrell,</w:t>
      </w:r>
      <w:r>
        <w:t xml:space="preserve"> </w:t>
      </w:r>
      <w:r>
        <w:t xml:space="preserve">548 U. S. 230, 280 (2006) (Stevens, J., dissenting), whose political universe differed profoundly from that of today. We have long since held that corporations are covered by the First Amendment, and many legal scholars have long since rejected the concession theory of the corporation. But “historical context is usually relevant,”</w:t>
      </w:r>
      <w:r>
        <w:t xml:space="preserve"> </w:t>
      </w:r>
      <w:r>
        <w:rPr>
          <w:iCs/>
          <w:i/>
        </w:rPr>
        <w:t xml:space="preserve">ibid,</w:t>
      </w:r>
      <w:r>
        <w:t xml:space="preserve"> </w:t>
      </w:r>
      <w:r>
        <w:t xml:space="preserve">(internal quotation marks omitted), and in light of the Court’s effort to cast itself as guardian of ancient values, it pays to remember that nothing in our constitutional history dictates today’s outcome. To the contrary, this history helps illuminate just how extraordinarily dissonant the decision is.</w:t>
      </w:r>
    </w:p>
    <w:p>
      <w:pPr>
        <w:pStyle w:val="CaseBody"/>
      </w:pPr>
      <w:r>
        <w:t xml:space="preserve">2.</w:t>
      </w:r>
      <w:r>
        <w:t xml:space="preserve"> </w:t>
      </w:r>
      <w:r>
        <w:rPr>
          <w:iCs/>
          <w:i/>
        </w:rPr>
        <w:t xml:space="preserve">Legislative and Judicial Interpretation</w:t>
      </w:r>
    </w:p>
    <w:p>
      <w:pPr>
        <w:pStyle w:val="CaseBody"/>
      </w:pPr>
      <w:r>
        <w:t xml:space="preserve">A century of more recent history puts to rest any notion that today’s ruling is faithful to our First Amendment tradition. At the federal level, the express distinction between corporate and individual political spending on elections stretches back to 1907, when Congress passed the Tillman Act, ch. 420, 34 Stat. 864, banning all corporate contributions to candidates. The Senate Report on the legislation observed that “[t]he evils of the use of [corporate] money in connection with political elections are so generally recognized that the committee deems it unnecessary to make any argument in favor of the general purpose of this measure. It is in the interest of good government and calculated to promote purity in the selection of public officials.” S. Rep. No. 3056, 59th Cong., 1st Sess., 2 (1906). President Roosevelt, in his 1905 annual message to Congress, declared:</w:t>
      </w:r>
    </w:p>
    <w:p>
      <w:pPr>
        <w:pStyle w:val="BlockText"/>
      </w:pPr>
      <w:r>
        <w:t xml:space="preserve">“ ‘All contributions by corporations to any political committee or for any political purpose should be forbidden by law; directors should not be permitted to use stockholders’ money for such purposes; and, moreover, a prohibition of this kind would be, as far as it went, an effective method of stopping the evils aimed at in corrupt practices acts.’ ”</w:t>
      </w:r>
      <w:r>
        <w:t xml:space="preserve"> </w:t>
      </w:r>
      <w:r>
        <w:rPr>
          <w:iCs/>
          <w:i/>
        </w:rPr>
        <w:t xml:space="preserve">United States</w:t>
      </w:r>
      <w:r>
        <w:t xml:space="preserve"> </w:t>
      </w:r>
      <w:r>
        <w:t xml:space="preserve">v.</w:t>
      </w:r>
      <w:r>
        <w:t xml:space="preserve"> </w:t>
      </w:r>
      <w:r>
        <w:rPr>
          <w:iCs/>
          <w:i/>
        </w:rPr>
        <w:t xml:space="preserve">Automobile Workers,</w:t>
      </w:r>
      <w:r>
        <w:t xml:space="preserve"> </w:t>
      </w:r>
      <w:r>
        <w:t xml:space="preserve">352 U. S. 567, 572 (1957) (quoting 40 Cong. Rec. 96).</w:t>
      </w:r>
    </w:p>
    <w:p>
      <w:pPr>
        <w:pStyle w:val="CaseBody"/>
      </w:pPr>
      <w:r>
        <w:t xml:space="preserve">The Court has surveyed the history leading up to the Tillman Act several times, see</w:t>
      </w:r>
      <w:r>
        <w:t xml:space="preserve"> </w:t>
      </w:r>
      <w:r>
        <w:rPr>
          <w:iCs/>
          <w:i/>
        </w:rPr>
        <w:t xml:space="preserve">WRTL,</w:t>
      </w:r>
      <w:r>
        <w:t xml:space="preserve"> </w:t>
      </w:r>
      <w:r>
        <w:t xml:space="preserve">551 U. S., at 508-510 (Souter, J., dissenting);</w:t>
      </w:r>
      <w:r>
        <w:t xml:space="preserve"> </w:t>
      </w:r>
      <w:r>
        <w:rPr>
          <w:iCs/>
          <w:i/>
        </w:rPr>
        <w:t xml:space="preserve">McConnell,</w:t>
      </w:r>
      <w:r>
        <w:t xml:space="preserve"> </w:t>
      </w:r>
      <w:r>
        <w:t xml:space="preserve">540 U. S., at 115;</w:t>
      </w:r>
      <w:r>
        <w:t xml:space="preserve"> </w:t>
      </w:r>
      <w:r>
        <w:rPr>
          <w:iCs/>
          <w:i/>
        </w:rPr>
        <w:t xml:space="preserve">Automobile Workers,</w:t>
      </w:r>
      <w:r>
        <w:t xml:space="preserve"> </w:t>
      </w:r>
      <w:r>
        <w:t xml:space="preserve">352 U. S., at 570-575, and I will refrain from doing so again. It is enough to say that the Act was primarily driven by two pressing concerns: first, the enormous power corporations had come to wield in federal elections, with the accompanying threat of both actual corruption and a public perception of corruption; and second, a respect for the interest of shareholders and members in preventing the use of their money to support candidates they opposed. See</w:t>
      </w:r>
      <w:r>
        <w:t xml:space="preserve"> </w:t>
      </w:r>
      <w:r>
        <w:rPr>
          <w:iCs/>
          <w:i/>
        </w:rPr>
        <w:t xml:space="preserve">ibid.; United States</w:t>
      </w:r>
      <w:r>
        <w:t xml:space="preserve"> </w:t>
      </w:r>
      <w:r>
        <w:t xml:space="preserve">v.</w:t>
      </w:r>
      <w:r>
        <w:t xml:space="preserve"> </w:t>
      </w:r>
      <w:r>
        <w:rPr>
          <w:iCs/>
          <w:i/>
        </w:rPr>
        <w:t xml:space="preserve">CIO,</w:t>
      </w:r>
      <w:r>
        <w:t xml:space="preserve"> </w:t>
      </w:r>
      <w:r>
        <w:t xml:space="preserve">335 U. S. 106, 113 (1948); Winkler, “Other People’s Money”: Corporations, Agency Costs, and Campaign Finance Law, 92 Geo. L. J. 871 (2004).</w:t>
      </w:r>
    </w:p>
    <w:p>
      <w:pPr>
        <w:pStyle w:val="CaseBody"/>
      </w:pPr>
      <w:r>
        <w:t xml:space="preserve">Over the years, the limitations on corporate political spending have been modified in a number of ways, as Congress responded to changes in the American economy and political practices that threatened to displace the commonweal. Justice Souter recently traced these developments at length.</w:t>
      </w:r>
      <w:r>
        <w:rPr>
          <w:rStyle w:val="FootnoteReference"/>
        </w:rPr>
        <w:footnoteReference w:customMarkFollows="1" w:id="661"/>
        <w:t xml:space="preserve">59</w:t>
      </w:r>
      <w:r>
        <w:t xml:space="preserve"> </w:t>
      </w:r>
      <w:r>
        <w:rPr>
          <w:iCs/>
          <w:i/>
        </w:rPr>
        <w:t xml:space="preserve">WRTL,</w:t>
      </w:r>
      <w:r>
        <w:t xml:space="preserve"> </w:t>
      </w:r>
      <w:r>
        <w:t xml:space="preserve">551 U. S., at 507-519 (dissenting opinion); see also</w:t>
      </w:r>
      <w:r>
        <w:t xml:space="preserve"> </w:t>
      </w:r>
      <w:r>
        <w:rPr>
          <w:iCs/>
          <w:i/>
        </w:rPr>
        <w:t xml:space="preserve">McConnell,</w:t>
      </w:r>
      <w:r>
        <w:t xml:space="preserve"> </w:t>
      </w:r>
      <w:r>
        <w:t xml:space="preserve">540 U. S., at 115-133;</w:t>
      </w:r>
      <w:r>
        <w:t xml:space="preserve"> </w:t>
      </w:r>
      <w:r>
        <w:rPr>
          <w:iCs/>
          <w:i/>
        </w:rPr>
        <w:t xml:space="preserve">McConnell,</w:t>
      </w:r>
      <w:r>
        <w:t xml:space="preserve"> </w:t>
      </w:r>
      <w:r>
        <w:t xml:space="preserve">251 F. Supp. 2d, at 188-205. The Taft-Hartley Act of 1947 is of special significance for this case. In that Act passed more than 60 years ago, Congress extended the prohibition on corporate support of candidates to cover not only direct contributions, but independent expenditures as well. Labor Management Relations Act, 1947, § 304, 61 Stat. 159. The bar on contributions “was being so narrowly construed” that corporations were easily able to defeat the purposes of the Act by supporting candidates through other means.</w:t>
      </w:r>
      <w:r>
        <w:t xml:space="preserve"> </w:t>
      </w:r>
      <w:r>
        <w:rPr>
          <w:iCs/>
          <w:i/>
        </w:rPr>
        <w:t xml:space="preserve">WRTL,</w:t>
      </w:r>
      <w:r>
        <w:t xml:space="preserve"> </w:t>
      </w:r>
      <w:r>
        <w:t xml:space="preserve">551 U. S., at 511 (Souter, J., dissenting) (citing S. Rep. No. 1, 80th Cong., 1st Sess., 38-39 (1947)).</w:t>
      </w:r>
    </w:p>
    <w:p>
      <w:pPr>
        <w:pStyle w:val="CaseBody"/>
      </w:pPr>
      <w:r>
        <w:t xml:space="preserve">Our colleagues emphasize that in two cases from the middle of the 20th century, several Justices wrote separately to criticize the expenditure restriction as applied to unions, even though the Court declined to pass on its constitutionality.</w:t>
      </w:r>
      <w:r>
        <w:t xml:space="preserve"> </w:t>
      </w:r>
      <w:r>
        <w:rPr>
          <w:iCs/>
          <w:i/>
        </w:rPr>
        <w:t xml:space="preserve">Ante,</w:t>
      </w:r>
      <w:r>
        <w:t xml:space="preserve"> </w:t>
      </w:r>
      <w:r>
        <w:t xml:space="preserve">at 343-344. Two features of these cases are of far greater relevance. First, those Justices were writing separately; which is to say, their position failed to command a majority. Prior to today, this was a fact we found significant in evaluating precedents. Second, each case in this line expressed support for the principle that corporate and union political speech financed with PAC funds, collected voluntarily from the organization’s stockholders or members, receives greater protection than speech financed with general treasury funds.</w:t>
      </w:r>
      <w:r>
        <w:rPr>
          <w:rStyle w:val="FootnoteReference"/>
        </w:rPr>
        <w:footnoteReference w:customMarkFollows="1" w:id="666"/>
        <w:t xml:space="preserve">60</w:t>
      </w:r>
    </w:p>
    <w:p>
      <w:pPr>
        <w:pStyle w:val="CaseBody"/>
      </w:pPr>
      <w:r>
        <w:t xml:space="preserve">This principle was carried forward when Congress enacted comprehensive campaign finance reform in the Federal Election Campaign Act of 1971 (FECA), 86 Stat. 3, which retained the restriction on using general treasury funds for contributions and expenditures, 2 U. S. C. § 441b(a). FECA codified the option for corporations and unions to create PACs to finance contributions and expenditures forbidden to the corporation or union itself. § 441b(b).</w:t>
      </w:r>
    </w:p>
    <w:p>
      <w:pPr>
        <w:pStyle w:val="CaseBody"/>
      </w:pPr>
      <w:r>
        <w:t xml:space="preserve">By the time Congress passed FECA in 1971, the bar on corporate contributions and expenditures had become such an accepted part of federal campaign finance regulation that when a large number of plaintiffs, including several nonprofit corporations, challenged virtually every aspect of FECA in</w:t>
      </w:r>
      <w:r>
        <w:t xml:space="preserve"> </w:t>
      </w:r>
      <w:r>
        <w:rPr>
          <w:iCs/>
          <w:i/>
        </w:rPr>
        <w:t xml:space="preserve">Buckley,</w:t>
      </w:r>
      <w:r>
        <w:t xml:space="preserve"> </w:t>
      </w:r>
      <w:r>
        <w:t xml:space="preserve">424 U. S. 1, no one even bothered to argue that the bar as such was unconstitutional.</w:t>
      </w:r>
      <w:r>
        <w:t xml:space="preserve"> </w:t>
      </w:r>
      <w:r>
        <w:rPr>
          <w:iCs/>
          <w:i/>
        </w:rPr>
        <w:t xml:space="preserve">Buckley</w:t>
      </w:r>
      <w:r>
        <w:t xml:space="preserve"> </w:t>
      </w:r>
      <w:r>
        <w:t xml:space="preserve">famously (or infamously) distinguished direct contributions from independent expenditures,</w:t>
      </w:r>
      <w:r>
        <w:t xml:space="preserve"> </w:t>
      </w:r>
      <w:r>
        <w:rPr>
          <w:iCs/>
          <w:i/>
        </w:rPr>
        <w:t xml:space="preserve">id.,</w:t>
      </w:r>
      <w:r>
        <w:t xml:space="preserve"> </w:t>
      </w:r>
      <w:r>
        <w:t xml:space="preserve">at 58-59, but its silence on corporations only reinforced the understanding that corporate expenditures could be treated differently from individual expenditures. “Since our decision in</w:t>
      </w:r>
      <w:r>
        <w:t xml:space="preserve"> </w:t>
      </w:r>
      <w:r>
        <w:rPr>
          <w:iCs/>
          <w:i/>
        </w:rPr>
        <w:t xml:space="preserve">Buckley,</w:t>
      </w:r>
      <w:r>
        <w:t xml:space="preserve"> </w:t>
      </w:r>
      <w:r>
        <w:t xml:space="preserve">Congress’ power to prohibit corporations and unions from using funds in their treasuries to finance advertisements expressly advocating the election or defeat of candidates in federal elections has been firmly embedded in our law.”</w:t>
      </w:r>
      <w:r>
        <w:t xml:space="preserve"> </w:t>
      </w:r>
      <w:r>
        <w:rPr>
          <w:iCs/>
          <w:i/>
        </w:rPr>
        <w:t xml:space="preserve">McConnell,</w:t>
      </w:r>
      <w:r>
        <w:t xml:space="preserve"> </w:t>
      </w:r>
      <w:r>
        <w:t xml:space="preserve">540 U. S., at 203.</w:t>
      </w:r>
    </w:p>
    <w:p>
      <w:pPr>
        <w:pStyle w:val="CaseBody"/>
      </w:pPr>
      <w:r>
        <w:t xml:space="preserve">Thus, it was unremarkable, in a 1982 case holding that Congress could bar nonprofit corporations from soliciting nonmembers for PAC funds, that then-justice Rehnquist wrote for a unanimous Court that Congress’ “careful legislative adjustment of the federal electoral laws, in a cautious advance, step by step, to account for the particular legal and economic attributes of corporations . . . warrants considerable deference,” and “reflects a permissible assessment of the dangers posed by those entities to the electoral process.”</w:t>
      </w:r>
      <w:r>
        <w:t xml:space="preserve"> </w:t>
      </w:r>
      <w:r>
        <w:rPr>
          <w:iCs/>
          <w:i/>
        </w:rPr>
        <w:t xml:space="preserve">NRWC,</w:t>
      </w:r>
      <w:r>
        <w:t xml:space="preserve"> </w:t>
      </w:r>
      <w:r>
        <w:t xml:space="preserve">459 U. S., at 209 (internal quotation marks and citation omitted). “The governmental interest in preventing both actual corruption and the appearance of corruption of elected representatives has long been recognized,” the unanimous Court observed, “and there is no reason why it may not ... be accomplished by treating . . . corporations . . . differently from individuals.”</w:t>
      </w:r>
      <w:r>
        <w:t xml:space="preserve"> </w:t>
      </w:r>
      <w:r>
        <w:rPr>
          <w:iCs/>
          <w:i/>
        </w:rPr>
        <w:t xml:space="preserve">Id.,</w:t>
      </w:r>
      <w:r>
        <w:t xml:space="preserve"> </w:t>
      </w:r>
      <w:r>
        <w:t xml:space="preserve">at 210-211.</w:t>
      </w:r>
    </w:p>
    <w:p>
      <w:pPr>
        <w:pStyle w:val="CaseBody"/>
      </w:pPr>
      <w:r>
        <w:t xml:space="preserve">The corporate/individual distinction was not questioned by the Court’s disposition, in 1986, of a challenge to the expenditure restriction as applied to a distinctive type of nonprofit corporation. In</w:t>
      </w:r>
      <w:r>
        <w:t xml:space="preserve"> </w:t>
      </w:r>
      <w:r>
        <w:rPr>
          <w:iCs/>
          <w:i/>
        </w:rPr>
        <w:t xml:space="preserve">MCFL,</w:t>
      </w:r>
      <w:r>
        <w:t xml:space="preserve"> </w:t>
      </w:r>
      <w:r>
        <w:t xml:space="preserve">479 U. S. 238, we stated again “that ‘the special characteristics of the corporate structure require particularly careful regulation,’ ”</w:t>
      </w:r>
      <w:r>
        <w:t xml:space="preserve"> </w:t>
      </w:r>
      <w:r>
        <w:rPr>
          <w:iCs/>
          <w:i/>
        </w:rPr>
        <w:t xml:space="preserve">id.,</w:t>
      </w:r>
      <w:r>
        <w:t xml:space="preserve"> </w:t>
      </w:r>
      <w:r>
        <w:t xml:space="preserve">at 256 (quoting</w:t>
      </w:r>
      <w:r>
        <w:t xml:space="preserve"> </w:t>
      </w:r>
      <w:r>
        <w:rPr>
          <w:iCs/>
          <w:i/>
        </w:rPr>
        <w:t xml:space="preserve">NRWC,</w:t>
      </w:r>
      <w:r>
        <w:t xml:space="preserve"> </w:t>
      </w:r>
      <w:r>
        <w:t xml:space="preserve">459 U. S., at 209-210), and again we acknowledged that the Government has a legitimate interest in “regulat[ing] the substantial aggregations of wealth amassed by the special advantages which go with the corporate form,” 479 U. S., at 257 (internal quotation marks omitted). Those aggregations can distort the “free trade in ideas” crucial to candidate elections,</w:t>
      </w:r>
      <w:r>
        <w:t xml:space="preserve"> </w:t>
      </w:r>
      <w:r>
        <w:rPr>
          <w:iCs/>
          <w:i/>
        </w:rPr>
        <w:t xml:space="preserve">ibid,</w:t>
      </w:r>
      <w:r>
        <w:t xml:space="preserve"> </w:t>
      </w:r>
      <w:r>
        <w:t xml:space="preserve">(internal quotation marks omitted), at the expense of members or shareholders who may disagree with the object of the expenditures,</w:t>
      </w:r>
      <w:r>
        <w:t xml:space="preserve"> </w:t>
      </w:r>
      <w:r>
        <w:rPr>
          <w:iCs/>
          <w:i/>
        </w:rPr>
        <w:t xml:space="preserve">id.,</w:t>
      </w:r>
      <w:r>
        <w:t xml:space="preserve"> </w:t>
      </w:r>
      <w:r>
        <w:t xml:space="preserve">at 260. What the Court held by a 5-to-4 vote was that a limited class of corporations must be allowed to use their general treasury funds for independent expenditures, because Congress’ interests in protecting shareholders and “restriet[ing] ‘the influence of political war chests funneled through the corporate form,’ ”</w:t>
      </w:r>
      <w:r>
        <w:t xml:space="preserve"> </w:t>
      </w:r>
      <w:r>
        <w:rPr>
          <w:iCs/>
          <w:i/>
        </w:rPr>
        <w:t xml:space="preserve">id.,</w:t>
      </w:r>
      <w:r>
        <w:t xml:space="preserve"> </w:t>
      </w:r>
      <w:r>
        <w:t xml:space="preserve">at 257 (quoting</w:t>
      </w:r>
      <w:r>
        <w:t xml:space="preserve"> </w:t>
      </w:r>
      <w:r>
        <w:rPr>
          <w:iCs/>
          <w:i/>
        </w:rPr>
        <w:t xml:space="preserve">FEC</w:t>
      </w:r>
      <w:r>
        <w:t xml:space="preserve"> </w:t>
      </w:r>
      <w:r>
        <w:t xml:space="preserve">v.</w:t>
      </w:r>
      <w:r>
        <w:t xml:space="preserve"> </w:t>
      </w:r>
      <w:r>
        <w:rPr>
          <w:iCs/>
          <w:i/>
        </w:rPr>
        <w:t xml:space="preserve">National Conservative Political Action Comm.,</w:t>
      </w:r>
      <w:r>
        <w:t xml:space="preserve"> </w:t>
      </w:r>
      <w:r>
        <w:t xml:space="preserve">470 U. S. 480, 501 (1985)</w:t>
      </w:r>
      <w:r>
        <w:t xml:space="preserve"> </w:t>
      </w:r>
      <w:r>
        <w:rPr>
          <w:iCs/>
          <w:i/>
        </w:rPr>
        <w:t xml:space="preserve">(NCPAC),</w:t>
      </w:r>
      <w:r>
        <w:t xml:space="preserve"> </w:t>
      </w:r>
      <w:r>
        <w:t xml:space="preserve">did not apply to corporations that were structurally insulated from those concerns.</w:t>
      </w:r>
      <w:r>
        <w:rPr>
          <w:rStyle w:val="FootnoteReference"/>
        </w:rPr>
        <w:footnoteReference w:customMarkFollows="1" w:id="671"/>
        <w:t xml:space="preserve">61</w:t>
      </w:r>
    </w:p>
    <w:p>
      <w:pPr>
        <w:pStyle w:val="CaseBody"/>
      </w:pPr>
      <w:r>
        <w:t xml:space="preserve">It is worth remembering for present purposes that the four</w:t>
      </w:r>
      <w:r>
        <w:t xml:space="preserve"> </w:t>
      </w:r>
      <w:r>
        <w:rPr>
          <w:iCs/>
          <w:i/>
        </w:rPr>
        <w:t xml:space="preserve">MCFL</w:t>
      </w:r>
      <w:r>
        <w:t xml:space="preserve"> </w:t>
      </w:r>
      <w:r>
        <w:t xml:space="preserve">dissenters, led by Chief Justice Rehnquist, thought the Court was carrying the First Amendment</w:t>
      </w:r>
      <w:r>
        <w:t xml:space="preserve"> </w:t>
      </w:r>
      <w:r>
        <w:rPr>
          <w:iCs/>
          <w:i/>
        </w:rPr>
        <w:t xml:space="preserve">too</w:t>
      </w:r>
      <w:r>
        <w:t xml:space="preserve"> </w:t>
      </w:r>
      <w:r>
        <w:rPr>
          <w:iCs/>
          <w:i/>
        </w:rPr>
        <w:t xml:space="preserve">far.</w:t>
      </w:r>
      <w:r>
        <w:t xml:space="preserve"> </w:t>
      </w:r>
      <w:r>
        <w:t xml:space="preserve">They would have recognized congressional authority to bar general treasury electioneering expenditures even by this class of nonprofits; they acknowledged that “the threat from corporate political activity will vary depending on the particular characteristics of a given corporation,” but believed these “distinctions among corporations” were “distinctions in degree,” not “in kind,” and thus “more properly drawn by the Legislature than by the Judiciary.” 479 U. S., at 268 (opinion of Rehnquist, C. J.) (internal quotation marks omitted). Not a single Justice suggested that regulation of corporate political speech could be no more stringent than of speech by an individual.</w:t>
      </w:r>
    </w:p>
    <w:p>
      <w:pPr>
        <w:pStyle w:val="CaseBody"/>
      </w:pPr>
      <w:r>
        <w:t xml:space="preserve">Four years later, in</w:t>
      </w:r>
      <w:r>
        <w:t xml:space="preserve"> </w:t>
      </w:r>
      <w:r>
        <w:rPr>
          <w:iCs/>
          <w:i/>
        </w:rPr>
        <w:t xml:space="preserve">Austin,</w:t>
      </w:r>
      <w:r>
        <w:t xml:space="preserve"> </w:t>
      </w:r>
      <w:r>
        <w:t xml:space="preserve">494 U. S. 652, we considered whether corporations falling outside the</w:t>
      </w:r>
      <w:r>
        <w:t xml:space="preserve"> </w:t>
      </w:r>
      <w:r>
        <w:rPr>
          <w:iCs/>
          <w:i/>
        </w:rPr>
        <w:t xml:space="preserve">MCFL</w:t>
      </w:r>
      <w:r>
        <w:t xml:space="preserve"> </w:t>
      </w:r>
      <w:r>
        <w:t xml:space="preserve">exception could be barred from using general treasury funds to make independent expenditures in support of, or in opposition to, candidates. We held they could be. Once again recognizing the importance of “the integrity of the marketplace of political ideas” in candidate elections,</w:t>
      </w:r>
      <w:r>
        <w:t xml:space="preserve"> </w:t>
      </w:r>
      <w:r>
        <w:rPr>
          <w:iCs/>
          <w:i/>
        </w:rPr>
        <w:t xml:space="preserve">MCFL,</w:t>
      </w:r>
      <w:r>
        <w:t xml:space="preserve"> </w:t>
      </w:r>
      <w:r>
        <w:t xml:space="preserve">479 U. S., at 257, we noted that corporations have “special advantages — such as limited liability, perpetual life, and favorable treatment of the accumulation and distribution of assets,” 494 U. S., at 658-659 — that allow them to spend prodigious general treasury sums on campaign messages that have “little or no correlation” with the beliefs held by actual persons,</w:t>
      </w:r>
      <w:r>
        <w:t xml:space="preserve"> </w:t>
      </w:r>
      <w:r>
        <w:rPr>
          <w:iCs/>
          <w:i/>
        </w:rPr>
        <w:t xml:space="preserve">id.,</w:t>
      </w:r>
      <w:r>
        <w:t xml:space="preserve"> </w:t>
      </w:r>
      <w:r>
        <w:t xml:space="preserve">at 660. In light of the corrupting effects such spending might have on the political process,</w:t>
      </w:r>
      <w:r>
        <w:t xml:space="preserve"> </w:t>
      </w:r>
      <w:r>
        <w:rPr>
          <w:iCs/>
          <w:i/>
        </w:rPr>
        <w:t xml:space="preserve">ibid.,</w:t>
      </w:r>
      <w:r>
        <w:t xml:space="preserve"> </w:t>
      </w:r>
      <w:r>
        <w:t xml:space="preserve">we permitted the State of Michigan to limit corporate expenditures on candidate elections to corporations’ PACs, which rely on voluntary contributions and thus “reflect actual public support for the political ideas espoused by corporations,”</w:t>
      </w:r>
      <w:r>
        <w:t xml:space="preserve"> </w:t>
      </w:r>
      <w:r>
        <w:rPr>
          <w:iCs/>
          <w:i/>
        </w:rPr>
        <w:t xml:space="preserve">ibid.</w:t>
      </w:r>
      <w:r>
        <w:t xml:space="preserve"> </w:t>
      </w:r>
      <w:r>
        <w:t xml:space="preserve">Notwithstanding our colleagues’ insinuations that</w:t>
      </w:r>
      <w:r>
        <w:t xml:space="preserve"> </w:t>
      </w:r>
      <w:r>
        <w:rPr>
          <w:iCs/>
          <w:i/>
        </w:rPr>
        <w:t xml:space="preserve">Austin</w:t>
      </w:r>
      <w:r>
        <w:t xml:space="preserve"> </w:t>
      </w:r>
      <w:r>
        <w:t xml:space="preserve">deprived the public of general “ideas,” “facts,” and “ ‘knowledge,’ ”</w:t>
      </w:r>
      <w:r>
        <w:t xml:space="preserve"> </w:t>
      </w:r>
      <w:r>
        <w:rPr>
          <w:iCs/>
          <w:i/>
        </w:rPr>
        <w:t xml:space="preserve">ante,</w:t>
      </w:r>
      <w:r>
        <w:t xml:space="preserve"> </w:t>
      </w:r>
      <w:r>
        <w:t xml:space="preserve">at 354, 355, the decision addressed only candidate-focused expenditures and gave the State no license to regulate corporate spending on other matters.</w:t>
      </w:r>
    </w:p>
    <w:p>
      <w:pPr>
        <w:pStyle w:val="CaseBody"/>
      </w:pPr>
      <w:r>
        <w:t xml:space="preserve">In the 20 years since</w:t>
      </w:r>
      <w:r>
        <w:t xml:space="preserve"> </w:t>
      </w:r>
      <w:r>
        <w:rPr>
          <w:iCs/>
          <w:i/>
        </w:rPr>
        <w:t xml:space="preserve">Austin,</w:t>
      </w:r>
      <w:r>
        <w:t xml:space="preserve"> </w:t>
      </w:r>
      <w:r>
        <w:t xml:space="preserve">we have reaffirmed its holding and rationale a number of times, see,</w:t>
      </w:r>
      <w:r>
        <w:t xml:space="preserve"> </w:t>
      </w:r>
      <w:r>
        <w:rPr>
          <w:iCs/>
          <w:i/>
        </w:rPr>
        <w:t xml:space="preserve">e. g., Beaumont,</w:t>
      </w:r>
      <w:r>
        <w:t xml:space="preserve"> </w:t>
      </w:r>
      <w:r>
        <w:t xml:space="preserve">539 U. S., at 153-156, most importantly in</w:t>
      </w:r>
      <w:r>
        <w:t xml:space="preserve"> </w:t>
      </w:r>
      <w:r>
        <w:rPr>
          <w:iCs/>
          <w:i/>
        </w:rPr>
        <w:t xml:space="preserve">McConnell,</w:t>
      </w:r>
      <w:r>
        <w:t xml:space="preserve"> </w:t>
      </w:r>
      <w:r>
        <w:t xml:space="preserve">540 U. S. 93, where we upheld the provision challenged here, § 203 of BCRA.</w:t>
      </w:r>
      <w:r>
        <w:rPr>
          <w:rStyle w:val="FootnoteReference"/>
        </w:rPr>
        <w:footnoteReference w:customMarkFollows="1" w:id="677"/>
        <w:t xml:space="preserve">62</w:t>
      </w:r>
      <w:r>
        <w:t xml:space="preserve"> </w:t>
      </w:r>
      <w:r>
        <w:t xml:space="preserve">Congress crafted § 203 in response to a problem created by</w:t>
      </w:r>
      <w:r>
        <w:t xml:space="preserve"> </w:t>
      </w:r>
      <w:r>
        <w:rPr>
          <w:iCs/>
          <w:i/>
        </w:rPr>
        <w:t xml:space="preserve">Buckley.</w:t>
      </w:r>
      <w:r>
        <w:t xml:space="preserve"> </w:t>
      </w:r>
      <w:r>
        <w:t xml:space="preserve">The</w:t>
      </w:r>
      <w:r>
        <w:t xml:space="preserve"> </w:t>
      </w:r>
      <w:r>
        <w:rPr>
          <w:iCs/>
          <w:i/>
        </w:rPr>
        <w:t xml:space="preserve">Buckley</w:t>
      </w:r>
      <w:r>
        <w:t xml:space="preserve"> </w:t>
      </w:r>
      <w:r>
        <w:t xml:space="preserve">Court had construed FECA’s definition of prohibited “expenditures” narrowly to avoid any problems of constitutional vagueness, holding it applicable only to “communications that expressly advocate the election or defeat of a clearly identified candidate,” 424 U. S., at 80,</w:t>
      </w:r>
      <w:r>
        <w:t xml:space="preserve"> </w:t>
      </w:r>
      <w:r>
        <w:rPr>
          <w:iCs/>
          <w:i/>
        </w:rPr>
        <w:t xml:space="preserve">i. e.,</w:t>
      </w:r>
      <w:r>
        <w:t xml:space="preserve"> </w:t>
      </w:r>
      <w:r>
        <w:t xml:space="preserve">statements containing so-called “magic words” like “ ‘vote for,’ ‘elect,’ ‘support,’ ‘cast your ballot for,’ ‘Smith for Congress,’ ‘vote against,’ ‘defeat,’ [or] ‘reject,’”</w:t>
      </w:r>
      <w:r>
        <w:t xml:space="preserve"> </w:t>
      </w:r>
      <w:r>
        <w:rPr>
          <w:iCs/>
          <w:i/>
        </w:rPr>
        <w:t xml:space="preserve">id.,</w:t>
      </w:r>
      <w:r>
        <w:t xml:space="preserve"> </w:t>
      </w:r>
      <w:r>
        <w:t xml:space="preserve">at 43-44, and n. 52. After</w:t>
      </w:r>
      <w:r>
        <w:t xml:space="preserve"> </w:t>
      </w:r>
      <w:r>
        <w:rPr>
          <w:iCs/>
          <w:i/>
        </w:rPr>
        <w:t xml:space="preserve">Buckley,</w:t>
      </w:r>
      <w:r>
        <w:t xml:space="preserve"> </w:t>
      </w:r>
      <w:r>
        <w:t xml:space="preserve">corporations and unions figured out how to circumvent the limits on express advocacy by using sham “issue ads” that “eschewed the use of magic words” but nonetheless “advocatefd] the election or defeat of clearly identified federal candidates.”</w:t>
      </w:r>
      <w:r>
        <w:t xml:space="preserve"> </w:t>
      </w:r>
      <w:r>
        <w:rPr>
          <w:iCs/>
          <w:i/>
        </w:rPr>
        <w:t xml:space="preserve">McConnell,</w:t>
      </w:r>
      <w:r>
        <w:t xml:space="preserve"> </w:t>
      </w:r>
      <w:r>
        <w:t xml:space="preserve">540 U. S., at 126. “Corporations and unions spent hundreds of millions of dollars of their general funds to pay for these ads.”</w:t>
      </w:r>
      <w:r>
        <w:t xml:space="preserve"> </w:t>
      </w:r>
      <w:r>
        <w:rPr>
          <w:iCs/>
          <w:i/>
        </w:rPr>
        <w:t xml:space="preserve">Id.,</w:t>
      </w:r>
      <w:r>
        <w:t xml:space="preserve"> </w:t>
      </w:r>
      <w:r>
        <w:t xml:space="preserve">at 127. Congress passed § 203 to address this circumvention, prohibiting corporations and unions from using general treasury funds for electioneering communications that “refe[r] to a clearly identified candidate,” whether or not those communications use the magic words. 2 U. S. C. § 434(f)(3)(A)(i)(I).</w:t>
      </w:r>
    </w:p>
    <w:p>
      <w:pPr>
        <w:pStyle w:val="CaseBody"/>
      </w:pPr>
      <w:r>
        <w:t xml:space="preserve">When we asked in</w:t>
      </w:r>
      <w:r>
        <w:t xml:space="preserve"> </w:t>
      </w:r>
      <w:r>
        <w:rPr>
          <w:iCs/>
          <w:i/>
        </w:rPr>
        <w:t xml:space="preserve">McConnell</w:t>
      </w:r>
      <w:r>
        <w:t xml:space="preserve"> </w:t>
      </w:r>
      <w:r>
        <w:t xml:space="preserve">“whether a compelling governmental interest justifie[d]” §203, we found the question “easily answered”: “We have repeatedly sustained legislation aimed at 'the corrosive and distorting effects of immense aggregations of wealth that are accumulated with the help of the corporate form and that have little or no correlation to the public’s support for the corporation’s political ideas.’” 540 U. S., at 205 (quoting</w:t>
      </w:r>
      <w:r>
        <w:t xml:space="preserve"> </w:t>
      </w:r>
      <w:r>
        <w:rPr>
          <w:iCs/>
          <w:i/>
        </w:rPr>
        <w:t xml:space="preserve">Austin,</w:t>
      </w:r>
      <w:r>
        <w:t xml:space="preserve"> </w:t>
      </w:r>
      <w:r>
        <w:t xml:space="preserve">494 U. S., at 660). These precedents “represent respect for the legislative judgment that the special characteristics of the corporate structure require particularly careful regulation.” 540 U. S., at 205 (internal quotation marks omitted). “Moreover, recent cases have recognized that certain restrictions on corporate electoral involvement permissibly hedge against' “circumvention of [valid] contribution limits.””’</w:t>
      </w:r>
      <w:r>
        <w:t xml:space="preserve"> </w:t>
      </w:r>
      <w:r>
        <w:rPr>
          <w:iCs/>
          <w:i/>
        </w:rPr>
        <w:t xml:space="preserve">Ibid,</w:t>
      </w:r>
      <w:r>
        <w:t xml:space="preserve"> </w:t>
      </w:r>
      <w:r>
        <w:t xml:space="preserve">(quoting</w:t>
      </w:r>
      <w:r>
        <w:t xml:space="preserve"> </w:t>
      </w:r>
      <w:r>
        <w:rPr>
          <w:iCs/>
          <w:i/>
        </w:rPr>
        <w:t xml:space="preserve">Beaumont,</w:t>
      </w:r>
      <w:r>
        <w:t xml:space="preserve"> </w:t>
      </w:r>
      <w:r>
        <w:t xml:space="preserve">539 U. S., at 155, in turn quoting</w:t>
      </w:r>
      <w:r>
        <w:t xml:space="preserve"> </w:t>
      </w:r>
      <w:r>
        <w:rPr>
          <w:iCs/>
          <w:i/>
        </w:rPr>
        <w:t xml:space="preserve">FEC</w:t>
      </w:r>
      <w:r>
        <w:t xml:space="preserve"> </w:t>
      </w:r>
      <w:r>
        <w:t xml:space="preserve">v.</w:t>
      </w:r>
      <w:r>
        <w:t xml:space="preserve"> </w:t>
      </w:r>
      <w:r>
        <w:rPr>
          <w:iCs/>
          <w:i/>
        </w:rPr>
        <w:t xml:space="preserve">Colorado Republican Federal Campaign Comm.,</w:t>
      </w:r>
      <w:r>
        <w:t xml:space="preserve"> </w:t>
      </w:r>
      <w:r>
        <w:t xml:space="preserve">533 U. S. 431, 456, and n. 18 (2001)</w:t>
      </w:r>
      <w:r>
        <w:t xml:space="preserve"> </w:t>
      </w:r>
      <w:r>
        <w:rPr>
          <w:iCs/>
          <w:i/>
        </w:rPr>
        <w:t xml:space="preserve">(Colorado II);</w:t>
      </w:r>
      <w:r>
        <w:t xml:space="preserve"> </w:t>
      </w:r>
      <w:r>
        <w:t xml:space="preserve">alteration in original). BCR A, we found, is faithful to the compelling governmental interests in “ ‘preserving the integrity of the electoral process, preventing corruption,... sustaining the active, alert responsibility of the individual citizen in a democracy for the wise conduct of the government,’ ” and maintaining “ 'the individual citizen’s confidence in government.’” 540 U. S., at 206-207, n. 88 (quoting</w:t>
      </w:r>
      <w:r>
        <w:t xml:space="preserve"> </w:t>
      </w:r>
      <w:r>
        <w:rPr>
          <w:iCs/>
          <w:i/>
        </w:rPr>
        <w:t xml:space="preserve">Bellotti,</w:t>
      </w:r>
      <w:r>
        <w:t xml:space="preserve"> </w:t>
      </w:r>
      <w:r>
        <w:t xml:space="preserve">435 U. S., at 788-789; some internal quotation marks and brackets omitted). What made the answer even easier than it might have been otherwise was the option to form PACs, which give corporations, at the least, “a constitutionally sufficient opportunity to engage in” independent expenditures. 540 U. S., at 203.</w:t>
      </w:r>
    </w:p>
    <w:p>
      <w:pPr>
        <w:pStyle w:val="CaseBody"/>
      </w:pPr>
      <w:r>
        <w:t xml:space="preserve">3.</w:t>
      </w:r>
      <w:r>
        <w:t xml:space="preserve"> </w:t>
      </w:r>
      <w:r>
        <w:rPr>
          <w:iCs/>
          <w:i/>
        </w:rPr>
        <w:t xml:space="preserve">Buckley and Bellotti</w:t>
      </w:r>
    </w:p>
    <w:p>
      <w:pPr>
        <w:pStyle w:val="CaseBody"/>
      </w:pPr>
      <w:r>
        <w:t xml:space="preserve">Against this extensive background of congressional regulation of corporate campaign spending, and our repeated affirmation of this regulation as constitutionally sound, the majority dismisses</w:t>
      </w:r>
      <w:r>
        <w:t xml:space="preserve"> </w:t>
      </w:r>
      <w:r>
        <w:rPr>
          <w:iCs/>
          <w:i/>
        </w:rPr>
        <w:t xml:space="preserve">Austin</w:t>
      </w:r>
      <w:r>
        <w:t xml:space="preserve"> </w:t>
      </w:r>
      <w:r>
        <w:t xml:space="preserve">as “a significant departure from ancient First Amendment principles,”</w:t>
      </w:r>
      <w:r>
        <w:t xml:space="preserve"> </w:t>
      </w:r>
      <w:r>
        <w:rPr>
          <w:iCs/>
          <w:i/>
        </w:rPr>
        <w:t xml:space="preserve">ante,</w:t>
      </w:r>
      <w:r>
        <w:t xml:space="preserve"> </w:t>
      </w:r>
      <w:r>
        <w:t xml:space="preserve">at 319 (internal quotation marks omitted). How does the majority attempt to justify this claim? Selected passages from two cases,</w:t>
      </w:r>
      <w:r>
        <w:t xml:space="preserve"> </w:t>
      </w:r>
      <w:r>
        <w:rPr>
          <w:iCs/>
          <w:i/>
        </w:rPr>
        <w:t xml:space="preserve">Buckley,</w:t>
      </w:r>
      <w:r>
        <w:t xml:space="preserve"> </w:t>
      </w:r>
      <w:r>
        <w:t xml:space="preserve">424 U. S. 1, and</w:t>
      </w:r>
      <w:r>
        <w:t xml:space="preserve"> </w:t>
      </w:r>
      <w:r>
        <w:rPr>
          <w:iCs/>
          <w:i/>
        </w:rPr>
        <w:t xml:space="preserve">Bellotti,</w:t>
      </w:r>
      <w:r>
        <w:t xml:space="preserve"> </w:t>
      </w:r>
      <w:r>
        <w:t xml:space="preserve">435 U. S. 765, do all of the work. In the Court’s view,</w:t>
      </w:r>
      <w:r>
        <w:t xml:space="preserve"> </w:t>
      </w:r>
      <w:r>
        <w:rPr>
          <w:iCs/>
          <w:i/>
        </w:rPr>
        <w:t xml:space="preserve">Buckley</w:t>
      </w:r>
      <w:r>
        <w:t xml:space="preserve"> </w:t>
      </w:r>
      <w:r>
        <w:t xml:space="preserve">and</w:t>
      </w:r>
      <w:r>
        <w:t xml:space="preserve"> </w:t>
      </w:r>
      <w:r>
        <w:rPr>
          <w:iCs/>
          <w:i/>
        </w:rPr>
        <w:t xml:space="preserve">Bellotti</w:t>
      </w:r>
      <w:r>
        <w:t xml:space="preserve"> </w:t>
      </w:r>
      <w:r>
        <w:t xml:space="preserve">decisively rejected the possibility of distinguishing corporations from natural persons in the 1970’s; it just so happens that in every single case in which the Court has reviewed campaign finance legislation in the decades since, the majority failed to grasp this truth. The Federal Congress and dozens of state legislatures, we now know, have been similarly deluded.</w:t>
      </w:r>
    </w:p>
    <w:p>
      <w:pPr>
        <w:pStyle w:val="CaseBody"/>
      </w:pPr>
      <w:r>
        <w:t xml:space="preserve">The majority emphasizes Buckley’s statement that “ ‘[t]he concept that government may restrict the speech of some elements of our society in order to enhance the relative voice of others is wholly foreign to the First Amendment.’”</w:t>
      </w:r>
      <w:r>
        <w:t xml:space="preserve"> </w:t>
      </w:r>
      <w:r>
        <w:rPr>
          <w:iCs/>
          <w:i/>
        </w:rPr>
        <w:t xml:space="preserve">Ante,</w:t>
      </w:r>
      <w:r>
        <w:t xml:space="preserve"> </w:t>
      </w:r>
      <w:r>
        <w:t xml:space="preserve">at 349-350 (quoting 424 U. S., at 48-49);</w:t>
      </w:r>
      <w:r>
        <w:t xml:space="preserve"> </w:t>
      </w:r>
      <w:r>
        <w:rPr>
          <w:iCs/>
          <w:i/>
        </w:rPr>
        <w:t xml:space="preserve">ante,</w:t>
      </w:r>
      <w:r>
        <w:t xml:space="preserve"> </w:t>
      </w:r>
      <w:r>
        <w:t xml:space="preserve">at 379 (opinion of Roberts, C. J.). But this elegant phrase cannot bear the weight that our colleagues have placed on it. For one thing, the Constitution does, in fact, permit numerous “restrictions on the speech of some in order to prevent a few from drowning out the many”: for example, restrictions on ballot access and on legislators’ floor time.</w:t>
      </w:r>
      <w:r>
        <w:t xml:space="preserve"> </w:t>
      </w:r>
      <w:r>
        <w:rPr>
          <w:iCs/>
          <w:i/>
        </w:rPr>
        <w:t xml:space="preserve">Nixon</w:t>
      </w:r>
      <w:r>
        <w:t xml:space="preserve"> </w:t>
      </w:r>
      <w:r>
        <w:t xml:space="preserve">v.</w:t>
      </w:r>
      <w:r>
        <w:t xml:space="preserve"> </w:t>
      </w:r>
      <w:r>
        <w:rPr>
          <w:iCs/>
          <w:i/>
        </w:rPr>
        <w:t xml:space="preserve">Shrink Missouri Government PAC,</w:t>
      </w:r>
      <w:r>
        <w:t xml:space="preserve"> </w:t>
      </w:r>
      <w:r>
        <w:t xml:space="preserve">528 U. S. 377, 402 (2000) (Breyer, J., concurring). For another, the</w:t>
      </w:r>
      <w:r>
        <w:t xml:space="preserve"> </w:t>
      </w:r>
      <w:r>
        <w:rPr>
          <w:iCs/>
          <w:i/>
        </w:rPr>
        <w:t xml:space="preserve">Buckley</w:t>
      </w:r>
      <w:r>
        <w:t xml:space="preserve"> </w:t>
      </w:r>
      <w:r>
        <w:t xml:space="preserve">Court used this line in evaluating “the ancillary governmental interest in equalizing the relative ability of individuals and groups to influence the outcome of elections.” 424 U. S., at 48. It is not apparent why this is relevant to the case before us. The majority suggests that</w:t>
      </w:r>
      <w:r>
        <w:t xml:space="preserve"> </w:t>
      </w:r>
      <w:r>
        <w:rPr>
          <w:iCs/>
          <w:i/>
        </w:rPr>
        <w:t xml:space="preserve">Austin</w:t>
      </w:r>
      <w:r>
        <w:t xml:space="preserve"> </w:t>
      </w:r>
      <w:r>
        <w:t xml:space="preserve">rests on the foreign concept of speech equalization,</w:t>
      </w:r>
      <w:r>
        <w:t xml:space="preserve"> </w:t>
      </w:r>
      <w:r>
        <w:rPr>
          <w:iCs/>
          <w:i/>
        </w:rPr>
        <w:t xml:space="preserve">ante,</w:t>
      </w:r>
      <w:r>
        <w:t xml:space="preserve"> </w:t>
      </w:r>
      <w:r>
        <w:t xml:space="preserve">at 350;</w:t>
      </w:r>
      <w:r>
        <w:t xml:space="preserve"> </w:t>
      </w:r>
      <w:r>
        <w:rPr>
          <w:iCs/>
          <w:i/>
        </w:rPr>
        <w:t xml:space="preserve">ante,</w:t>
      </w:r>
      <w:r>
        <w:t xml:space="preserve"> </w:t>
      </w:r>
      <w:r>
        <w:t xml:space="preserve">at 379-381 (opinion of ROBERTS, C. J.), but we made it clear in</w:t>
      </w:r>
      <w:r>
        <w:t xml:space="preserve"> </w:t>
      </w:r>
      <w:r>
        <w:rPr>
          <w:iCs/>
          <w:i/>
        </w:rPr>
        <w:t xml:space="preserve">Austin</w:t>
      </w:r>
      <w:r>
        <w:t xml:space="preserve"> </w:t>
      </w:r>
      <w:r>
        <w:t xml:space="preserve">(as in several cases before and since) that a restriction on the way corporations spend their money is no mere exercise in disfavoring the voice of some elements of our society in preference to others. Indeed, we</w:t>
      </w:r>
      <w:r>
        <w:t xml:space="preserve"> </w:t>
      </w:r>
      <w:r>
        <w:rPr>
          <w:iCs/>
          <w:i/>
        </w:rPr>
        <w:t xml:space="preserve">expressly</w:t>
      </w:r>
      <w:r>
        <w:t xml:space="preserve"> </w:t>
      </w:r>
      <w:r>
        <w:t xml:space="preserve">ruled that the compelling interest supporting Michigan’s statute was not one of “ ‘equalizing] the relative influence of speakers on elections,’ ”</w:t>
      </w:r>
      <w:r>
        <w:t xml:space="preserve"> </w:t>
      </w:r>
      <w:r>
        <w:rPr>
          <w:iCs/>
          <w:i/>
        </w:rPr>
        <w:t xml:space="preserve">Austin,</w:t>
      </w:r>
      <w:r>
        <w:t xml:space="preserve"> </w:t>
      </w:r>
      <w:r>
        <w:t xml:space="preserve">494 U. S., at 660 (quoting</w:t>
      </w:r>
      <w:r>
        <w:t xml:space="preserve"> </w:t>
      </w:r>
      <w:r>
        <w:rPr>
          <w:iCs/>
          <w:i/>
        </w:rPr>
        <w:t xml:space="preserve">id.,</w:t>
      </w:r>
      <w:r>
        <w:t xml:space="preserve"> </w:t>
      </w:r>
      <w:r>
        <w:t xml:space="preserve">at 705 (Kennedy, J., dissenting)), but rather the need to confront the distinctive corrupting potential of corporate electoral advocacy financed by general treasury dollars,</w:t>
      </w:r>
      <w:r>
        <w:t xml:space="preserve"> </w:t>
      </w:r>
      <w:r>
        <w:rPr>
          <w:iCs/>
          <w:i/>
        </w:rPr>
        <w:t xml:space="preserve">id.,</w:t>
      </w:r>
      <w:r>
        <w:t xml:space="preserve"> </w:t>
      </w:r>
      <w:r>
        <w:t xml:space="preserve">at 659-660.</w:t>
      </w:r>
    </w:p>
    <w:p>
      <w:pPr>
        <w:pStyle w:val="CaseBody"/>
      </w:pPr>
      <w:r>
        <w:t xml:space="preserve">For that matter, it should go without saying that when we made this statement in</w:t>
      </w:r>
      <w:r>
        <w:t xml:space="preserve"> </w:t>
      </w:r>
      <w:r>
        <w:rPr>
          <w:iCs/>
          <w:i/>
        </w:rPr>
        <w:t xml:space="preserve">Buckley,</w:t>
      </w:r>
      <w:r>
        <w:t xml:space="preserve"> </w:t>
      </w:r>
      <w:r>
        <w:t xml:space="preserve">we could not have been casting doubt on the restriction on corporate expenditures in candidate elections, which had not been challenged as “foreign to the First Amendment,”</w:t>
      </w:r>
      <w:r>
        <w:t xml:space="preserve"> </w:t>
      </w:r>
      <w:r>
        <w:rPr>
          <w:iCs/>
          <w:i/>
        </w:rPr>
        <w:t xml:space="preserve">ante,</w:t>
      </w:r>
      <w:r>
        <w:t xml:space="preserve"> </w:t>
      </w:r>
      <w:r>
        <w:t xml:space="preserve">at 350 (quoting</w:t>
      </w:r>
      <w:r>
        <w:t xml:space="preserve"> </w:t>
      </w:r>
      <w:r>
        <w:rPr>
          <w:iCs/>
          <w:i/>
        </w:rPr>
        <w:t xml:space="preserve">Buckley,</w:t>
      </w:r>
      <w:r>
        <w:t xml:space="preserve"> </w:t>
      </w:r>
      <w:r>
        <w:t xml:space="preserve">424 U. S., at 49), or for any other reason.</w:t>
      </w:r>
      <w:r>
        <w:t xml:space="preserve"> </w:t>
      </w:r>
      <w:r>
        <w:rPr>
          <w:iCs/>
          <w:i/>
        </w:rPr>
        <w:t xml:space="preserve">Buckley’s</w:t>
      </w:r>
      <w:r>
        <w:t xml:space="preserve"> </w:t>
      </w:r>
      <w:r>
        <w:t xml:space="preserve">independent expenditure analysis was focused on a very different statutory provision, 18 U. S. C. § 608(e)(1) (1970 ed., Supp. V). It is implausible to think, as the majority suggests,</w:t>
      </w:r>
      <w:r>
        <w:t xml:space="preserve"> </w:t>
      </w:r>
      <w:r>
        <w:rPr>
          <w:iCs/>
          <w:i/>
        </w:rPr>
        <w:t xml:space="preserve">ante,</w:t>
      </w:r>
      <w:r>
        <w:t xml:space="preserve"> </w:t>
      </w:r>
      <w:r>
        <w:t xml:space="preserve">at 346, that</w:t>
      </w:r>
      <w:r>
        <w:t xml:space="preserve"> </w:t>
      </w:r>
      <w:r>
        <w:rPr>
          <w:iCs/>
          <w:i/>
        </w:rPr>
        <w:t xml:space="preserve">Buckley</w:t>
      </w:r>
      <w:r>
        <w:t xml:space="preserve"> </w:t>
      </w:r>
      <w:r>
        <w:t xml:space="preserve">covertly invalidated FECA’s separate corporate and union campaign expenditure restriction, §610 (now codified at 2 U. S. C. §441b), even though that restriction had been on the books for decades before</w:t>
      </w:r>
      <w:r>
        <w:t xml:space="preserve"> </w:t>
      </w:r>
      <w:r>
        <w:rPr>
          <w:iCs/>
          <w:i/>
        </w:rPr>
        <w:t xml:space="preserve">Buckley</w:t>
      </w:r>
      <w:r>
        <w:t xml:space="preserve"> </w:t>
      </w:r>
      <w:r>
        <w:t xml:space="preserve">and would remain on the books, undisturbed, for decades after.</w:t>
      </w:r>
    </w:p>
    <w:p>
      <w:pPr>
        <w:pStyle w:val="CaseBody"/>
      </w:pPr>
      <w:r>
        <w:t xml:space="preserve">The case on which the majority places even greater weight than</w:t>
      </w:r>
      <w:r>
        <w:t xml:space="preserve"> </w:t>
      </w:r>
      <w:r>
        <w:rPr>
          <w:iCs/>
          <w:i/>
        </w:rPr>
        <w:t xml:space="preserve">Buckley,</w:t>
      </w:r>
      <w:r>
        <w:t xml:space="preserve"> </w:t>
      </w:r>
      <w:r>
        <w:t xml:space="preserve">however, is</w:t>
      </w:r>
      <w:r>
        <w:t xml:space="preserve"> </w:t>
      </w:r>
      <w:r>
        <w:rPr>
          <w:iCs/>
          <w:i/>
        </w:rPr>
        <w:t xml:space="preserve">Bellotti,</w:t>
      </w:r>
      <w:r>
        <w:t xml:space="preserve"> </w:t>
      </w:r>
      <w:r>
        <w:t xml:space="preserve">435 U. S. 765, claiming it “could not have been clearer” that</w:t>
      </w:r>
      <w:r>
        <w:t xml:space="preserve"> </w:t>
      </w:r>
      <w:r>
        <w:rPr>
          <w:iCs/>
          <w:i/>
        </w:rPr>
        <w:t xml:space="preserve">Bellotti’s</w:t>
      </w:r>
      <w:r>
        <w:t xml:space="preserve"> </w:t>
      </w:r>
      <w:r>
        <w:t xml:space="preserve">holding forbade distinctions between corporate and individual expenditures like the one at issue here,</w:t>
      </w:r>
      <w:r>
        <w:t xml:space="preserve"> </w:t>
      </w:r>
      <w:r>
        <w:rPr>
          <w:iCs/>
          <w:i/>
        </w:rPr>
        <w:t xml:space="preserve">ante,</w:t>
      </w:r>
      <w:r>
        <w:t xml:space="preserve"> </w:t>
      </w:r>
      <w:r>
        <w:t xml:space="preserve">at 346. The Court’s reliance is odd. The only thing about</w:t>
      </w:r>
      <w:r>
        <w:t xml:space="preserve"> </w:t>
      </w:r>
      <w:r>
        <w:rPr>
          <w:iCs/>
          <w:i/>
        </w:rPr>
        <w:t xml:space="preserve">Bellotti</w:t>
      </w:r>
      <w:r>
        <w:t xml:space="preserve"> </w:t>
      </w:r>
      <w:r>
        <w:t xml:space="preserve">that could not be clearer is that it declined to adopt the majority’s position.</w:t>
      </w:r>
      <w:r>
        <w:t xml:space="preserve"> </w:t>
      </w:r>
      <w:r>
        <w:rPr>
          <w:iCs/>
          <w:i/>
        </w:rPr>
        <w:t xml:space="preserve">Bellotti</w:t>
      </w:r>
      <w:r>
        <w:t xml:space="preserve"> </w:t>
      </w:r>
      <w:r>
        <w:t xml:space="preserve">ruled, in an explicit limitation on the scope of its holding, that “our consideration of a corporation’s right to speak on issues of general public interest implies no comparable right in the quite different context of participation in a political campaign for election to public office.” 435 U. S., at 788, n. 26; see also</w:t>
      </w:r>
      <w:r>
        <w:t xml:space="preserve"> </w:t>
      </w:r>
      <w:r>
        <w:rPr>
          <w:iCs/>
          <w:i/>
        </w:rPr>
        <w:t xml:space="preserve">id.,</w:t>
      </w:r>
      <w:r>
        <w:t xml:space="preserve"> </w:t>
      </w:r>
      <w:r>
        <w:t xml:space="preserve">at 787-788 (acknowledging that the interests in preserving public confidence in Government and protecting dissenting shareholders may be “weighty ... in the context of partisan candidate elections”).</w:t>
      </w:r>
      <w:r>
        <w:t xml:space="preserve"> </w:t>
      </w:r>
      <w:r>
        <w:rPr>
          <w:iCs/>
          <w:i/>
        </w:rPr>
        <w:t xml:space="preserve">Bellotti,</w:t>
      </w:r>
      <w:r>
        <w:t xml:space="preserve"> </w:t>
      </w:r>
      <w:r>
        <w:t xml:space="preserve">in other words, did not touch the question presented in</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and the opinion squarely disavowed the proposition for which the majority cites it.</w:t>
      </w:r>
    </w:p>
    <w:p>
      <w:pPr>
        <w:pStyle w:val="CaseBody"/>
      </w:pPr>
      <w:r>
        <w:t xml:space="preserve">The majority attempts to explain away the distinction</w:t>
      </w:r>
      <w:r>
        <w:t xml:space="preserve"> </w:t>
      </w:r>
      <w:r>
        <w:rPr>
          <w:iCs/>
          <w:i/>
        </w:rPr>
        <w:t xml:space="preserve">Bellotti</w:t>
      </w:r>
      <w:r>
        <w:t xml:space="preserve"> </w:t>
      </w:r>
      <w:r>
        <w:t xml:space="preserve">drew — between general corporate speech and campaign speech intended to promote or prevent the election of specific candidates for office — as inconsistent with the rest of the opinion and with</w:t>
      </w:r>
      <w:r>
        <w:t xml:space="preserve"> </w:t>
      </w:r>
      <w:r>
        <w:rPr>
          <w:iCs/>
          <w:i/>
        </w:rPr>
        <w:t xml:space="preserve">Buckley. Ante,</w:t>
      </w:r>
      <w:r>
        <w:t xml:space="preserve"> </w:t>
      </w:r>
      <w:r>
        <w:t xml:space="preserve">at 347, 357-360. Yet the basis for this distinction is perfectly coherent: The anticorruption interests that animate regulations of corporate participation in candidate elections, the “importance” of which “has never been doubted,” 435 U. S., at 788, n. 26, do not apply equally to regulations of corporate participation in referenda. A referendum cannot owe a political debt to a corporation, seek to curry favor with a corporation, or fear the corporation’s retaliation. Cf.</w:t>
      </w:r>
      <w:r>
        <w:t xml:space="preserve"> </w:t>
      </w:r>
      <w:r>
        <w:rPr>
          <w:iCs/>
          <w:i/>
        </w:rPr>
        <w:t xml:space="preserve">Austin,</w:t>
      </w:r>
      <w:r>
        <w:t xml:space="preserve"> </w:t>
      </w:r>
      <w:r>
        <w:t xml:space="preserve">494 U. S., at 678 (Stevens, J., concurring);</w:t>
      </w:r>
      <w:r>
        <w:t xml:space="preserve"> </w:t>
      </w:r>
      <w:r>
        <w:rPr>
          <w:iCs/>
          <w:i/>
        </w:rPr>
        <w:t xml:space="preserve">Citizens Against Rent Control/Coalition for Fair Housing</w:t>
      </w:r>
      <w:r>
        <w:t xml:space="preserve"> </w:t>
      </w:r>
      <w:r>
        <w:t xml:space="preserve">v.</w:t>
      </w:r>
      <w:r>
        <w:t xml:space="preserve"> </w:t>
      </w:r>
      <w:r>
        <w:rPr>
          <w:iCs/>
          <w:i/>
        </w:rPr>
        <w:t xml:space="preserve">Berkeley,</w:t>
      </w:r>
      <w:r>
        <w:t xml:space="preserve"> </w:t>
      </w:r>
      <w:r>
        <w:t xml:space="preserve">454 U. S. 290, 299 (1981). The majority likewise overlooks the fact that, over the past 30 years, our cases have repeatedly recognized the candidate/issue distinction. See,</w:t>
      </w:r>
      <w:r>
        <w:t xml:space="preserve"> </w:t>
      </w:r>
      <w:r>
        <w:rPr>
          <w:iCs/>
          <w:i/>
        </w:rPr>
        <w:t xml:space="preserve">e. g., Austin,</w:t>
      </w:r>
      <w:r>
        <w:t xml:space="preserve"> </w:t>
      </w:r>
      <w:r>
        <w:t xml:space="preserve">494 U. S., at 659;</w:t>
      </w:r>
      <w:r>
        <w:t xml:space="preserve"> </w:t>
      </w:r>
      <w:r>
        <w:rPr>
          <w:iCs/>
          <w:i/>
        </w:rPr>
        <w:t xml:space="preserve">NCPAC,</w:t>
      </w:r>
      <w:r>
        <w:t xml:space="preserve"> </w:t>
      </w:r>
      <w:r>
        <w:t xml:space="preserve">470 U. S., at 495-496;</w:t>
      </w:r>
      <w:r>
        <w:t xml:space="preserve"> </w:t>
      </w:r>
      <w:r>
        <w:rPr>
          <w:iCs/>
          <w:i/>
        </w:rPr>
        <w:t xml:space="preserve">FCC</w:t>
      </w:r>
      <w:r>
        <w:t xml:space="preserve"> </w:t>
      </w:r>
      <w:r>
        <w:t xml:space="preserve">v.</w:t>
      </w:r>
      <w:r>
        <w:t xml:space="preserve"> </w:t>
      </w:r>
      <w:r>
        <w:rPr>
          <w:iCs/>
          <w:i/>
        </w:rPr>
        <w:t xml:space="preserve">League of Women Voters of Cal.,</w:t>
      </w:r>
      <w:r>
        <w:t xml:space="preserve"> </w:t>
      </w:r>
      <w:r>
        <w:t xml:space="preserve">468 U. S. 364, 371, n. 9 (1984);</w:t>
      </w:r>
      <w:r>
        <w:t xml:space="preserve"> </w:t>
      </w:r>
      <w:r>
        <w:rPr>
          <w:iCs/>
          <w:i/>
        </w:rPr>
        <w:t xml:space="preserve">NRWC,</w:t>
      </w:r>
      <w:r>
        <w:t xml:space="preserve"> </w:t>
      </w:r>
      <w:r>
        <w:t xml:space="preserve">459 U. S., at 210, n. 7. The Court’s critique of</w:t>
      </w:r>
      <w:r>
        <w:t xml:space="preserve"> </w:t>
      </w:r>
      <w:r>
        <w:rPr>
          <w:iCs/>
          <w:i/>
        </w:rPr>
        <w:t xml:space="preserve">Bellotti’s</w:t>
      </w:r>
      <w:r>
        <w:t xml:space="preserve"> </w:t>
      </w:r>
      <w:r>
        <w:t xml:space="preserve">footnote 26 puts it in the strange position of trying to elevate</w:t>
      </w:r>
      <w:r>
        <w:t xml:space="preserve"> </w:t>
      </w:r>
      <w:r>
        <w:rPr>
          <w:iCs/>
          <w:i/>
        </w:rPr>
        <w:t xml:space="preserve">Bellotti</w:t>
      </w:r>
      <w:r>
        <w:t xml:space="preserve"> </w:t>
      </w:r>
      <w:r>
        <w:t xml:space="preserve">to canonical status, while simultaneously disparaging a critical piece of its analysis as unsupported and irreconcilable with</w:t>
      </w:r>
      <w:r>
        <w:t xml:space="preserve"> </w:t>
      </w:r>
      <w:r>
        <w:rPr>
          <w:iCs/>
          <w:i/>
        </w:rPr>
        <w:t xml:space="preserve">Buckley. Bellotti,</w:t>
      </w:r>
      <w:r>
        <w:t xml:space="preserve"> </w:t>
      </w:r>
      <w:r>
        <w:t xml:space="preserve">apparently, is both the font of all wisdom and internally incoherent.</w:t>
      </w:r>
    </w:p>
    <w:p>
      <w:pPr>
        <w:pStyle w:val="CaseBody"/>
      </w:pPr>
      <w:r>
        <w:t xml:space="preserve">The</w:t>
      </w:r>
      <w:r>
        <w:t xml:space="preserve"> </w:t>
      </w:r>
      <w:r>
        <w:rPr>
          <w:iCs/>
          <w:i/>
        </w:rPr>
        <w:t xml:space="preserve">Bellotti</w:t>
      </w:r>
      <w:r>
        <w:t xml:space="preserve"> </w:t>
      </w:r>
      <w:r>
        <w:t xml:space="preserve">Court confronted a dramatically different factual situation from the one that confronts us in this case: a state statute that barred business corporations’ expenditures on some referenda but not others. Specifically, the statute barred a business corporation “from making contributions or expenditures ‘for the purpose of . . . influencing or affecting the vote on any question submitted to the voters, other than one materially affecting any of the property, business or assets of the corporation,’ ” 435 U. S., at 768 (quoting Mass. Gen. Laws Ann., ch. 55, § 8 (West Supp. 1977); alteration in original), and it went so far as to provide that referenda related to income taxation would not “ ‘be deemed materially to affect the property, business or assets of the corporation,’ ” 435 U. S., at 768. As might be guessed, the legislature had enacted this statute in order to limit corporate speech on a proposed state constitutional amendment to authorize a graduated income tax. The statute was a transparent attempt to prevent corporations from spending money to defeat this amendment, which was favored by a majority of legislators but had been repeatedly rejected by the voters. See</w:t>
      </w:r>
      <w:r>
        <w:t xml:space="preserve"> </w:t>
      </w:r>
      <w:r>
        <w:rPr>
          <w:iCs/>
          <w:i/>
        </w:rPr>
        <w:t xml:space="preserve">id.,</w:t>
      </w:r>
      <w:r>
        <w:t xml:space="preserve"> </w:t>
      </w:r>
      <w:r>
        <w:t xml:space="preserve">at 769-770, and n. 3. We said that “where, as here, the legislature’s suppression of speech suggests an attempt to give one side of a debatable public question an advantage in expressing its views to the people, the First Amendment is plainly offended.”</w:t>
      </w:r>
      <w:r>
        <w:t xml:space="preserve"> </w:t>
      </w:r>
      <w:r>
        <w:rPr>
          <w:iCs/>
          <w:i/>
        </w:rPr>
        <w:t xml:space="preserve">Id.,</w:t>
      </w:r>
      <w:r>
        <w:t xml:space="preserve"> </w:t>
      </w:r>
      <w:r>
        <w:t xml:space="preserve">at 785-786 (footnote omitted).</w:t>
      </w:r>
    </w:p>
    <w:p>
      <w:pPr>
        <w:pStyle w:val="CaseBody"/>
      </w:pPr>
      <w:r>
        <w:rPr>
          <w:iCs/>
          <w:i/>
        </w:rPr>
        <w:t xml:space="preserve">Bellotti</w:t>
      </w:r>
      <w:r>
        <w:t xml:space="preserve"> </w:t>
      </w:r>
      <w:r>
        <w:t xml:space="preserve">thus involved a</w:t>
      </w:r>
      <w:r>
        <w:t xml:space="preserve"> </w:t>
      </w:r>
      <w:r>
        <w:rPr>
          <w:iCs/>
          <w:i/>
        </w:rPr>
        <w:t xml:space="preserve">viewpoint-discriminatory</w:t>
      </w:r>
      <w:r>
        <w:t xml:space="preserve"> </w:t>
      </w:r>
      <w:r>
        <w:t xml:space="preserve">statute, created to effect a particular policy outcome. Even Justice Rehnquist, in dissent, had to acknowledge that “a very persuasive argument could be made that the [Massachusetts Legislature], desiring to impose a personal income tax but more than once defeated in that desire by the combination of the Commonwealth’s referendum provision and corporate expenditures in opposition to such a tax, simply decided to muzzle corporations on this sort of issue so that it could succeed in its desire.”</w:t>
      </w:r>
      <w:r>
        <w:t xml:space="preserve"> </w:t>
      </w:r>
      <w:r>
        <w:rPr>
          <w:iCs/>
          <w:i/>
        </w:rPr>
        <w:t xml:space="preserve">Id.,</w:t>
      </w:r>
      <w:r>
        <w:t xml:space="preserve"> </w:t>
      </w:r>
      <w:r>
        <w:t xml:space="preserve">at 827, n. 6. To make matters worse, the law at issue did not make any allowance for corporations to spend money through PACs.</w:t>
      </w:r>
      <w:r>
        <w:t xml:space="preserve"> </w:t>
      </w:r>
      <w:r>
        <w:rPr>
          <w:iCs/>
          <w:i/>
        </w:rPr>
        <w:t xml:space="preserve">Id.,</w:t>
      </w:r>
      <w:r>
        <w:t xml:space="preserve"> </w:t>
      </w:r>
      <w:r>
        <w:t xml:space="preserve">at 768, n. 2 (opinion of the Court). This really was a complete ban on a specific, preidentified subject. See</w:t>
      </w:r>
      <w:r>
        <w:t xml:space="preserve"> </w:t>
      </w:r>
      <w:r>
        <w:rPr>
          <w:iCs/>
          <w:i/>
        </w:rPr>
        <w:t xml:space="preserve">MCFL,</w:t>
      </w:r>
      <w:r>
        <w:t xml:space="preserve"> </w:t>
      </w:r>
      <w:r>
        <w:t xml:space="preserve">479 U. S., at 259, n. 12 (stating that 2 U. S. C. §441b’s expenditure restriction “is</w:t>
      </w:r>
      <w:r>
        <w:t xml:space="preserve"> </w:t>
      </w:r>
      <w:r>
        <w:rPr>
          <w:iCs/>
          <w:i/>
        </w:rPr>
        <w:t xml:space="preserve">of course distinguishable</w:t>
      </w:r>
      <w:r>
        <w:t xml:space="preserve"> </w:t>
      </w:r>
      <w:r>
        <w:t xml:space="preserve">from the complete foreclosure of any opportunity for political speech that we invalidated in the state referendum context in . . .</w:t>
      </w:r>
      <w:r>
        <w:t xml:space="preserve"> </w:t>
      </w:r>
      <w:r>
        <w:rPr>
          <w:iCs/>
          <w:i/>
        </w:rPr>
        <w:t xml:space="preserve">Bellotti”</w:t>
      </w:r>
      <w:r>
        <w:t xml:space="preserve"> </w:t>
      </w:r>
      <w:r>
        <w:t xml:space="preserve">(emphasis added)).</w:t>
      </w:r>
    </w:p>
    <w:p>
      <w:pPr>
        <w:pStyle w:val="CaseBody"/>
      </w:pPr>
      <w:r>
        <w:t xml:space="preserve">The majority grasps a quotational straw from</w:t>
      </w:r>
      <w:r>
        <w:t xml:space="preserve"> </w:t>
      </w:r>
      <w:r>
        <w:rPr>
          <w:iCs/>
          <w:i/>
        </w:rPr>
        <w:t xml:space="preserve">Bellotti,</w:t>
      </w:r>
      <w:r>
        <w:t xml:space="preserve"> </w:t>
      </w:r>
      <w:r>
        <w:t xml:space="preserve">that speech does not fall entirely outside the protection of the First Amendment merely because it comes from a corporation.</w:t>
      </w:r>
      <w:r>
        <w:t xml:space="preserve"> </w:t>
      </w:r>
      <w:r>
        <w:rPr>
          <w:iCs/>
          <w:i/>
        </w:rPr>
        <w:t xml:space="preserve">Ante,</w:t>
      </w:r>
      <w:r>
        <w:t xml:space="preserve"> </w:t>
      </w:r>
      <w:r>
        <w:t xml:space="preserve">at 346-347. Of course not, but no one suggests the contrary, and neither</w:t>
      </w:r>
      <w:r>
        <w:t xml:space="preserve"> </w:t>
      </w:r>
      <w:r>
        <w:rPr>
          <w:iCs/>
          <w:i/>
        </w:rPr>
        <w:t xml:space="preserve">Austin</w:t>
      </w:r>
      <w:r>
        <w:t xml:space="preserve"> </w:t>
      </w:r>
      <w:r>
        <w:t xml:space="preserve">nor</w:t>
      </w:r>
      <w:r>
        <w:t xml:space="preserve"> </w:t>
      </w:r>
      <w:r>
        <w:rPr>
          <w:iCs/>
          <w:i/>
        </w:rPr>
        <w:t xml:space="preserve">McConnell</w:t>
      </w:r>
      <w:r>
        <w:t xml:space="preserve"> </w:t>
      </w:r>
      <w:r>
        <w:t xml:space="preserve">held otherwise. They held that even though the expenditures at issue were subject to First Amendment scrutiny, the restrictions on those expenditures were justified by a compelling state interest. See</w:t>
      </w:r>
      <w:r>
        <w:t xml:space="preserve"> </w:t>
      </w:r>
      <w:r>
        <w:rPr>
          <w:iCs/>
          <w:i/>
        </w:rPr>
        <w:t xml:space="preserve">McConnell,</w:t>
      </w:r>
      <w:r>
        <w:t xml:space="preserve"> </w:t>
      </w:r>
      <w:r>
        <w:t xml:space="preserve">540 U. S., at 205;</w:t>
      </w:r>
      <w:r>
        <w:t xml:space="preserve"> </w:t>
      </w:r>
      <w:r>
        <w:rPr>
          <w:iCs/>
          <w:i/>
        </w:rPr>
        <w:t xml:space="preserve">Austin,</w:t>
      </w:r>
      <w:r>
        <w:t xml:space="preserve"> </w:t>
      </w:r>
      <w:r>
        <w:t xml:space="preserve">494 U. S., at 658, 660. We acknowledged in</w:t>
      </w:r>
      <w:r>
        <w:t xml:space="preserve"> </w:t>
      </w:r>
      <w:r>
        <w:rPr>
          <w:iCs/>
          <w:i/>
        </w:rPr>
        <w:t xml:space="preserve">Bellotti</w:t>
      </w:r>
      <w:r>
        <w:t xml:space="preserve"> </w:t>
      </w:r>
      <w:r>
        <w:t xml:space="preserve">that numerous “interests of the highest importance” can justify campaign finance regulation. 435 U. S., at 788-789. But we found no evidence that these interests were served by the Massachusetts law.</w:t>
      </w:r>
      <w:r>
        <w:t xml:space="preserve"> </w:t>
      </w:r>
      <w:r>
        <w:rPr>
          <w:iCs/>
          <w:i/>
        </w:rPr>
        <w:t xml:space="preserve">Id.,</w:t>
      </w:r>
      <w:r>
        <w:t xml:space="preserve"> </w:t>
      </w:r>
      <w:r>
        <w:t xml:space="preserve">at 789. We left open the possibility that our decision might have been different if there had been “record or legislative findings that corporate advocacy threatened imminently to undermine democratic processes, thereby denigrating rather than serving First Amendment interests.”</w:t>
      </w:r>
      <w:r>
        <w:t xml:space="preserve"> </w:t>
      </w:r>
      <w:r>
        <w:rPr>
          <w:iCs/>
          <w:i/>
        </w:rPr>
        <w:t xml:space="preserve">Ibid.</w:t>
      </w:r>
    </w:p>
    <w:p>
      <w:pPr>
        <w:pStyle w:val="CaseBody"/>
      </w:pPr>
      <w:r>
        <w:rPr>
          <w:iCs/>
          <w:i/>
        </w:rPr>
        <w:t xml:space="preserve">Austin</w:t>
      </w:r>
      <w:r>
        <w:t xml:space="preserve"> </w:t>
      </w:r>
      <w:r>
        <w:t xml:space="preserve">and</w:t>
      </w:r>
      <w:r>
        <w:t xml:space="preserve"> </w:t>
      </w:r>
      <w:r>
        <w:rPr>
          <w:iCs/>
          <w:i/>
        </w:rPr>
        <w:t xml:space="preserve">McConnell,</w:t>
      </w:r>
      <w:r>
        <w:t xml:space="preserve"> </w:t>
      </w:r>
      <w:r>
        <w:t xml:space="preserve">then, sit perfectly well with</w:t>
      </w:r>
      <w:r>
        <w:t xml:space="preserve"> </w:t>
      </w:r>
      <w:r>
        <w:rPr>
          <w:iCs/>
          <w:i/>
        </w:rPr>
        <w:t xml:space="preserve">Bellotti.</w:t>
      </w:r>
      <w:r>
        <w:t xml:space="preserve"> </w:t>
      </w:r>
      <w:r>
        <w:t xml:space="preserve">Indeed, all six Members of the</w:t>
      </w:r>
      <w:r>
        <w:t xml:space="preserve"> </w:t>
      </w:r>
      <w:r>
        <w:rPr>
          <w:iCs/>
          <w:i/>
        </w:rPr>
        <w:t xml:space="preserve">Austin</w:t>
      </w:r>
      <w:r>
        <w:t xml:space="preserve"> </w:t>
      </w:r>
      <w:r>
        <w:t xml:space="preserve">majority had been on the Court at the time of</w:t>
      </w:r>
      <w:r>
        <w:t xml:space="preserve"> </w:t>
      </w:r>
      <w:r>
        <w:rPr>
          <w:iCs/>
          <w:i/>
        </w:rPr>
        <w:t xml:space="preserve">Bellotti,</w:t>
      </w:r>
      <w:r>
        <w:t xml:space="preserve"> </w:t>
      </w:r>
      <w:r>
        <w:t xml:space="preserve">and none so much as hinted in</w:t>
      </w:r>
      <w:r>
        <w:t xml:space="preserve"> </w:t>
      </w:r>
      <w:r>
        <w:rPr>
          <w:iCs/>
          <w:i/>
        </w:rPr>
        <w:t xml:space="preserve">Austin</w:t>
      </w:r>
      <w:r>
        <w:t xml:space="preserve"> </w:t>
      </w:r>
      <w:r>
        <w:t xml:space="preserve">that they saw any tension between the decisions. The difference between the cases is not that</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rejected First Amendment protection for corporations whereas</w:t>
      </w:r>
      <w:r>
        <w:t xml:space="preserve"> </w:t>
      </w:r>
      <w:r>
        <w:rPr>
          <w:iCs/>
          <w:i/>
        </w:rPr>
        <w:t xml:space="preserve">Bellotti</w:t>
      </w:r>
      <w:r>
        <w:t xml:space="preserve"> </w:t>
      </w:r>
      <w:r>
        <w:t xml:space="preserve">accepted it. The difference is that the statute at issue in</w:t>
      </w:r>
      <w:r>
        <w:t xml:space="preserve"> </w:t>
      </w:r>
      <w:r>
        <w:rPr>
          <w:iCs/>
          <w:i/>
        </w:rPr>
        <w:t xml:space="preserve">Bellotti</w:t>
      </w:r>
      <w:r>
        <w:t xml:space="preserve"> </w:t>
      </w:r>
      <w:r>
        <w:t xml:space="preserve">smacked of viewpoint discrimination, targeted one class of corporations, and provided no PAC option; and the State has a greater interest in regulating independent corporate expenditures on candidate elections than on referenda, because in a functioning democracy the public must have faith that its representatives owe their positions to the people, not to the corporations with the deepest pockets.</w:t>
      </w:r>
    </w:p>
    <w:p>
      <w:pPr>
        <w:pStyle w:val="CaseBody"/>
      </w:pPr>
      <w:r>
        <w:t xml:space="preserve">* * *</w:t>
      </w:r>
    </w:p>
    <w:p>
      <w:pPr>
        <w:pStyle w:val="CaseBody"/>
      </w:pPr>
      <w:r>
        <w:t xml:space="preserve">In sum, over the course of the past century Congress has demonstrated a recurrent need to regulate corporate participation in candidate elections to “ ‘[p]reserv[e] the integrity of the electoral process, preven[t] corruption, . . . sustai[n] the active, alert responsibility of the individual citizen,’” protect the expressive interests of shareholders, and “ ‘[p]reserv[e] . . . the individual citizen’s confidence in government.’”</w:t>
      </w:r>
      <w:r>
        <w:t xml:space="preserve"> </w:t>
      </w:r>
      <w:r>
        <w:rPr>
          <w:iCs/>
          <w:i/>
        </w:rPr>
        <w:t xml:space="preserve">McConnell,</w:t>
      </w:r>
      <w:r>
        <w:t xml:space="preserve"> </w:t>
      </w:r>
      <w:r>
        <w:t xml:space="preserve">540 U. S., at 206-207, n. 88 (quoting</w:t>
      </w:r>
      <w:r>
        <w:t xml:space="preserve"> </w:t>
      </w:r>
      <w:r>
        <w:rPr>
          <w:iCs/>
          <w:i/>
        </w:rPr>
        <w:t xml:space="preserve">Bellotti,</w:t>
      </w:r>
      <w:r>
        <w:t xml:space="preserve"> </w:t>
      </w:r>
      <w:r>
        <w:t xml:space="preserve">435 U. S., at 788-789; first alteration in original). These understandings provided the combined impetus behind the Tillman Act in 1907, see</w:t>
      </w:r>
      <w:r>
        <w:t xml:space="preserve"> </w:t>
      </w:r>
      <w:r>
        <w:rPr>
          <w:iCs/>
          <w:i/>
        </w:rPr>
        <w:t xml:space="preserve">Automobile Workers,</w:t>
      </w:r>
      <w:r>
        <w:t xml:space="preserve"> </w:t>
      </w:r>
      <w:r>
        <w:t xml:space="preserve">352 U. S., at 570-575, the Taft-Hartley Act in 1947, see</w:t>
      </w:r>
      <w:r>
        <w:t xml:space="preserve"> </w:t>
      </w:r>
      <w:r>
        <w:rPr>
          <w:iCs/>
          <w:i/>
        </w:rPr>
        <w:t xml:space="preserve">WRTL,</w:t>
      </w:r>
      <w:r>
        <w:t xml:space="preserve"> </w:t>
      </w:r>
      <w:r>
        <w:t xml:space="preserve">551 U. S., at 511 (Souter, J., dissenting), FECA in 1971, see</w:t>
      </w:r>
      <w:r>
        <w:t xml:space="preserve"> </w:t>
      </w:r>
      <w:r>
        <w:rPr>
          <w:iCs/>
          <w:i/>
        </w:rPr>
        <w:t xml:space="preserve">NRWC,</w:t>
      </w:r>
      <w:r>
        <w:t xml:space="preserve"> </w:t>
      </w:r>
      <w:r>
        <w:t xml:space="preserve">459 U. S., at 209-210, and BCRA in 2002, see</w:t>
      </w:r>
      <w:r>
        <w:t xml:space="preserve"> </w:t>
      </w:r>
      <w:r>
        <w:rPr>
          <w:iCs/>
          <w:i/>
        </w:rPr>
        <w:t xml:space="preserve">McConnell,</w:t>
      </w:r>
      <w:r>
        <w:t xml:space="preserve"> </w:t>
      </w:r>
      <w:r>
        <w:t xml:space="preserve">540 U. S., at 126-132. Continuously for over 100 years, this line of “[c]ampaign finance reform has been a series of reactions to documented threats to electoral integrity obvious to any voter, posed by large sums of money from corporate or union treasuries.”</w:t>
      </w:r>
      <w:r>
        <w:t xml:space="preserve"> </w:t>
      </w:r>
      <w:r>
        <w:rPr>
          <w:iCs/>
          <w:i/>
        </w:rPr>
        <w:t xml:space="preserve">WRTL,</w:t>
      </w:r>
      <w:r>
        <w:t xml:space="preserve"> </w:t>
      </w:r>
      <w:r>
        <w:t xml:space="preserve">551 U. S., at 522 (Souter, J., dissenting). Time and again, we have recognized these realities in approving measures that Congress and the States have taken. None of the cases the majority cites is to the contrary. The only thing new about</w:t>
      </w:r>
      <w:r>
        <w:t xml:space="preserve"> </w:t>
      </w:r>
      <w:r>
        <w:rPr>
          <w:iCs/>
          <w:i/>
        </w:rPr>
        <w:t xml:space="preserve">Austin</w:t>
      </w:r>
      <w:r>
        <w:t xml:space="preserve"> </w:t>
      </w:r>
      <w:r>
        <w:t xml:space="preserve">was the dissent, with its stunning failure to appreciate the legitimacy of interests recognized in the name of democratic integrity since the days of the Progressives.</w:t>
      </w:r>
    </w:p>
    <w:p>
      <w:pPr>
        <w:pStyle w:val="CaseBody"/>
      </w:pPr>
      <w:r>
        <w:t xml:space="preserve">IV</w:t>
      </w:r>
    </w:p>
    <w:p>
      <w:pPr>
        <w:pStyle w:val="CaseBody"/>
      </w:pPr>
      <w:r>
        <w:t xml:space="preserve">Having explained why this is not an appropriate case in which to revisit</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and why these decisions sit perfectly well with “First Amendment principles,”</w:t>
      </w:r>
      <w:r>
        <w:t xml:space="preserve"> </w:t>
      </w:r>
      <w:r>
        <w:rPr>
          <w:iCs/>
          <w:i/>
        </w:rPr>
        <w:t xml:space="preserve">ante,</w:t>
      </w:r>
      <w:r>
        <w:t xml:space="preserve"> </w:t>
      </w:r>
      <w:r>
        <w:t xml:space="preserve">at 319, 363, I come at last to the interests that are at stake. The majority recognizes that</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may be defended on anticorruption, antidistortion, and shareholder protection, rationales.</w:t>
      </w:r>
      <w:r>
        <w:t xml:space="preserve"> </w:t>
      </w:r>
      <w:r>
        <w:rPr>
          <w:iCs/>
          <w:i/>
        </w:rPr>
        <w:t xml:space="preserve">Ante,</w:t>
      </w:r>
      <w:r>
        <w:t xml:space="preserve"> </w:t>
      </w:r>
      <w:r>
        <w:t xml:space="preserve">at 348-362. It badly errs both in explaining the nature of these rationales, which overlap and complement each other, and in applying them to the ease at hand.</w:t>
      </w:r>
    </w:p>
    <w:p>
      <w:pPr>
        <w:pStyle w:val="CaseBody"/>
      </w:pPr>
      <w:r>
        <w:rPr>
          <w:iCs/>
          <w:i/>
        </w:rPr>
        <w:t xml:space="preserve">The Anticorruption Interest</w:t>
      </w:r>
    </w:p>
    <w:p>
      <w:pPr>
        <w:pStyle w:val="CaseBody"/>
      </w:pPr>
      <w:r>
        <w:t xml:space="preserve">Undergirding the majority’s approach to the merits is the claim that the only “sufficiently important governmental interest in preventing corruption or the appearance of corruption” is one that is “limited to</w:t>
      </w:r>
      <w:r>
        <w:t xml:space="preserve"> </w:t>
      </w:r>
      <w:r>
        <w:rPr>
          <w:iCs/>
          <w:i/>
        </w:rPr>
        <w:t xml:space="preserve">quid pro quo</w:t>
      </w:r>
      <w:r>
        <w:t xml:space="preserve"> </w:t>
      </w:r>
      <w:r>
        <w:t xml:space="preserve">corruption.”</w:t>
      </w:r>
      <w:r>
        <w:t xml:space="preserve"> </w:t>
      </w:r>
      <w:r>
        <w:rPr>
          <w:iCs/>
          <w:i/>
        </w:rPr>
        <w:t xml:space="preserve">Ante,</w:t>
      </w:r>
      <w:r>
        <w:t xml:space="preserve"> </w:t>
      </w:r>
      <w:r>
        <w:t xml:space="preserve">at 359. This is the same “crabbed view of corruption” that was espoused by Justice Kennedy in</w:t>
      </w:r>
      <w:r>
        <w:t xml:space="preserve"> </w:t>
      </w:r>
      <w:r>
        <w:rPr>
          <w:iCs/>
          <w:i/>
        </w:rPr>
        <w:t xml:space="preserve">McConnell</w:t>
      </w:r>
      <w:r>
        <w:t xml:space="preserve"> </w:t>
      </w:r>
      <w:r>
        <w:t xml:space="preserve">and squarely rejected by the Court in that case. 540 U. S., at 152. While it is true that we have not always spoken about corruption in a clear or consistent voice, the approach taken by the majority cannot be right, in my judgment. It disregards our constitutional history and the fundamental demands of a democratic society.</w:t>
      </w:r>
    </w:p>
    <w:p>
      <w:pPr>
        <w:pStyle w:val="CaseBody"/>
      </w:pPr>
      <w:r>
        <w:t xml:space="preserve">On numerous occasions we have recognized Congress’ legitimate interest in preventing the money that is spent on elections from exerting an “‘undue influence on an officeholder’s judgment’ ” and from creating “ ‘the appearance of such influence,’” beyond the sphere of</w:t>
      </w:r>
      <w:r>
        <w:t xml:space="preserve"> </w:t>
      </w:r>
      <w:r>
        <w:rPr>
          <w:iCs/>
          <w:i/>
        </w:rPr>
        <w:t xml:space="preserve">quid pro quo</w:t>
      </w:r>
      <w:r>
        <w:t xml:space="preserve"> </w:t>
      </w:r>
      <w:r>
        <w:t xml:space="preserve">relationships.</w:t>
      </w:r>
      <w:r>
        <w:t xml:space="preserve"> </w:t>
      </w:r>
      <w:r>
        <w:rPr>
          <w:iCs/>
          <w:i/>
        </w:rPr>
        <w:t xml:space="preserve">Id.,</w:t>
      </w:r>
      <w:r>
        <w:t xml:space="preserve"> </w:t>
      </w:r>
      <w:r>
        <w:t xml:space="preserve">at 150; see also,</w:t>
      </w:r>
      <w:r>
        <w:t xml:space="preserve"> </w:t>
      </w:r>
      <w:r>
        <w:rPr>
          <w:iCs/>
          <w:i/>
        </w:rPr>
        <w:t xml:space="preserve">e.g., id.,</w:t>
      </w:r>
      <w:r>
        <w:t xml:space="preserve"> </w:t>
      </w:r>
      <w:r>
        <w:t xml:space="preserve">at 143-144, 152-154;</w:t>
      </w:r>
      <w:r>
        <w:t xml:space="preserve"> </w:t>
      </w:r>
      <w:r>
        <w:rPr>
          <w:iCs/>
          <w:i/>
        </w:rPr>
        <w:t xml:space="preserve">Colorado II,</w:t>
      </w:r>
      <w:r>
        <w:t xml:space="preserve"> </w:t>
      </w:r>
      <w:r>
        <w:t xml:space="preserve">533 U. S., at 441;</w:t>
      </w:r>
      <w:r>
        <w:t xml:space="preserve"> </w:t>
      </w:r>
      <w:r>
        <w:rPr>
          <w:iCs/>
          <w:i/>
        </w:rPr>
        <w:t xml:space="preserve">Shrink Missouri,</w:t>
      </w:r>
      <w:r>
        <w:t xml:space="preserve"> </w:t>
      </w:r>
      <w:r>
        <w:t xml:space="preserve">528 U. S., at 389. Corruption can take many forms. Bribery may be the paradigm case. But the difference between selling a vote and selling access is a matter of degree, not kind. And selling access is not qualitatively different from giving special preference to those who spent money on one's behalf. Corruption operates along a spectrum, and the majority’s apparent belief that</w:t>
      </w:r>
      <w:r>
        <w:t xml:space="preserve"> </w:t>
      </w:r>
      <w:r>
        <w:rPr>
          <w:iCs/>
          <w:i/>
        </w:rPr>
        <w:t xml:space="preserve">quid pro quo</w:t>
      </w:r>
      <w:r>
        <w:t xml:space="preserve"> </w:t>
      </w:r>
      <w:r>
        <w:t xml:space="preserve">arrangements can be neatly demarcated from other improper influences does not accord with the theory or reality of politics. It certainly does not accord with the record Congress developed in passing BCRA, a record that stands as a remarkable testament to the energy and ingenuity with which corporations, unions, lobbyists, and politicians may go about scratching each other’s backs — and which amply supported Congress’ determination to target a limited set of especially destructive practices.</w:t>
      </w:r>
    </w:p>
    <w:p>
      <w:pPr>
        <w:pStyle w:val="CaseBody"/>
      </w:pPr>
      <w:r>
        <w:t xml:space="preserve">The District Court that adjudicated the initial challenge to BCRA pored over this record. In a careful analysis, Judge Kollar-Kotelly made numerous findings about the corrupting consequences of corporate and union independent expenditures in the years preceding BCRA’s passage. See</w:t>
      </w:r>
      <w:r>
        <w:t xml:space="preserve"> </w:t>
      </w:r>
      <w:r>
        <w:rPr>
          <w:iCs/>
          <w:i/>
        </w:rPr>
        <w:t xml:space="preserve">McConnell,</w:t>
      </w:r>
      <w:r>
        <w:t xml:space="preserve"> </w:t>
      </w:r>
      <w:r>
        <w:t xml:space="preserve">251 F. Supp. 2d, at 555-560, 622-625; see also</w:t>
      </w:r>
      <w:r>
        <w:t xml:space="preserve"> </w:t>
      </w:r>
      <w:r>
        <w:rPr>
          <w:iCs/>
          <w:i/>
        </w:rPr>
        <w:t xml:space="preserve">id.,</w:t>
      </w:r>
      <w:r>
        <w:t xml:space="preserve"> </w:t>
      </w:r>
      <w:r>
        <w:t xml:space="preserve">at 804-805, 813, n. 143 (Leon, J.) (indicating agreement). As summarized in her own words:</w:t>
      </w:r>
    </w:p>
    <w:p>
      <w:pPr>
        <w:pStyle w:val="BlockText"/>
      </w:pPr>
      <w:r>
        <w:t xml:space="preserve">“The factual findings of the Court illustrate that corporations and labor unions routinely notify Members of Congress as soon as they air electioneering communications relevant to the Members’ elections. The record also indicates that Members express appreciation to organizations for the airing of these election-related advertisements. Indeed, Members of Congress are particularly grateful when negative issue advertisements are run by these organizations, leaving the candidates free to run positive advertisements and be seen as 'above the fray.’ Political consultants testify that campaigns are quite aware of who is running advertisements on the candidate’s behalf, when they are being run, and where they are being run. Likewise, a prominent lobbyist testifies that these organizations use issue advocacy as a means to influence various Members of Congress.</w:t>
      </w:r>
    </w:p>
    <w:p>
      <w:pPr>
        <w:pStyle w:val="BlockText"/>
      </w:pPr>
      <w:r>
        <w:t xml:space="preserve">“The Findings also demonstrate that Members of Congress seek to have corporations and unions run these advertisements on their behalf. The Findings show that Members suggest that corporations or individuals make donations to interest groups with the understanding that the money contributed to these groups will assist the Member in a campaign. After the election, these organizations often seek credit for their support----Finally, a large majority of Americans (80%) are of the view that corporations and other organizations that engage in electioneering communications, which benefit specific elected officials, receive special consideration from those officials when matters arise that affect these corporations and organizations.”</w:t>
      </w:r>
      <w:r>
        <w:t xml:space="preserve"> </w:t>
      </w:r>
      <w:r>
        <w:rPr>
          <w:iCs/>
          <w:i/>
        </w:rPr>
        <w:t xml:space="preserve">Id.,</w:t>
      </w:r>
      <w:r>
        <w:t xml:space="preserve"> </w:t>
      </w:r>
      <w:r>
        <w:t xml:space="preserve">at 623-624 (citations and footnote omitted).</w:t>
      </w:r>
    </w:p>
    <w:p>
      <w:pPr>
        <w:pStyle w:val="CaseBody"/>
      </w:pPr>
      <w:r>
        <w:t xml:space="preserve">Many of the relationships of dependency found by Judge Kollar-Kotelly seemed to have a</w:t>
      </w:r>
      <w:r>
        <w:t xml:space="preserve"> </w:t>
      </w:r>
      <w:r>
        <w:rPr>
          <w:iCs/>
          <w:i/>
        </w:rPr>
        <w:t xml:space="preserve">quid pro quo</w:t>
      </w:r>
      <w:r>
        <w:t xml:space="preserve"> </w:t>
      </w:r>
      <w:r>
        <w:t xml:space="preserve">basis, but other arrangements were more subtle. Her analysis shows the great difficulty in delimiting the precise scope of the</w:t>
      </w:r>
      <w:r>
        <w:t xml:space="preserve"> </w:t>
      </w:r>
      <w:r>
        <w:rPr>
          <w:iCs/>
          <w:i/>
        </w:rPr>
        <w:t xml:space="preserve">quid pro quo</w:t>
      </w:r>
      <w:r>
        <w:t xml:space="preserve"> </w:t>
      </w:r>
      <w:r>
        <w:t xml:space="preserve">category, as well as the adverse consequences that</w:t>
      </w:r>
      <w:r>
        <w:t xml:space="preserve"> </w:t>
      </w:r>
      <w:r>
        <w:rPr>
          <w:iCs/>
          <w:i/>
        </w:rPr>
        <w:t xml:space="preserve">all</w:t>
      </w:r>
      <w:r>
        <w:t xml:space="preserve"> </w:t>
      </w:r>
      <w:r>
        <w:t xml:space="preserve">such arrangements may have. There are threats of corruption that are far more destructive to a democratic society than the odd bribe. Yet the majority’s understanding of corruption would leave lawmakers impotent to address all but the most discrete abuses.</w:t>
      </w:r>
    </w:p>
    <w:p>
      <w:pPr>
        <w:pStyle w:val="CaseBody"/>
      </w:pPr>
      <w:r>
        <w:t xml:space="preserve">Our “undue influence” cases have allowed the American people to cast a wider net through legislative experiments designed to ensure, to some minimal extent, “that officeholders will decide issues ... on the merits or the desires of their constituencies,” and not “according to the wishes of those who have made large financial contributions” — or expenditures — “valued by the officeholder.”</w:t>
      </w:r>
      <w:r>
        <w:t xml:space="preserve"> </w:t>
      </w:r>
      <w:r>
        <w:rPr>
          <w:iCs/>
          <w:i/>
        </w:rPr>
        <w:t xml:space="preserve">McConnell,</w:t>
      </w:r>
      <w:r>
        <w:t xml:space="preserve"> </w:t>
      </w:r>
      <w:r>
        <w:t xml:space="preserve">540 U. S., at 153.</w:t>
      </w:r>
      <w:r>
        <w:rPr>
          <w:rStyle w:val="FootnoteReference"/>
        </w:rPr>
        <w:footnoteReference w:customMarkFollows="1" w:id="682"/>
        <w:t xml:space="preserve">63</w:t>
      </w:r>
      <w:r>
        <w:t xml:space="preserve"> </w:t>
      </w:r>
      <w:r>
        <w:t xml:space="preserve">When private interests are seen to exert outsized control over officeholders solely on account of the money spent on (or withheld from) their campaigns, the result can depart so thoroughly “from what is pure or correct” in the conduct of Government, Webster’s Third New International Dictionary 512 (1966) (defining “corruption”), that it amounts to a “subversion ... of the . . . electoral process,”</w:t>
      </w:r>
      <w:r>
        <w:t xml:space="preserve"> </w:t>
      </w:r>
      <w:r>
        <w:rPr>
          <w:iCs/>
          <w:i/>
        </w:rPr>
        <w:t xml:space="preserve">Automobile Workers,</w:t>
      </w:r>
      <w:r>
        <w:t xml:space="preserve"> </w:t>
      </w:r>
      <w:r>
        <w:t xml:space="preserve">352 U. S., at 575. At stake in the legislative efforts to address this threat is therefore not only the legitimacy and quality of Government but also the public’s faith therein, not only “the capacity of this democracy to represent its constituents [but also] the confidence of its citizens in their capacity to govern themselves,”</w:t>
      </w:r>
      <w:r>
        <w:t xml:space="preserve"> </w:t>
      </w:r>
      <w:r>
        <w:rPr>
          <w:iCs/>
          <w:i/>
        </w:rPr>
        <w:t xml:space="preserve">WRTL,</w:t>
      </w:r>
      <w:r>
        <w:t xml:space="preserve"> </w:t>
      </w:r>
      <w:r>
        <w:t xml:space="preserve">551 U. S., at 507 (Souter, J., dissenting). “Take away Congress’ authority to regulate the appearance of undue influence and ‘the cynical assumption that large donors call the tune could jeopardize the willingness of voters to take part in democratic governance.’ ”</w:t>
      </w:r>
      <w:r>
        <w:t xml:space="preserve"> </w:t>
      </w:r>
      <w:r>
        <w:rPr>
          <w:iCs/>
          <w:i/>
        </w:rPr>
        <w:t xml:space="preserve">McConnell,</w:t>
      </w:r>
      <w:r>
        <w:t xml:space="preserve"> </w:t>
      </w:r>
      <w:r>
        <w:t xml:space="preserve">540 U. S., at 144 (quoting</w:t>
      </w:r>
      <w:r>
        <w:t xml:space="preserve"> </w:t>
      </w:r>
      <w:r>
        <w:rPr>
          <w:iCs/>
          <w:i/>
        </w:rPr>
        <w:t xml:space="preserve">Shrink Missouri,</w:t>
      </w:r>
      <w:r>
        <w:t xml:space="preserve"> </w:t>
      </w:r>
      <w:r>
        <w:t xml:space="preserve">528 U. S., at 390).</w:t>
      </w:r>
      <w:r>
        <w:rPr>
          <w:rStyle w:val="FootnoteReference"/>
        </w:rPr>
        <w:footnoteReference w:customMarkFollows="1" w:id="687"/>
        <w:t xml:space="preserve">64</w:t>
      </w:r>
    </w:p>
    <w:p>
      <w:pPr>
        <w:pStyle w:val="CaseBody"/>
      </w:pPr>
      <w:r>
        <w:t xml:space="preserve">The cluster of interrelated interests threatened by such undue influence and its appearance has been well captured under the rubric of “democratic integrity.”</w:t>
      </w:r>
      <w:r>
        <w:t xml:space="preserve"> </w:t>
      </w:r>
      <w:r>
        <w:rPr>
          <w:iCs/>
          <w:i/>
        </w:rPr>
        <w:t xml:space="preserve">WRTL,</w:t>
      </w:r>
      <w:r>
        <w:t xml:space="preserve"> </w:t>
      </w:r>
      <w:r>
        <w:t xml:space="preserve">551 U. S., at 522 (Souter, J., dissenting). This value has underlined a century of state and federal efforts to regulate the role of corporations in the electoral process.</w:t>
      </w:r>
      <w:r>
        <w:rPr>
          <w:rStyle w:val="FootnoteReference"/>
        </w:rPr>
        <w:footnoteReference w:customMarkFollows="1" w:id="692"/>
        <w:t xml:space="preserve">65</w:t>
      </w:r>
    </w:p>
    <w:p>
      <w:pPr>
        <w:pStyle w:val="CaseBody"/>
      </w:pPr>
      <w:r>
        <w:t xml:space="preserve">Unlike the majority’s myopic focus on</w:t>
      </w:r>
      <w:r>
        <w:t xml:space="preserve"> </w:t>
      </w:r>
      <w:r>
        <w:rPr>
          <w:iCs/>
          <w:i/>
        </w:rPr>
        <w:t xml:space="preserve">quid pro quo</w:t>
      </w:r>
      <w:r>
        <w:t xml:space="preserve"> </w:t>
      </w:r>
      <w:r>
        <w:t xml:space="preserve">scenarios and the free-floating “First Amendment principles” on which it rests so much weight,</w:t>
      </w:r>
      <w:r>
        <w:t xml:space="preserve"> </w:t>
      </w:r>
      <w:r>
        <w:rPr>
          <w:iCs/>
          <w:i/>
        </w:rPr>
        <w:t xml:space="preserve">ante,</w:t>
      </w:r>
      <w:r>
        <w:t xml:space="preserve"> </w:t>
      </w:r>
      <w:r>
        <w:t xml:space="preserve">at 319, 363, this broader understanding of corruption has deep roots in the Nation’s history. “During debates on the earliest [campaign finance] reform acts, the terms ‘corruption’ and ‘undue influence’ were used nearly interchangeably.” Pasquale, Reclaiming Egalitarianism in the Political Theory of Campaign Finance Reform, 2008 U. Ill. L. Rev. 599, 601. Long before</w:t>
      </w:r>
      <w:r>
        <w:t xml:space="preserve"> </w:t>
      </w:r>
      <w:r>
        <w:rPr>
          <w:iCs/>
          <w:i/>
        </w:rPr>
        <w:t xml:space="preserve">Buckley,</w:t>
      </w:r>
      <w:r>
        <w:t xml:space="preserve"> </w:t>
      </w:r>
      <w:r>
        <w:t xml:space="preserve">we appreciated that “[t]o say that Congress is without power to pass appropriate legislation to safeguard ... an election from the improper use of money to influence the result is to deny to the nation in a vital particular the power of self protection.”</w:t>
      </w:r>
      <w:r>
        <w:t xml:space="preserve"> </w:t>
      </w:r>
      <w:r>
        <w:rPr>
          <w:iCs/>
          <w:i/>
        </w:rPr>
        <w:t xml:space="preserve">Burroughs</w:t>
      </w:r>
      <w:r>
        <w:t xml:space="preserve"> </w:t>
      </w:r>
      <w:r>
        <w:t xml:space="preserve">v.</w:t>
      </w:r>
      <w:r>
        <w:t xml:space="preserve"> </w:t>
      </w:r>
      <w:r>
        <w:rPr>
          <w:iCs/>
          <w:i/>
        </w:rPr>
        <w:t xml:space="preserve">United States,</w:t>
      </w:r>
      <w:r>
        <w:t xml:space="preserve"> </w:t>
      </w:r>
      <w:r>
        <w:t xml:space="preserve">290 U. S. 534, 545 (1934). And whereas we have no evidence to support the notion that the Framers would have wanted corporations to have the same rights as natural persons in the electoral context, we have ample evidence to suggest that they would have been appalled by the evidence of corruption that Congress unearthed in developing BCRA and that the Court today discounts to irrelevance. It is fair to say that “[t]he Framers were obsessed with corruption,” Teachout 348, which they understood to encompass the dependency of public officeholders on private interests, see</w:t>
      </w:r>
      <w:r>
        <w:t xml:space="preserve"> </w:t>
      </w:r>
      <w:r>
        <w:rPr>
          <w:iCs/>
          <w:i/>
        </w:rPr>
        <w:t xml:space="preserve">id.,</w:t>
      </w:r>
      <w:r>
        <w:t xml:space="preserve"> </w:t>
      </w:r>
      <w:r>
        <w:t xml:space="preserve">at 373-374; see also</w:t>
      </w:r>
      <w:r>
        <w:t xml:space="preserve"> </w:t>
      </w:r>
      <w:r>
        <w:rPr>
          <w:iCs/>
          <w:i/>
        </w:rPr>
        <w:t xml:space="preserve">Randall,</w:t>
      </w:r>
      <w:r>
        <w:t xml:space="preserve"> </w:t>
      </w:r>
      <w:r>
        <w:t xml:space="preserve">548 U. S., at 280 (Stevens, J., dissenting). They discussed corruption “more often in the Constitutional Convention than factions, violence, or instability.” Teachout 352. When they brought our constitutional order into being, the Framers had their minds trained on a threat to republican self-government that this Court has lost sight of.</w:t>
      </w:r>
    </w:p>
    <w:p>
      <w:pPr>
        <w:pStyle w:val="CaseBody"/>
      </w:pPr>
      <w:r>
        <w:rPr>
          <w:iCs/>
          <w:i/>
        </w:rPr>
        <w:t xml:space="preserve">Quid Pro Quo Corruption</w:t>
      </w:r>
    </w:p>
    <w:p>
      <w:pPr>
        <w:pStyle w:val="CaseBody"/>
      </w:pPr>
      <w:r>
        <w:t xml:space="preserve">There is no need to take my side in the debate over the scope of the anticorruption interest to see that the Court’s merits holding is wrong. Even under the majority’s “crabbed view of corruption,”</w:t>
      </w:r>
      <w:r>
        <w:t xml:space="preserve"> </w:t>
      </w:r>
      <w:r>
        <w:rPr>
          <w:iCs/>
          <w:i/>
        </w:rPr>
        <w:t xml:space="preserve">McConnell,</w:t>
      </w:r>
      <w:r>
        <w:t xml:space="preserve"> </w:t>
      </w:r>
      <w:r>
        <w:t xml:space="preserve">540 U. S., at 152, the Government should not lose this case.</w:t>
      </w:r>
    </w:p>
    <w:p>
      <w:pPr>
        <w:pStyle w:val="CaseBody"/>
      </w:pPr>
      <w:r>
        <w:t xml:space="preserve">“The importance of the governmental interest in preventing [corruption through the creation of political debts] has never been doubted.”</w:t>
      </w:r>
      <w:r>
        <w:t xml:space="preserve"> </w:t>
      </w:r>
      <w:r>
        <w:rPr>
          <w:iCs/>
          <w:i/>
        </w:rPr>
        <w:t xml:space="preserve">Bellotti,</w:t>
      </w:r>
      <w:r>
        <w:t xml:space="preserve"> </w:t>
      </w:r>
      <w:r>
        <w:t xml:space="preserve">435 U. S., at 788, n. 26. Even in the eases that have construed the anticorruption interest most narrowly, we have never suggested that such</w:t>
      </w:r>
      <w:r>
        <w:t xml:space="preserve"> </w:t>
      </w:r>
      <w:r>
        <w:rPr>
          <w:iCs/>
          <w:i/>
        </w:rPr>
        <w:t xml:space="preserve">quid pro quo</w:t>
      </w:r>
      <w:r>
        <w:t xml:space="preserve"> </w:t>
      </w:r>
      <w:r>
        <w:t xml:space="preserve">debts must take the form of outright vote buying or bribes, which have long been distinct crimes. Rather, they encompass the myriad ways in which outside parties may induce an officeholder to confer a legislative benefit in direct response to, or anticipation of, some outlay of money the parties have made or will make on behalf of the officeholder. See</w:t>
      </w:r>
      <w:r>
        <w:t xml:space="preserve"> </w:t>
      </w:r>
      <w:r>
        <w:rPr>
          <w:iCs/>
          <w:i/>
        </w:rPr>
        <w:t xml:space="preserve">McConnell,</w:t>
      </w:r>
      <w:r>
        <w:t xml:space="preserve"> </w:t>
      </w:r>
      <w:r>
        <w:t xml:space="preserve">540 U. S., at 143 (“We have not limited [the anticorruption] interest to the elimination of cash-for-votes exchanges. In</w:t>
      </w:r>
      <w:r>
        <w:t xml:space="preserve"> </w:t>
      </w:r>
      <w:r>
        <w:rPr>
          <w:iCs/>
          <w:i/>
        </w:rPr>
        <w:t xml:space="preserve">Buckley,</w:t>
      </w:r>
      <w:r>
        <w:t xml:space="preserve"> </w:t>
      </w:r>
      <w:r>
        <w:t xml:space="preserve">we expressly rejected the argument that antibribery laws provided a less restrictive alternative to FECA’s contribution limits, noting that such laws ‘deal[t] with only the most blatant and specific attempts of those with money to influence governmental action’” (quoting 424 U. S., at 28; alteration in original)).. It has likewise never been doubted that “[o]f almost equal concern as the danger of actual</w:t>
      </w:r>
      <w:r>
        <w:t xml:space="preserve"> </w:t>
      </w:r>
      <w:r>
        <w:rPr>
          <w:iCs/>
          <w:i/>
        </w:rPr>
        <w:t xml:space="preserve">quid pro quo</w:t>
      </w:r>
      <w:r>
        <w:t xml:space="preserve"> </w:t>
      </w:r>
      <w:r>
        <w:t xml:space="preserve">arrangements is the impact of the appearance of corruption.”</w:t>
      </w:r>
      <w:r>
        <w:t xml:space="preserve"> </w:t>
      </w:r>
      <w:r>
        <w:rPr>
          <w:iCs/>
          <w:i/>
        </w:rPr>
        <w:t xml:space="preserve">Id.,</w:t>
      </w:r>
      <w:r>
        <w:t xml:space="preserve"> </w:t>
      </w:r>
      <w:r>
        <w:t xml:space="preserve">at 27. Congress may “legitimately conclude that the avoidance of the appearance of improper influence is also critical... if confidence in the system of representative Government is not to be eroded to a disastrous extent.”</w:t>
      </w:r>
      <w:r>
        <w:t xml:space="preserve"> </w:t>
      </w:r>
      <w:r>
        <w:rPr>
          <w:iCs/>
          <w:i/>
        </w:rPr>
        <w:t xml:space="preserve">Ibid,</w:t>
      </w:r>
      <w:r>
        <w:t xml:space="preserve"> </w:t>
      </w:r>
      <w:r>
        <w:t xml:space="preserve">(internal quotation marks omitted; alteration in original). A democracy cannot function effectively when its constituent members believe laws are being bought and sold.</w:t>
      </w:r>
    </w:p>
    <w:p>
      <w:pPr>
        <w:pStyle w:val="CaseBody"/>
      </w:pPr>
      <w:r>
        <w:t xml:space="preserve">In theory, our colleagues accept this much. As applied to BCRA §203, however, they conclude “[t]he anticorruption interest is not sufficient to displace the speech here in question.”</w:t>
      </w:r>
      <w:r>
        <w:t xml:space="preserve"> </w:t>
      </w:r>
      <w:r>
        <w:rPr>
          <w:iCs/>
          <w:i/>
        </w:rPr>
        <w:t xml:space="preserve">Ante,</w:t>
      </w:r>
      <w:r>
        <w:t xml:space="preserve"> </w:t>
      </w:r>
      <w:r>
        <w:t xml:space="preserve">at 357.</w:t>
      </w:r>
    </w:p>
    <w:p>
      <w:pPr>
        <w:pStyle w:val="CaseBody"/>
      </w:pPr>
      <w:r>
        <w:t xml:space="preserve">Although the Court suggests that</w:t>
      </w:r>
      <w:r>
        <w:t xml:space="preserve"> </w:t>
      </w:r>
      <w:r>
        <w:rPr>
          <w:iCs/>
          <w:i/>
        </w:rPr>
        <w:t xml:space="preserve">Buckley</w:t>
      </w:r>
      <w:r>
        <w:t xml:space="preserve"> </w:t>
      </w:r>
      <w:r>
        <w:t xml:space="preserve">compels its conclusion,</w:t>
      </w:r>
      <w:r>
        <w:t xml:space="preserve"> </w:t>
      </w:r>
      <w:r>
        <w:rPr>
          <w:iCs/>
          <w:i/>
        </w:rPr>
        <w:t xml:space="preserve">ante,</w:t>
      </w:r>
      <w:r>
        <w:t xml:space="preserve"> </w:t>
      </w:r>
      <w:r>
        <w:t xml:space="preserve">at 356-360,</w:t>
      </w:r>
      <w:r>
        <w:t xml:space="preserve"> </w:t>
      </w:r>
      <w:r>
        <w:rPr>
          <w:iCs/>
          <w:i/>
        </w:rPr>
        <w:t xml:space="preserve">Buckley</w:t>
      </w:r>
      <w:r>
        <w:t xml:space="preserve"> </w:t>
      </w:r>
      <w:r>
        <w:t xml:space="preserve">cannot sustain this reading. It is true that, in evaluating FECA's ceiling on independent expenditures by all persons, the</w:t>
      </w:r>
      <w:r>
        <w:t xml:space="preserve"> </w:t>
      </w:r>
      <w:r>
        <w:rPr>
          <w:iCs/>
          <w:i/>
        </w:rPr>
        <w:t xml:space="preserve">Buckley</w:t>
      </w:r>
      <w:r>
        <w:t xml:space="preserve"> </w:t>
      </w:r>
      <w:r>
        <w:t xml:space="preserve">Court found the governmental interest in preventing corruption “inadequate.” 424 U. S., at 45. But</w:t>
      </w:r>
      <w:r>
        <w:t xml:space="preserve"> </w:t>
      </w:r>
      <w:r>
        <w:rPr>
          <w:iCs/>
          <w:i/>
        </w:rPr>
        <w:t xml:space="preserve">Buckley</w:t>
      </w:r>
      <w:r>
        <w:t xml:space="preserve"> </w:t>
      </w:r>
      <w:r>
        <w:t xml:space="preserve">did not evaluate corporate expenditures specifically, nor did it rule out the possibility that a future Court might find otherwise. The opinion reasoned that an expenditure limitation covering only express advocacy (i</w:t>
      </w:r>
      <w:r>
        <w:t xml:space="preserve"> </w:t>
      </w:r>
      <w:r>
        <w:rPr>
          <w:iCs/>
          <w:i/>
        </w:rPr>
        <w:t xml:space="preserve">e.,</w:t>
      </w:r>
      <w:r>
        <w:t xml:space="preserve"> </w:t>
      </w:r>
      <w:r>
        <w:t xml:space="preserve">magic words) would likely be ineffectual,</w:t>
      </w:r>
      <w:r>
        <w:t xml:space="preserve"> </w:t>
      </w:r>
      <w:r>
        <w:rPr>
          <w:iCs/>
          <w:i/>
        </w:rPr>
        <w:t xml:space="preserve">ibid.,</w:t>
      </w:r>
      <w:r>
        <w:t xml:space="preserve"> </w:t>
      </w:r>
      <w:r>
        <w:t xml:space="preserve">a problem that Congress tackled in BCRA, and it concluded that “the independent advocacy restricted by [FECA § 608(e)(1)]</w:t>
      </w:r>
      <w:r>
        <w:t xml:space="preserve"> </w:t>
      </w:r>
      <w:r>
        <w:rPr>
          <w:iCs/>
          <w:i/>
        </w:rPr>
        <w:t xml:space="preserve">does not presently appear</w:t>
      </w:r>
      <w:r>
        <w:t xml:space="preserve"> </w:t>
      </w:r>
      <w:r>
        <w:t xml:space="preserve">to pose dangers of real or apparent corruption comparable to those identified with large campaign contributions,”</w:t>
      </w:r>
      <w:r>
        <w:t xml:space="preserve"> </w:t>
      </w:r>
      <w:r>
        <w:rPr>
          <w:iCs/>
          <w:i/>
        </w:rPr>
        <w:t xml:space="preserve">id.,</w:t>
      </w:r>
      <w:r>
        <w:t xml:space="preserve"> </w:t>
      </w:r>
      <w:r>
        <w:t xml:space="preserve">at 46 (emphasis added).</w:t>
      </w:r>
      <w:r>
        <w:t xml:space="preserve"> </w:t>
      </w:r>
      <w:r>
        <w:rPr>
          <w:iCs/>
          <w:i/>
        </w:rPr>
        <w:t xml:space="preserve">Buckley</w:t>
      </w:r>
      <w:r>
        <w:t xml:space="preserve"> </w:t>
      </w:r>
      <w:r>
        <w:t xml:space="preserve">expressly contemplated that an anticorruption rationale might justify restrictions on independent expenditures at a later date, “because it may be that, in some circumstances, ‘large independent expenditures pose the same dangers of actual or apparent</w:t>
      </w:r>
      <w:r>
        <w:t xml:space="preserve"> </w:t>
      </w:r>
      <w:r>
        <w:rPr>
          <w:iCs/>
          <w:i/>
        </w:rPr>
        <w:t xml:space="preserve">quid pro quo</w:t>
      </w:r>
      <w:r>
        <w:t xml:space="preserve"> </w:t>
      </w:r>
      <w:r>
        <w:t xml:space="preserve">arrangements as do large contributions.’ ”</w:t>
      </w:r>
      <w:r>
        <w:t xml:space="preserve"> </w:t>
      </w:r>
      <w:r>
        <w:rPr>
          <w:iCs/>
          <w:i/>
        </w:rPr>
        <w:t xml:space="preserve">WRTL,</w:t>
      </w:r>
      <w:r>
        <w:t xml:space="preserve"> </w:t>
      </w:r>
      <w:r>
        <w:t xml:space="preserve">551 U. S., at 478 (opinion of Roberts, C. J.) (quoting</w:t>
      </w:r>
      <w:r>
        <w:t xml:space="preserve"> </w:t>
      </w:r>
      <w:r>
        <w:rPr>
          <w:iCs/>
          <w:i/>
        </w:rPr>
        <w:t xml:space="preserve">Buckley,</w:t>
      </w:r>
      <w:r>
        <w:t xml:space="preserve"> </w:t>
      </w:r>
      <w:r>
        <w:t xml:space="preserve">424 U. S., at 45). Certainly</w:t>
      </w:r>
      <w:r>
        <w:t xml:space="preserve"> </w:t>
      </w:r>
      <w:r>
        <w:rPr>
          <w:iCs/>
          <w:i/>
        </w:rPr>
        <w:t xml:space="preserve">Buckley</w:t>
      </w:r>
      <w:r>
        <w:t xml:space="preserve"> </w:t>
      </w:r>
      <w:r>
        <w:t xml:space="preserve">did not foreclose this possibility with respect to electioneering communications made with corporate general treasury funds, an issue the Court had no occasion to consider.</w:t>
      </w:r>
    </w:p>
    <w:p>
      <w:pPr>
        <w:pStyle w:val="CaseBody"/>
      </w:pPr>
      <w:r>
        <w:t xml:space="preserve">The</w:t>
      </w:r>
      <w:r>
        <w:t xml:space="preserve"> </w:t>
      </w:r>
      <w:r>
        <w:rPr>
          <w:iCs/>
          <w:i/>
        </w:rPr>
        <w:t xml:space="preserve">Austin</w:t>
      </w:r>
      <w:r>
        <w:t xml:space="preserve"> </w:t>
      </w:r>
      <w:r>
        <w:t xml:space="preserve">Court did not rest its holding on</w:t>
      </w:r>
      <w:r>
        <w:t xml:space="preserve"> </w:t>
      </w:r>
      <w:r>
        <w:rPr>
          <w:iCs/>
          <w:i/>
        </w:rPr>
        <w:t xml:space="preserve">quid pro quo</w:t>
      </w:r>
      <w:r>
        <w:t xml:space="preserve"> </w:t>
      </w:r>
      <w:r>
        <w:t xml:space="preserve">corruption, as it found the broader corruption implicated by the antidistortion and shareholder protection rationales a sufficient basis for Michigan’s restriction on corporate electioneering. 494 U. S., at 658-660. Concurring in that opinion, I took the position that “the danger of either the fact, or the appearance, of</w:t>
      </w:r>
      <w:r>
        <w:t xml:space="preserve"> </w:t>
      </w:r>
      <w:r>
        <w:rPr>
          <w:iCs/>
          <w:i/>
        </w:rPr>
        <w:t xml:space="preserve">quid pro quo</w:t>
      </w:r>
      <w:r>
        <w:t xml:space="preserve"> </w:t>
      </w:r>
      <w:r>
        <w:t xml:space="preserve">relationships [also] provides an adequate justification for state regulation” of these independent expenditures.</w:t>
      </w:r>
      <w:r>
        <w:t xml:space="preserve"> </w:t>
      </w:r>
      <w:r>
        <w:rPr>
          <w:iCs/>
          <w:i/>
        </w:rPr>
        <w:t xml:space="preserve">Id.,</w:t>
      </w:r>
      <w:r>
        <w:t xml:space="preserve"> </w:t>
      </w:r>
      <w:r>
        <w:t xml:space="preserve">at 678. I did not see this position as inconsistent with</w:t>
      </w:r>
      <w:r>
        <w:t xml:space="preserve"> </w:t>
      </w:r>
      <w:r>
        <w:rPr>
          <w:iCs/>
          <w:i/>
        </w:rPr>
        <w:t xml:space="preserve">Buckley’s</w:t>
      </w:r>
      <w:r>
        <w:t xml:space="preserve"> </w:t>
      </w:r>
      <w:r>
        <w:t xml:space="preserve">analysis of individual expenditures. Corporations, as a class, tend to be more attuned to the complexities of the legislative process and more directly affected by tax and appropriations measures that receive little public scrutiny; they also have vastly more money with which to try to buy access and votes. See Supp. Brief for Appellee 17 (stating that the Fortune 100 companies earned revenues of $13.1 trillion during the last election cycle). Business corporations must engage the political process in instrumental terms if they are to maximize shareholder value. The unparalleled resources, professional lobbyists, and single-minded focus they bring to this effort, I believed, make</w:t>
      </w:r>
      <w:r>
        <w:t xml:space="preserve"> </w:t>
      </w:r>
      <w:r>
        <w:rPr>
          <w:iCs/>
          <w:i/>
        </w:rPr>
        <w:t xml:space="preserve">quid pro quo</w:t>
      </w:r>
      <w:r>
        <w:t xml:space="preserve"> </w:t>
      </w:r>
      <w:r>
        <w:t xml:space="preserve">corruption and its appearance inherently more likely when they (or their conduits or trade groups) spend unrestricted sums on elections.</w:t>
      </w:r>
    </w:p>
    <w:p>
      <w:pPr>
        <w:pStyle w:val="CaseBody"/>
      </w:pPr>
      <w:r>
        <w:t xml:space="preserve">It is with regret rather than satisfaction that I can now say that time has borne out my concerns. The legislative and judicial proceedings relating to BCRA generated a substantial body of evidence suggesting that, as corporations grew more and more adept at crafting “issue ads” to help or harm a particular candidate, these nominally independent expenditures began to corrupt the political process in a very direct sense. The sponsors of these ads were routinely granted special access after the campaign was over; “candidates and officials knew who their friends were,”</w:t>
      </w:r>
      <w:r>
        <w:t xml:space="preserve"> </w:t>
      </w:r>
      <w:r>
        <w:rPr>
          <w:iCs/>
          <w:i/>
        </w:rPr>
        <w:t xml:space="preserve">McConnell,</w:t>
      </w:r>
      <w:r>
        <w:t xml:space="preserve"> </w:t>
      </w:r>
      <w:r>
        <w:t xml:space="preserve">540 U. S., at 129. Many corporate independent expenditures, it seemed, had become essentially interchangeable with direct contributions in their capacity to generate</w:t>
      </w:r>
      <w:r>
        <w:t xml:space="preserve"> </w:t>
      </w:r>
      <w:r>
        <w:rPr>
          <w:iCs/>
          <w:i/>
        </w:rPr>
        <w:t xml:space="preserve">quid pro quo</w:t>
      </w:r>
      <w:r>
        <w:t xml:space="preserve"> </w:t>
      </w:r>
      <w:r>
        <w:t xml:space="preserve">arrangements. In an age in which money and television ads are the coin of the campaign realm, it is hardly surprising that corporations deployed these ads to curry favor with, and to gain influence over, public officials.</w:t>
      </w:r>
    </w:p>
    <w:p>
      <w:pPr>
        <w:pStyle w:val="CaseBody"/>
      </w:pPr>
      <w:r>
        <w:t xml:space="preserve">The majority appears to think it decisive that the BCR A record does not contain “direct examples of votes being exchanged for... expenditures.”</w:t>
      </w:r>
      <w:r>
        <w:t xml:space="preserve"> </w:t>
      </w:r>
      <w:r>
        <w:rPr>
          <w:iCs/>
          <w:i/>
        </w:rPr>
        <w:t xml:space="preserve">Ante,</w:t>
      </w:r>
      <w:r>
        <w:t xml:space="preserve"> </w:t>
      </w:r>
      <w:r>
        <w:t xml:space="preserve">at 360 (internal quotation marks omitted). It would have been quite remarkable if Congress had created a record detailing such behavior by its own Members. Proving that a specific vote was exchanged for a specific expenditure has always been next to impossible: Elected officials have diverse motivations, and no one will acknowledge that he sold a vote. Yet, even if “[i]ngratiation and access . . . are not corruption” themselves,</w:t>
      </w:r>
      <w:r>
        <w:t xml:space="preserve"> </w:t>
      </w:r>
      <w:r>
        <w:rPr>
          <w:iCs/>
          <w:i/>
        </w:rPr>
        <w:t xml:space="preserve">ibid.,</w:t>
      </w:r>
      <w:r>
        <w:t xml:space="preserve"> </w:t>
      </w:r>
      <w:r>
        <w:t xml:space="preserve">they are necessary prerequisites to it; they can create both the opportunity for, and the appearance of,</w:t>
      </w:r>
      <w:r>
        <w:t xml:space="preserve"> </w:t>
      </w:r>
      <w:r>
        <w:rPr>
          <w:iCs/>
          <w:i/>
        </w:rPr>
        <w:t xml:space="preserve">quid pro quo</w:t>
      </w:r>
      <w:r>
        <w:t xml:space="preserve"> </w:t>
      </w:r>
      <w:r>
        <w:t xml:space="preserve">arrangements. The influx of unlimited corporate money into the electoral realm also creates new opportunities for the mirror image of</w:t>
      </w:r>
      <w:r>
        <w:t xml:space="preserve"> </w:t>
      </w:r>
      <w:r>
        <w:rPr>
          <w:iCs/>
          <w:i/>
        </w:rPr>
        <w:t xml:space="preserve">quid pro quo</w:t>
      </w:r>
      <w:r>
        <w:t xml:space="preserve"> </w:t>
      </w:r>
      <w:r>
        <w:t xml:space="preserve">deals: threats, both explicit and implicit. Starting today, corporations with large war chests to deploy on electioneering may find democratically elected bodies becoming much more attuned to their interests. The majority both misreads the facts and draws the wrong conclusions when it suggests that the BCRA record provides “only scant evidence that independent expenditures . .. ingratiate,” and that, “in any event,” none of it matters.</w:t>
      </w:r>
      <w:r>
        <w:t xml:space="preserve"> </w:t>
      </w:r>
      <w:r>
        <w:rPr>
          <w:iCs/>
          <w:i/>
        </w:rPr>
        <w:t xml:space="preserve">Ibid.</w:t>
      </w:r>
    </w:p>
    <w:p>
      <w:pPr>
        <w:pStyle w:val="CaseBody"/>
      </w:pPr>
      <w:r>
        <w:t xml:space="preserve">In her analysis of the record, Judge Kollar-Kotelly documented the pervasiveness of this ingratiation and explained its significance under the majority’s own touchstone for defining the scope of the antieorruption rationale,</w:t>
      </w:r>
      <w:r>
        <w:t xml:space="preserve"> </w:t>
      </w:r>
      <w:r>
        <w:rPr>
          <w:iCs/>
          <w:i/>
        </w:rPr>
        <w:t xml:space="preserve">Buckley.</w:t>
      </w:r>
      <w:r>
        <w:t xml:space="preserve"> </w:t>
      </w:r>
      <w:r>
        <w:t xml:space="preserve">See</w:t>
      </w:r>
      <w:r>
        <w:t xml:space="preserve"> </w:t>
      </w:r>
      <w:r>
        <w:rPr>
          <w:iCs/>
          <w:i/>
        </w:rPr>
        <w:t xml:space="preserve">McConnell,</w:t>
      </w:r>
      <w:r>
        <w:t xml:space="preserve"> </w:t>
      </w:r>
      <w:r>
        <w:t xml:space="preserve">251 F. Supp. 2d, at 555-560, 622-625. Witnesses explained how political parties and candidates used corporate independent expenditures to circumvent FECA’s “hard-money” limitations. See,</w:t>
      </w:r>
      <w:r>
        <w:t xml:space="preserve"> </w:t>
      </w:r>
      <w:r>
        <w:rPr>
          <w:iCs/>
          <w:i/>
        </w:rPr>
        <w:t xml:space="preserve">e. g., id.,</w:t>
      </w:r>
      <w:r>
        <w:t xml:space="preserve"> </w:t>
      </w:r>
      <w:r>
        <w:t xml:space="preserve">at 478-479. One former Senator candidly admitted to the District Court that “‘[candidates whose campaigns benefit from [phony “issue ads”] greatly appreciate the help of these groups. In fact, Members will also be favorably disposed to those who finance these groups when they later seek access to discuss pending legislation.’”</w:t>
      </w:r>
      <w:r>
        <w:t xml:space="preserve"> </w:t>
      </w:r>
      <w:r>
        <w:rPr>
          <w:iCs/>
          <w:i/>
        </w:rPr>
        <w:t xml:space="preserve">Id.,</w:t>
      </w:r>
      <w:r>
        <w:t xml:space="preserve"> </w:t>
      </w:r>
      <w:r>
        <w:t xml:space="preserve">at 556 (quoting declaration of Sen. Dale Bumpers). One prominent lobbyist went so far as to state, in uncontroverted testimony, that “‘unregulated expenditures — whether soft money donations to the parties or issue ad campaigns — can sometimes generate</w:t>
      </w:r>
      <w:r>
        <w:t xml:space="preserve"> </w:t>
      </w:r>
      <w:r>
        <w:rPr>
          <w:iCs/>
          <w:i/>
        </w:rPr>
        <w:t xml:space="preserve">far more</w:t>
      </w:r>
      <w:r>
        <w:t xml:space="preserve"> </w:t>
      </w:r>
      <w:r>
        <w:t xml:space="preserve">influence than direct campaign contributions.’ ”</w:t>
      </w:r>
      <w:r>
        <w:t xml:space="preserve"> </w:t>
      </w:r>
      <w:r>
        <w:rPr>
          <w:iCs/>
          <w:i/>
        </w:rPr>
        <w:t xml:space="preserve">Ibid,</w:t>
      </w:r>
      <w:r>
        <w:t xml:space="preserve"> </w:t>
      </w:r>
      <w:r>
        <w:t xml:space="preserve">(quoting declaration of Wright Andrews; emphasis added). In sum, Judge Kollar-Kotelly found, “[t]he record powerfully demonstrates that electioneering communications paid for with the general treasury funds of labor unions and corporations endears those entities to elected officials in a way that could be perceived by the public as corrupting.”</w:t>
      </w:r>
      <w:r>
        <w:t xml:space="preserve"> </w:t>
      </w:r>
      <w:r>
        <w:rPr>
          <w:iCs/>
          <w:i/>
        </w:rPr>
        <w:t xml:space="preserve">Id.,</w:t>
      </w:r>
      <w:r>
        <w:t xml:space="preserve"> </w:t>
      </w:r>
      <w:r>
        <w:t xml:space="preserve">at 622-623. She concluded that the Government’s interest in preventing the appearance of corruption, as that concept was defined in</w:t>
      </w:r>
      <w:r>
        <w:t xml:space="preserve"> </w:t>
      </w:r>
      <w:r>
        <w:rPr>
          <w:iCs/>
          <w:i/>
        </w:rPr>
        <w:t xml:space="preserve">Buckley,</w:t>
      </w:r>
      <w:r>
        <w:t xml:space="preserve"> </w:t>
      </w:r>
      <w:r>
        <w:t xml:space="preserve">was itself sufficient to uphold BCRA §203. 251 F. Supp. 2d, at 622-625. Judge Leon agreed. See</w:t>
      </w:r>
      <w:r>
        <w:t xml:space="preserve"> </w:t>
      </w:r>
      <w:r>
        <w:rPr>
          <w:iCs/>
          <w:i/>
        </w:rPr>
        <w:t xml:space="preserve">id.,</w:t>
      </w:r>
      <w:r>
        <w:t xml:space="preserve"> </w:t>
      </w:r>
      <w:r>
        <w:t xml:space="preserve">at 804-805 (dissenting only with respect to the Wellstone Amendment’s coverage of</w:t>
      </w:r>
      <w:r>
        <w:t xml:space="preserve"> </w:t>
      </w:r>
      <w:r>
        <w:rPr>
          <w:iCs/>
          <w:i/>
        </w:rPr>
        <w:t xml:space="preserve">MCFL</w:t>
      </w:r>
      <w:r>
        <w:t xml:space="preserve"> </w:t>
      </w:r>
      <w:r>
        <w:t xml:space="preserve">corporations).</w:t>
      </w:r>
    </w:p>
    <w:p>
      <w:pPr>
        <w:pStyle w:val="CaseBody"/>
      </w:pPr>
      <w:r>
        <w:t xml:space="preserve">When the</w:t>
      </w:r>
      <w:r>
        <w:t xml:space="preserve"> </w:t>
      </w:r>
      <w:r>
        <w:rPr>
          <w:iCs/>
          <w:i/>
        </w:rPr>
        <w:t xml:space="preserve">McConnell</w:t>
      </w:r>
      <w:r>
        <w:t xml:space="preserve"> </w:t>
      </w:r>
      <w:r>
        <w:t xml:space="preserve">Court affirmed the judgment of the District Court regarding § 203, we did not rest our holding on a narrow notion of</w:t>
      </w:r>
      <w:r>
        <w:t xml:space="preserve"> </w:t>
      </w:r>
      <w:r>
        <w:rPr>
          <w:iCs/>
          <w:i/>
        </w:rPr>
        <w:t xml:space="preserve">quid pro quo</w:t>
      </w:r>
      <w:r>
        <w:t xml:space="preserve"> </w:t>
      </w:r>
      <w:r>
        <w:t xml:space="preserve">corruption. Instead we relied on the governmental interest in combating the unique forms of corruption threatened by corporations, as recognized in</w:t>
      </w:r>
      <w:r>
        <w:t xml:space="preserve"> </w:t>
      </w:r>
      <w:r>
        <w:rPr>
          <w:iCs/>
          <w:i/>
        </w:rPr>
        <w:t xml:space="preserve">Austin’s</w:t>
      </w:r>
      <w:r>
        <w:t xml:space="preserve"> </w:t>
      </w:r>
      <w:r>
        <w:t xml:space="preserve">antidistortion and shareholder protection rationales, 540 U. S., at 205 (citing</w:t>
      </w:r>
      <w:r>
        <w:t xml:space="preserve"> </w:t>
      </w:r>
      <w:r>
        <w:rPr>
          <w:iCs/>
          <w:i/>
        </w:rPr>
        <w:t xml:space="preserve">Austin,</w:t>
      </w:r>
      <w:r>
        <w:t xml:space="preserve"> </w:t>
      </w:r>
      <w:r>
        <w:t xml:space="preserve">494 U. S., at 660), as well as the interest in preventing circumvention of contribution limits, 540 U. S., at 128-129, 205, 206, n. 88. Had we felt constrained by the view of today’s Court that</w:t>
      </w:r>
      <w:r>
        <w:t xml:space="preserve"> </w:t>
      </w:r>
      <w:r>
        <w:rPr>
          <w:iCs/>
          <w:i/>
        </w:rPr>
        <w:t xml:space="preserve">quid pro quo</w:t>
      </w:r>
      <w:r>
        <w:t xml:space="preserve"> </w:t>
      </w:r>
      <w:r>
        <w:t xml:space="preserve">corruption and its appearance are the only interests that count in this field,</w:t>
      </w:r>
      <w:r>
        <w:t xml:space="preserve"> </w:t>
      </w:r>
      <w:r>
        <w:rPr>
          <w:iCs/>
          <w:i/>
        </w:rPr>
        <w:t xml:space="preserve">ante,</w:t>
      </w:r>
      <w:r>
        <w:t xml:space="preserve"> </w:t>
      </w:r>
      <w:r>
        <w:t xml:space="preserve">at 348-362, we of course would have looked closely at that issue. And as the analysis by Judge Kollar-Kotelly reflects, it is a very real possibility that we would have found one or both of those interests satisfied and §203 appropriately tailored to them.</w:t>
      </w:r>
    </w:p>
    <w:p>
      <w:pPr>
        <w:pStyle w:val="CaseBody"/>
      </w:pPr>
      <w:r>
        <w:t xml:space="preserve">The majority’s rejection of the</w:t>
      </w:r>
      <w:r>
        <w:t xml:space="preserve"> </w:t>
      </w:r>
      <w:r>
        <w:rPr>
          <w:iCs/>
          <w:i/>
        </w:rPr>
        <w:t xml:space="preserve">Buckley</w:t>
      </w:r>
      <w:r>
        <w:t xml:space="preserve"> </w:t>
      </w:r>
      <w:r>
        <w:t xml:space="preserve">anticorruption rationale on the ground that independent corporate expenditures “do not give rise to</w:t>
      </w:r>
      <w:r>
        <w:t xml:space="preserve"> </w:t>
      </w:r>
      <w:r>
        <w:rPr>
          <w:iCs/>
          <w:i/>
        </w:rPr>
        <w:t xml:space="preserve">[quid pro quo]</w:t>
      </w:r>
      <w:r>
        <w:t xml:space="preserve"> </w:t>
      </w:r>
      <w:r>
        <w:t xml:space="preserve">corruption or the appearance of corruption,”</w:t>
      </w:r>
      <w:r>
        <w:t xml:space="preserve"> </w:t>
      </w:r>
      <w:r>
        <w:rPr>
          <w:iCs/>
          <w:i/>
        </w:rPr>
        <w:t xml:space="preserve">ante,</w:t>
      </w:r>
      <w:r>
        <w:t xml:space="preserve"> </w:t>
      </w:r>
      <w:r>
        <w:t xml:space="preserve">at 357, is thus unfair as well as unreasonable. Congress and outside experts have generated significant evidence corroborating this rationale, and the only reason we do not have any of the relevant materials before us is that the Government had no reason to develop a record at trial for a facial challenge the plaintiff had abandoned. The Court cannot both</w:t>
      </w:r>
      <w:r>
        <w:t xml:space="preserve"> </w:t>
      </w:r>
      <w:r>
        <w:rPr>
          <w:iCs/>
          <w:i/>
        </w:rPr>
        <w:t xml:space="preserve">sua sponte</w:t>
      </w:r>
      <w:r>
        <w:t xml:space="preserve"> </w:t>
      </w:r>
      <w:r>
        <w:t xml:space="preserve">choose to relitigate</w:t>
      </w:r>
      <w:r>
        <w:t xml:space="preserve"> </w:t>
      </w:r>
      <w:r>
        <w:rPr>
          <w:iCs/>
          <w:i/>
        </w:rPr>
        <w:t xml:space="preserve">McConnell</w:t>
      </w:r>
      <w:r>
        <w:t xml:space="preserve"> </w:t>
      </w:r>
      <w:r>
        <w:t xml:space="preserve">on appeal and then complain that the Government has failed to substantiate its case. If our colleagues were really serious about the interest in preventing</w:t>
      </w:r>
      <w:r>
        <w:t xml:space="preserve"> </w:t>
      </w:r>
      <w:r>
        <w:rPr>
          <w:iCs/>
          <w:i/>
        </w:rPr>
        <w:t xml:space="preserve">quid pro quo</w:t>
      </w:r>
      <w:r>
        <w:t xml:space="preserve"> </w:t>
      </w:r>
      <w:r>
        <w:t xml:space="preserve">corruption, they would remand to the District Court with instructions to commence evidentiary proceedings.</w:t>
      </w:r>
      <w:r>
        <w:rPr>
          <w:rStyle w:val="FootnoteReference"/>
        </w:rPr>
        <w:footnoteReference w:customMarkFollows="1" w:id="697"/>
        <w:t xml:space="preserve">66</w:t>
      </w:r>
    </w:p>
    <w:p>
      <w:pPr>
        <w:pStyle w:val="CaseBody"/>
      </w:pPr>
      <w:r>
        <w:t xml:space="preserve">The insight that even technically independent expenditures can be corrupting in much the same way as direct contributions is bolstered by our decision last year in</w:t>
      </w:r>
      <w:r>
        <w:t xml:space="preserve"> </w:t>
      </w:r>
      <w:r>
        <w:rPr>
          <w:iCs/>
          <w:i/>
        </w:rPr>
        <w:t xml:space="preserve">Caperton</w:t>
      </w:r>
      <w:r>
        <w:t xml:space="preserve"> </w:t>
      </w:r>
      <w:r>
        <w:t xml:space="preserve">v.</w:t>
      </w:r>
      <w:r>
        <w:t xml:space="preserve"> </w:t>
      </w:r>
      <w:r>
        <w:rPr>
          <w:iCs/>
          <w:i/>
        </w:rPr>
        <w:t xml:space="preserve">A. T. Massey Coal Co.,</w:t>
      </w:r>
      <w:r>
        <w:t xml:space="preserve"> </w:t>
      </w:r>
      <w:r>
        <w:t xml:space="preserve">556 U. S. 868 (2009). In that case, Don Blankenship, the chief executive officer of a corporation with a lawsuit pending before the West Virginia high court, spent large sums on behalf of a particular candidate, Brent Benjamin, running for a seat on that court. “In addition to contributing the $1,000 statutory maximum to Benjamin’s campaign committee, Blankenship donated almost $2.5 million to ‘And For The Sake Of The Kids,’ ” a § 527 corporation that ran ads targeting Benjamin’s opponent.</w:t>
      </w:r>
      <w:r>
        <w:t xml:space="preserve"> </w:t>
      </w:r>
      <w:r>
        <w:rPr>
          <w:iCs/>
          <w:i/>
        </w:rPr>
        <w:t xml:space="preserve">Id.,</w:t>
      </w:r>
      <w:r>
        <w:t xml:space="preserve"> </w:t>
      </w:r>
      <w:r>
        <w:t xml:space="preserve">at 873. “This was not all. Blankenship spent, in addition, just over $500,000 on independent expenditures . . . ‘ “to support. . . Brent Benjamin.””’</w:t>
      </w:r>
      <w:r>
        <w:t xml:space="preserve"> </w:t>
      </w:r>
      <w:r>
        <w:rPr>
          <w:iCs/>
          <w:i/>
        </w:rPr>
        <w:t xml:space="preserve">Ibid,</w:t>
      </w:r>
      <w:r>
        <w:t xml:space="preserve"> </w:t>
      </w:r>
      <w:r>
        <w:t xml:space="preserve">(second alteration in original). Applying its common sense, this Court accepted petitioners’ argument that Blankenship’s “pivotal role in getting Justice Benjamin elected created a constitutionally intolerable probability of actual bias” when Benjamin later declined to recuse himself from the appeal by Blankenship’s corporation.</w:t>
      </w:r>
      <w:r>
        <w:t xml:space="preserve"> </w:t>
      </w:r>
      <w:r>
        <w:rPr>
          <w:iCs/>
          <w:i/>
        </w:rPr>
        <w:t xml:space="preserve">Id.,</w:t>
      </w:r>
      <w:r>
        <w:t xml:space="preserve"> </w:t>
      </w:r>
      <w:r>
        <w:t xml:space="preserve">at 882. “Though n[o] . . . bribe or criminal influence” was involved, we recognized that “Justice Benjamin would nevertheless feel a debt of gratitude to Blankenship for his extraordinary efforts to get him elected.”</w:t>
      </w:r>
      <w:r>
        <w:t xml:space="preserve"> </w:t>
      </w:r>
      <w:r>
        <w:rPr>
          <w:iCs/>
          <w:i/>
        </w:rPr>
        <w:t xml:space="preserve">Ibid.</w:t>
      </w:r>
      <w:r>
        <w:t xml:space="preserve"> </w:t>
      </w:r>
      <w:r>
        <w:t xml:space="preserve">“The difficulties of inquiring into actual bias,” we further noted, “simply underscore the need for objective rules,”</w:t>
      </w:r>
      <w:r>
        <w:t xml:space="preserve"> </w:t>
      </w:r>
      <w:r>
        <w:rPr>
          <w:iCs/>
          <w:i/>
        </w:rPr>
        <w:t xml:space="preserve">id.,</w:t>
      </w:r>
      <w:r>
        <w:t xml:space="preserve"> </w:t>
      </w:r>
      <w:r>
        <w:t xml:space="preserve">at 883 — rules which will perforce turn on the appearance of bias rather than its actual existence.</w:t>
      </w:r>
    </w:p>
    <w:p>
      <w:pPr>
        <w:pStyle w:val="CaseBody"/>
      </w:pPr>
      <w:r>
        <w:t xml:space="preserve">In</w:t>
      </w:r>
      <w:r>
        <w:t xml:space="preserve"> </w:t>
      </w:r>
      <w:r>
        <w:rPr>
          <w:iCs/>
          <w:i/>
        </w:rPr>
        <w:t xml:space="preserve">Caperton,</w:t>
      </w:r>
      <w:r>
        <w:t xml:space="preserve"> </w:t>
      </w:r>
      <w:r>
        <w:t xml:space="preserve">then, we accepted the premise that, at least in some circumstances, independent expenditures on candidate elections will raise an intolerable specter of</w:t>
      </w:r>
      <w:r>
        <w:t xml:space="preserve"> </w:t>
      </w:r>
      <w:r>
        <w:rPr>
          <w:iCs/>
          <w:i/>
        </w:rPr>
        <w:t xml:space="preserve">quid pro quo</w:t>
      </w:r>
      <w:r>
        <w:t xml:space="preserve"> </w:t>
      </w:r>
      <w:r>
        <w:t xml:space="preserve">corruption. Indeed, this premise struck the Court as so intuitive that it repeatedly referred to Blankenship’s spending on behalf of Benjamin — spending that consisted of 99.97% independent expenditures ($3 million) and 0.03% direct contributions ($1,000) — as a “contribution.” See,</w:t>
      </w:r>
      <w:r>
        <w:t xml:space="preserve"> </w:t>
      </w:r>
      <w:r>
        <w:rPr>
          <w:iCs/>
          <w:i/>
        </w:rPr>
        <w:t xml:space="preserve">e.g., id.,</w:t>
      </w:r>
      <w:r>
        <w:t xml:space="preserve"> </w:t>
      </w:r>
      <w:r>
        <w:t xml:space="preserve">at 872 (“The basis for the [recusal] motion was that the justice had received campaign contributions in an extraordinary amount from” Blankenship);</w:t>
      </w:r>
      <w:r>
        <w:t xml:space="preserve"> </w:t>
      </w:r>
      <w:r>
        <w:rPr>
          <w:iCs/>
          <w:i/>
        </w:rPr>
        <w:t xml:space="preserve">id.,</w:t>
      </w:r>
      <w:r>
        <w:t xml:space="preserve"> </w:t>
      </w:r>
      <w:r>
        <w:t xml:space="preserve">at 873 (referencing “Blankenship’s $3 million in contributions”);</w:t>
      </w:r>
      <w:r>
        <w:t xml:space="preserve"> </w:t>
      </w:r>
      <w:r>
        <w:rPr>
          <w:iCs/>
          <w:i/>
        </w:rPr>
        <w:t xml:space="preserve">id.,</w:t>
      </w:r>
      <w:r>
        <w:t xml:space="preserve"> </w:t>
      </w:r>
      <w:r>
        <w:t xml:space="preserve">at 884 (“Blankenship contributed some $3 million to unseat the incumbent and replace him with Benjamin”);</w:t>
      </w:r>
      <w:r>
        <w:t xml:space="preserve"> </w:t>
      </w:r>
      <w:r>
        <w:rPr>
          <w:iCs/>
          <w:i/>
        </w:rPr>
        <w:t xml:space="preserve">id.,</w:t>
      </w:r>
      <w:r>
        <w:t xml:space="preserve"> </w:t>
      </w:r>
      <w:r>
        <w:t xml:space="preserve">at 885 (“Blankenship’s campaign contributions . . . had a significant and disproportionate influence on the electoral outcome”). The reason the Court so thoroughly conflated expenditures and contributions, one assumes, is that it realized that some expenditures may be functionally equivalent to contributions in the way they influence the outcome of a race, the way they are interpreted by the candidates and the public, and the way they taint the decisions that the officeholder thereafter takes.</w:t>
      </w:r>
    </w:p>
    <w:p>
      <w:pPr>
        <w:pStyle w:val="CaseBody"/>
      </w:pPr>
      <w:r>
        <w:rPr>
          <w:iCs/>
          <w:i/>
        </w:rPr>
        <w:t xml:space="preserve">Caperton</w:t>
      </w:r>
      <w:r>
        <w:t xml:space="preserve"> </w:t>
      </w:r>
      <w:r>
        <w:t xml:space="preserve">is illuminating in several additional respects. It underscores the old insight that, on account of the extreme difficulty of proving corruption, “prophylactic measures, reaching some [campaign spending] not corrupt in purpose or effect, [may be] nonetheless required to guard against corruption.”</w:t>
      </w:r>
      <w:r>
        <w:t xml:space="preserve"> </w:t>
      </w:r>
      <w:r>
        <w:rPr>
          <w:iCs/>
          <w:i/>
        </w:rPr>
        <w:t xml:space="preserve">Buckley,</w:t>
      </w:r>
      <w:r>
        <w:t xml:space="preserve"> </w:t>
      </w:r>
      <w:r>
        <w:t xml:space="preserve">424 U. S., at 30; see also</w:t>
      </w:r>
      <w:r>
        <w:t xml:space="preserve"> </w:t>
      </w:r>
      <w:r>
        <w:rPr>
          <w:iCs/>
          <w:i/>
        </w:rPr>
        <w:t xml:space="preserve">Shrink Missouri,</w:t>
      </w:r>
      <w:r>
        <w:t xml:space="preserve"> </w:t>
      </w:r>
      <w:r>
        <w:t xml:space="preserve">528 U. S., at 392, n. 5. It underscores that “certain restrictions on corporate electoral involvement” may likewise be needed to “hedge against circumvention of valid contribution limits.”</w:t>
      </w:r>
      <w:r>
        <w:t xml:space="preserve"> </w:t>
      </w:r>
      <w:r>
        <w:rPr>
          <w:iCs/>
          <w:i/>
        </w:rPr>
        <w:t xml:space="preserve">McConnell,</w:t>
      </w:r>
      <w:r>
        <w:t xml:space="preserve"> </w:t>
      </w:r>
      <w:r>
        <w:t xml:space="preserve">540 U. S., at 205 (internal quotation marks and brackets omitted); see also</w:t>
      </w:r>
      <w:r>
        <w:t xml:space="preserve"> </w:t>
      </w:r>
      <w:r>
        <w:rPr>
          <w:iCs/>
          <w:i/>
        </w:rPr>
        <w:t xml:space="preserve">Colorado II,</w:t>
      </w:r>
      <w:r>
        <w:t xml:space="preserve"> </w:t>
      </w:r>
      <w:r>
        <w:t xml:space="preserve">533 U. S., at 456 (“[A]ll Members of the Court agree that circumvention is a valid theory of corruption”). It -underscores that for-profit corporations associated with electioneering communications will often prefer to use nonprofit conduits with “misleading names,” such as And For The Sake Of The Kids, “to conceal their identity” as the sponsor of those communications, thereby frustrating the utility of disclosure laws.</w:t>
      </w:r>
      <w:r>
        <w:t xml:space="preserve"> </w:t>
      </w:r>
      <w:r>
        <w:rPr>
          <w:iCs/>
          <w:i/>
        </w:rPr>
        <w:t xml:space="preserve">McConnell,</w:t>
      </w:r>
      <w:r>
        <w:t xml:space="preserve"> </w:t>
      </w:r>
      <w:r>
        <w:t xml:space="preserve">540 U. S., at 128; see also</w:t>
      </w:r>
      <w:r>
        <w:t xml:space="preserve"> </w:t>
      </w:r>
      <w:r>
        <w:rPr>
          <w:iCs/>
          <w:i/>
        </w:rPr>
        <w:t xml:space="preserve">id.,</w:t>
      </w:r>
      <w:r>
        <w:t xml:space="preserve"> </w:t>
      </w:r>
      <w:r>
        <w:t xml:space="preserve">at 196-197.</w:t>
      </w:r>
    </w:p>
    <w:p>
      <w:pPr>
        <w:pStyle w:val="CaseBody"/>
      </w:pPr>
      <w:r>
        <w:t xml:space="preserve">And it underscores that the consequences of today’s holding will not be limited to the legislative or executive context. The majority of the States select their judges through popular elections. At a time when concerns about the conduct of judicial elections have reached a fever pitch, see,</w:t>
      </w:r>
      <w:r>
        <w:t xml:space="preserve"> </w:t>
      </w:r>
      <w:r>
        <w:rPr>
          <w:iCs/>
          <w:i/>
        </w:rPr>
        <w:t xml:space="preserve">e. g.,</w:t>
      </w:r>
      <w:r>
        <w:t xml:space="preserve"> </w:t>
      </w:r>
      <w:r>
        <w:t xml:space="preserve">O’Connor, Justice for Sale, Wall St. Journal, Nov. 15, 2007, p. A25; Brief for Justice at Stake et al. as</w:t>
      </w:r>
      <w:r>
        <w:t xml:space="preserve"> </w:t>
      </w:r>
      <w:r>
        <w:rPr>
          <w:iCs/>
          <w:i/>
        </w:rPr>
        <w:t xml:space="preserve">Amici Curiae</w:t>
      </w:r>
      <w:r>
        <w:t xml:space="preserve"> </w:t>
      </w:r>
      <w:r>
        <w:t xml:space="preserve">2, the Court today unleashes the floodgates of corporate and union general treasury spending in these races. Perhaps</w:t>
      </w:r>
      <w:r>
        <w:t xml:space="preserve"> </w:t>
      </w:r>
      <w:r>
        <w:rPr>
          <w:iCs/>
          <w:i/>
        </w:rPr>
        <w:t xml:space="preserve">“Caperton</w:t>
      </w:r>
      <w:r>
        <w:t xml:space="preserve"> </w:t>
      </w:r>
      <w:r>
        <w:t xml:space="preserve">motions” will catch some of the worst abuses. This will be small comfort to those States that, after today, may no longer have the ability to place modest limits on corporate electioneering even if they believe such limits to be critical to maintaining the integrity of their judicial systems.</w:t>
      </w:r>
    </w:p>
    <w:p>
      <w:pPr>
        <w:pStyle w:val="CaseBody"/>
      </w:pPr>
      <w:r>
        <w:rPr>
          <w:iCs/>
          <w:i/>
        </w:rPr>
        <w:t xml:space="preserve">Deference and Incumbent Self-Protection</w:t>
      </w:r>
    </w:p>
    <w:p>
      <w:pPr>
        <w:pStyle w:val="CaseBody"/>
      </w:pPr>
      <w:r>
        <w:t xml:space="preserve">Rather than show any deference to a coordinate branch of Government, the majority thus rejects the anticorruption rationale without serious analysis.</w:t>
      </w:r>
      <w:r>
        <w:rPr>
          <w:rStyle w:val="FootnoteReference"/>
        </w:rPr>
        <w:footnoteReference w:customMarkFollows="1" w:id="702"/>
        <w:t xml:space="preserve">67</w:t>
      </w:r>
      <w:r>
        <w:t xml:space="preserve"> </w:t>
      </w:r>
      <w:r>
        <w:t xml:space="preserve">Today’s opinion provides no clear rationale for’being so dismissive of Congress, but the prior individual opinions on which it relies have offered one: the incentives of the legislators who passed BCRA. Section 203, our colleagues have suggested, may be little more than “an incumbency protection plan,”</w:t>
      </w:r>
      <w:r>
        <w:t xml:space="preserve"> </w:t>
      </w:r>
      <w:r>
        <w:rPr>
          <w:iCs/>
          <w:i/>
        </w:rPr>
        <w:t xml:space="preserve">McConnell,</w:t>
      </w:r>
      <w:r>
        <w:t xml:space="preserve"> </w:t>
      </w:r>
      <w:r>
        <w:t xml:space="preserve">540 U. S., at 306 (Kennedy, J., concurring in judgment in part and dissenting in part); see also</w:t>
      </w:r>
      <w:r>
        <w:t xml:space="preserve"> </w:t>
      </w:r>
      <w:r>
        <w:rPr>
          <w:iCs/>
          <w:i/>
        </w:rPr>
        <w:t xml:space="preserve">id.,</w:t>
      </w:r>
      <w:r>
        <w:t xml:space="preserve"> </w:t>
      </w:r>
      <w:r>
        <w:t xml:space="preserve">at 249-250, 260-263 (Scalia, J., concurring in part, concurring in judgment in part, and dissenting in part), a disreputable attempt at legislative self-dealing rather than an earnest effort to facilitate First Amendment values and safeguard the legitimacy of our political system. This possibility, the Court apparently believes, licenses it to run roughshod over Congress’ handiwork.</w:t>
      </w:r>
    </w:p>
    <w:p>
      <w:pPr>
        <w:pStyle w:val="CaseBody"/>
      </w:pPr>
      <w:r>
        <w:t xml:space="preserve">In my view, we should instead start by acknowledging that “Congress surely has both wisdom and experience in these matters that is far superior to ours.”</w:t>
      </w:r>
      <w:r>
        <w:t xml:space="preserve"> </w:t>
      </w:r>
      <w:r>
        <w:rPr>
          <w:iCs/>
          <w:i/>
        </w:rPr>
        <w:t xml:space="preserve">Colorado Republican Federal Campaign Comm.</w:t>
      </w:r>
      <w:r>
        <w:t xml:space="preserve"> </w:t>
      </w:r>
      <w:r>
        <w:t xml:space="preserve">v.</w:t>
      </w:r>
      <w:r>
        <w:t xml:space="preserve"> </w:t>
      </w:r>
      <w:r>
        <w:rPr>
          <w:iCs/>
          <w:i/>
        </w:rPr>
        <w:t xml:space="preserve">FEC,</w:t>
      </w:r>
      <w:r>
        <w:t xml:space="preserve"> </w:t>
      </w:r>
      <w:r>
        <w:t xml:space="preserve">518 U. S. 604, 650 (1996) (Stevens, J., dissenting). Many of our campaign finance precedents explicitly and forcefully affirm the propriety of such presumptive deference. See,</w:t>
      </w:r>
      <w:r>
        <w:t xml:space="preserve"> </w:t>
      </w:r>
      <w:r>
        <w:rPr>
          <w:iCs/>
          <w:i/>
        </w:rPr>
        <w:t xml:space="preserve">e. g., McConnell,</w:t>
      </w:r>
      <w:r>
        <w:t xml:space="preserve"> </w:t>
      </w:r>
      <w:r>
        <w:t xml:space="preserve">540 U. S., at 158;</w:t>
      </w:r>
      <w:r>
        <w:t xml:space="preserve"> </w:t>
      </w:r>
      <w:r>
        <w:rPr>
          <w:iCs/>
          <w:i/>
        </w:rPr>
        <w:t xml:space="preserve">Beaumont,</w:t>
      </w:r>
      <w:r>
        <w:t xml:space="preserve"> </w:t>
      </w:r>
      <w:r>
        <w:t xml:space="preserve">539 U. S., at 155-156;</w:t>
      </w:r>
      <w:r>
        <w:t xml:space="preserve"> </w:t>
      </w:r>
      <w:r>
        <w:rPr>
          <w:iCs/>
          <w:i/>
        </w:rPr>
        <w:t xml:space="preserve">NRWC,</w:t>
      </w:r>
      <w:r>
        <w:t xml:space="preserve"> </w:t>
      </w:r>
      <w:r>
        <w:t xml:space="preserve">459 U. S., at 209-210. Moreover, “[j]udicial deference is particularly warranted where, as here, we deal with a congressional judgment that has remained essentially unchanged throughout a century of careful legislative adjustment.”</w:t>
      </w:r>
      <w:r>
        <w:t xml:space="preserve"> </w:t>
      </w:r>
      <w:r>
        <w:rPr>
          <w:iCs/>
          <w:i/>
        </w:rPr>
        <w:t xml:space="preserve">Beaumont,</w:t>
      </w:r>
      <w:r>
        <w:t xml:space="preserve"> </w:t>
      </w:r>
      <w:r>
        <w:t xml:space="preserve">539 U. S., at 162, n. 9 (internal quotation marks omitted); cf.</w:t>
      </w:r>
      <w:r>
        <w:t xml:space="preserve"> </w:t>
      </w:r>
      <w:r>
        <w:rPr>
          <w:iCs/>
          <w:i/>
        </w:rPr>
        <w:t xml:space="preserve">Shrink Missouri,</w:t>
      </w:r>
      <w:r>
        <w:t xml:space="preserve"> </w:t>
      </w:r>
      <w:r>
        <w:t xml:space="preserve">528 U. S., at 391 (“The quantum of empirical evidence needed to satisfy heightened judicial scrutiny of legislative judgments will vary up or down with the novelty and plausibility of the justification raised”). In America, incumbent legislators pass the laws that govern campaign finance, just like all other laws. To apply a level of scrutiny that effectively bars them from regulating electioneering whenever there is the faintest whiff of self-interest, is to deprive them of the ability to regulate electioneering.</w:t>
      </w:r>
    </w:p>
    <w:p>
      <w:pPr>
        <w:pStyle w:val="CaseBody"/>
      </w:pPr>
      <w:r>
        <w:t xml:space="preserve">This is not to say that deference would be appropriate if there were a solid basis for believing that a legislative action was motivated by the desire to protect incumbents or that it will degrade the competitiveness of the electoral process.</w:t>
      </w:r>
      <w:r>
        <w:rPr>
          <w:rStyle w:val="FootnoteReference"/>
        </w:rPr>
        <w:footnoteReference w:customMarkFollows="1" w:id="707"/>
        <w:t xml:space="preserve">68</w:t>
      </w:r>
      <w:r>
        <w:t xml:space="preserve"> </w:t>
      </w:r>
      <w:r>
        <w:t xml:space="preserve">See</w:t>
      </w:r>
      <w:r>
        <w:t xml:space="preserve"> </w:t>
      </w:r>
      <w:r>
        <w:rPr>
          <w:iCs/>
          <w:i/>
        </w:rPr>
        <w:t xml:space="preserve">League of United Latin American Citizens</w:t>
      </w:r>
      <w:r>
        <w:t xml:space="preserve"> </w:t>
      </w:r>
      <w:r>
        <w:t xml:space="preserve">v.</w:t>
      </w:r>
      <w:r>
        <w:t xml:space="preserve"> </w:t>
      </w:r>
      <w:r>
        <w:rPr>
          <w:iCs/>
          <w:i/>
        </w:rPr>
        <w:t xml:space="preserve">Perry,</w:t>
      </w:r>
      <w:r>
        <w:t xml:space="preserve"> </w:t>
      </w:r>
      <w:r>
        <w:t xml:space="preserve">548 U. S. 399, 447 (2006) (Stevens, J., concurring in part and dissenting in part);</w:t>
      </w:r>
      <w:r>
        <w:t xml:space="preserve"> </w:t>
      </w:r>
      <w:r>
        <w:rPr>
          <w:iCs/>
          <w:i/>
        </w:rPr>
        <w:t xml:space="preserve">Vieth</w:t>
      </w:r>
      <w:r>
        <w:t xml:space="preserve"> </w:t>
      </w:r>
      <w:r>
        <w:t xml:space="preserve">v.</w:t>
      </w:r>
      <w:r>
        <w:t xml:space="preserve"> </w:t>
      </w:r>
      <w:r>
        <w:rPr>
          <w:iCs/>
          <w:i/>
        </w:rPr>
        <w:t xml:space="preserve">Jubelirer,</w:t>
      </w:r>
      <w:r>
        <w:t xml:space="preserve"> </w:t>
      </w:r>
      <w:r>
        <w:t xml:space="preserve">541 U. S. 267, 317 (2004) (Stevens, J., dissenting). Along with our duty to balance competing constitutional concerns, we have a vital role to play in ensuring that elections remain at least minimally open, fair, and competitive. But it is the height of recklessness to dismiss Congress’ years of bipartisan deliberation and its reasoned judgment on this basis, without first confirming that the statute in question was intended to be, or will function as, a restraint on electoral competition. “Absent record evidence of invidious discrimination against challengers as a class, a court should generally be hesitant to invalidate legislation which on its face imposes evenhanded restrictions.”</w:t>
      </w:r>
      <w:r>
        <w:t xml:space="preserve"> </w:t>
      </w:r>
      <w:r>
        <w:rPr>
          <w:iCs/>
          <w:i/>
        </w:rPr>
        <w:t xml:space="preserve">Buckley,</w:t>
      </w:r>
      <w:r>
        <w:t xml:space="preserve"> </w:t>
      </w:r>
      <w:r>
        <w:t xml:space="preserve">424 U. S., at 31.</w:t>
      </w:r>
    </w:p>
    <w:p>
      <w:pPr>
        <w:pStyle w:val="CaseBody"/>
      </w:pPr>
      <w:r>
        <w:t xml:space="preserve">We have no record evidence from which to conclude that BCRA § 203, or any of the dozens of state laws that the Court today calls into question, reflects or fosters such invidious discrimination. Our colleagues have opined that “</w:t>
      </w:r>
      <w:r>
        <w:t xml:space="preserve"> </w:t>
      </w:r>
      <w:r>
        <w:rPr>
          <w:iCs/>
          <w:i/>
        </w:rPr>
        <w:t xml:space="preserve">‘any</w:t>
      </w:r>
      <w:r>
        <w:t xml:space="preserve"> </w:t>
      </w:r>
      <w:r>
        <w:t xml:space="preserve">restriction upon a type of campaign speech that is equally available to challengers and incumbents tends to favor incumbents.’”</w:t>
      </w:r>
      <w:r>
        <w:t xml:space="preserve"> </w:t>
      </w:r>
      <w:r>
        <w:rPr>
          <w:iCs/>
          <w:i/>
        </w:rPr>
        <w:t xml:space="preserve">McConnell,</w:t>
      </w:r>
      <w:r>
        <w:t xml:space="preserve"> </w:t>
      </w:r>
      <w:r>
        <w:t xml:space="preserve">540 U. S., at 249 (opinion of SCALIA, J.). This kind of airy speculation could easily be turned on its head. The electioneering prohibited by § 203 might well tend to favor incumbents, because incumbents have pre-existing relationships with corporations and unions, and groups that wish to procure legislative benefits may tend to support the candidate who, as a sitting officeholder, is already in a position to dispense benefits and is statistically likely to retain office. If a corporation’s goal is to induce officeholders to do its bidding, the corporation would do well to cultivate stable, long-term relationships of dependency.</w:t>
      </w:r>
    </w:p>
    <w:p>
      <w:pPr>
        <w:pStyle w:val="CaseBody"/>
      </w:pPr>
      <w:r>
        <w:t xml:space="preserve">So we do not have a solid theoretical basis for condemning §203 as a front for incumbent self-protection, and it seems equally if not more plausible that restrictions on corporate electioneering will be self-denying. Nor do we have a good empirical case for skepticism, as the Court’s failure to cite any empirical research attests. Nor does the legislative history give reason for concern. Congress devoted years of careful study to the issues underlying BCRA; “[f]ew legislative proposals in recent years have received as much sustained public commentary or news coverage”; “[political scientists and academic experts . . . with no self-interest in incumbent protectio[n] were central figures in pressing the case for BCRA”; and the legislation commanded bipartisan support from the outset. Pildes, The Supreme Court 2003 Term Foreword: The Constitutionalization of Democratic Politics, 118 Harv. L. Rev. 28, 137 (2004). Finally, it is important to remember just how incumbent-friendly congressional races were prior to BCRA’s passage. As the Solicitor General aptly remarked at the time, “the evidence supports overwhelmingly that incumbents were able to get re-elected under the old system just fine.” Tr. of Oral Arg. in</w:t>
      </w:r>
      <w:r>
        <w:t xml:space="preserve"> </w:t>
      </w:r>
      <w:r>
        <w:rPr>
          <w:iCs/>
          <w:i/>
        </w:rPr>
        <w:t xml:space="preserve">McConnell</w:t>
      </w:r>
      <w:r>
        <w:t xml:space="preserve"> </w:t>
      </w:r>
      <w:r>
        <w:t xml:space="preserve">v.</w:t>
      </w:r>
      <w:r>
        <w:t xml:space="preserve"> </w:t>
      </w:r>
      <w:r>
        <w:rPr>
          <w:iCs/>
          <w:i/>
        </w:rPr>
        <w:t xml:space="preserve">FEC,</w:t>
      </w:r>
      <w:r>
        <w:t xml:space="preserve"> </w:t>
      </w:r>
      <w:r>
        <w:t xml:space="preserve">O. T. 2003, No. 02-1674, p. 61. “It would be hard to develop a scheme that could be better for incumbents.”</w:t>
      </w:r>
      <w:r>
        <w:t xml:space="preserve"> </w:t>
      </w:r>
      <w:r>
        <w:rPr>
          <w:iCs/>
          <w:i/>
        </w:rPr>
        <w:t xml:space="preserve">Id.,</w:t>
      </w:r>
      <w:r>
        <w:t xml:space="preserve"> </w:t>
      </w:r>
      <w:r>
        <w:t xml:space="preserve">at 63.</w:t>
      </w:r>
    </w:p>
    <w:p>
      <w:pPr>
        <w:pStyle w:val="CaseBody"/>
      </w:pPr>
      <w:r>
        <w:t xml:space="preserve">In this case, then, “there is no convincing evidence that th[e] important interests favoring expenditure limits are fronts for incumbency protection.”</w:t>
      </w:r>
      <w:r>
        <w:t xml:space="preserve"> </w:t>
      </w:r>
      <w:r>
        <w:rPr>
          <w:iCs/>
          <w:i/>
        </w:rPr>
        <w:t xml:space="preserve">Randall,</w:t>
      </w:r>
      <w:r>
        <w:t xml:space="preserve"> </w:t>
      </w:r>
      <w:r>
        <w:t xml:space="preserve">548 U. S., at 279 (Stevens, J., dissenting). “In the meantime, a legislative judgment that ‘enough is enough’ should command the greatest possible deference from judges interpreting a constitutional provision that, at best, has an indirect relationship to activity that affects the quantity ... of repetitive speech in the marketplace of ideas.”</w:t>
      </w:r>
      <w:r>
        <w:t xml:space="preserve"> </w:t>
      </w:r>
      <w:r>
        <w:rPr>
          <w:iCs/>
          <w:i/>
        </w:rPr>
        <w:t xml:space="preserve">Id.,</w:t>
      </w:r>
      <w:r>
        <w:t xml:space="preserve"> </w:t>
      </w:r>
      <w:r>
        <w:t xml:space="preserve">at 279-280. The majority cavalierly ignores Congress’ factual findings and its constitutional judgment: It acknowledges the validity of the interest in preventing corruption, but it effectively discounts the value of that interest to zero. This is quite different from conscientious policing for impermissibly anticompetitive motive or effect in a sensitive First Amendment context. It is the denial of Congress’ authority to regulate corporate spending on elections.</w:t>
      </w:r>
    </w:p>
    <w:p>
      <w:pPr>
        <w:pStyle w:val="CaseBody"/>
      </w:pPr>
      <w:r>
        <w:rPr>
          <w:iCs/>
          <w:i/>
        </w:rPr>
        <w:t xml:space="preserve">Austin and Corporate Expenditures</w:t>
      </w:r>
    </w:p>
    <w:p>
      <w:pPr>
        <w:pStyle w:val="CaseBody"/>
      </w:pPr>
      <w:r>
        <w:t xml:space="preserve">Just as the majority gives short shrift to the general societal interests at stake in campaign finance regulation, it also overlooks the distinctive considerations raised by the regulation of</w:t>
      </w:r>
      <w:r>
        <w:t xml:space="preserve"> </w:t>
      </w:r>
      <w:r>
        <w:rPr>
          <w:iCs/>
          <w:i/>
        </w:rPr>
        <w:t xml:space="preserve">corporate</w:t>
      </w:r>
      <w:r>
        <w:t xml:space="preserve"> </w:t>
      </w:r>
      <w:r>
        <w:t xml:space="preserve">expenditures. The majority fails to appreciate that</w:t>
      </w:r>
      <w:r>
        <w:t xml:space="preserve"> </w:t>
      </w:r>
      <w:r>
        <w:rPr>
          <w:iCs/>
          <w:i/>
        </w:rPr>
        <w:t xml:space="preserve">Austin’s</w:t>
      </w:r>
      <w:r>
        <w:t xml:space="preserve"> </w:t>
      </w:r>
      <w:r>
        <w:t xml:space="preserve">antidistortion rationale is itself an anticorruption rationale, see 494 U. S., at 660 (describing “a different type of corruption”), tied to the special concerns raised by corporations. Understood properly, “antidistortion” is simply a variant on the classic governmental interest in protecting against improper influences on officeholders that debilitate the democratic process. It is manifestly not just an “ ‘equalizing’ ” ideal in disguise.</w:t>
      </w:r>
      <w:r>
        <w:t xml:space="preserve"> </w:t>
      </w:r>
      <w:r>
        <w:rPr>
          <w:iCs/>
          <w:i/>
        </w:rPr>
        <w:t xml:space="preserve">Ante,</w:t>
      </w:r>
      <w:r>
        <w:t xml:space="preserve"> </w:t>
      </w:r>
      <w:r>
        <w:t xml:space="preserve">at 350 (quoting</w:t>
      </w:r>
      <w:r>
        <w:t xml:space="preserve"> </w:t>
      </w:r>
      <w:r>
        <w:rPr>
          <w:iCs/>
          <w:i/>
        </w:rPr>
        <w:t xml:space="preserve">Buckley,</w:t>
      </w:r>
      <w:r>
        <w:t xml:space="preserve"> </w:t>
      </w:r>
      <w:r>
        <w:t xml:space="preserve">424 U. S., at 48).</w:t>
      </w:r>
      <w:r>
        <w:rPr>
          <w:rStyle w:val="FootnoteReference"/>
        </w:rPr>
        <w:footnoteReference w:customMarkFollows="1" w:id="712"/>
        <w:t xml:space="preserve">69</w:t>
      </w:r>
    </w:p>
    <w:p>
      <w:pPr>
        <w:pStyle w:val="CaseBody"/>
      </w:pPr>
      <w:r>
        <w:t xml:space="preserve">1.</w:t>
      </w:r>
      <w:r>
        <w:t xml:space="preserve"> </w:t>
      </w:r>
      <w:r>
        <w:rPr>
          <w:iCs/>
          <w:i/>
        </w:rPr>
        <w:t xml:space="preserve">Antidistortion</w:t>
      </w:r>
    </w:p>
    <w:p>
      <w:pPr>
        <w:pStyle w:val="CaseBody"/>
      </w:pPr>
      <w:r>
        <w:t xml:space="preserve">The fact that corporations are different from human beings might seem to need no elaboration, except that the majority opinion almost completely elides it.</w:t>
      </w:r>
      <w:r>
        <w:t xml:space="preserve"> </w:t>
      </w:r>
      <w:r>
        <w:rPr>
          <w:iCs/>
          <w:i/>
        </w:rPr>
        <w:t xml:space="preserve">Austin</w:t>
      </w:r>
      <w:r>
        <w:t xml:space="preserve"> </w:t>
      </w:r>
      <w:r>
        <w:t xml:space="preserve">set forth some of the basic differences. Unlike natural persons, corporations have “limited liability” for their owners and managers, “perpetual life,” separation of ownership and control, “and favorable treatment of the accumulation and distribution of assets ... that enhance their ability to attract capital and to deploy their resources in ways that maximize the return on their shareholders’ investments.” 494 U. S., at 658-659. Unlike voters in U. S. elections, corporations may be foreign controlled.</w:t>
      </w:r>
      <w:r>
        <w:rPr>
          <w:rStyle w:val="FootnoteReference"/>
        </w:rPr>
        <w:footnoteReference w:customMarkFollows="1" w:id="717"/>
        <w:t xml:space="preserve">70</w:t>
      </w:r>
      <w:r>
        <w:t xml:space="preserve"> </w:t>
      </w:r>
      <w:r>
        <w:t xml:space="preserve">Unlike other interest groups, business corporations have been “effectively delegated responsibility for ensuring society’s economic welfare”;</w:t>
      </w:r>
      <w:r>
        <w:rPr>
          <w:rStyle w:val="FootnoteReference"/>
        </w:rPr>
        <w:footnoteReference w:customMarkFollows="1" w:id="722"/>
        <w:t xml:space="preserve">71</w:t>
      </w:r>
      <w:r>
        <w:t xml:space="preserve"> </w:t>
      </w:r>
      <w:r>
        <w:t xml:space="preserve">they inescapably structure the life of every citizen. “ ‘[T]he resources in the treasury of a business corporation,’ ” furthermore, “ ‘are not an indication of popular support for the corporation’s political ideas.’”</w:t>
      </w:r>
      <w:r>
        <w:t xml:space="preserve"> </w:t>
      </w:r>
      <w:r>
        <w:rPr>
          <w:iCs/>
          <w:i/>
        </w:rPr>
        <w:t xml:space="preserve">Id.,</w:t>
      </w:r>
      <w:r>
        <w:t xml:space="preserve"> </w:t>
      </w:r>
      <w:r>
        <w:t xml:space="preserve">at 659 (quoting</w:t>
      </w:r>
      <w:r>
        <w:t xml:space="preserve"> </w:t>
      </w:r>
      <w:r>
        <w:rPr>
          <w:iCs/>
          <w:i/>
        </w:rPr>
        <w:t xml:space="preserve">MCFL,</w:t>
      </w:r>
      <w:r>
        <w:t xml:space="preserve"> </w:t>
      </w:r>
      <w:r>
        <w:t xml:space="preserve">479 U. S., at 258). “ ‘They reflect instead the economically motivated decisions of investors and customers. The availability of these resources may make a corporation a formidable political presence, even though the power of the corporation may be no reflection of the power of its ideas.’ ” 494 U. S., at 659 (quoting</w:t>
      </w:r>
      <w:r>
        <w:t xml:space="preserve"> </w:t>
      </w:r>
      <w:r>
        <w:rPr>
          <w:iCs/>
          <w:i/>
        </w:rPr>
        <w:t xml:space="preserve">MCFL,</w:t>
      </w:r>
      <w:r>
        <w:t xml:space="preserve"> </w:t>
      </w:r>
      <w:r>
        <w:t xml:space="preserve">479 U. S., at 258).</w:t>
      </w:r>
      <w:r>
        <w:rPr>
          <w:rStyle w:val="FootnoteReference"/>
        </w:rPr>
        <w:footnoteReference w:customMarkFollows="1" w:id="727"/>
        <w:t xml:space="preserve">72</w:t>
      </w:r>
    </w:p>
    <w:p>
      <w:pPr>
        <w:pStyle w:val="CaseBody"/>
      </w:pPr>
      <w:r>
        <w:t xml:space="preserve">It might also be added that corporations have no consciences, no beliefs, no feelings, no thoughts, no desires. Corporations help structure and facilitate the activities of human beings, to be sure, and their “personhood” often serves as a useful legal fiction. But they are not themselves members of “We the People” by whom and for whom our Constitution was established.</w:t>
      </w:r>
    </w:p>
    <w:p>
      <w:pPr>
        <w:pStyle w:val="CaseBody"/>
      </w:pPr>
      <w:r>
        <w:t xml:space="preserve">These basic points help explain why corporate electioneering is not only more likely to impair compelling governmental interests, but also why restrictions on that electioneering are less likely to encroach upon First Amendment freedoms. One fundamental concern of the First Amendment is to “protec[t] the individual’s interest in self-expression.”</w:t>
      </w:r>
      <w:r>
        <w:t xml:space="preserve"> </w:t>
      </w:r>
      <w:r>
        <w:rPr>
          <w:iCs/>
          <w:i/>
        </w:rPr>
        <w:t xml:space="preserve">Consolidated Edison Co. of N. Y.</w:t>
      </w:r>
      <w:r>
        <w:t xml:space="preserve"> </w:t>
      </w:r>
      <w:r>
        <w:t xml:space="preserve">v.</w:t>
      </w:r>
      <w:r>
        <w:t xml:space="preserve"> </w:t>
      </w:r>
      <w:r>
        <w:rPr>
          <w:iCs/>
          <w:i/>
        </w:rPr>
        <w:t xml:space="preserve">Public Serv. Comm’n of N. Y.,</w:t>
      </w:r>
      <w:r>
        <w:t xml:space="preserve"> </w:t>
      </w:r>
      <w:r>
        <w:t xml:space="preserve">447 U. S. 530, 534, n. 2 (1980); see also</w:t>
      </w:r>
      <w:r>
        <w:t xml:space="preserve"> </w:t>
      </w:r>
      <w:r>
        <w:rPr>
          <w:iCs/>
          <w:i/>
        </w:rPr>
        <w:t xml:space="preserve">Bellotti,</w:t>
      </w:r>
      <w:r>
        <w:t xml:space="preserve"> </w:t>
      </w:r>
      <w:r>
        <w:t xml:space="preserve">435 U. S., at 777, n. 12. Freedom of speech helps “make men free to develop their faculties,”</w:t>
      </w:r>
      <w:r>
        <w:t xml:space="preserve"> </w:t>
      </w:r>
      <w:r>
        <w:rPr>
          <w:iCs/>
          <w:i/>
        </w:rPr>
        <w:t xml:space="preserve">Whitney</w:t>
      </w:r>
      <w:r>
        <w:t xml:space="preserve"> </w:t>
      </w:r>
      <w:r>
        <w:t xml:space="preserve">v.</w:t>
      </w:r>
      <w:r>
        <w:t xml:space="preserve"> </w:t>
      </w:r>
      <w:r>
        <w:rPr>
          <w:iCs/>
          <w:i/>
        </w:rPr>
        <w:t xml:space="preserve">California,</w:t>
      </w:r>
      <w:r>
        <w:t xml:space="preserve"> </w:t>
      </w:r>
      <w:r>
        <w:t xml:space="preserve">274 U. S. 357, 375 (1927) (Brandéis, J., concurring), it respects their “dignity and choice,”</w:t>
      </w:r>
      <w:r>
        <w:t xml:space="preserve"> </w:t>
      </w:r>
      <w:r>
        <w:rPr>
          <w:iCs/>
          <w:i/>
        </w:rPr>
        <w:t xml:space="preserve">Cohen</w:t>
      </w:r>
      <w:r>
        <w:t xml:space="preserve"> </w:t>
      </w:r>
      <w:r>
        <w:t xml:space="preserve">v.</w:t>
      </w:r>
      <w:r>
        <w:t xml:space="preserve"> </w:t>
      </w:r>
      <w:r>
        <w:rPr>
          <w:iCs/>
          <w:i/>
        </w:rPr>
        <w:t xml:space="preserve">California,</w:t>
      </w:r>
      <w:r>
        <w:t xml:space="preserve"> </w:t>
      </w:r>
      <w:r>
        <w:t xml:space="preserve">403 U. S. 15, 24 (1971), and it facilitates the value of “individual self-realization,” Redish, The Value of Free Speech, 130 U. Pa. L. Rev. 591, 594 (1982). Corporate speech, however, is derivative speech, speech by proxy. A regulation such as BCRA § 203 may affect the way in which individuals disseminate certain messages through the corporate form, but it does not prevent anyone from speaking in his or her own voice. “Within the realm of [campaign spending] generally,” corporate spending is “furthest from the core of political expression.”</w:t>
      </w:r>
      <w:r>
        <w:t xml:space="preserve"> </w:t>
      </w:r>
      <w:r>
        <w:rPr>
          <w:iCs/>
          <w:i/>
        </w:rPr>
        <w:t xml:space="preserve">Beaumont,</w:t>
      </w:r>
      <w:r>
        <w:t xml:space="preserve"> </w:t>
      </w:r>
      <w:r>
        <w:t xml:space="preserve">539 U. S., at 161, n. 8.</w:t>
      </w:r>
    </w:p>
    <w:p>
      <w:pPr>
        <w:pStyle w:val="CaseBody"/>
      </w:pPr>
      <w:r>
        <w:t xml:space="preserve">It is an interesting question “who” is even speaking when a business corporation places an advertisement that endorses or attacks a particular candidate. Presumably it is not the customers or employees, who typically have no say in such matters. It cannot realistically be said to be the shareholders, who tend to be far removed from the day-to-day decisions of the firm and whose political preferences may be opaque to management. Perhaps the officers or directors of the corporation have the best claim to be the ones speaking, except their fiduciary duties generally prohibit them from using corporate funds for personal ends. Some individuals associated with the corporation must make the decision to place the ad, but the idea that these individuals are thereby fostering their self-expression or cultivating their critical faculties is fanciful. It is entirely possible that the corporation’s electoral message will</w:t>
      </w:r>
      <w:r>
        <w:t xml:space="preserve"> </w:t>
      </w:r>
      <w:r>
        <w:rPr>
          <w:iCs/>
          <w:i/>
        </w:rPr>
        <w:t xml:space="preserve">conflict</w:t>
      </w:r>
      <w:r>
        <w:t xml:space="preserve"> </w:t>
      </w:r>
      <w:r>
        <w:t xml:space="preserve">with their personal convictions. Take away the ability to use general treasury funds for some of those ads, and no one’s autonomy, dignity, or political equality has been impinged upon in the least.</w:t>
      </w:r>
    </w:p>
    <w:p>
      <w:pPr>
        <w:pStyle w:val="CaseBody"/>
      </w:pPr>
      <w:r>
        <w:t xml:space="preserve">Corporate expenditures are distinguishable from individual expenditures in this respect. I have taken the view that a legislature may place reasonable restrictions on individuals’ electioneering expenditures in the service of the governmental interests explained above, and in recognition of the fact that such restrictions are not direct restraints on speech but rather on its financing. See,</w:t>
      </w:r>
      <w:r>
        <w:t xml:space="preserve"> </w:t>
      </w:r>
      <w:r>
        <w:rPr>
          <w:iCs/>
          <w:i/>
        </w:rPr>
        <w:t xml:space="preserve">e. g., Randall,</w:t>
      </w:r>
      <w:r>
        <w:t xml:space="preserve"> </w:t>
      </w:r>
      <w:r>
        <w:t xml:space="preserve">548 U. S., at 273 (dissenting opinion). But those restrictions concededly present a tougher case, because the primary conduct of actual, flesh-and-blood persons is involved. Some of those individuals might feel that they need to spend large sums of money on behalf of a particular candidate to vindicate the intensity of their electoral preferences. This is obviously not the situation with business corporations, as their routine practice of giving “substantial sums to</w:t>
      </w:r>
      <w:r>
        <w:t xml:space="preserve"> </w:t>
      </w:r>
      <w:r>
        <w:rPr>
          <w:iCs/>
          <w:i/>
        </w:rPr>
        <w:t xml:space="preserve">both</w:t>
      </w:r>
      <w:r>
        <w:t xml:space="preserve"> </w:t>
      </w:r>
      <w:r>
        <w:t xml:space="preserve">major national parties” makes pellucidly clear.</w:t>
      </w:r>
      <w:r>
        <w:t xml:space="preserve"> </w:t>
      </w:r>
      <w:r>
        <w:rPr>
          <w:iCs/>
          <w:i/>
        </w:rPr>
        <w:t xml:space="preserve">McConnell,</w:t>
      </w:r>
      <w:r>
        <w:t xml:space="preserve"> </w:t>
      </w:r>
      <w:r>
        <w:t xml:space="preserve">540 U. S., at 148. “[Co]rporate participation” in elections, any business executive will tell you, “is more transactional than ideological.” Supp. Brief for Committee for Economic Development as</w:t>
      </w:r>
      <w:r>
        <w:t xml:space="preserve"> </w:t>
      </w:r>
      <w:r>
        <w:rPr>
          <w:iCs/>
          <w:i/>
        </w:rPr>
        <w:t xml:space="preserve">Amicus Curiae</w:t>
      </w:r>
      <w:r>
        <w:t xml:space="preserve"> </w:t>
      </w:r>
      <w:r>
        <w:t xml:space="preserve">10.</w:t>
      </w:r>
    </w:p>
    <w:p>
      <w:pPr>
        <w:pStyle w:val="CaseBody"/>
      </w:pPr>
      <w:r>
        <w:t xml:space="preserve">In this transactional spirit, some corporations have affirmatively urged Congress to place limits on their electioneering communications. These corporations fear that officeholders will shake them down for supportive ads, that they will have to spend increasing sums on elections in an ever-escalating arms race with their competitors, and that public trust in business will be eroded. See</w:t>
      </w:r>
      <w:r>
        <w:t xml:space="preserve"> </w:t>
      </w:r>
      <w:r>
        <w:rPr>
          <w:iCs/>
          <w:i/>
        </w:rPr>
        <w:t xml:space="preserve">id.,</w:t>
      </w:r>
      <w:r>
        <w:t xml:space="preserve"> </w:t>
      </w:r>
      <w:r>
        <w:t xml:space="preserve">at 10-19. A system that effectively forces corporations to use their shareholders’ money both to maintain access to, and to avoid retribution from, elected officials may ultimately prove more harmful than beneficial to many corporations. It can impose a kind of implicit tax.</w:t>
      </w:r>
      <w:r>
        <w:rPr>
          <w:rStyle w:val="FootnoteReference"/>
        </w:rPr>
        <w:footnoteReference w:customMarkFollows="1" w:id="732"/>
        <w:t xml:space="preserve">73</w:t>
      </w:r>
    </w:p>
    <w:p>
      <w:pPr>
        <w:pStyle w:val="CaseBody"/>
      </w:pPr>
      <w:r>
        <w:t xml:space="preserve">In short, regulations such as § 203 and the statute upheld in</w:t>
      </w:r>
      <w:r>
        <w:t xml:space="preserve"> </w:t>
      </w:r>
      <w:r>
        <w:rPr>
          <w:iCs/>
          <w:i/>
        </w:rPr>
        <w:t xml:space="preserve">Austin</w:t>
      </w:r>
      <w:r>
        <w:t xml:space="preserve"> </w:t>
      </w:r>
      <w:r>
        <w:t xml:space="preserve">impose only a limited burden on First Amendment freedoms not only because they target a narrow subset of expenditures and leave untouched the broader “public dialogue,”</w:t>
      </w:r>
      <w:r>
        <w:t xml:space="preserve"> </w:t>
      </w:r>
      <w:r>
        <w:rPr>
          <w:iCs/>
          <w:i/>
        </w:rPr>
        <w:t xml:space="preserve">ante,</w:t>
      </w:r>
      <w:r>
        <w:t xml:space="preserve"> </w:t>
      </w:r>
      <w:r>
        <w:t xml:space="preserve">at 341, but also because they leave untouched the speech of natural persons. Recognizing the weakness of a speaker-based critique of</w:t>
      </w:r>
      <w:r>
        <w:t xml:space="preserve"> </w:t>
      </w:r>
      <w:r>
        <w:rPr>
          <w:iCs/>
          <w:i/>
        </w:rPr>
        <w:t xml:space="preserve">Austin,</w:t>
      </w:r>
      <w:r>
        <w:t xml:space="preserve"> </w:t>
      </w:r>
      <w:r>
        <w:t xml:space="preserve">the Court places primary emphasis not on the corporation’s right to electioneer, but rather on the listener’s interest in hearing what every possible speaker may have to say. The Court’s central argument is that laws such as § 203 have “ ‘deprived [the electorate] of information, knowledge and opinion vital to its function,’”</w:t>
      </w:r>
      <w:r>
        <w:t xml:space="preserve"> </w:t>
      </w:r>
      <w:r>
        <w:rPr>
          <w:iCs/>
          <w:i/>
        </w:rPr>
        <w:t xml:space="preserve">ante,</w:t>
      </w:r>
      <w:r>
        <w:t xml:space="preserve"> </w:t>
      </w:r>
      <w:r>
        <w:t xml:space="preserve">at 354 (quoting</w:t>
      </w:r>
      <w:r>
        <w:t xml:space="preserve"> </w:t>
      </w:r>
      <w:r>
        <w:rPr>
          <w:iCs/>
          <w:i/>
        </w:rPr>
        <w:t xml:space="preserve">CIO,</w:t>
      </w:r>
      <w:r>
        <w:t xml:space="preserve"> </w:t>
      </w:r>
      <w:r>
        <w:t xml:space="preserve">335 U. S., at 144 (Rutledge, J., concurring in result)), and this, in turn, “interferes with the ‘open marketplace’ of ideas protected by the First Amendment,”</w:t>
      </w:r>
      <w:r>
        <w:t xml:space="preserve"> </w:t>
      </w:r>
      <w:r>
        <w:rPr>
          <w:iCs/>
          <w:i/>
        </w:rPr>
        <w:t xml:space="preserve">ante,</w:t>
      </w:r>
      <w:r>
        <w:t xml:space="preserve"> </w:t>
      </w:r>
      <w:r>
        <w:t xml:space="preserve">at 354 (quoting</w:t>
      </w:r>
      <w:r>
        <w:t xml:space="preserve"> </w:t>
      </w:r>
      <w:r>
        <w:rPr>
          <w:iCs/>
          <w:i/>
        </w:rPr>
        <w:t xml:space="preserve">New York State Bd. of Elections</w:t>
      </w:r>
      <w:r>
        <w:t xml:space="preserve"> </w:t>
      </w:r>
      <w:r>
        <w:t xml:space="preserve">v.</w:t>
      </w:r>
      <w:r>
        <w:t xml:space="preserve"> </w:t>
      </w:r>
      <w:r>
        <w:rPr>
          <w:iCs/>
          <w:i/>
        </w:rPr>
        <w:t xml:space="preserve">Lopez Torres,</w:t>
      </w:r>
      <w:r>
        <w:t xml:space="preserve"> </w:t>
      </w:r>
      <w:r>
        <w:t xml:space="preserve">552 U. S. 196, 208 (2008)).</w:t>
      </w:r>
    </w:p>
    <w:p>
      <w:pPr>
        <w:pStyle w:val="CaseBody"/>
      </w:pPr>
      <w:r>
        <w:t xml:space="preserve">There are many flaws in this argument. If the overriding concern depends on the interests of the audience, surely the public’s perception of the value of corporate speech should be given important weight. That perception today is the same as it was a century ago when Theodore Roosevelt delivered the speeches to Congress that, in time, led to the limited prohibition on corporate campaign expenditures that is overruled today. See</w:t>
      </w:r>
      <w:r>
        <w:t xml:space="preserve"> </w:t>
      </w:r>
      <w:r>
        <w:rPr>
          <w:iCs/>
          <w:i/>
        </w:rPr>
        <w:t xml:space="preserve">WRTL,</w:t>
      </w:r>
      <w:r>
        <w:t xml:space="preserve"> </w:t>
      </w:r>
      <w:r>
        <w:t xml:space="preserve">551 U. S., at 509-510 (Souter, J., dissenting) (summarizing President Roosevelt’s remarks). The distinctive threat to democratic integrity posed by corporate domination of politics was recognized at “the inception of the republic” and “has been a persistent theme in American political life” ever since. Regan 302. It is only certain Members of this Court, not the listeners themselves, who have agitated for more corporate electioneering.</w:t>
      </w:r>
    </w:p>
    <w:p>
      <w:pPr>
        <w:pStyle w:val="CaseBody"/>
      </w:pPr>
      <w:r>
        <w:rPr>
          <w:iCs/>
          <w:i/>
        </w:rPr>
        <w:t xml:space="preserve">Austin</w:t>
      </w:r>
      <w:r>
        <w:t xml:space="preserve"> </w:t>
      </w:r>
      <w:r>
        <w:t xml:space="preserve">recognized that there are substantial reasons why a legislature might conclude that unregulated general treasury expenditures will give corporations “unfai[r] influence” in the electoral process, 494 U. S., at 660, and distort public debate in ways that undermine rather than advance the interests of listeners. The legal structure of corporations allows them to amass and deploy financial resources on a scale few natural persons can match. The structure of a business corporation, furthermore, draws a line between the corporation’s economic interests and the political preferences of the individuals associated with the corporation; the corporation must engage the electoral process with the aim “to enhance the profitability of the company, no matter how persuasive the arguments for a broader or conflicting set of priorities,” Brief for American Independent Business Alliance as</w:t>
      </w:r>
      <w:r>
        <w:t xml:space="preserve"> </w:t>
      </w:r>
      <w:r>
        <w:rPr>
          <w:iCs/>
          <w:i/>
        </w:rPr>
        <w:t xml:space="preserve">Amicus Curiae</w:t>
      </w:r>
      <w:r>
        <w:t xml:space="preserve"> </w:t>
      </w:r>
      <w:r>
        <w:t xml:space="preserve">11; see also ALI, Principles of Corporate Governance: Analysis and Recommendations § 2.01(a), p. 55 (1992) (“[A] corporation . . . should have as its objective the conduct of business activities with a view to enhancing corporate profit and shareholder gain”). In a state election such as the one at issue in</w:t>
      </w:r>
      <w:r>
        <w:t xml:space="preserve"> </w:t>
      </w:r>
      <w:r>
        <w:rPr>
          <w:iCs/>
          <w:i/>
        </w:rPr>
        <w:t xml:space="preserve">Austin,</w:t>
      </w:r>
      <w:r>
        <w:t xml:space="preserve"> </w:t>
      </w:r>
      <w:r>
        <w:t xml:space="preserve">the interests of nonresident corporations may be fundamentally adverse to the interests of local voters. Consequently, when corporations grab up the prime broadcasting slots on the eve of an election, they can flood the market with advocacy that bears “little or no correlation” to the ideas of natural persons or to any broader notion of the public good, 494 U. S., at 660. The opinions of real people may be marginalized. “The expenditure restrictions of [2 U. S. C.] § 441b are thus meant to ensure that competition among actors in the political arena is truly competition among ideas.”</w:t>
      </w:r>
      <w:r>
        <w:t xml:space="preserve"> </w:t>
      </w:r>
      <w:r>
        <w:rPr>
          <w:iCs/>
          <w:i/>
        </w:rPr>
        <w:t xml:space="preserve">MCFL,</w:t>
      </w:r>
      <w:r>
        <w:t xml:space="preserve"> </w:t>
      </w:r>
      <w:r>
        <w:t xml:space="preserve">479 U. S., at 259.</w:t>
      </w:r>
    </w:p>
    <w:p>
      <w:pPr>
        <w:pStyle w:val="CaseBody"/>
      </w:pPr>
      <w:r>
        <w:t xml:space="preserve">In addition to this immediate drowning out of noncorporate voices, there may be deleterious effects that follow soon thereafter. Corporate “domination” of electioneering,</w:t>
      </w:r>
      <w:r>
        <w:t xml:space="preserve"> </w:t>
      </w:r>
      <w:r>
        <w:rPr>
          <w:iCs/>
          <w:i/>
        </w:rPr>
        <w:t xml:space="preserve">Austin,</w:t>
      </w:r>
      <w:r>
        <w:t xml:space="preserve"> </w:t>
      </w:r>
      <w:r>
        <w:t xml:space="preserve">494 U. S., at 659, can generate the impression that corporations dominate our democracy. When citizens turn on their televisions and radios before an election and hear only corporate electioneering, they may lose faith in their capacity, as citizens, to influence public policy. A Government captured by corporate interests, they may come to believe, will be neither responsive to their needs nor willing to give their views a fair hearing. The predictable result is cynicism and disenchantment: an increased perception that large spenders “ ‘call the tune’ ” and a reduced “ ‘willingness of voters to take part in democratic governance.’”</w:t>
      </w:r>
      <w:r>
        <w:t xml:space="preserve"> </w:t>
      </w:r>
      <w:r>
        <w:rPr>
          <w:iCs/>
          <w:i/>
        </w:rPr>
        <w:t xml:space="preserve">McConnell,</w:t>
      </w:r>
      <w:r>
        <w:t xml:space="preserve"> </w:t>
      </w:r>
      <w:r>
        <w:t xml:space="preserve">540 U. S., at 144 (quoting</w:t>
      </w:r>
      <w:r>
        <w:t xml:space="preserve"> </w:t>
      </w:r>
      <w:r>
        <w:rPr>
          <w:iCs/>
          <w:i/>
        </w:rPr>
        <w:t xml:space="preserve">Shrink Missouri,</w:t>
      </w:r>
      <w:r>
        <w:t xml:space="preserve"> </w:t>
      </w:r>
      <w:r>
        <w:t xml:space="preserve">528 U. S., at 390). To the extent that corporations are allowed to exert undue influence in electoral races, the speech of the eventual winners of those races may also be chilled. Politicians who fear that a certain corporation can make or break their reelection chances may be cowed into silence about that corporation. On a variety of levels, unregulated corporate electioneering might diminish the ability of citizens to “hold officials accountable to the people,”</w:t>
      </w:r>
      <w:r>
        <w:t xml:space="preserve"> </w:t>
      </w:r>
      <w:r>
        <w:rPr>
          <w:iCs/>
          <w:i/>
        </w:rPr>
        <w:t xml:space="preserve">ante,</w:t>
      </w:r>
      <w:r>
        <w:t xml:space="preserve"> </w:t>
      </w:r>
      <w:r>
        <w:t xml:space="preserve">at 339, and disserve the goal of a public debate that is “uninhibited, robust, and wide-open,”</w:t>
      </w:r>
      <w:r>
        <w:t xml:space="preserve"> </w:t>
      </w:r>
      <w:r>
        <w:rPr>
          <w:iCs/>
          <w:i/>
        </w:rPr>
        <w:t xml:space="preserve">New York Times Co.</w:t>
      </w:r>
      <w:r>
        <w:t xml:space="preserve"> </w:t>
      </w:r>
      <w:r>
        <w:t xml:space="preserve">v.</w:t>
      </w:r>
      <w:r>
        <w:t xml:space="preserve"> </w:t>
      </w:r>
      <w:r>
        <w:rPr>
          <w:iCs/>
          <w:i/>
        </w:rPr>
        <w:t xml:space="preserve">Sullivan,</w:t>
      </w:r>
      <w:r>
        <w:t xml:space="preserve"> </w:t>
      </w:r>
      <w:r>
        <w:t xml:space="preserve">376 U. S. 254, 270 (1964). At the least, I stress again, a legislature is entitled to credit these concerns and to take tailored measures in response.</w:t>
      </w:r>
    </w:p>
    <w:p>
      <w:pPr>
        <w:pStyle w:val="CaseBody"/>
      </w:pPr>
      <w:r>
        <w:t xml:space="preserve">The majority’s unwillingness to distinguish between corporations and humans similarly blinds it to the possibility that corporations’ “war chests” and their special “advantages” in the legal realm,</w:t>
      </w:r>
      <w:r>
        <w:t xml:space="preserve"> </w:t>
      </w:r>
      <w:r>
        <w:rPr>
          <w:iCs/>
          <w:i/>
        </w:rPr>
        <w:t xml:space="preserve">Austin,</w:t>
      </w:r>
      <w:r>
        <w:t xml:space="preserve"> </w:t>
      </w:r>
      <w:r>
        <w:t xml:space="preserve">494 U. S., at 659 (internal quotation marks omitted), may translate into special advantages in the market for legislation. When large numbers of citizens have a common stake in a measure that is under consideration, it may be very difficult for them to coordinate resources on behalf of their position. The corporate form, by contrast, “provides a simple way to channel rents to only those who have paid their dues, as it were. If you do not own stock, you do not benefit from the larger dividends or appreciation in the stock price caused by the passage of private interest legislation.” Sitkoff, Corporate Political Speech, Political Extortion, and the Competition for Corporate Charters, 69 U. Chi. L. Rev. 1103, 1113 (2002). Corporations, that is, are uniquely equipped to seek laws that favor their owners, not simply because they have a lot of money but because of their legal and organizational structure. Remove all restrictions on their electioneering, and the door may be opened to a type of rent seeking that is “far more destructive” than what noncorporations are capable of.</w:t>
      </w:r>
      <w:r>
        <w:t xml:space="preserve"> </w:t>
      </w:r>
      <w:r>
        <w:rPr>
          <w:iCs/>
          <w:i/>
        </w:rPr>
        <w:t xml:space="preserve">Ibid.</w:t>
      </w:r>
      <w:r>
        <w:t xml:space="preserve"> </w:t>
      </w:r>
      <w:r>
        <w:t xml:space="preserve">It is for reasons such as these that our campaign finance jurisprudence has long appreciated that “the ‘differing structures and purposes’ of different entities ‘may require different forms of regulation in order to protect the integrity of the electoral process.’ ”</w:t>
      </w:r>
      <w:r>
        <w:t xml:space="preserve"> </w:t>
      </w:r>
      <w:r>
        <w:rPr>
          <w:iCs/>
          <w:i/>
        </w:rPr>
        <w:t xml:space="preserve">NRWC,</w:t>
      </w:r>
      <w:r>
        <w:t xml:space="preserve"> </w:t>
      </w:r>
      <w:r>
        <w:t xml:space="preserve">459 U. S., at 210 (quoting</w:t>
      </w:r>
      <w:r>
        <w:t xml:space="preserve"> </w:t>
      </w:r>
      <w:r>
        <w:rPr>
          <w:iCs/>
          <w:i/>
        </w:rPr>
        <w:t xml:space="preserve">California Medical Assn.,</w:t>
      </w:r>
      <w:r>
        <w:t xml:space="preserve"> </w:t>
      </w:r>
      <w:r>
        <w:t xml:space="preserve">453 U. S., at 201).</w:t>
      </w:r>
    </w:p>
    <w:p>
      <w:pPr>
        <w:pStyle w:val="CaseBody"/>
      </w:pPr>
      <w:r>
        <w:t xml:space="preserve">The Court’s facile depiction of corporate electioneering assumes away all of these complexities. Our colleagues ridicule the idea of regulating expenditures based on “nothing more” than a fear that corporations have a special “ability to persuade,”</w:t>
      </w:r>
      <w:r>
        <w:t xml:space="preserve"> </w:t>
      </w:r>
      <w:r>
        <w:rPr>
          <w:iCs/>
          <w:i/>
        </w:rPr>
        <w:t xml:space="preserve">ante,</w:t>
      </w:r>
      <w:r>
        <w:t xml:space="preserve"> </w:t>
      </w:r>
      <w:r>
        <w:t xml:space="preserve">at 382 (opinion of Roberts, C. J.), as if corporations were our society’s ablest debaters and viewpoint-neutral laws such as §203 were created to suppress their best arguments. In their haste to knock down yet another straw man, our colleagues simply ignore the fundamental concerns of the</w:t>
      </w:r>
      <w:r>
        <w:t xml:space="preserve"> </w:t>
      </w:r>
      <w:r>
        <w:rPr>
          <w:iCs/>
          <w:i/>
        </w:rPr>
        <w:t xml:space="preserve">Austin</w:t>
      </w:r>
      <w:r>
        <w:t xml:space="preserve"> </w:t>
      </w:r>
      <w:r>
        <w:t xml:space="preserve">Court and the legislatures that have passed laws like § 203: to safeguard the integrity, competitiveness, and democratic responsiveness of the electoral process. All of the majority’s theoretical arguments turn on a proposition with undeniable surface appeal but little grounding in evidence or experience, “that there is no such thing as too much speech,”</w:t>
      </w:r>
      <w:r>
        <w:t xml:space="preserve"> </w:t>
      </w:r>
      <w:r>
        <w:rPr>
          <w:iCs/>
          <w:i/>
        </w:rPr>
        <w:t xml:space="preserve">Austin,</w:t>
      </w:r>
      <w:r>
        <w:t xml:space="preserve"> </w:t>
      </w:r>
      <w:r>
        <w:t xml:space="preserve">494 U. S., at 695 (Scalia, J., dissenting).</w:t>
      </w:r>
      <w:r>
        <w:rPr>
          <w:rStyle w:val="FootnoteReference"/>
        </w:rPr>
        <w:footnoteReference w:customMarkFollows="1" w:id="737"/>
        <w:t xml:space="preserve">74</w:t>
      </w:r>
      <w:r>
        <w:t xml:space="preserve"> </w:t>
      </w:r>
      <w:r>
        <w:t xml:space="preserve">If individuals in our society had infinite free time to listen to and contemplate every last bit of speech uttered by anyone, anywhere; and if broadcast advertisements had no special ability to influence elections apart from the merits of their arguments (to the extent they make any); and if legislators always operated with nothing less than perfect virtue; then I suppose the majority’s premise would be sound. In the real world, we have seen, corporate domination of the airwaves prior to an election may decrease the average listener’s exposure to relevant viewpoints, and it may diminish citizens’ willingness and capacity to participate in the democratic process.</w:t>
      </w:r>
    </w:p>
    <w:p>
      <w:pPr>
        <w:pStyle w:val="CaseBody"/>
      </w:pPr>
      <w:r>
        <w:t xml:space="preserve">None of this is to suggest that corporations can or should be denied an opportunity to participate in election campaigns or in any other public forum (much less that a work of art such as</w:t>
      </w:r>
      <w:r>
        <w:t xml:space="preserve"> </w:t>
      </w:r>
      <w:r>
        <w:rPr>
          <w:iCs/>
          <w:i/>
        </w:rPr>
        <w:t xml:space="preserve">Mr. Smith Goes to Washington</w:t>
      </w:r>
      <w:r>
        <w:t xml:space="preserve"> </w:t>
      </w:r>
      <w:r>
        <w:t xml:space="preserve">may be banned), or to deny that some corporate speech may contribute significantly to public debate. What it shows, however, is that</w:t>
      </w:r>
      <w:r>
        <w:t xml:space="preserve"> </w:t>
      </w:r>
      <w:r>
        <w:rPr>
          <w:iCs/>
          <w:i/>
        </w:rPr>
        <w:t xml:space="preserve">Austin’s</w:t>
      </w:r>
      <w:r>
        <w:t xml:space="preserve"> </w:t>
      </w:r>
      <w:r>
        <w:t xml:space="preserve">“concern about corporate domination of the political process,”</w:t>
      </w:r>
      <w:r>
        <w:t xml:space="preserve"> </w:t>
      </w:r>
      <w:r>
        <w:rPr>
          <w:iCs/>
          <w:i/>
        </w:rPr>
        <w:t xml:space="preserve">id.,</w:t>
      </w:r>
      <w:r>
        <w:t xml:space="preserve"> </w:t>
      </w:r>
      <w:r>
        <w:t xml:space="preserve">at 659, reflects more than a concern to protect governmental interests outside of the First Amendment. It also reflects a concern to</w:t>
      </w:r>
      <w:r>
        <w:t xml:space="preserve"> </w:t>
      </w:r>
      <w:r>
        <w:rPr>
          <w:iCs/>
          <w:i/>
        </w:rPr>
        <w:t xml:space="preserve">facilitate</w:t>
      </w:r>
      <w:r>
        <w:t xml:space="preserve"> </w:t>
      </w:r>
      <w:r>
        <w:t xml:space="preserve">First Amendment values by preserving some breathing room around the electoral “marketplace” of ideas,</w:t>
      </w:r>
      <w:r>
        <w:t xml:space="preserve"> </w:t>
      </w:r>
      <w:r>
        <w:rPr>
          <w:iCs/>
          <w:i/>
        </w:rPr>
        <w:t xml:space="preserve">ante,</w:t>
      </w:r>
      <w:r>
        <w:t xml:space="preserve"> </w:t>
      </w:r>
      <w:r>
        <w:t xml:space="preserve">at 335, 350, 354, 367, 369, the marketplace in which the actual people of this Nation determine how they will govern themselves. The majority seems oblivious to the simple truth that laws such as §203 do not merely pit the anticorruption interest against the First Amendment, but also pit competing First Amendment values against each other. There are, to be sure, serious concerns with any effort to balance the First Amendment rights of speakers against the First Amendment rights of listeners. But when the speakers in question are not real people and when the appeal to “First Amendment principles” depends almost entirely on the listeners’ perspective,</w:t>
      </w:r>
      <w:r>
        <w:t xml:space="preserve"> </w:t>
      </w:r>
      <w:r>
        <w:rPr>
          <w:iCs/>
          <w:i/>
        </w:rPr>
        <w:t xml:space="preserve">ante,</w:t>
      </w:r>
      <w:r>
        <w:t xml:space="preserve"> </w:t>
      </w:r>
      <w:r>
        <w:t xml:space="preserve">at 319, 363, it becomes necessary to consider how listeners will actually be affected.</w:t>
      </w:r>
    </w:p>
    <w:p>
      <w:pPr>
        <w:pStyle w:val="CaseBody"/>
      </w:pPr>
      <w:r>
        <w:t xml:space="preserve">In critiquing</w:t>
      </w:r>
      <w:r>
        <w:t xml:space="preserve"> </w:t>
      </w:r>
      <w:r>
        <w:rPr>
          <w:iCs/>
          <w:i/>
        </w:rPr>
        <w:t xml:space="preserve">Austin’s</w:t>
      </w:r>
      <w:r>
        <w:t xml:space="preserve"> </w:t>
      </w:r>
      <w:r>
        <w:t xml:space="preserve">antidistortion rationale and campaign finance regulation more generally, our colleagues place tremendous weight on the example of media corporations. See</w:t>
      </w:r>
      <w:r>
        <w:t xml:space="preserve"> </w:t>
      </w:r>
      <w:r>
        <w:rPr>
          <w:iCs/>
          <w:i/>
        </w:rPr>
        <w:t xml:space="preserve">ante,</w:t>
      </w:r>
      <w:r>
        <w:t xml:space="preserve"> </w:t>
      </w:r>
      <w:r>
        <w:t xml:space="preserve">at 351-354, 361-362;</w:t>
      </w:r>
      <w:r>
        <w:t xml:space="preserve"> </w:t>
      </w:r>
      <w:r>
        <w:rPr>
          <w:iCs/>
          <w:i/>
        </w:rPr>
        <w:t xml:space="preserve">ante,</w:t>
      </w:r>
      <w:r>
        <w:t xml:space="preserve"> </w:t>
      </w:r>
      <w:r>
        <w:t xml:space="preserve">at 372-373, 382 (opinion of Roberts, C. J.);</w:t>
      </w:r>
      <w:r>
        <w:t xml:space="preserve"> </w:t>
      </w:r>
      <w:r>
        <w:rPr>
          <w:iCs/>
          <w:i/>
        </w:rPr>
        <w:t xml:space="preserve">ante,</w:t>
      </w:r>
      <w:r>
        <w:t xml:space="preserve"> </w:t>
      </w:r>
      <w:r>
        <w:t xml:space="preserve">at 390 (opinion of Scalia, J.). Yet it is not at all clear that</w:t>
      </w:r>
      <w:r>
        <w:t xml:space="preserve"> </w:t>
      </w:r>
      <w:r>
        <w:rPr>
          <w:iCs/>
          <w:i/>
        </w:rPr>
        <w:t xml:space="preserve">Austin</w:t>
      </w:r>
      <w:r>
        <w:t xml:space="preserve"> </w:t>
      </w:r>
      <w:r>
        <w:t xml:space="preserve">would permit § 203 to be applied to them. The press plays a unique role not only in the text, history, and structure of the First Amendment but also in facilitating public discourse; as the</w:t>
      </w:r>
      <w:r>
        <w:t xml:space="preserve"> </w:t>
      </w:r>
      <w:r>
        <w:rPr>
          <w:iCs/>
          <w:i/>
        </w:rPr>
        <w:t xml:space="preserve">Austin</w:t>
      </w:r>
      <w:r>
        <w:t xml:space="preserve"> </w:t>
      </w:r>
      <w:r>
        <w:t xml:space="preserve">Court explained, “media corporations differ significantly from other corporations in that their resources are devoted to the collection of information and its dissemination to the public,” 494 U. S., at 667. Our colleagues have raised some interesting and difficult questions about Congress’ authority to regulate electioneering by the press, and about how to define what constitutes the press.</w:t>
      </w:r>
      <w:r>
        <w:t xml:space="preserve"> </w:t>
      </w:r>
      <w:r>
        <w:rPr>
          <w:iCs/>
          <w:i/>
        </w:rPr>
        <w:t xml:space="preserve">But that is not the case before us.</w:t>
      </w:r>
      <w:r>
        <w:t xml:space="preserve"> </w:t>
      </w:r>
      <w:r>
        <w:t xml:space="preserve">Section 203 does not apply to media corporations, and even if it did, Citizens United is not a media corporation. There would be absolutely no reason to consider the issue of media corporations if the majority did not, first, transform Citizens United's as-applied challenge into a facial challenge and, second, invent the theory that legislatures must eschew all “identity”-based distinctions and treat a local nonprofit news outlet exactly the same as General Motors.</w:t>
      </w:r>
      <w:r>
        <w:rPr>
          <w:rStyle w:val="FootnoteReference"/>
        </w:rPr>
        <w:footnoteReference w:customMarkFollows="1" w:id="742"/>
        <w:t xml:space="preserve">75</w:t>
      </w:r>
      <w:r>
        <w:t xml:space="preserve"> </w:t>
      </w:r>
      <w:r>
        <w:t xml:space="preserve">This calls to mind George Berkeley’s description of philosophers: “[W]e have first raised a dust, and then complain we cannot see.” Principles of Human Knowledge/Three Dialogues 38, ¶ 3 (R. Woolhouse ed. 1988).</w:t>
      </w:r>
    </w:p>
    <w:p>
      <w:pPr>
        <w:pStyle w:val="CaseBody"/>
      </w:pPr>
      <w:r>
        <w:t xml:space="preserve">It would be perfectly understandable if our colleagues feared that a campaign finance regulation such as § 203 may be counterproductive or self-interested, and therefore attended carefully to the choices the Legislature has made. But the majority does not bother to consider such practical matters, or even to consult a record; it simply stipulates that “enlightened self-government” can arise only in the absence of regulation.</w:t>
      </w:r>
      <w:r>
        <w:t xml:space="preserve"> </w:t>
      </w:r>
      <w:r>
        <w:rPr>
          <w:iCs/>
          <w:i/>
        </w:rPr>
        <w:t xml:space="preserve">Ante,</w:t>
      </w:r>
      <w:r>
        <w:t xml:space="preserve"> </w:t>
      </w:r>
      <w:r>
        <w:t xml:space="preserve">at 339. In light of the distinctive features of corporations identified in</w:t>
      </w:r>
      <w:r>
        <w:t xml:space="preserve"> </w:t>
      </w:r>
      <w:r>
        <w:rPr>
          <w:iCs/>
          <w:i/>
        </w:rPr>
        <w:t xml:space="preserve">Austin,</w:t>
      </w:r>
      <w:r>
        <w:t xml:space="preserve"> </w:t>
      </w:r>
      <w:r>
        <w:t xml:space="preserve">there is no valid basis for this assumption. The marketplace of ideas is not actually a place where items — or laws — are meant to be bought and sold, and when we move from the realm of economics to the realm of corporate electioneering, there may be no “reason to think the market ordering is intrinsically good at all,” Strauss 1386.</w:t>
      </w:r>
    </w:p>
    <w:p>
      <w:pPr>
        <w:pStyle w:val="CaseBody"/>
      </w:pPr>
      <w:r>
        <w:t xml:space="preserve">The Court’s blinkered and aphoristic approach to the First Amendment may well promote corporate power at the cost of the individual and collective self-expression the Amendment was meant to serve. It will undoubtedly cripple the ability of ordinary citizens, Congress, and the States to adopt even limited measures to protect against corporate domination of the electoral process. Americans may be forgiven if they do not feel the Court has advanced the cause of self-government today.</w:t>
      </w:r>
    </w:p>
    <w:p>
      <w:pPr>
        <w:pStyle w:val="CaseBody"/>
      </w:pPr>
      <w:r>
        <w:t xml:space="preserve">2.</w:t>
      </w:r>
      <w:r>
        <w:t xml:space="preserve"> </w:t>
      </w:r>
      <w:r>
        <w:rPr>
          <w:iCs/>
          <w:i/>
        </w:rPr>
        <w:t xml:space="preserve">Shareholder Protection</w:t>
      </w:r>
    </w:p>
    <w:p>
      <w:pPr>
        <w:pStyle w:val="CaseBody"/>
      </w:pPr>
      <w:r>
        <w:t xml:space="preserve">There is yet another way in which laws such as § 203 can serve First Amendment values. Interwoven with</w:t>
      </w:r>
      <w:r>
        <w:t xml:space="preserve"> </w:t>
      </w:r>
      <w:r>
        <w:rPr>
          <w:iCs/>
          <w:i/>
        </w:rPr>
        <w:t xml:space="preserve">Austin’s</w:t>
      </w:r>
      <w:r>
        <w:t xml:space="preserve"> </w:t>
      </w:r>
      <w:r>
        <w:t xml:space="preserve">concern to protect the integrity of the electoral process is a concern to protect the rights of shareholders from a kind of coerced speech: electioneering expenditures that do not “reflee[t] [their] support.” 494 U. S., at 660-661. When corporations use general treasury funds to praise or attack a particular candidate for office, it is the shareholders, as the residual claimants, who are effectively footing the bill. Those shareholders who disagree with the corporation’s electoral message may find their financial investments being used to undermine their political convictions.</w:t>
      </w:r>
    </w:p>
    <w:p>
      <w:pPr>
        <w:pStyle w:val="CaseBody"/>
      </w:pPr>
      <w:r>
        <w:t xml:space="preserve">The PAC mechanism, by contrast, helps ensure that those who pay for an electioneering communication actually support its content and that managers do not use general treasuries to advance personal agendas.</w:t>
      </w:r>
      <w:r>
        <w:t xml:space="preserve"> </w:t>
      </w:r>
      <w:r>
        <w:rPr>
          <w:iCs/>
          <w:i/>
        </w:rPr>
        <w:t xml:space="preserve">Ibid.</w:t>
      </w:r>
      <w:r>
        <w:t xml:space="preserve"> </w:t>
      </w:r>
      <w:r>
        <w:t xml:space="preserve">It “ ‘allows corporate political participation without the temptation to use corporate funds for political influence, quite possibly at odds with the sentiments of some shareholders or members.’”</w:t>
      </w:r>
      <w:r>
        <w:t xml:space="preserve"> </w:t>
      </w:r>
      <w:r>
        <w:rPr>
          <w:iCs/>
          <w:i/>
        </w:rPr>
        <w:t xml:space="preserve">McConnell,</w:t>
      </w:r>
      <w:r>
        <w:t xml:space="preserve"> </w:t>
      </w:r>
      <w:r>
        <w:t xml:space="preserve">540 U. S., at 204 (quoting</w:t>
      </w:r>
      <w:r>
        <w:t xml:space="preserve"> </w:t>
      </w:r>
      <w:r>
        <w:rPr>
          <w:iCs/>
          <w:i/>
        </w:rPr>
        <w:t xml:space="preserve">Beaumont,</w:t>
      </w:r>
      <w:r>
        <w:t xml:space="preserve"> </w:t>
      </w:r>
      <w:r>
        <w:t xml:space="preserve">539 U. S., at 163). A rule that privileges the use of PACs thus does more than facilitate the political speech of like-minded shareholders; it also curbs the rent seeking behavior of executives and respects the views of dissenters.</w:t>
      </w:r>
      <w:r>
        <w:t xml:space="preserve"> </w:t>
      </w:r>
      <w:r>
        <w:rPr>
          <w:iCs/>
          <w:i/>
        </w:rPr>
        <w:t xml:space="preserve">Austin’s</w:t>
      </w:r>
      <w:r>
        <w:t xml:space="preserve"> </w:t>
      </w:r>
      <w:r>
        <w:t xml:space="preserve">acceptance of restrictions on general treasury spending “simply allows people who have invested in the business corporation for purely economic reasons” — the vast majority of investors, one assumes — “to avoid being taken advantage of, without sacrificing their economic objectives.” Winkler, Beyond</w:t>
      </w:r>
      <w:r>
        <w:t xml:space="preserve"> </w:t>
      </w:r>
      <w:r>
        <w:rPr>
          <w:iCs/>
          <w:i/>
        </w:rPr>
        <w:t xml:space="preserve">Bellotti,</w:t>
      </w:r>
      <w:r>
        <w:t xml:space="preserve"> </w:t>
      </w:r>
      <w:r>
        <w:t xml:space="preserve">32 Loyola (LA) L. Rev. 133, 201 (1998).</w:t>
      </w:r>
    </w:p>
    <w:p>
      <w:pPr>
        <w:pStyle w:val="CaseBody"/>
      </w:pPr>
      <w:r>
        <w:t xml:space="preserve">The concern to protect dissenting shareholders and union members has a long history in campaign finance reform. It provided a central motivation for the Tillman Act in 1907 and subsequent legislation, see</w:t>
      </w:r>
      <w:r>
        <w:t xml:space="preserve"> </w:t>
      </w:r>
      <w:r>
        <w:rPr>
          <w:iCs/>
          <w:i/>
        </w:rPr>
        <w:t xml:space="preserve">Pipefitters</w:t>
      </w:r>
      <w:r>
        <w:t xml:space="preserve"> </w:t>
      </w:r>
      <w:r>
        <w:t xml:space="preserve">v.</w:t>
      </w:r>
      <w:r>
        <w:t xml:space="preserve"> </w:t>
      </w:r>
      <w:r>
        <w:rPr>
          <w:iCs/>
          <w:i/>
        </w:rPr>
        <w:t xml:space="preserve">United States,</w:t>
      </w:r>
      <w:r>
        <w:t xml:space="preserve"> </w:t>
      </w:r>
      <w:r>
        <w:t xml:space="preserve">407 U. S. 385, 414-415 (1972); Winkler, 92 Geo. L. J., at 887-900, and it has been endorsed in a long line of our cases, see,</w:t>
      </w:r>
      <w:r>
        <w:t xml:space="preserve"> </w:t>
      </w:r>
      <w:r>
        <w:rPr>
          <w:iCs/>
          <w:i/>
        </w:rPr>
        <w:t xml:space="preserve">e. g., McConnell,</w:t>
      </w:r>
      <w:r>
        <w:t xml:space="preserve"> </w:t>
      </w:r>
      <w:r>
        <w:t xml:space="preserve">540 U. S., at 204-205;</w:t>
      </w:r>
      <w:r>
        <w:t xml:space="preserve"> </w:t>
      </w:r>
      <w:r>
        <w:rPr>
          <w:iCs/>
          <w:i/>
        </w:rPr>
        <w:t xml:space="preserve">Beaumont,</w:t>
      </w:r>
      <w:r>
        <w:t xml:space="preserve"> </w:t>
      </w:r>
      <w:r>
        <w:t xml:space="preserve">539 U. S., at 152-154;</w:t>
      </w:r>
      <w:r>
        <w:t xml:space="preserve"> </w:t>
      </w:r>
      <w:r>
        <w:rPr>
          <w:iCs/>
          <w:i/>
        </w:rPr>
        <w:t xml:space="preserve">MCFL,</w:t>
      </w:r>
      <w:r>
        <w:t xml:space="preserve"> </w:t>
      </w:r>
      <w:r>
        <w:t xml:space="preserve">479 U. S., at 258;</w:t>
      </w:r>
      <w:r>
        <w:t xml:space="preserve"> </w:t>
      </w:r>
      <w:r>
        <w:rPr>
          <w:iCs/>
          <w:i/>
        </w:rPr>
        <w:t xml:space="preserve">NRWC,</w:t>
      </w:r>
      <w:r>
        <w:t xml:space="preserve"> </w:t>
      </w:r>
      <w:r>
        <w:t xml:space="preserve">459 U. S., at 207-208;</w:t>
      </w:r>
      <w:r>
        <w:t xml:space="preserve"> </w:t>
      </w:r>
      <w:r>
        <w:rPr>
          <w:iCs/>
          <w:i/>
        </w:rPr>
        <w:t xml:space="preserve">Pipefitters,</w:t>
      </w:r>
      <w:r>
        <w:t xml:space="preserve"> </w:t>
      </w:r>
      <w:r>
        <w:t xml:space="preserve">407 U. S., at 414-416; see also n. 60,</w:t>
      </w:r>
      <w:r>
        <w:t xml:space="preserve"> </w:t>
      </w:r>
      <w:r>
        <w:rPr>
          <w:iCs/>
          <w:i/>
        </w:rPr>
        <w:t xml:space="preserve">supra.</w:t>
      </w:r>
      <w:r>
        <w:t xml:space="preserve"> </w:t>
      </w:r>
      <w:r>
        <w:t xml:space="preserve">Indeed, we have unanimously recognized the governmental interest in “proteet[ing] the individuals who have paid money into a corporation or union for purposes other than the support of candidates from having that money used to support political candidates to whom they may be opposed.”</w:t>
      </w:r>
      <w:r>
        <w:t xml:space="preserve"> </w:t>
      </w:r>
      <w:r>
        <w:rPr>
          <w:iCs/>
          <w:i/>
        </w:rPr>
        <w:t xml:space="preserve">NRWC,</w:t>
      </w:r>
      <w:r>
        <w:t xml:space="preserve"> </w:t>
      </w:r>
      <w:r>
        <w:t xml:space="preserve">459 U. S., at 207-208.</w:t>
      </w:r>
    </w:p>
    <w:p>
      <w:pPr>
        <w:pStyle w:val="CaseBody"/>
      </w:pPr>
      <w:r>
        <w:t xml:space="preserve">The Court dismisses this interest on the ground that abuses of shareholder money can be corrected “through the procedures of corporate democracy,”</w:t>
      </w:r>
      <w:r>
        <w:t xml:space="preserve"> </w:t>
      </w:r>
      <w:r>
        <w:rPr>
          <w:iCs/>
          <w:i/>
        </w:rPr>
        <w:t xml:space="preserve">ante,</w:t>
      </w:r>
      <w:r>
        <w:t xml:space="preserve"> </w:t>
      </w:r>
      <w:r>
        <w:t xml:space="preserve">at 362 (internal quotation marks omitted), and, it seems, through Internet-based disclosures,</w:t>
      </w:r>
      <w:r>
        <w:t xml:space="preserve"> </w:t>
      </w:r>
      <w:r>
        <w:rPr>
          <w:iCs/>
          <w:i/>
        </w:rPr>
        <w:t xml:space="preserve">ante,</w:t>
      </w:r>
      <w:r>
        <w:t xml:space="preserve"> </w:t>
      </w:r>
      <w:r>
        <w:t xml:space="preserve">at 370-371.</w:t>
      </w:r>
      <w:r>
        <w:rPr>
          <w:rStyle w:val="FootnoteReference"/>
        </w:rPr>
        <w:footnoteReference w:customMarkFollows="1" w:id="747"/>
        <w:t xml:space="preserve">76</w:t>
      </w:r>
      <w:r>
        <w:t xml:space="preserve"> </w:t>
      </w:r>
      <w:r>
        <w:t xml:space="preserve">I fail to understand how this addresses the concerns of dissenting union members, who will also be affected by today’s ruling, and I fail to understand why the Court is so confident in these mechanisms. By “corporate democracy,” presumably the Court means the rights of shareholders to vote and to bring derivative suits for breach of fiduciary duty. In practice, however, many corporate lawyers will tell you that “these rights are so limited as to be almost nonexistent,” given the internal authority wielded by boards and managers and the expansive protections afforded by the business judgment rule. Blair</w:t>
      </w:r>
      <w:r>
        <w:t xml:space="preserve"> </w:t>
      </w:r>
      <w:r>
        <w:rPr>
          <w:iCs/>
          <w:i/>
        </w:rPr>
        <w:t xml:space="preserve">&amp;</w:t>
      </w:r>
      <w:r>
        <w:t xml:space="preserve"> </w:t>
      </w:r>
      <w:r>
        <w:t xml:space="preserve">Stout 320; see also</w:t>
      </w:r>
      <w:r>
        <w:t xml:space="preserve"> </w:t>
      </w:r>
      <w:r>
        <w:rPr>
          <w:iCs/>
          <w:i/>
        </w:rPr>
        <w:t xml:space="preserve">id.,</w:t>
      </w:r>
      <w:r>
        <w:t xml:space="preserve"> </w:t>
      </w:r>
      <w:r>
        <w:t xml:space="preserve">at 298-315; Winkler, 32 Loyola (LA) L. Rev., at 165-166, 199-200. Modern technology may help make it easier to track corporate activity, including electoral advocacy, but it is utopian to believe that it solves the problem. Most American households that own stock do so through intermediaries such as mutual funds and pension plans, see Evans, A Requiem for the Retail Investor? 95 Va. L. Rev. 1105 (2009), which makes it more difficult both to monitor and to alter particular holdings. Studies show that a majority of individual investors make no trades at all during a given year.</w:t>
      </w:r>
      <w:r>
        <w:t xml:space="preserve"> </w:t>
      </w:r>
      <w:r>
        <w:rPr>
          <w:iCs/>
          <w:i/>
        </w:rPr>
        <w:t xml:space="preserve">Id.,</w:t>
      </w:r>
      <w:r>
        <w:t xml:space="preserve"> </w:t>
      </w:r>
      <w:r>
        <w:t xml:space="preserve">at 1117. Moreover, if the corporation in question operates a PAC, an investor who sees the company’s ads may not know whether they are being funded through the PAC or through the general treasury.</w:t>
      </w:r>
    </w:p>
    <w:p>
      <w:pPr>
        <w:pStyle w:val="CaseBody"/>
      </w:pPr>
      <w:r>
        <w:t xml:space="preserve">If and when shareholders learn that a corporation has been spending general treasury money on objectionable electioneering, they can divest. Even assuming that they reliably learn as much, however, this solution is only partial. The injury to the shareholders’ expressive rights has already occurred; they might have preferred to keep that corporation’s stock in their portfolio for any number of economic reasons; and they may incur a capital gains tax or other penalty from selling their shares, changing their pension plan, or the like. The shareholder protection rationale has been criticized as underinclusive, in that corporations also spend money on lobbying and charitable contributions in ways that any particular shareholder might disapprove. But those expenditures do not implicate the selection of public officials, an area in which “the interests of unwilling... corporate shareholders [in not being] forced to subsidize that speech” “are at their zenith.”</w:t>
      </w:r>
      <w:r>
        <w:t xml:space="preserve"> </w:t>
      </w:r>
      <w:r>
        <w:rPr>
          <w:iCs/>
          <w:i/>
        </w:rPr>
        <w:t xml:space="preserve">Austin,</w:t>
      </w:r>
      <w:r>
        <w:t xml:space="preserve"> </w:t>
      </w:r>
      <w:r>
        <w:t xml:space="preserve">494 U. S., at 677 (Brennan, J., concurring). And in any event, the question is whether shareholder protection provides a basis for regulating expenditures in the weeks before an election, not whether additional types of corporate communications might similarly be conditioned on voluntariness.</w:t>
      </w:r>
    </w:p>
    <w:p>
      <w:pPr>
        <w:pStyle w:val="CaseBody"/>
      </w:pPr>
      <w:r>
        <w:t xml:space="preserve">Recognizing the limits of the shareholder- protection rationale, the</w:t>
      </w:r>
      <w:r>
        <w:t xml:space="preserve"> </w:t>
      </w:r>
      <w:r>
        <w:rPr>
          <w:iCs/>
          <w:i/>
        </w:rPr>
        <w:t xml:space="preserve">Austin</w:t>
      </w:r>
      <w:r>
        <w:t xml:space="preserve"> </w:t>
      </w:r>
      <w:r>
        <w:t xml:space="preserve">Court did not hold it out as an adequate and independent ground for sustaining the statute in question. Rather, the Court applied it to reinforce the anti-distortion rationale, in two main ways. First, the problem of dissenting shareholders shows that even if electioneering expenditures can advance the political views of some members of a corporation, they will often compromise the views of others. See,</w:t>
      </w:r>
      <w:r>
        <w:t xml:space="preserve"> </w:t>
      </w:r>
      <w:r>
        <w:rPr>
          <w:iCs/>
          <w:i/>
        </w:rPr>
        <w:t xml:space="preserve">e. g., id.,</w:t>
      </w:r>
      <w:r>
        <w:t xml:space="preserve"> </w:t>
      </w:r>
      <w:r>
        <w:t xml:space="preserve">at 663 (discussing risk that corporation’s “members may be ... reluctant to withdraw as members even if they disagree with [its] political expression”). Second, it provides an additional reason, beyond the distinctive legal attributes of the corporate form, for doubting that these “expenditures reflect actual public support for the political ideas espoused,”</w:t>
      </w:r>
      <w:r>
        <w:t xml:space="preserve"> </w:t>
      </w:r>
      <w:r>
        <w:rPr>
          <w:iCs/>
          <w:i/>
        </w:rPr>
        <w:t xml:space="preserve">id.,</w:t>
      </w:r>
      <w:r>
        <w:t xml:space="preserve"> </w:t>
      </w:r>
      <w:r>
        <w:t xml:space="preserve">at 660. The shareholder protection rationale, in other words, bolsters the conclusion that restrictions on corporate electioneering can serve both speakers’ and listeners’ interests, as well as the anticorruption interest. And it supplies yet another reason why corporate expenditures merit less protection than individual expenditures.</w:t>
      </w:r>
    </w:p>
    <w:p>
      <w:pPr>
        <w:pStyle w:val="CaseBody"/>
      </w:pPr>
      <w:r>
        <w:t xml:space="preserve">V</w:t>
      </w:r>
    </w:p>
    <w:p>
      <w:pPr>
        <w:pStyle w:val="CaseBody"/>
      </w:pPr>
      <w:r>
        <w:t xml:space="preserve">Today’s decision is backwards in many senses. It elevates the majority’s agenda over the litigants’ submissions, facial attacks over as-applied claims, broad constitutional theories over narrow statutory grounds, individual dissenting opinions over precedential holdings, assertion over tradition, absolutism over empiricism, rhetoric over reality. Our colleagues have arrived at the conclusion that</w:t>
      </w:r>
      <w:r>
        <w:t xml:space="preserve"> </w:t>
      </w:r>
      <w:r>
        <w:rPr>
          <w:iCs/>
          <w:i/>
        </w:rPr>
        <w:t xml:space="preserve">Austin</w:t>
      </w:r>
      <w:r>
        <w:t xml:space="preserve"> </w:t>
      </w:r>
      <w:r>
        <w:t xml:space="preserve">must be overruled and that §203 is facially unconstitutional only after mischaracterizing both the reach and rationale of those authorities, and after bypassing or ignoring rules of judicial restraint used to cabin the Court’s lawmaking power. Their conclusion that the societal interest in avoiding corruption and the appearance of corruption does not provide an adequate justification for regulating corporate expenditures on candidate elections relies on an incorrect description of that interest, along with a failure to acknowledge the relevance of established facts and the considered judgments of state and federal legislatures over many decades.</w:t>
      </w:r>
    </w:p>
    <w:p>
      <w:pPr>
        <w:pStyle w:val="CaseBody"/>
      </w:pPr>
      <w:r>
        <w:t xml:space="preserve">In a democratic society, the longstanding consensus on the need to limit corporate campaign spending should outweigh the wooden application of judge-made rules. The majority’s rejection of this principle “elevate[s] corporations to a level of deference which has not been seen at least since the days when substantive due process was regularly used to invalidate regulatory legislation thought to unfairly impinge upon established economic interests.”</w:t>
      </w:r>
      <w:r>
        <w:t xml:space="preserve"> </w:t>
      </w:r>
      <w:r>
        <w:rPr>
          <w:iCs/>
          <w:i/>
        </w:rPr>
        <w:t xml:space="preserve">Bellotti,</w:t>
      </w:r>
      <w:r>
        <w:t xml:space="preserve"> </w:t>
      </w:r>
      <w:r>
        <w:t xml:space="preserve">435 U. S., at 817, n. 13 (White, J., dissenting). At bottom, the Court’s opinion is thus a rejection of the common sense of the American people, who have recognized a need to prevent corporations from undermining self-government since the founding, and who have fought against the distinctive corrupting potential of corporate electioneering since the days of Theodore Roosevelt. It is a strange time to repudiate that common sense. While American democracy is imperfect, few outside the majority of this Court would have thought its flaws included a dearth of corporate money in politics.</w:t>
      </w:r>
    </w:p>
    <w:p>
      <w:pPr>
        <w:pStyle w:val="CaseBody"/>
      </w:pPr>
      <w:r>
        <w:t xml:space="preserve">I would affirm the judgment of the District Court.</w:t>
      </w:r>
    </w:p>
    <w:p>
      <w:pPr>
        <w:pStyle w:val="CaseBody"/>
      </w:pPr>
      <w:r>
        <w:t xml:space="preserve">Justice Thomas,</w:t>
      </w:r>
    </w:p>
    <w:p>
      <w:pPr>
        <w:pStyle w:val="CaseBody"/>
      </w:pPr>
      <w:r>
        <w:t xml:space="preserve">concurring in part and dissenting in part.</w:t>
      </w:r>
    </w:p>
    <w:p>
      <w:pPr>
        <w:pStyle w:val="CaseBody"/>
      </w:pPr>
      <w:r>
        <w:t xml:space="preserve">I join all but Part IV of the Court’s opinion.</w:t>
      </w:r>
    </w:p>
    <w:p>
      <w:pPr>
        <w:pStyle w:val="CaseBody"/>
      </w:pPr>
      <w:r>
        <w:t xml:space="preserve">Political speech is entitled to robust protection under the First Amendment. Section 203 of the Bipartisan Campaign Reform Act of 2002 (BCRA) has never been reconcilable with that protection. By striking down §203, the Court takes an important first step toward restoring full constitutional protection to speech that is “indispensable to the effective and intelligent use of the processes of popular government.”</w:t>
      </w:r>
      <w:r>
        <w:t xml:space="preserve"> </w:t>
      </w:r>
      <w:r>
        <w:rPr>
          <w:iCs/>
          <w:i/>
        </w:rPr>
        <w:t xml:space="preserve">McConnell</w:t>
      </w:r>
      <w:r>
        <w:t xml:space="preserve"> </w:t>
      </w:r>
      <w:r>
        <w:t xml:space="preserve">v.</w:t>
      </w:r>
      <w:r>
        <w:t xml:space="preserve"> </w:t>
      </w:r>
      <w:r>
        <w:rPr>
          <w:iCs/>
          <w:i/>
        </w:rPr>
        <w:t xml:space="preserve">Federal Election Comm’n,</w:t>
      </w:r>
      <w:r>
        <w:t xml:space="preserve"> </w:t>
      </w:r>
      <w:r>
        <w:t xml:space="preserve">540 U. S. 93, 265 (2003) (Thomas, J., concurring in part, concurring in judgment in part, and dissenting in part) (internal quotation marks omitted). I dissent from Part IV of the Court’s opinion, however, because the Court’s constitutional analysis does not go far enough. The disclosure, disclaimer, and reporting requirements in BCRA §§201 and 311 are also unconstitutional. See</w:t>
      </w:r>
      <w:r>
        <w:t xml:space="preserve"> </w:t>
      </w:r>
      <w:r>
        <w:rPr>
          <w:iCs/>
          <w:i/>
        </w:rPr>
        <w:t xml:space="preserve">id.,</w:t>
      </w:r>
      <w:r>
        <w:t xml:space="preserve"> </w:t>
      </w:r>
      <w:r>
        <w:t xml:space="preserve">at 275-277, and n. 10.</w:t>
      </w:r>
    </w:p>
    <w:p>
      <w:pPr>
        <w:pStyle w:val="CaseBody"/>
      </w:pPr>
      <w:r>
        <w:t xml:space="preserve">Congress may not abridge the “right to anonymous speech” based on the “ ‘simple interest in providing voters with additional relevant information,’”</w:t>
      </w:r>
      <w:r>
        <w:t xml:space="preserve"> </w:t>
      </w:r>
      <w:r>
        <w:rPr>
          <w:iCs/>
          <w:i/>
        </w:rPr>
        <w:t xml:space="preserve">id.,</w:t>
      </w:r>
      <w:r>
        <w:t xml:space="preserve"> </w:t>
      </w:r>
      <w:r>
        <w:t xml:space="preserve">at 276 (quoting</w:t>
      </w:r>
      <w:r>
        <w:t xml:space="preserve"> </w:t>
      </w:r>
      <w:r>
        <w:rPr>
          <w:iCs/>
          <w:i/>
        </w:rPr>
        <w:t xml:space="preserve">McIntyre</w:t>
      </w:r>
      <w:r>
        <w:t xml:space="preserve"> </w:t>
      </w:r>
      <w:r>
        <w:t xml:space="preserve">v.</w:t>
      </w:r>
      <w:r>
        <w:t xml:space="preserve"> </w:t>
      </w:r>
      <w:r>
        <w:rPr>
          <w:iCs/>
          <w:i/>
        </w:rPr>
        <w:t xml:space="preserve">Ohio Elections Comm’n,</w:t>
      </w:r>
      <w:r>
        <w:t xml:space="preserve"> </w:t>
      </w:r>
      <w:r>
        <w:t xml:space="preserve">514 U. S. 334, 348 (1995)). In continuing to hold otherwise, the Court misapprehends the import of “recent events” that some</w:t>
      </w:r>
      <w:r>
        <w:t xml:space="preserve"> </w:t>
      </w:r>
      <w:r>
        <w:rPr>
          <w:iCs/>
          <w:i/>
        </w:rPr>
        <w:t xml:space="preserve">amici</w:t>
      </w:r>
      <w:r>
        <w:t xml:space="preserve"> </w:t>
      </w:r>
      <w:r>
        <w:t xml:space="preserve">describe “in which donors to certain causes were blacklisted, threatened, or otherwise targeted for retaliation.”</w:t>
      </w:r>
      <w:r>
        <w:t xml:space="preserve"> </w:t>
      </w:r>
      <w:r>
        <w:rPr>
          <w:iCs/>
          <w:i/>
        </w:rPr>
        <w:t xml:space="preserve">Ante,</w:t>
      </w:r>
      <w:r>
        <w:t xml:space="preserve"> </w:t>
      </w:r>
      <w:r>
        <w:t xml:space="preserve">at 370. The Court properly recognizes these events as “cause for concern,”</w:t>
      </w:r>
      <w:r>
        <w:t xml:space="preserve"> </w:t>
      </w:r>
      <w:r>
        <w:rPr>
          <w:iCs/>
          <w:i/>
        </w:rPr>
        <w:t xml:space="preserve">ibid.,</w:t>
      </w:r>
      <w:r>
        <w:t xml:space="preserve"> </w:t>
      </w:r>
      <w:r>
        <w:t xml:space="preserve">but fails to acknowledge their constitutional significance. In my view,</w:t>
      </w:r>
      <w:r>
        <w:t xml:space="preserve"> </w:t>
      </w:r>
      <w:r>
        <w:rPr>
          <w:iCs/>
          <w:i/>
        </w:rPr>
        <w:t xml:space="preserve">amici’s</w:t>
      </w:r>
      <w:r>
        <w:t xml:space="preserve"> </w:t>
      </w:r>
      <w:r>
        <w:t xml:space="preserve">submissions show why the Court’s insistence on upholding §§201 and 311 will ultimately prove as misguided (and ill fated) as was its prior approval of § 203.</w:t>
      </w:r>
    </w:p>
    <w:p>
      <w:pPr>
        <w:pStyle w:val="CaseBody"/>
      </w:pPr>
      <w:r>
        <w:rPr>
          <w:iCs/>
          <w:i/>
        </w:rPr>
        <w:t xml:space="preserve">Amici’s</w:t>
      </w:r>
      <w:r>
        <w:t xml:space="preserve"> </w:t>
      </w:r>
      <w:r>
        <w:t xml:space="preserve">examples relate principally to Proposition 8, a state ballot proposition that California voters narrowly passed in the 2008 general election. Proposition 8 amended California’s Constitution to provide that “[o]nly marriage between a man and a woman is valid or recognized in California.” Cal. Const., Art. I, §7.5. Any donor who gave more than $100 to any committee supporting or opposing Proposition 8 was required to disclose his full name, street address, occupation, employer’s name (or business name, if self-employed), and the total amount of his contributions.</w:t>
      </w:r>
      <w:r>
        <w:rPr>
          <w:rStyle w:val="FootnoteReference"/>
        </w:rPr>
        <w:footnoteReference w:customMarkFollows="1" w:id="15"/>
        <w:t xml:space="preserve">1</w:t>
      </w:r>
      <w:r>
        <w:t xml:space="preserve"> </w:t>
      </w:r>
      <w:r>
        <w:t xml:space="preserve">See Cal. Govt. Code Ann. § 84211(f) (West 2005). The California Secretary of State was then required to post this information on the Internet. See §§84600-84601; §§84602-84602.1 (West Supp. 2010); §§84602.5-84604 (West 2005); §85605 (West Supp. 2010); §§84606-84609 (West 2005).</w:t>
      </w:r>
    </w:p>
    <w:p>
      <w:pPr>
        <w:pStyle w:val="CaseBody"/>
      </w:pPr>
      <w:r>
        <w:t xml:space="preserve">Some opponents of Proposition 8 compiled this information and created Web sites with maps showing the locations of homes or businesses of Proposition 8 supporters. Many supporters (or their customers) suffered property damage, or threats of physical violence or death, as a result. They cited these incidents in a complaint they filed after the 2008 election, seeking to invalidate California’s mandatory disclosure laws. Supporters recounted being told: “ ‘Consider yourself lucky. If I had a gun I would have gunned you down along with each and every other supporter,’ ” or, “ ‘we have plans for you and your friends.’ ” Complaint in</w:t>
      </w:r>
      <w:r>
        <w:t xml:space="preserve"> </w:t>
      </w:r>
      <w:r>
        <w:rPr>
          <w:iCs/>
          <w:i/>
        </w:rPr>
        <w:t xml:space="preserve">ProtectMarriage.com</w:t>
      </w:r>
      <w:r>
        <w:t xml:space="preserve">—Yes</w:t>
      </w:r>
      <w:r>
        <w:t xml:space="preserve"> </w:t>
      </w:r>
      <w:r>
        <w:rPr>
          <w:iCs/>
          <w:i/>
        </w:rPr>
        <w:t xml:space="preserve">on 8</w:t>
      </w:r>
      <w:r>
        <w:t xml:space="preserve"> </w:t>
      </w:r>
      <w:r>
        <w:t xml:space="preserve">v.</w:t>
      </w:r>
      <w:r>
        <w:t xml:space="preserve"> </w:t>
      </w:r>
      <w:r>
        <w:rPr>
          <w:iCs/>
          <w:i/>
        </w:rPr>
        <w:t xml:space="preserve">Bowen,</w:t>
      </w:r>
      <w:r>
        <w:t xml:space="preserve"> </w:t>
      </w:r>
      <w:r>
        <w:t xml:space="preserve">Case No. 2:09-cv-00058-MCE-DAD (ED Cal.), ¶ 31. Proposition 8 opponents also allegedly harassed the measure’s supporters by defacing or damaging their property.</w:t>
      </w:r>
      <w:r>
        <w:t xml:space="preserve"> </w:t>
      </w:r>
      <w:r>
        <w:rPr>
          <w:iCs/>
          <w:i/>
        </w:rPr>
        <w:t xml:space="preserve">Id.,</w:t>
      </w:r>
      <w:r>
        <w:t xml:space="preserve"> </w:t>
      </w:r>
      <w:r>
        <w:t xml:space="preserve">¶ 32. Two religious organizations supporting Proposition 8 reportedly received through the mail envelopes containing a white powdery substance.</w:t>
      </w:r>
      <w:r>
        <w:t xml:space="preserve"> </w:t>
      </w:r>
      <w:r>
        <w:rPr>
          <w:iCs/>
          <w:i/>
        </w:rPr>
        <w:t xml:space="preserve">Id.,</w:t>
      </w:r>
      <w:r>
        <w:t xml:space="preserve"> </w:t>
      </w:r>
      <w:r>
        <w:t xml:space="preserve">¶ 33.</w:t>
      </w:r>
    </w:p>
    <w:p>
      <w:pPr>
        <w:pStyle w:val="CaseBody"/>
      </w:pPr>
      <w:r>
        <w:t xml:space="preserve">Those accounts are consistent with media reports describing Proposition 8-related retaliation. The director of the nonprofit California Musical Theater gave $1,000 to support the initiative; he was forced to resign after artists complained to his employer. Lott &amp; Smith, Donor Disclosure Has Its Downsides, Wall Street Journal, Dec. 26, 2008, p. A1B. The director of the Los Angeles Film Festival was forced to resign after giving $1,500 because opponents threatened to boycott and picket the next festival.</w:t>
      </w:r>
      <w:r>
        <w:t xml:space="preserve"> </w:t>
      </w:r>
      <w:r>
        <w:rPr>
          <w:iCs/>
          <w:i/>
        </w:rPr>
        <w:t xml:space="preserve">Ibid.</w:t>
      </w:r>
      <w:r>
        <w:t xml:space="preserve"> </w:t>
      </w:r>
      <w:r>
        <w:t xml:space="preserve">And a woman who had managed her popular, family-owned restaurant for 26 years was forced to resign after she gave $100, because “throngs of [angry] protesters” repeatedly arrived at the restaurant and “shout[ed] ‘shame on you’ at customers.” Lopez, Prop. 8 Stance Upends Her Life, Los Angeles Times, Dec. 14, 2008, p. Bl. The police even had to “arriv[e] in riot gear one night to quell the angry mob” at the restaurant.</w:t>
      </w:r>
      <w:r>
        <w:t xml:space="preserve"> </w:t>
      </w:r>
      <w:r>
        <w:rPr>
          <w:iCs/>
          <w:i/>
        </w:rPr>
        <w:t xml:space="preserve">Ibid.</w:t>
      </w:r>
      <w:r>
        <w:t xml:space="preserve"> </w:t>
      </w:r>
      <w:r>
        <w:t xml:space="preserve">Some supporters of Proposition 8 engaged in similar tactics; one real estate businessman in San Diego who had donated to a group opposing Proposition 8 “received a letter from the Prop. 8 Executive Committee threatening to publish his company’s name if he didn’t also donate to the ‘Yes on 8’ campaign.” Donor Disclosure,</w:t>
      </w:r>
      <w:r>
        <w:t xml:space="preserve"> </w:t>
      </w:r>
      <w:r>
        <w:rPr>
          <w:iCs/>
          <w:i/>
        </w:rPr>
        <w:t xml:space="preserve">supra,</w:t>
      </w:r>
      <w:r>
        <w:t xml:space="preserve"> </w:t>
      </w:r>
      <w:r>
        <w:t xml:space="preserve">at A13.</w:t>
      </w:r>
    </w:p>
    <w:p>
      <w:pPr>
        <w:pStyle w:val="CaseBody"/>
      </w:pPr>
      <w:r>
        <w:t xml:space="preserve">The success of such intimidation tactics has apparently spawned a cottage industry that uses forcibly disclosed donor information to</w:t>
      </w:r>
      <w:r>
        <w:t xml:space="preserve"> </w:t>
      </w:r>
      <w:r>
        <w:rPr>
          <w:iCs/>
          <w:i/>
        </w:rPr>
        <w:t xml:space="preserve">pre-empt</w:t>
      </w:r>
      <w:r>
        <w:t xml:space="preserve"> </w:t>
      </w:r>
      <w:r>
        <w:t xml:space="preserve">citizens’ exercise of their First Amendment rights. Before the 2008 Presidential election, a “newly formed nonprofit group ... plannfed] to confront donors to conservative groups, hoping to create a chilling effect that will dry up contributions.” Luo, Group Plans Campaign Against G.O.P. Donors, N. Y. Times, Aug. 8, 2008, p. A15. Its leader, “who described his effort as ‘going for the jugular,’ ” detailed the group’s plan to send a “warning letter... alerting donors who might be considering giving to right-wing groups to a variety of potential dangers, including legal trouble, public exposure and watchdog groups digging through their lives.”</w:t>
      </w:r>
      <w:r>
        <w:t xml:space="preserve"> </w:t>
      </w:r>
      <w:r>
        <w:rPr>
          <w:iCs/>
          <w:i/>
        </w:rPr>
        <w:t xml:space="preserve">Ibid.</w:t>
      </w:r>
    </w:p>
    <w:p>
      <w:pPr>
        <w:pStyle w:val="CaseBody"/>
      </w:pPr>
      <w:r>
        <w:t xml:space="preserve">These instances of retaliation sufficiently demonstrate why this Court should invalidate mandatory disclosure and reporting requirements. But</w:t>
      </w:r>
      <w:r>
        <w:t xml:space="preserve"> </w:t>
      </w:r>
      <w:r>
        <w:rPr>
          <w:iCs/>
          <w:i/>
        </w:rPr>
        <w:t xml:space="preserve">amici</w:t>
      </w:r>
      <w:r>
        <w:t xml:space="preserve"> </w:t>
      </w:r>
      <w:r>
        <w:t xml:space="preserve">present evidence of yet another reason to do so — the threat of retaliation from</w:t>
      </w:r>
      <w:r>
        <w:t xml:space="preserve"> </w:t>
      </w:r>
      <w:r>
        <w:rPr>
          <w:iCs/>
          <w:i/>
        </w:rPr>
        <w:t xml:space="preserve">elected officials.</w:t>
      </w:r>
      <w:r>
        <w:t xml:space="preserve"> </w:t>
      </w:r>
      <w:r>
        <w:t xml:space="preserve">As</w:t>
      </w:r>
      <w:r>
        <w:t xml:space="preserve"> </w:t>
      </w:r>
      <w:r>
        <w:rPr>
          <w:iCs/>
          <w:i/>
        </w:rPr>
        <w:t xml:space="preserve">amici’s</w:t>
      </w:r>
      <w:r>
        <w:t xml:space="preserve"> </w:t>
      </w:r>
      <w:r>
        <w:t xml:space="preserve">submissions make clear, this threat extends far beyond a single ballot proposition in California. For example, a candidate challenging an incumbent state attorney general reported that some members of the State’s business community feared donating to his campaign because they did not want to cross the incumbent; in his words, “T go to so many people and hear the same thing: “I sure hope you beat [the incumbent], but I can’t afford to have my name on your records. He might come after me next. ” ’ ” Strassel, Challenging Spitzerism at the Polls, Wall Street Journal, Aug. 1, 2008, p. All. The incumbent won reelection in 2008.</w:t>
      </w:r>
    </w:p>
    <w:p>
      <w:pPr>
        <w:pStyle w:val="CaseBody"/>
      </w:pPr>
      <w:r>
        <w:t xml:space="preserve">My point is not to express any view on the merits of the political controversies I describe. Rather, it is to demonstrate — using real-world, recent examples — the fallacy in the Court’s conclusion that “[disclaimer and disclosure requirements . . . impose no ceiling on campaign-related activities, and do not prevent anyone from speaking.”</w:t>
      </w:r>
      <w:r>
        <w:t xml:space="preserve"> </w:t>
      </w:r>
      <w:r>
        <w:rPr>
          <w:iCs/>
          <w:i/>
        </w:rPr>
        <w:t xml:space="preserve">Ante,</w:t>
      </w:r>
      <w:r>
        <w:t xml:space="preserve"> </w:t>
      </w:r>
      <w:r>
        <w:t xml:space="preserve">at 366 (internal quotation marks and citation omitted). Of course they do. Disclaimer and disclosure requirements enable private citizens and elected officials to implement political strategies</w:t>
      </w:r>
      <w:r>
        <w:t xml:space="preserve"> </w:t>
      </w:r>
      <w:r>
        <w:rPr>
          <w:iCs/>
          <w:i/>
        </w:rPr>
        <w:t xml:space="preserve">specifically calculated</w:t>
      </w:r>
      <w:r>
        <w:t xml:space="preserve"> </w:t>
      </w:r>
      <w:r>
        <w:t xml:space="preserve">to curtail campaign-related activity and prevent the lawful, peaceful exercise of First Amendment rights.</w:t>
      </w:r>
    </w:p>
    <w:p>
      <w:pPr>
        <w:pStyle w:val="CaseBody"/>
      </w:pPr>
      <w:r>
        <w:t xml:space="preserve">The Court nevertheless insists that as-applied challenges to disclosure requirements will suffice to vindicate those speech rights, as long as potential plaintiffs can “show a reasonable probability that disclosure . . . will subject them to threats, harassment, or reprisals from either Government officials or private parties.”</w:t>
      </w:r>
      <w:r>
        <w:t xml:space="preserve"> </w:t>
      </w:r>
      <w:r>
        <w:rPr>
          <w:iCs/>
          <w:i/>
        </w:rPr>
        <w:t xml:space="preserve">Ante,</w:t>
      </w:r>
      <w:r>
        <w:t xml:space="preserve"> </w:t>
      </w:r>
      <w:r>
        <w:t xml:space="preserve">at 367 (internal quotation marks omitted). But the Court’s opinion itself proves the irony in this compromise. In correctly explaining why it must address the facial constitutionality of § 203, see</w:t>
      </w:r>
      <w:r>
        <w:t xml:space="preserve"> </w:t>
      </w:r>
      <w:r>
        <w:rPr>
          <w:iCs/>
          <w:i/>
        </w:rPr>
        <w:t xml:space="preserve">ante,</w:t>
      </w:r>
      <w:r>
        <w:t xml:space="preserve"> </w:t>
      </w:r>
      <w:r>
        <w:t xml:space="preserve">at 322-336, the Court recognizes that “[t]he First Amendment does not permit laws that force speakers to ... seek declaratory rulings before discussing the most salient political issues of our day,”</w:t>
      </w:r>
      <w:r>
        <w:t xml:space="preserve"> </w:t>
      </w:r>
      <w:r>
        <w:rPr>
          <w:iCs/>
          <w:i/>
        </w:rPr>
        <w:t xml:space="preserve">ante,</w:t>
      </w:r>
      <w:r>
        <w:t xml:space="preserve"> </w:t>
      </w:r>
      <w:r>
        <w:t xml:space="preserve">at 324; that as-applied challenges to §203 “would require substantial litigation over an extended time” and result in an “interpretive process [that] itself would create an inevitable, pervasive, and serious risk of chilling protected speech pending the drawing of fine distinctions that, in the end, would themselves be questionable,”</w:t>
      </w:r>
      <w:r>
        <w:t xml:space="preserve"> </w:t>
      </w:r>
      <w:r>
        <w:rPr>
          <w:iCs/>
          <w:i/>
        </w:rPr>
        <w:t xml:space="preserve">ante,</w:t>
      </w:r>
      <w:r>
        <w:t xml:space="preserve"> </w:t>
      </w:r>
      <w:r>
        <w:t xml:space="preserve">at 326-327; that “a court would be remiss in performing its duties were it to accept an unsound principle merely to avoid the necessity of making a broader ruling,”</w:t>
      </w:r>
      <w:r>
        <w:t xml:space="preserve"> </w:t>
      </w:r>
      <w:r>
        <w:rPr>
          <w:iCs/>
          <w:i/>
        </w:rPr>
        <w:t xml:space="preserve">ante,</w:t>
      </w:r>
      <w:r>
        <w:t xml:space="preserve"> </w:t>
      </w:r>
      <w:r>
        <w:t xml:space="preserve">at 329; and that avoiding a facial challenge to § 203 “would prolong the substantial, nationwide chilling effect” that § 203 causes,</w:t>
      </w:r>
      <w:r>
        <w:t xml:space="preserve"> </w:t>
      </w:r>
      <w:r>
        <w:rPr>
          <w:iCs/>
          <w:i/>
        </w:rPr>
        <w:t xml:space="preserve">ante,</w:t>
      </w:r>
      <w:r>
        <w:t xml:space="preserve"> </w:t>
      </w:r>
      <w:r>
        <w:t xml:space="preserve">at 333. This logic, of course, applies equally to as-applied challenges to §§201 and 311.</w:t>
      </w:r>
    </w:p>
    <w:p>
      <w:pPr>
        <w:pStyle w:val="CaseBody"/>
      </w:pPr>
      <w:r>
        <w:t xml:space="preserve">Irony aside, the Court’s promise that as-applied challenges will adequately protect speech is a hollow assurance. Now more than ever, §§201 and 311 will chill protected speech because — as California voters can attest — “the advent of the Internet” enables “prompt disclosure of expenditures,” which “provide [s]” political opponents “with the information needed” to intimidate and retaliate against their foes.</w:t>
      </w:r>
      <w:r>
        <w:t xml:space="preserve"> </w:t>
      </w:r>
      <w:r>
        <w:rPr>
          <w:iCs/>
          <w:i/>
        </w:rPr>
        <w:t xml:space="preserve">Ante,</w:t>
      </w:r>
      <w:r>
        <w:t xml:space="preserve"> </w:t>
      </w:r>
      <w:r>
        <w:t xml:space="preserve">at 370. Thus, “disclosure permits citizens ... to react to the speech of [their political opponents] in a proper” — or undeniably</w:t>
      </w:r>
      <w:r>
        <w:t xml:space="preserve"> </w:t>
      </w:r>
      <w:r>
        <w:rPr>
          <w:iCs/>
          <w:i/>
        </w:rPr>
        <w:t xml:space="preserve">improper</w:t>
      </w:r>
      <w:r>
        <w:t xml:space="preserve"> </w:t>
      </w:r>
      <w:r>
        <w:t xml:space="preserve">— “way” long before a plaintiff could prevail on an as-applied challenge.</w:t>
      </w:r>
      <w:r>
        <w:rPr>
          <w:rStyle w:val="FootnoteReference"/>
        </w:rPr>
        <w:footnoteReference w:customMarkFollows="1" w:id="46"/>
        <w:t xml:space="preserve">2</w:t>
      </w:r>
      <w:r>
        <w:t xml:space="preserve"> </w:t>
      </w:r>
      <w:r>
        <w:rPr>
          <w:iCs/>
          <w:i/>
        </w:rPr>
        <w:t xml:space="preserve">Ante,</w:t>
      </w:r>
      <w:r>
        <w:t xml:space="preserve"> </w:t>
      </w:r>
      <w:r>
        <w:t xml:space="preserve">at 371.</w:t>
      </w:r>
    </w:p>
    <w:p>
      <w:pPr>
        <w:pStyle w:val="CaseBody"/>
      </w:pPr>
      <w:r>
        <w:t xml:space="preserve">I cannot endorse a view of the First Amendment that subjects citizens of this Nation to death threats, ruined careers, damaged or defaced property, or pre-emptive and threatening warning letters as the price for engaging in “core political speech, the 'primary object of First Amendment protection.”’</w:t>
      </w:r>
      <w:r>
        <w:t xml:space="preserve"> </w:t>
      </w:r>
      <w:r>
        <w:rPr>
          <w:iCs/>
          <w:i/>
        </w:rPr>
        <w:t xml:space="preserve">McConnell,</w:t>
      </w:r>
      <w:r>
        <w:t xml:space="preserve"> </w:t>
      </w:r>
      <w:r>
        <w:t xml:space="preserve">540 U. S., at 264 (Thomas, J., concurring in part, concurring in judgment in part, and dissenting in part) (quoting</w:t>
      </w:r>
      <w:r>
        <w:t xml:space="preserve"> </w:t>
      </w:r>
      <w:r>
        <w:rPr>
          <w:iCs/>
          <w:i/>
        </w:rPr>
        <w:t xml:space="preserve">Nixon</w:t>
      </w:r>
      <w:r>
        <w:t xml:space="preserve"> </w:t>
      </w:r>
      <w:r>
        <w:t xml:space="preserve">v.</w:t>
      </w:r>
      <w:r>
        <w:t xml:space="preserve"> </w:t>
      </w:r>
      <w:r>
        <w:rPr>
          <w:iCs/>
          <w:i/>
        </w:rPr>
        <w:t xml:space="preserve">Shrink Missouri Government PAC,</w:t>
      </w:r>
      <w:r>
        <w:t xml:space="preserve"> </w:t>
      </w:r>
      <w:r>
        <w:t xml:space="preserve">528 U. S. 377, 410-411 (2000) (Thomas, J., dissenting)). Accordingly, I respectfully dissent from the Court’s judgment upholding BCRA §§201 and 311.</w:t>
      </w:r>
    </w:p>
    <w:bookmarkStart w:id="36" w:name="_auto_toc_36"/>
    <w:bookmarkEnd w:id="36"/>
    <w:p>
      <w:pPr>
        <w:pStyle w:val="ResourceNumber"/>
      </w:pPr>
      <w:r>
        <w:t xml:space="preserve">3.1.3</w:t>
      </w:r>
    </w:p>
    <w:p>
      <w:pPr>
        <w:pStyle w:val="ResourceTitle"/>
      </w:pPr>
      <w:r>
        <w:t xml:space="preserve">Burwell v. Hobby Lobby Stores, Inc.</w:t>
      </w:r>
    </w:p>
    <w:p>
      <w:pPr>
        <w:pStyle w:val="HeadEnd"/>
      </w:pPr>
      <w:r>
        <w:t xml:space="preserve"> </w:t>
      </w:r>
    </w:p>
    <w:p>
      <w:pPr>
        <w:pStyle w:val="CaseHeader"/>
      </w:pPr>
      <w:r>
        <w:t xml:space="preserve">Supreme Court of the United States</w:t>
      </w:r>
    </w:p>
    <w:p>
      <w:pPr>
        <w:pStyle w:val="CaseHeader"/>
      </w:pPr>
      <w:r>
        <w:t xml:space="preserve">134 S. Ct. 2751, 189 L. Ed. 2d 675, 82 U.S.L.W. 4636</w:t>
      </w:r>
    </w:p>
    <w:p>
      <w:pPr>
        <w:pStyle w:val="CaseHeader"/>
      </w:pPr>
      <w:r>
        <w:t xml:space="preserve">Nos. 13–354; 13–356.</w:t>
      </w:r>
    </w:p>
    <w:p>
      <w:pPr>
        <w:pStyle w:val="CaseHeader"/>
      </w:pPr>
      <w:r>
        <w:t xml:space="preserve">2014-06-30</w:t>
      </w:r>
    </w:p>
    <w:p>
      <w:pPr>
        <w:pStyle w:val="CaseBody"/>
      </w:pPr>
      <w:r>
        <w:rPr>
          <w:bCs/>
          <w:b/>
        </w:rPr>
        <w:t xml:space="preserve">Held Invalid</w:t>
      </w:r>
      <w:r>
        <w:br/>
      </w:r>
      <w:r>
        <w:t xml:space="preserve">26 C.F.R. § 54.9815-2713</w:t>
      </w:r>
      <w:r>
        <w:t xml:space="preserve">(a)(1)(iv);</w:t>
      </w:r>
      <w:r>
        <w:t xml:space="preserve"> </w:t>
      </w:r>
      <w:r>
        <w:t xml:space="preserve">29 C.F.R. § 2590.715-2713</w:t>
      </w:r>
      <w:r>
        <w:t xml:space="preserve">(a)(1)(iv);</w:t>
      </w:r>
      <w:r>
        <w:t xml:space="preserve"> </w:t>
      </w:r>
      <w:r>
        <w:t xml:space="preserve">45 C.F.R. § 147.130</w:t>
      </w:r>
      <w:r>
        <w:t xml:space="preserve">(a)(1)(iv)</w:t>
      </w:r>
    </w:p>
    <w:p>
      <w:pPr>
        <w:pStyle w:val="CaseBody"/>
      </w:pPr>
      <w:r>
        <w:rPr>
          <w:bCs/>
          <w:b/>
        </w:rPr>
        <w:t xml:space="preserve">Prior Version Recognized as Unconstitutional</w:t>
      </w:r>
      <w:r>
        <w:br/>
      </w:r>
      <w:r>
        <w:t xml:space="preserve">42 U.S.C.A. § 2000bb-2</w:t>
      </w:r>
      <w:r>
        <w:t xml:space="preserve"> </w:t>
      </w:r>
      <w:r>
        <w:rPr>
          <w:iCs/>
          <w:i/>
          <w:bCs/>
          <w:b/>
        </w:rPr>
        <w:t xml:space="preserve">Syllabus</w:t>
      </w:r>
      <w:hyperlink w:anchor="X9252bd2c08122f009e1b14edfadef32e958852f">
        <w:r>
          <w:rPr>
            <w:rStyle w:val="Hyperlink"/>
            <w:vertAlign w:val="superscript"/>
            <w:iCs/>
            <w:i/>
            <w:bCs/>
            <w:b/>
          </w:rPr>
          <w:t xml:space="preserve">*</w:t>
        </w:r>
      </w:hyperlink>
    </w:p>
    <w:p>
      <w:pPr>
        <w:pStyle w:val="CaseBody"/>
      </w:pPr>
      <w:r>
        <w:t xml:space="preserve">The Religious Freedom Restoration Act of 1993 (RFRA) prohibits the "Government [from] substantially burden[ing] a person's exercise of religion even if the burden results from a rule of general applicability" unless the Government "demonstrates that application of the burden to the person-(1) is in furtherance of a compelling governmental interest; and (2) is the least restrictive means of furthering that compelling governmental interest." 42 U.S.C. §§ 2000bb-1(a), (b). As amended by the Religious Land Use and Institutionalized Persons Act of 2000 (RLUIPA), RFRA covers "any exercise of religion, whether or not compelled by, or central to, a system of religious belief." § 2000cc-5(7)(A).</w:t>
      </w:r>
    </w:p>
    <w:p>
      <w:pPr>
        <w:pStyle w:val="CaseBody"/>
      </w:pPr>
      <w:r>
        <w:t xml:space="preserve">At issue here are regulations promulgated by the Department of Health and Human Services (HHS) under the Patient Protection and Affordable Care Act of 2010(ACA), which, as relevant here, requires specified employers' group health plans to furnish "preventive care and screenings" for women without "any cost sharing requirements," 42 U.S.C. § 300gg-13(a)(4). Congress did not specify what types of preventive care must be covered; it authorized the Health Resources and Services Administration, a component of HHS, to decide.</w:t>
      </w:r>
      <w:r>
        <w:t xml:space="preserve"> </w:t>
      </w:r>
      <w:r>
        <w:rPr>
          <w:iCs/>
          <w:i/>
        </w:rPr>
        <w:t xml:space="preserve">Ibid</w:t>
      </w:r>
      <w:r>
        <w:t xml:space="preserve">.</w:t>
      </w:r>
      <w:r>
        <w:t xml:space="preserve"> </w:t>
      </w:r>
      <w:r>
        <w:t xml:space="preserve">Nonexempt employers are generally required to provide coverage for the 20 contraceptive methods approved by the Food and Drug Administration, including the 4 that may have the effect of preventing an already fertilized egg from developing any further by inhibiting its attachment to the uterus. Religious employers, such as churches, are exempt from this contraceptive mandate. HHS has also effectively exempted religious nonprofit organizations with religious objections to providing coverage for contraceptive services. Under this accommodation, the insurance issuer must exclude contraceptive coverage from the employer's plan and provide plan participants with separate payments for contraceptive services without imposing any cost-sharing requirements on the employer, its insurance plan, or its employee beneficiaries.</w:t>
      </w:r>
    </w:p>
    <w:p>
      <w:pPr>
        <w:pStyle w:val="CaseBody"/>
      </w:pPr>
      <w:r>
        <w:t xml:space="preserve">In these cases, the owners of three closely held for-profit corporations have sincere Christian beliefs that life begins at conception and that it would violate their religion to facilitate access to contraceptive drugs or devices that operate after that point. In separate actions, they sued HHS and other federal officials and agencies (collectively HHS) under RFRA and the Free Exercise Clause, seeking to enjoin application of the contraceptive mandate insofar as it requires them to provide health coverage for the four objectionable contraceptives. In No. 13-356, the District Court denied the Hahns and their company-Conestoga Wood Specialties-a preliminary injunction. Affirming, the Third Circuit held that a for-profit corporation could not "engage in religious exercise" under RFRA or the First Amendment, and that the mandate imposed no requirements on the Hahns in their personal capacity. In No. 13-354, the Greens, their children, and their companies-Hobby Lobby Stores and Mardel-were also denied a preliminary injunction, but the Tenth Circuit reversed. It held that the Greens' businesses are "persons" under RFRA, and that the corporations had established a likelihood of success on their RFRA claim because the contraceptive mandate substantially burdened their exercise of religion and HHS had not demonstrated a compelling interest in enforcing the mandate against them; in the alternative, the court held that HHS had not proved that the mandate was the "least restrictive means" of furthering a compelling governmental interest.</w:t>
      </w:r>
    </w:p>
    <w:p>
      <w:pPr>
        <w:pStyle w:val="CaseBody"/>
      </w:pPr>
      <w:r>
        <w:rPr>
          <w:iCs/>
          <w:i/>
        </w:rPr>
        <w:t xml:space="preserve">Held</w:t>
      </w:r>
      <w:r>
        <w:t xml:space="preserve"> </w:t>
      </w:r>
      <w:r>
        <w:t xml:space="preserve">: As applied to closely held corporations, the HHS regulations imposing the contraceptive mandate violate RFRA. Pp. 2761 - 2785.</w:t>
      </w:r>
    </w:p>
    <w:p>
      <w:pPr>
        <w:pStyle w:val="CaseBody"/>
      </w:pPr>
      <w:r>
        <w:t xml:space="preserve">(a) RFRA applies to regulations that govern the activities of closely held for-profit corporations like Conestoga, Hobby Lobby, and Mardel. Pp. 2761 - 2775.</w:t>
      </w:r>
    </w:p>
    <w:p>
      <w:pPr>
        <w:pStyle w:val="CaseBody"/>
      </w:pPr>
      <w:r>
        <w:t xml:space="preserve">(1) HHS argues that the companies cannot sue because they are for-profit corporations, and that the owners cannot sue because the regulations apply only to the companies, but that would leave merchants with a difficult choice: give up the right to seek judicial protection of their religious liberty or forgo the benefits of operating as corporations. RFRA's text shows that Congress designed the statute to provide very broad protection for religious liberty and did not intend to put merchants to such a choice. It employed the familiar legal fiction of including corporations within RFRA's definition of "persons," but the purpose of extending rights to corporations is to protect the rights of people associated with the corporation, including shareholders, officers, and employees. Protecting the free-exercise rights of closely held corporations thus protects the religious liberty of the humans who own and control them. Pp. 2761 - 2768.</w:t>
      </w:r>
    </w:p>
    <w:p>
      <w:pPr>
        <w:pStyle w:val="CaseBody"/>
      </w:pPr>
      <w:r>
        <w:t xml:space="preserve">(2) HHS and the dissent make several unpersuasive arguments. Pp. 2768 - 2775.</w:t>
      </w:r>
    </w:p>
    <w:p>
      <w:pPr>
        <w:pStyle w:val="CaseBody"/>
      </w:pPr>
      <w:r>
        <w:t xml:space="preserve">(i) Nothing in RFRA suggests a congressional intent to depart from the Dictionary Act definition of "person," which "include[s] corporations, ... as well as individuals."</w:t>
      </w:r>
      <w:r>
        <w:t xml:space="preserve"> </w:t>
      </w:r>
      <w:r>
        <w:t xml:space="preserve">1 U.S.C. § 1</w:t>
      </w:r>
      <w:r>
        <w:t xml:space="preserve">. The Court has entertained RFRA and free-exercise claims brought by nonprofit corporations. See,</w:t>
      </w:r>
      <w:r>
        <w:t xml:space="preserve"> </w:t>
      </w:r>
      <w:r>
        <w:rPr>
          <w:iCs/>
          <w:i/>
        </w:rPr>
        <w:t xml:space="preserve">e.g.,Gonzales v. O Centro Espírita Beneficente Uniao do Vegetal,</w:t>
      </w:r>
      <w:r>
        <w:t xml:space="preserve"> </w:t>
      </w:r>
      <w:r>
        <w:t xml:space="preserve">546 U.S. 418</w:t>
      </w:r>
      <w:r>
        <w:t xml:space="preserve">,</w:t>
      </w:r>
      <w:r>
        <w:t xml:space="preserve"> </w:t>
      </w:r>
      <w:r>
        <w:t xml:space="preserve">126 S.Ct. 1211</w:t>
      </w:r>
      <w:r>
        <w:t xml:space="preserve">,</w:t>
      </w:r>
      <w:r>
        <w:t xml:space="preserve"> </w:t>
      </w:r>
      <w:r>
        <w:t xml:space="preserve">163 L.Ed.2d 1017</w:t>
      </w:r>
      <w:r>
        <w:t xml:space="preserve">.</w:t>
      </w:r>
    </w:p>
    <w:p>
      <w:pPr>
        <w:pStyle w:val="CaseBody"/>
      </w:pPr>
      <w:r>
        <w:t xml:space="preserve">And HHS's concession that a nonprofit corporation can be a "person" under RFRA effectively dispatches any argument that the term does not reach for-profit corporations; no conceivable definition of "person" includes natural persons and nonprofit corporations, but not for-profit corporations. Pp. 2768 - 2769.</w:t>
      </w:r>
    </w:p>
    <w:p>
      <w:pPr>
        <w:pStyle w:val="CaseBody"/>
      </w:pPr>
      <w:r>
        <w:t xml:space="preserve">(ii) HHS and the dissent nonetheless argue that RFRA does not cover Conestoga, Hobby Lobby, and Mardel because they cannot "exercise ... religion." They offer no persuasive explanation for this conclusion. The corporate form alone cannot explain it because RFRA indisputably protects nonprofit corporations. And the profit-making objective of the corporations cannot explain it because the Court has entertained the free-exercise claims of individuals who were attempting to make a profit as retail merchants.</w:t>
      </w:r>
      <w:r>
        <w:t xml:space="preserve"> </w:t>
      </w:r>
      <w:r>
        <w:rPr>
          <w:iCs/>
          <w:i/>
        </w:rPr>
        <w:t xml:space="preserve">Braunfeld v. Brown,</w:t>
      </w:r>
      <w:r>
        <w:t xml:space="preserve"> </w:t>
      </w:r>
      <w:r>
        <w:t xml:space="preserve">366 U.S. 599</w:t>
      </w:r>
      <w:r>
        <w:t xml:space="preserve">,</w:t>
      </w:r>
      <w:r>
        <w:t xml:space="preserve"> </w:t>
      </w:r>
      <w:r>
        <w:t xml:space="preserve">81 S.Ct. 1144</w:t>
      </w:r>
      <w:r>
        <w:t xml:space="preserve">,</w:t>
      </w:r>
      <w:r>
        <w:t xml:space="preserve"> </w:t>
      </w:r>
      <w:r>
        <w:t xml:space="preserve">6 L.Ed.2d 563</w:t>
      </w:r>
      <w:r>
        <w:t xml:space="preserve">. Business practices compelled or limited by the tenets of a religious doctrine fall comfortably within the understanding of the "exercise of religion" that this Court set out in</w:t>
      </w:r>
      <w:r>
        <w:t xml:space="preserve"> </w:t>
      </w:r>
      <w:r>
        <w:rPr>
          <w:iCs/>
          <w:i/>
        </w:rPr>
        <w:t xml:space="preserve">Employment Div., Dept. of Human Resources of Ore. v. Smith,</w:t>
      </w:r>
      <w:r>
        <w:t xml:space="preserve"> </w:t>
      </w:r>
      <w:r>
        <w:t xml:space="preserve">494 U.S. 872</w:t>
      </w:r>
      <w:r>
        <w:t xml:space="preserve">, 877,</w:t>
      </w:r>
      <w:r>
        <w:t xml:space="preserve"> </w:t>
      </w:r>
      <w:r>
        <w:t xml:space="preserve">110 S.Ct. 1595</w:t>
      </w:r>
      <w:r>
        <w:t xml:space="preserve">,</w:t>
      </w:r>
      <w:r>
        <w:t xml:space="preserve"> </w:t>
      </w:r>
      <w:r>
        <w:t xml:space="preserve">108 L.Ed.2d 876</w:t>
      </w:r>
      <w:r>
        <w:t xml:space="preserve">. Any suggestion that for-profit corporations are incapable of exercising religion because their purpose is simply to make money flies in the face of modern corporate law. States, including those in which the plaintiff corporations were incorporated, authorize corporations to pursue any lawful purpose or business, including the pursuit of profit in conformity with the owners' religious principles. Pp. 2769 - 2772.</w:t>
      </w:r>
    </w:p>
    <w:p>
      <w:pPr>
        <w:pStyle w:val="CaseBody"/>
      </w:pPr>
      <w:r>
        <w:t xml:space="preserve">(iii) Also flawed is the claim that RFRA offers no protection because it only codified pre-</w:t>
      </w:r>
      <w:r>
        <w:t xml:space="preserve"> </w:t>
      </w:r>
      <w:r>
        <w:rPr>
          <w:iCs/>
          <w:i/>
        </w:rPr>
        <w:t xml:space="preserve">Smith</w:t>
      </w:r>
      <w:r>
        <w:t xml:space="preserve"> </w:t>
      </w:r>
      <w:r>
        <w:t xml:space="preserve">Free Exercise Clause precedents, none of which squarely recognized free-exercise rights for for-profit corporations. First, nothing in RFRA as originally enacted suggested that its definition of "exercise of religion" was meant to be tied to pre-</w:t>
      </w:r>
      <w:r>
        <w:t xml:space="preserve"> </w:t>
      </w:r>
      <w:r>
        <w:rPr>
          <w:iCs/>
          <w:i/>
        </w:rPr>
        <w:t xml:space="preserve">Smith</w:t>
      </w:r>
      <w:r>
        <w:t xml:space="preserve"> </w:t>
      </w:r>
      <w:r>
        <w:t xml:space="preserve">interpretations of the First Amendment. Second, if RFRA's original text were not clear enough, the RLUIPA amendment surely dispels any doubt that Congress intended to separate the definition of the phrase from that in First Amendment case law. Third, the pre-</w:t>
      </w:r>
      <w:r>
        <w:t xml:space="preserve"> </w:t>
      </w:r>
      <w:r>
        <w:rPr>
          <w:iCs/>
          <w:i/>
        </w:rPr>
        <w:t xml:space="preserve">Smith</w:t>
      </w:r>
      <w:r>
        <w:t xml:space="preserve"> </w:t>
      </w:r>
      <w:r>
        <w:t xml:space="preserve">case of</w:t>
      </w:r>
      <w:r>
        <w:t xml:space="preserve"> </w:t>
      </w:r>
      <w:r>
        <w:rPr>
          <w:iCs/>
          <w:i/>
        </w:rPr>
        <w:t xml:space="preserve">Gallagher v. Crown Kosher Super Market of Mass., Inc.,</w:t>
      </w:r>
      <w:r>
        <w:t xml:space="preserve"> </w:t>
      </w:r>
      <w:r>
        <w:t xml:space="preserve">366 U.S. 617</w:t>
      </w:r>
      <w:r>
        <w:t xml:space="preserve">,</w:t>
      </w:r>
      <w:r>
        <w:t xml:space="preserve"> </w:t>
      </w:r>
      <w:r>
        <w:t xml:space="preserve">81 S.Ct. 1122</w:t>
      </w:r>
      <w:r>
        <w:t xml:space="preserve">,</w:t>
      </w:r>
      <w:r>
        <w:t xml:space="preserve"> </w:t>
      </w:r>
      <w:r>
        <w:t xml:space="preserve">6 L.Ed.2d 536</w:t>
      </w:r>
      <w:r>
        <w:t xml:space="preserve">, suggests, if anything, that for-profit corporations can exercise religion. Finally, the results would be absurd if RFRA, a law enacted to provide very broad protection for religious liberty, merely restored this Court's pre-</w:t>
      </w:r>
      <w:r>
        <w:t xml:space="preserve"> </w:t>
      </w:r>
      <w:r>
        <w:rPr>
          <w:iCs/>
          <w:i/>
        </w:rPr>
        <w:t xml:space="preserve">Smith</w:t>
      </w:r>
      <w:r>
        <w:t xml:space="preserve"> </w:t>
      </w:r>
      <w:r>
        <w:t xml:space="preserve">decisions in ossified form and restricted RFRA claims to plaintiffs who fell within a category of plaintiffs whose claims the Court had recognized before</w:t>
      </w:r>
      <w:r>
        <w:t xml:space="preserve"> </w:t>
      </w:r>
      <w:r>
        <w:rPr>
          <w:iCs/>
          <w:i/>
        </w:rPr>
        <w:t xml:space="preserve">Smith</w:t>
      </w:r>
      <w:r>
        <w:t xml:space="preserve">. Pp. 2772 - 2774.</w:t>
      </w:r>
    </w:p>
    <w:p>
      <w:pPr>
        <w:pStyle w:val="CaseBody"/>
      </w:pPr>
      <w:r>
        <w:t xml:space="preserve">(3) Finally, HHS contends that Congress could not have wanted RFRA to apply to for-profit corporations because of the difficulty of ascertaining the "beliefs" of large, publicly traded corporations, but HHS has not pointed to any example of a publicly traded corporation asserting RFRA rights, and numerous practical restraints would likely prevent that from occurring. HHS has also provided no evidence that the purported problem of determining the sincerity of an asserted religious belief moved Congress to exclude for-profit corporations from RFRA's protection. That disputes among the owners of corporations might arise is not a problem unique to this context. State corporate law provides a ready means for resolving any conflicts by, for example, dictating how a corporation can establish its governing structure. Courts will turn to that structure and the underlying state law in resolving disputes. Pp. 2774 - 2775.</w:t>
      </w:r>
    </w:p>
    <w:p>
      <w:pPr>
        <w:pStyle w:val="CaseBody"/>
      </w:pPr>
      <w:r>
        <w:t xml:space="preserve">(b) HHS's contraceptive mandate substantially burdens the exercise of religion. Pp. 2775 - 2779.</w:t>
      </w:r>
    </w:p>
    <w:p>
      <w:pPr>
        <w:pStyle w:val="CaseBody"/>
      </w:pPr>
      <w:r>
        <w:t xml:space="preserve">(1) It requires the Hahns and Greens to engage in conduct that seriously violates their sincere religious belief that life begins at conception. If they and their companies refuse to provide contraceptive coverage, they face severe economic consequences: about $475 million per year for Hobby Lobby, $33 million per year for Conestoga, and $15 million per year for Mardel. And if they drop coverage altogether, they could face penalties of roughly $26 million for Hobby Lobby, $1.8 million for Conestoga, and $800,000 for Mardel. Pp. 2775 - 2776.</w:t>
      </w:r>
    </w:p>
    <w:p>
      <w:pPr>
        <w:pStyle w:val="CaseBody"/>
      </w:pPr>
      <w:r>
        <w:t xml:space="preserve">(2)</w:t>
      </w:r>
      <w:r>
        <w:t xml:space="preserve"> </w:t>
      </w:r>
      <w:r>
        <w:rPr>
          <w:iCs/>
          <w:i/>
        </w:rPr>
        <w:t xml:space="preserve">Amici</w:t>
      </w:r>
      <w:r>
        <w:t xml:space="preserve"> </w:t>
      </w:r>
      <w:r>
        <w:t xml:space="preserve">supporting HHS argue that the $2,000 per-employee penalty is less than the average cost of providing insurance, and therefore that dropping insurance coverage eliminates any substantial burden imposed by the mandate. HHS has never argued this and the Court does not know its position with respect to the argument. But even if the Court reached the argument, it would find it unpersuasive: It ignores the fact that the plaintiffs have religious reasons for providing health-insurance coverage for their employees, and it is far from clear that the net cost to the companies of providing insurance is more than the cost of dropping their insurance plans and paying the ACA penalty. Pp. 2776 - 2777.</w:t>
      </w:r>
    </w:p>
    <w:p>
      <w:pPr>
        <w:pStyle w:val="CaseBody"/>
      </w:pPr>
      <w:r>
        <w:t xml:space="preserve">(3) HHS argues that the connection between what the objecting parties must do and the end that they find to be morally wrong is too attenuated because it is the employee who will choose the coverage and contraceptive method she uses. But RFRA's question is whether the mandate imposes a substantial burden on the objecting parties' ability to conduct business in accordance with</w:t>
      </w:r>
      <w:r>
        <w:t xml:space="preserve"> </w:t>
      </w:r>
      <w:r>
        <w:rPr>
          <w:iCs/>
          <w:i/>
        </w:rPr>
        <w:t xml:space="preserve">their religious beliefs.</w:t>
      </w:r>
      <w:r>
        <w:t xml:space="preserve"> </w:t>
      </w:r>
      <w:r>
        <w:t xml:space="preserve">The belief of the Hahns and Greens implicates a difficult and important question of religion and moral philosophy, namely, the circumstances under which it is immoral for a person to perform an act that is innocent in itself but that has the effect of enabling or facilitating the commission of an immoral act by another. It is not for the Court to say that the religious beliefs of the plaintiffs are mistaken or unreasonable. In fact, this Court considered and rejected a nearly identical argument in</w:t>
      </w:r>
      <w:r>
        <w:t xml:space="preserve"> </w:t>
      </w:r>
      <w:r>
        <w:rPr>
          <w:iCs/>
          <w:i/>
        </w:rPr>
        <w:t xml:space="preserve">Thomas v. Review Bd. of Indiana Employment Security Div.,</w:t>
      </w:r>
      <w:r>
        <w:t xml:space="preserve"> </w:t>
      </w:r>
      <w:r>
        <w:t xml:space="preserve">450 U.S. 707</w:t>
      </w:r>
      <w:r>
        <w:t xml:space="preserve">,</w:t>
      </w:r>
      <w:r>
        <w:t xml:space="preserve"> </w:t>
      </w:r>
      <w:r>
        <w:t xml:space="preserve">101 S.Ct. 1425</w:t>
      </w:r>
      <w:r>
        <w:t xml:space="preserve">,</w:t>
      </w:r>
      <w:r>
        <w:t xml:space="preserve"> </w:t>
      </w:r>
      <w:r>
        <w:t xml:space="preserve">67 L.Ed.2d 624</w:t>
      </w:r>
      <w:r>
        <w:t xml:space="preserve">. The Court's "narrow function ... is to determine" whether the plaintiffs' asserted religious belief reflects "an honest conviction,"</w:t>
      </w:r>
      <w:r>
        <w:t xml:space="preserve"> </w:t>
      </w:r>
      <w:r>
        <w:rPr>
          <w:iCs/>
          <w:i/>
        </w:rPr>
        <w:t xml:space="preserve">id</w:t>
      </w:r>
      <w:r>
        <w:t xml:space="preserve">., at 716</w:t>
      </w:r>
      <w:r>
        <w:t xml:space="preserve">,</w:t>
      </w:r>
      <w:r>
        <w:t xml:space="preserve"> </w:t>
      </w:r>
      <w:r>
        <w:t xml:space="preserve">101 S.Ct. 1425</w:t>
      </w:r>
      <w:r>
        <w:t xml:space="preserve">, and there is no dispute here that it does.</w:t>
      </w:r>
      <w:r>
        <w:t xml:space="preserve"> </w:t>
      </w:r>
      <w:r>
        <w:rPr>
          <w:iCs/>
          <w:i/>
        </w:rPr>
        <w:t xml:space="preserve">Tilton v. Richardson,</w:t>
      </w:r>
      <w:r>
        <w:t xml:space="preserve"> </w:t>
      </w:r>
      <w:r>
        <w:t xml:space="preserve">403 U.S. 672</w:t>
      </w:r>
      <w:r>
        <w:t xml:space="preserve">, 689,</w:t>
      </w:r>
      <w:r>
        <w:t xml:space="preserve"> </w:t>
      </w:r>
      <w:r>
        <w:t xml:space="preserve">91 S.Ct. 2091</w:t>
      </w:r>
      <w:r>
        <w:t xml:space="preserve">,</w:t>
      </w:r>
      <w:r>
        <w:t xml:space="preserve"> </w:t>
      </w:r>
      <w:r>
        <w:t xml:space="preserve">29 L.Ed.2d 790</w:t>
      </w:r>
      <w:r>
        <w:t xml:space="preserve">; and</w:t>
      </w:r>
      <w:r>
        <w:t xml:space="preserve"> </w:t>
      </w:r>
      <w:r>
        <w:rPr>
          <w:iCs/>
          <w:i/>
        </w:rPr>
        <w:t xml:space="preserve">Board of Ed. of Central School Dist. No. 1 v. Allen,</w:t>
      </w:r>
      <w:r>
        <w:t xml:space="preserve"> </w:t>
      </w:r>
      <w:r>
        <w:t xml:space="preserve">392 U.S. 236</w:t>
      </w:r>
      <w:r>
        <w:t xml:space="preserve">, 248-249,</w:t>
      </w:r>
      <w:r>
        <w:t xml:space="preserve"> </w:t>
      </w:r>
      <w:r>
        <w:t xml:space="preserve">88 S.Ct. 1923</w:t>
      </w:r>
      <w:r>
        <w:t xml:space="preserve">,</w:t>
      </w:r>
      <w:r>
        <w:t xml:space="preserve"> </w:t>
      </w:r>
      <w:r>
        <w:t xml:space="preserve">20 L.Ed.2d 1060</w:t>
      </w:r>
      <w:r>
        <w:t xml:space="preserve">, distinguished. Pp. 2777 - 2779.</w:t>
      </w:r>
    </w:p>
    <w:p>
      <w:pPr>
        <w:pStyle w:val="CaseBody"/>
      </w:pPr>
      <w:r>
        <w:t xml:space="preserve">(c) The Court assumes that the interest in guaranteeing cost-free access to the four challenged contraceptive methods is a compelling governmental interest, but the Government has failed to show that the contraceptive mandate is the least restrictive means of furthering that interest. Pp. 2779 - 2785.</w:t>
      </w:r>
    </w:p>
    <w:p>
      <w:pPr>
        <w:pStyle w:val="CaseBody"/>
      </w:pPr>
      <w:r>
        <w:t xml:space="preserve">(1) The Court assumes that the interest in guaranteeing cost-free access to the four challenged contraceptive methods is compelling within the meaning of RFRA. Pp. 2779 - 2780.</w:t>
      </w:r>
    </w:p>
    <w:p>
      <w:pPr>
        <w:pStyle w:val="CaseBody"/>
      </w:pPr>
      <w:r>
        <w:t xml:space="preserve">(2) The Government has failed to satisfy RFRA's least-restrictive-means standard. HHS has not shown that it lacks other means of achieving its desired goal without imposing a substantial burden on the exercise of religion. The Government could,</w:t>
      </w:r>
      <w:r>
        <w:t xml:space="preserve"> </w:t>
      </w:r>
      <w:r>
        <w:rPr>
          <w:iCs/>
          <w:i/>
        </w:rPr>
        <w:t xml:space="preserve">e.g.,</w:t>
      </w:r>
      <w:r>
        <w:t xml:space="preserve"> </w:t>
      </w:r>
      <w:r>
        <w:t xml:space="preserve">assume the cost of providing the four contraceptives to women unable to obtain coverage due to their employers' religious objections. Or it could extend the accommodation that HHS has already established for religious nonprofit organizations to non-profit employers with religious objections to the contraceptive mandate. That accommodation does not impinge on the plaintiffs' religious beliefs that providing insurance coverage for the contraceptives at issue here violates their religion and it still serves HHS's stated interests. Pp. 2780 - 2783.</w:t>
      </w:r>
    </w:p>
    <w:p>
      <w:pPr>
        <w:pStyle w:val="CaseBody"/>
      </w:pPr>
      <w:r>
        <w:t xml:space="preserve">(3) This decision concerns only the contraceptive mandate and should not be understood to hold that all insurance-coverage mandates,</w:t>
      </w:r>
      <w:r>
        <w:t xml:space="preserve"> </w:t>
      </w:r>
      <w:r>
        <w:rPr>
          <w:iCs/>
          <w:i/>
        </w:rPr>
        <w:t xml:space="preserve">e.g.,</w:t>
      </w:r>
      <w:r>
        <w:t xml:space="preserve"> </w:t>
      </w:r>
      <w:r>
        <w:t xml:space="preserve">for vaccinations or blood transfusions, must necessarily fall if they conflict with an employer's religious beliefs. Nor does it provide a shield for employers who might cloak illegal discrimination as a religious practice.</w:t>
      </w:r>
      <w:r>
        <w:t xml:space="preserve"> </w:t>
      </w:r>
      <w:r>
        <w:rPr>
          <w:iCs/>
          <w:i/>
        </w:rPr>
        <w:t xml:space="preserve">United States v. Lee,</w:t>
      </w:r>
      <w:r>
        <w:t xml:space="preserve"> </w:t>
      </w:r>
      <w:r>
        <w:t xml:space="preserve">455 U.S. 252</w:t>
      </w:r>
      <w:r>
        <w:t xml:space="preserve">,</w:t>
      </w:r>
      <w:r>
        <w:t xml:space="preserve"> </w:t>
      </w:r>
      <w:r>
        <w:t xml:space="preserve">102 S.Ct. 1051</w:t>
      </w:r>
      <w:r>
        <w:t xml:space="preserve">,</w:t>
      </w:r>
      <w:r>
        <w:t xml:space="preserve"> </w:t>
      </w:r>
      <w:r>
        <w:t xml:space="preserve">71 L.Ed.2d 127</w:t>
      </w:r>
      <w:r>
        <w:t xml:space="preserve">, which upheld the payment of Social Security taxes despite an employer's religious objection, is not analogous. It turned primarily on the special problems associated with a national system of taxation; and if</w:t>
      </w:r>
      <w:r>
        <w:t xml:space="preserve"> </w:t>
      </w:r>
      <w:r>
        <w:rPr>
          <w:iCs/>
          <w:i/>
        </w:rPr>
        <w:t xml:space="preserve">Lee</w:t>
      </w:r>
      <w:r>
        <w:t xml:space="preserve"> </w:t>
      </w:r>
      <w:r>
        <w:t xml:space="preserve">were a RFRA case, the fundamental point would still be that there is no less restrictive alternative to the categorical requirement to pay taxes. Here, there is an alternative to the contraceptive mandate. Pp. 2783 - 2785.</w:t>
      </w:r>
    </w:p>
    <w:p>
      <w:pPr>
        <w:pStyle w:val="CaseBody"/>
      </w:pPr>
      <w:r>
        <w:t xml:space="preserve">No. 13-354,</w:t>
      </w:r>
      <w:r>
        <w:t xml:space="preserve"> </w:t>
      </w:r>
      <w:r>
        <w:t xml:space="preserve">723 F.3d 1114</w:t>
      </w:r>
      <w:r>
        <w:t xml:space="preserve">, affirmed; No. 13-356,</w:t>
      </w:r>
      <w:r>
        <w:t xml:space="preserve"> </w:t>
      </w:r>
      <w:r>
        <w:t xml:space="preserve">724 F.3d 377</w:t>
      </w:r>
      <w:r>
        <w:t xml:space="preserve">, reversed and remanded.</w:t>
      </w:r>
    </w:p>
    <w:p>
      <w:pPr>
        <w:pStyle w:val="CaseBody"/>
      </w:pPr>
      <w:r>
        <w:t xml:space="preserve">ALITO, J., delivered the opinion of the Court, in which ROBERTS, C.J., and SCALIA, KENNEDY, and THOMAS, JJ., joined. KENNEDY, J., filed a concurring opinion. GINSBURG, J., filed a dissenting opinion, in which SOTOMAYOR, J., joined, and in which BREYER and KAGAN, JJ., joined as to all but Part III-C-1. BREYER AND KAGAN, JJ., filed a dissenting opinion.</w:t>
      </w:r>
    </w:p>
    <w:p>
      <w:pPr>
        <w:pStyle w:val="CaseBody"/>
      </w:pPr>
      <w:r>
        <w:br/>
      </w:r>
      <w:r>
        <w:t xml:space="preserve">Paul D. Clement, Washington, DC, for the private parties.</w:t>
      </w:r>
    </w:p>
    <w:p>
      <w:pPr>
        <w:pStyle w:val="CaseBody"/>
      </w:pPr>
      <w:r>
        <w:t xml:space="preserve">Donald B. Verrilli, Jr., Solicitor General, for the federal government.</w:t>
      </w:r>
    </w:p>
    <w:p>
      <w:pPr>
        <w:pStyle w:val="CaseBody"/>
      </w:pPr>
      <w:r>
        <w:br/>
      </w:r>
      <w:r>
        <w:t xml:space="preserve">Paul D. Clement, Michael H. McGinley, Bancroft PLLC, Washington, DC, Peter M. Dobelbower, General Counsel and Chief Legal Officer, Hobby Lobby Stores, Inc., Oklahoma City, OK, S. Kyle Duncan, Counsel of Record, Eric C. Rassbach, Luke W. Goodrich, Hannah C. Smith, Mark L. Rienzi, Lori H. Windham, Adèle Auxier Keim, The Becket Fund for Religious Liberty, Washington, DC, Joshua D. Hawley, University of Missouri, Columbia, MO, counsel for Respondents.</w:t>
      </w:r>
    </w:p>
    <w:p>
      <w:pPr>
        <w:pStyle w:val="CaseBody"/>
      </w:pPr>
      <w:r>
        <w:t xml:space="preserve">Donald B. Verrilli, Jr., Solicitor General, Counsel of Record, Stuart F. Delery, Assistant Attorney General, Ian Heath Gershengorn, Edwin S. Kneedler, Deputy Solicitors General, Joseph R. Palmore, Assistant to the Solicitor General, Mark B. Stern, Alisa B. Klein, Washington, DC, for Petitioners.</w:t>
      </w:r>
    </w:p>
    <w:p>
      <w:pPr>
        <w:pStyle w:val="CaseBody"/>
      </w:pPr>
      <w:r>
        <w:t xml:space="preserve">Jordan W. Lorence, Steven H. Aden, Gregory S. Baylor, Matthew S. Bowman, Alliance Defending Freedom, Washington, DC, David A. Cortman, Counsel of Record, Kevin H. Theriot, Rory T. Gray, Alliance Defending Freedom, Lawrenceville, GA, Charles W. Proctor, III, Law Offices of Proctor, Lindsay &amp; Dixon, Chadds Ford, PA, Randall L. Wenger, Independence Law Center, Harrisburg, PA, for Petitioners Conestoga Wood Specialties Corporation et al.</w:t>
      </w:r>
    </w:p>
    <w:p>
      <w:pPr>
        <w:pStyle w:val="CaseBody"/>
      </w:pPr>
      <w:r>
        <w:rPr>
          <w:bCs/>
          <w:b/>
        </w:rPr>
        <w:t xml:space="preserve">Justice ALITO delivered the opinion of the Court.</w:t>
      </w:r>
    </w:p>
    <w:p>
      <w:pPr>
        <w:pStyle w:val="CaseBody"/>
      </w:pPr>
      <w:r>
        <w:t xml:space="preserve">We must decide in these cases whether the Religious Freedom Restoration Act of 1993 (RFRA),</w:t>
      </w:r>
      <w:r>
        <w:t xml:space="preserve"> </w:t>
      </w:r>
      <w:r>
        <w:t xml:space="preserve">107 Stat. 1488</w:t>
      </w:r>
      <w:r>
        <w:t xml:space="preserve">, 42 U.S.C. § 2000bb</w:t>
      </w:r>
      <w:r>
        <w:t xml:space="preserve"> </w:t>
      </w:r>
      <w:r>
        <w:rPr>
          <w:iCs/>
          <w:i/>
        </w:rPr>
        <w:t xml:space="preserve">et seq</w:t>
      </w:r>
      <w:r>
        <w:t xml:space="preserve">., permits the United States Department of Health and Human Services (HHS) to demand that three closely held corporations provide health-insurance coverage for methods of contraception that violate the sincerely held religious beliefs of the companies' owners. We hold that the regulations that impose this obligation violate RFRA, which prohibits the Federal Government from taking any action that substantially burdens the exercise of religion unless that action constitutes the least restrictive means of serving a compelling government interest.</w:t>
      </w:r>
    </w:p>
    <w:p>
      <w:pPr>
        <w:pStyle w:val="CaseBody"/>
      </w:pPr>
      <w:r>
        <w:t xml:space="preserve">In holding that the HHS mandate is unlawful, we reject HHS's argument that the owners of the companies forfeited all RFRA protection when they decided to organize their businesses as corporations rather than sole proprietorships or general partnerships. The plain terms of RFRA make it perfectly clear that Congress did not discriminate in this way against men and women who wish to run their businesses as for-profit corporations in the manner required by their religious beliefs.</w:t>
      </w:r>
    </w:p>
    <w:p>
      <w:pPr>
        <w:pStyle w:val="CaseBody"/>
      </w:pPr>
      <w:r>
        <w:t xml:space="preserve">Since RFRA applies in these cases, we must decide whether the challenged HHS regulations substantially burden the exercise of religion, and we hold that they do. The owners of the businesses have religious objections to abortion, and according to their religious beliefs the four contraceptive methods at issue are abortifacients. If the owners comply with the HHS mandate, they believe they will be facilitating abortions, and if they do not comply, they will pay a very heavy price-as much as $1.3 million per day, or about $475 million per year, in the case of one of the companies. If these consequences do not amount to a substantial burden, it is hard to see what would.</w:t>
      </w:r>
    </w:p>
    <w:p>
      <w:pPr>
        <w:pStyle w:val="CaseBody"/>
      </w:pPr>
      <w:r>
        <w:t xml:space="preserve">Under RFRA, a Government action that imposes a substantial burden on religious exercise must serve a compelling government interest, and we assume that the HHS regulations satisfy this requirement. But in order for the HHS mandate to be sustained, it must also constitute the least restrictive means of serving that interest, and the mandate plainly fails that test. There are other ways in which Congress or HHS could equally ensure that every woman has cost-free access to the particular contraceptives at issue here and, indeed, to all FDA-approved contraceptives.</w:t>
      </w:r>
    </w:p>
    <w:p>
      <w:pPr>
        <w:pStyle w:val="CaseBody"/>
      </w:pPr>
      <w:r>
        <w:t xml:space="preserve">In fact, HHS has already devised and implemented a system that seeks to respect the religious liberty of religious nonprofit corporations while ensuring that the employees of these entities have precisely the same access to all FDA-approved contraceptives as employees of companies whose owners have no religious objections to providing such coverage. The employees of these religious nonprofit corporations still have access to insurance coverage without cost sharing for all FDA-approved contraceptives; and according to HHS, this system imposes no net economic burden on the insurance companies that are required to provide or secure the coverage.</w:t>
      </w:r>
    </w:p>
    <w:p>
      <w:pPr>
        <w:pStyle w:val="CaseBody"/>
      </w:pPr>
      <w:r>
        <w:t xml:space="preserve">Although HHS has made this system available to religious nonprofits that have religious objections to the contraceptive mandate, HHS has provided no reason why the same system cannot be made available when the owners of for-profit corporations have similar religious objections. We therefore conclude that this system constitutes an alternative that achieves all of the Government's aims while providing greater respect for religious liberty. And under RFRA, that conclusion means that enforcement of the HHS contraceptive mandate against the objecting parties in these cases is unlawful.</w:t>
      </w:r>
    </w:p>
    <w:p>
      <w:pPr>
        <w:pStyle w:val="CaseBody"/>
      </w:pPr>
      <w:r>
        <w:t xml:space="preserve">As this description of our reasoning shows, our holding is very specific. We do not hold, as the principal dissent alleges, that for-profit corporations and other commercial enterprises can "opt out of any law (saving only tax laws) they judge incompatible with their sincerely held religious beliefs."</w:t>
      </w:r>
      <w:r>
        <w:t xml:space="preserve"> </w:t>
      </w:r>
      <w:r>
        <w:rPr>
          <w:iCs/>
          <w:i/>
        </w:rPr>
        <w:t xml:space="preserve">Post,</w:t>
      </w:r>
      <w:r>
        <w:t xml:space="preserve"> </w:t>
      </w:r>
      <w:r>
        <w:t xml:space="preserve">at 2787 (opinion of GINSBURG, J.). Nor do we hold, as the dissent implies, that such corporations have free rein to take steps that impose "disadvantages ... on others" or that require "the general public [to] pick up the tab."</w:t>
      </w:r>
      <w:r>
        <w:t xml:space="preserve"> </w:t>
      </w:r>
      <w:r>
        <w:rPr>
          <w:iCs/>
          <w:i/>
        </w:rPr>
        <w:t xml:space="preserve">Post,</w:t>
      </w:r>
      <w:r>
        <w:t xml:space="preserve"> </w:t>
      </w:r>
      <w:r>
        <w:t xml:space="preserve">at 2787</w:t>
      </w:r>
      <w:r>
        <w:t xml:space="preserve"> </w:t>
      </w:r>
      <w:r>
        <w:rPr>
          <w:iCs/>
          <w:i/>
        </w:rPr>
        <w:t xml:space="preserve">.</w:t>
      </w:r>
      <w:r>
        <w:t xml:space="preserve"> </w:t>
      </w:r>
      <w:r>
        <w:t xml:space="preserve">And we certainly do not hold or suggest that "RFRA demands accommodation of a for-profit corporation's religious beliefs no matter the impact that accommodation may have on ... thousands of women employed by Hobby Lobby."</w:t>
      </w:r>
      <w:r>
        <w:t xml:space="preserve"> </w:t>
      </w:r>
      <w:r>
        <w:rPr>
          <w:iCs/>
          <w:i/>
        </w:rPr>
        <w:t xml:space="preserve">Post,</w:t>
      </w:r>
      <w:r>
        <w:t xml:space="preserve"> </w:t>
      </w:r>
      <w:r>
        <w:t xml:space="preserve">at 2787.</w:t>
      </w:r>
      <w:hyperlink w:anchor="X4a165f8711d48cfe4f477240841188e89e494c1">
        <w:r>
          <w:rPr>
            <w:rStyle w:val="Hyperlink"/>
            <w:vertAlign w:val="superscript"/>
          </w:rPr>
          <w:t xml:space="preserve">1</w:t>
        </w:r>
      </w:hyperlink>
      <w:r>
        <w:t xml:space="preserve"> </w:t>
      </w:r>
      <w:r>
        <w:t xml:space="preserve">The effect of the HHS-created accommodation on the women employed by Hobby Lobby and the other companies involved in these cases would be precisely zero. Under that accommodation, these women would still be entitled to all FDA-approved contraceptives without cost sharing.</w:t>
      </w:r>
    </w:p>
    <w:p>
      <w:pPr>
        <w:pStyle w:val="CaseBody"/>
      </w:pPr>
      <w:r>
        <w:rPr>
          <w:bCs/>
          <w:b/>
        </w:rPr>
        <w:t xml:space="preserve">I</w:t>
      </w:r>
    </w:p>
    <w:p>
      <w:pPr>
        <w:pStyle w:val="CaseBody"/>
      </w:pPr>
      <w:r>
        <w:rPr>
          <w:bCs/>
          <w:b/>
        </w:rPr>
        <w:t xml:space="preserve">A</w:t>
      </w:r>
    </w:p>
    <w:p>
      <w:pPr>
        <w:pStyle w:val="CaseBody"/>
      </w:pPr>
      <w:r>
        <w:t xml:space="preserve">Congress enacted RFRA in 1993 in order to provide very broad protection for religious liberty</w:t>
      </w:r>
      <w:r>
        <w:t xml:space="preserve"> </w:t>
      </w:r>
      <w:r>
        <w:rPr>
          <w:iCs/>
          <w:i/>
        </w:rPr>
        <w:t xml:space="preserve">.</w:t>
      </w:r>
      <w:r>
        <w:t xml:space="preserve"> </w:t>
      </w:r>
      <w:r>
        <w:t xml:space="preserve">RFRA's enactment came three years after this Court's decision in</w:t>
      </w:r>
      <w:r>
        <w:t xml:space="preserve"> </w:t>
      </w:r>
      <w:r>
        <w:rPr>
          <w:iCs/>
          <w:i/>
        </w:rPr>
        <w:t xml:space="preserve">Employment Div., Dept. of Human Resources of Ore. v. Smith,</w:t>
      </w:r>
      <w:r>
        <w:t xml:space="preserve"> </w:t>
      </w:r>
      <w:r>
        <w:t xml:space="preserve">494 U.S. 872</w:t>
      </w:r>
      <w:r>
        <w:t xml:space="preserve">,</w:t>
      </w:r>
      <w:r>
        <w:t xml:space="preserve"> </w:t>
      </w:r>
      <w:r>
        <w:t xml:space="preserve">110 S.Ct. 1595</w:t>
      </w:r>
      <w:r>
        <w:t xml:space="preserve">,</w:t>
      </w:r>
      <w:r>
        <w:t xml:space="preserve"> </w:t>
      </w:r>
      <w:r>
        <w:t xml:space="preserve">108 L.Ed.2d 876</w:t>
      </w:r>
      <w:r>
        <w:t xml:space="preserve"> </w:t>
      </w:r>
      <w:r>
        <w:t xml:space="preserve">(1990), which largely repudiated the method of analyzing free-exercise claims that had been used in cases like</w:t>
      </w:r>
      <w:r>
        <w:t xml:space="preserve"> </w:t>
      </w:r>
      <w:r>
        <w:rPr>
          <w:iCs/>
          <w:i/>
        </w:rPr>
        <w:t xml:space="preserve">Sherbert v. Verner,</w:t>
      </w:r>
      <w:r>
        <w:t xml:space="preserve"> </w:t>
      </w:r>
      <w:r>
        <w:t xml:space="preserve">374 U.S. 398</w:t>
      </w:r>
      <w:r>
        <w:t xml:space="preserve">,</w:t>
      </w:r>
      <w:r>
        <w:t xml:space="preserve"> </w:t>
      </w:r>
      <w:r>
        <w:t xml:space="preserve">83 S.Ct. 1790</w:t>
      </w:r>
      <w:r>
        <w:t xml:space="preserve">,</w:t>
      </w:r>
      <w:r>
        <w:t xml:space="preserve"> </w:t>
      </w:r>
      <w:r>
        <w:t xml:space="preserve">10 L.Ed.2d 965</w:t>
      </w:r>
      <w:r>
        <w:t xml:space="preserve"> </w:t>
      </w:r>
      <w:r>
        <w:t xml:space="preserve">(1963), and</w:t>
      </w:r>
      <w:r>
        <w:t xml:space="preserve"> </w:t>
      </w:r>
      <w:r>
        <w:rPr>
          <w:iCs/>
          <w:i/>
        </w:rPr>
        <w:t xml:space="preserve">Wisconsin v. Yoder,</w:t>
      </w:r>
      <w:r>
        <w:t xml:space="preserve"> </w:t>
      </w:r>
      <w:r>
        <w:t xml:space="preserve">406 U.S. 205</w:t>
      </w:r>
      <w:r>
        <w:t xml:space="preserve">,</w:t>
      </w:r>
      <w:r>
        <w:t xml:space="preserve"> </w:t>
      </w:r>
      <w:r>
        <w:t xml:space="preserve">92 S.Ct. 1526</w:t>
      </w:r>
      <w:r>
        <w:t xml:space="preserve">,</w:t>
      </w:r>
      <w:r>
        <w:t xml:space="preserve"> </w:t>
      </w:r>
      <w:r>
        <w:t xml:space="preserve">32 L.Ed.2d 15</w:t>
      </w:r>
      <w:r>
        <w:t xml:space="preserve"> </w:t>
      </w:r>
      <w:r>
        <w:t xml:space="preserve">(1972). In determining whether challenged government actions violated the Free Exercise Clause of the First Amendment, those decisions used a balancing test that took into account whether the challenged action imposed a substantial burden on the practice of religion, and if it did, whether it was needed to serve a compelling government interest. Applying this test, the Court held in</w:t>
      </w:r>
      <w:r>
        <w:t xml:space="preserve"> </w:t>
      </w:r>
      <w:r>
        <w:rPr>
          <w:iCs/>
          <w:i/>
        </w:rPr>
        <w:t xml:space="preserve">Sherbert</w:t>
      </w:r>
      <w:r>
        <w:t xml:space="preserve"> </w:t>
      </w:r>
      <w:r>
        <w:t xml:space="preserve">that an employee who was fired for refusing to work on her Sabbath could not be denied unemployment benefits.</w:t>
      </w:r>
      <w:r>
        <w:t xml:space="preserve"> </w:t>
      </w:r>
      <w:r>
        <w:t xml:space="preserve">374 U.S., at 408-409</w:t>
      </w:r>
      <w:r>
        <w:t xml:space="preserve">,</w:t>
      </w:r>
      <w:r>
        <w:t xml:space="preserve"> </w:t>
      </w:r>
      <w:r>
        <w:t xml:space="preserve">83 S.Ct. 1790</w:t>
      </w:r>
      <w:r>
        <w:t xml:space="preserve">. And in</w:t>
      </w:r>
      <w:r>
        <w:t xml:space="preserve"> </w:t>
      </w:r>
      <w:r>
        <w:rPr>
          <w:iCs/>
          <w:i/>
        </w:rPr>
        <w:t xml:space="preserve">Yoder</w:t>
      </w:r>
      <w:r>
        <w:t xml:space="preserve">, the Court held that Amish children could not be required to comply with a state law demanding that they remain in school until the age of 16 even though their religion required them to focus on uniquely Amish values and beliefs during their formative adolescent years.</w:t>
      </w:r>
      <w:r>
        <w:t xml:space="preserve"> </w:t>
      </w:r>
      <w:r>
        <w:t xml:space="preserve">406 U.S., at 210-211, 234-236</w:t>
      </w:r>
      <w:r>
        <w:t xml:space="preserve">,</w:t>
      </w:r>
      <w:r>
        <w:t xml:space="preserve"> </w:t>
      </w:r>
      <w:r>
        <w:t xml:space="preserve">92 S.Ct. 1526</w:t>
      </w:r>
      <w:r>
        <w:t xml:space="preserve">.</w:t>
      </w:r>
    </w:p>
    <w:p>
      <w:pPr>
        <w:pStyle w:val="CaseBody"/>
      </w:pPr>
      <w:r>
        <w:t xml:space="preserve">In</w:t>
      </w:r>
      <w:r>
        <w:t xml:space="preserve"> </w:t>
      </w:r>
      <w:r>
        <w:rPr>
          <w:iCs/>
          <w:i/>
        </w:rPr>
        <w:t xml:space="preserve">Smith,</w:t>
      </w:r>
      <w:r>
        <w:t xml:space="preserve"> </w:t>
      </w:r>
      <w:r>
        <w:t xml:space="preserve">however, the Court rejected "the balancing test set forth in</w:t>
      </w:r>
      <w:r>
        <w:t xml:space="preserve"> </w:t>
      </w:r>
      <w:r>
        <w:rPr>
          <w:iCs/>
          <w:i/>
        </w:rPr>
        <w:t xml:space="preserve">Sherbert</w:t>
      </w:r>
      <w:r>
        <w:t xml:space="preserve">."</w:t>
      </w:r>
      <w:r>
        <w:t xml:space="preserve"> </w:t>
      </w:r>
      <w:r>
        <w:t xml:space="preserve">494 U.S., at 883</w:t>
      </w:r>
      <w:r>
        <w:t xml:space="preserve">,</w:t>
      </w:r>
      <w:r>
        <w:t xml:space="preserve"> </w:t>
      </w:r>
      <w:r>
        <w:t xml:space="preserve">110 S.Ct. 1595</w:t>
      </w:r>
      <w:r>
        <w:t xml:space="preserve">.</w:t>
      </w:r>
      <w:r>
        <w:t xml:space="preserve"> </w:t>
      </w:r>
      <w:r>
        <w:rPr>
          <w:iCs/>
          <w:i/>
        </w:rPr>
        <w:t xml:space="preserve">Smith</w:t>
      </w:r>
      <w:r>
        <w:t xml:space="preserve"> </w:t>
      </w:r>
      <w:r>
        <w:t xml:space="preserve">concerned two members of the Native American Church who were fired for ingesting peyote for sacramental purposes. When they sought unemployment benefits, the State of Oregon rejected their claims on the ground that consumption of peyote was a crime, but the Oregon Supreme Court, applying the</w:t>
      </w:r>
      <w:r>
        <w:t xml:space="preserve"> </w:t>
      </w:r>
      <w:r>
        <w:rPr>
          <w:iCs/>
          <w:i/>
        </w:rPr>
        <w:t xml:space="preserve">Sherbert</w:t>
      </w:r>
      <w:r>
        <w:t xml:space="preserve"> </w:t>
      </w:r>
      <w:r>
        <w:t xml:space="preserve">test, held that the denial of benefits violated the Free Exercise Clause.</w:t>
      </w:r>
      <w:r>
        <w:t xml:space="preserve"> </w:t>
      </w:r>
      <w:r>
        <w:t xml:space="preserve">494 U.S., at 875</w:t>
      </w:r>
      <w:r>
        <w:t xml:space="preserve">,</w:t>
      </w:r>
      <w:r>
        <w:t xml:space="preserve"> </w:t>
      </w:r>
      <w:r>
        <w:t xml:space="preserve">110 S.Ct. 1595</w:t>
      </w:r>
      <w:r>
        <w:t xml:space="preserve">.</w:t>
      </w:r>
    </w:p>
    <w:p>
      <w:pPr>
        <w:pStyle w:val="CaseBody"/>
      </w:pPr>
      <w:r>
        <w:t xml:space="preserve">This Court then reversed, observing that use of the</w:t>
      </w:r>
      <w:r>
        <w:t xml:space="preserve"> </w:t>
      </w:r>
      <w:r>
        <w:rPr>
          <w:iCs/>
          <w:i/>
        </w:rPr>
        <w:t xml:space="preserve">Sherbert</w:t>
      </w:r>
      <w:r>
        <w:t xml:space="preserve"> </w:t>
      </w:r>
      <w:r>
        <w:t xml:space="preserve">test whenever a person objected on religious grounds to the enforcement of a generally applicable law "would open the prospect of constitutionally required religious exemptions from civic obligations of almost every conceivable kind."</w:t>
      </w:r>
      <w:r>
        <w:t xml:space="preserve"> </w:t>
      </w:r>
      <w:r>
        <w:t xml:space="preserve">494 U.S., at 888</w:t>
      </w:r>
      <w:r>
        <w:t xml:space="preserve">,</w:t>
      </w:r>
      <w:r>
        <w:t xml:space="preserve"> </w:t>
      </w:r>
      <w:r>
        <w:t xml:space="preserve">110 S.Ct. 1595</w:t>
      </w:r>
      <w:r>
        <w:t xml:space="preserve">. The Court therefore held that, under the First Amendment, "neutral, generally applicable laws may be applied to religious practices even when not supported by a compelling governmental interest."</w:t>
      </w:r>
      <w:r>
        <w:t xml:space="preserve"> </w:t>
      </w:r>
      <w:r>
        <w:rPr>
          <w:iCs/>
          <w:i/>
        </w:rPr>
        <w:t xml:space="preserve">City of Boerne v. Flores,</w:t>
      </w:r>
      <w:r>
        <w:t xml:space="preserve"> </w:t>
      </w:r>
      <w:r>
        <w:t xml:space="preserve">521 U.S. 507</w:t>
      </w:r>
      <w:r>
        <w:t xml:space="preserve">, 514,</w:t>
      </w:r>
      <w:r>
        <w:t xml:space="preserve"> </w:t>
      </w:r>
      <w:r>
        <w:t xml:space="preserve">117 S.Ct. 2157</w:t>
      </w:r>
      <w:r>
        <w:t xml:space="preserve">,</w:t>
      </w:r>
      <w:r>
        <w:t xml:space="preserve"> </w:t>
      </w:r>
      <w:r>
        <w:t xml:space="preserve">138 L.Ed.2d 624</w:t>
      </w:r>
      <w:r>
        <w:t xml:space="preserve"> </w:t>
      </w:r>
      <w:r>
        <w:t xml:space="preserve">(1997).</w:t>
      </w:r>
    </w:p>
    <w:p>
      <w:pPr>
        <w:pStyle w:val="CaseBody"/>
      </w:pPr>
      <w:r>
        <w:t xml:space="preserve">Congress responded to</w:t>
      </w:r>
      <w:r>
        <w:t xml:space="preserve"> </w:t>
      </w:r>
      <w:r>
        <w:rPr>
          <w:iCs/>
          <w:i/>
        </w:rPr>
        <w:t xml:space="preserve">Smith</w:t>
      </w:r>
      <w:r>
        <w:t xml:space="preserve"> </w:t>
      </w:r>
      <w:r>
        <w:t xml:space="preserve">by enacting RFRA. "[L]aws [that are] 'neutral' toward religion," Congress found, "may burden religious exercise as surely as laws intended to interfere with religious exercise." 42 U.S.C. § 2000bb(a)(2); see also § 2000bb(a)(4). In order to ensure broad protection for religious liberty, RFRA provides that "Government shall not substantially burden a person's exercise of religion even if the burden results from a rule of general applicability." § 2000bb-1(a).</w:t>
      </w:r>
      <w:hyperlink w:anchor="Xde9927157f0f80aa6d6220716178861a043ef12">
        <w:r>
          <w:rPr>
            <w:rStyle w:val="Hyperlink"/>
            <w:vertAlign w:val="superscript"/>
          </w:rPr>
          <w:t xml:space="preserve">2</w:t>
        </w:r>
      </w:hyperlink>
      <w:r>
        <w:t xml:space="preserve"> </w:t>
      </w:r>
      <w:r>
        <w:t xml:space="preserve">If the Government substantially burdens a person's exercise of religion, under the Act that person is entitled to an exemption from the rule unless the Government "demonstrates that application of the burden to the person-(1) is in furtherance of a compelling governmental interest; and (2) is the least restrictive means of furthering that compelling governmental interest." § 2000bb-1(b).</w:t>
      </w:r>
      <w:hyperlink w:anchor="Xe9d0680bd2a519f3a865d2781d6332bfff51f09">
        <w:r>
          <w:rPr>
            <w:rStyle w:val="Hyperlink"/>
            <w:vertAlign w:val="superscript"/>
          </w:rPr>
          <w:t xml:space="preserve">3</w:t>
        </w:r>
      </w:hyperlink>
    </w:p>
    <w:p>
      <w:pPr>
        <w:pStyle w:val="CaseBody"/>
      </w:pPr>
      <w:r>
        <w:t xml:space="preserve">As enacted in 1993, RFRA applied to both the Federal Government and the States, but the constitutional authority invoked for regulating federal and state agencies differed. As applied to a federal agency, RFRA is based on the enumerated power that supports the particular agency's work,</w:t>
      </w:r>
      <w:hyperlink w:anchor="X1a88b60074d7510d1262393783cf48cc63e985a">
        <w:r>
          <w:rPr>
            <w:rStyle w:val="Hyperlink"/>
            <w:vertAlign w:val="superscript"/>
          </w:rPr>
          <w:t xml:space="preserve">4</w:t>
        </w:r>
      </w:hyperlink>
      <w:r>
        <w:t xml:space="preserve"> </w:t>
      </w:r>
      <w:r>
        <w:t xml:space="preserve">but in attempting to regulate the States and their subdivisions, Congress relied on its power under Section 5 of the Fourteenth Amendment to enforce the First Amendment.</w:t>
      </w:r>
      <w:r>
        <w:t xml:space="preserve"> </w:t>
      </w:r>
      <w:r>
        <w:t xml:space="preserve">521 U.S., at 516-517</w:t>
      </w:r>
      <w:r>
        <w:t xml:space="preserve">,</w:t>
      </w:r>
      <w:r>
        <w:t xml:space="preserve"> </w:t>
      </w:r>
      <w:r>
        <w:t xml:space="preserve">117 S.Ct. 2157</w:t>
      </w:r>
      <w:r>
        <w:t xml:space="preserve">. In</w:t>
      </w:r>
      <w:r>
        <w:t xml:space="preserve"> </w:t>
      </w:r>
      <w:r>
        <w:rPr>
          <w:iCs/>
          <w:i/>
        </w:rPr>
        <w:t xml:space="preserve">City of Boerne,</w:t>
      </w:r>
      <w:r>
        <w:t xml:space="preserve"> </w:t>
      </w:r>
      <w:r>
        <w:t xml:space="preserve">however, we held that Congress had overstepped its Section 5 authority because "[t]he stringent test RFRA demands" "far exceed[ed] any pattern or practice of unconstitutional conduct under the Free Exercise Clause as interpreted in</w:t>
      </w:r>
      <w:r>
        <w:t xml:space="preserve"> </w:t>
      </w:r>
      <w:r>
        <w:rPr>
          <w:iCs/>
          <w:i/>
        </w:rPr>
        <w:t xml:space="preserve">Smith</w:t>
      </w:r>
      <w:r>
        <w:t xml:space="preserve">."</w:t>
      </w:r>
      <w:r>
        <w:t xml:space="preserve"> </w:t>
      </w:r>
      <w:r>
        <w:rPr>
          <w:iCs/>
          <w:i/>
        </w:rPr>
        <w:t xml:space="preserve">Id.,</w:t>
      </w:r>
      <w:r>
        <w:t xml:space="preserve"> </w:t>
      </w:r>
      <w:r>
        <w:t xml:space="preserve">at 533-534</w:t>
      </w:r>
      <w:r>
        <w:t xml:space="preserve">,</w:t>
      </w:r>
      <w:r>
        <w:t xml:space="preserve"> </w:t>
      </w:r>
      <w:r>
        <w:t xml:space="preserve">117 S.Ct. 2157</w:t>
      </w:r>
      <w:r>
        <w:t xml:space="preserve">. See also</w:t>
      </w:r>
      <w:r>
        <w:t xml:space="preserve"> </w:t>
      </w:r>
      <w:r>
        <w:rPr>
          <w:iCs/>
          <w:i/>
        </w:rPr>
        <w:t xml:space="preserve">id.,</w:t>
      </w:r>
      <w:r>
        <w:t xml:space="preserve"> </w:t>
      </w:r>
      <w:r>
        <w:t xml:space="preserve">at 532</w:t>
      </w:r>
      <w:r>
        <w:t xml:space="preserve">,</w:t>
      </w:r>
      <w:r>
        <w:t xml:space="preserve"> </w:t>
      </w:r>
      <w:r>
        <w:t xml:space="preserve">117 S.Ct. 2157</w:t>
      </w:r>
      <w:r>
        <w:t xml:space="preserve">.</w:t>
      </w:r>
    </w:p>
    <w:p>
      <w:pPr>
        <w:pStyle w:val="CaseBody"/>
      </w:pPr>
      <w:r>
        <w:t xml:space="preserve">Following our decision in</w:t>
      </w:r>
      <w:r>
        <w:t xml:space="preserve"> </w:t>
      </w:r>
      <w:r>
        <w:rPr>
          <w:iCs/>
          <w:i/>
        </w:rPr>
        <w:t xml:space="preserve">City of Boerne,</w:t>
      </w:r>
      <w:r>
        <w:t xml:space="preserve"> </w:t>
      </w:r>
      <w:r>
        <w:t xml:space="preserve">Congress passed the Religious Land Use and Institutionalized Persons Act of 2000 (RLUIPA),</w:t>
      </w:r>
      <w:r>
        <w:t xml:space="preserve"> </w:t>
      </w:r>
      <w:r>
        <w:t xml:space="preserve">114 Stat. 803</w:t>
      </w:r>
      <w:r>
        <w:t xml:space="preserve">, 42 U.S.C. § 2000cc</w:t>
      </w:r>
      <w:r>
        <w:t xml:space="preserve"> </w:t>
      </w:r>
      <w:r>
        <w:rPr>
          <w:iCs/>
          <w:i/>
        </w:rPr>
        <w:t xml:space="preserve">et seq</w:t>
      </w:r>
      <w:r>
        <w:t xml:space="preserve">. That statute, enacted under Congress's Commerce and Spending Clause powers, imposes the same general test as RFRA but on a more limited category of governmental actions. See</w:t>
      </w:r>
      <w:r>
        <w:t xml:space="preserve"> </w:t>
      </w:r>
      <w:r>
        <w:rPr>
          <w:iCs/>
          <w:i/>
        </w:rPr>
        <w:t xml:space="preserve">Cutter v. Wilkinson,</w:t>
      </w:r>
      <w:r>
        <w:t xml:space="preserve"> </w:t>
      </w:r>
      <w:r>
        <w:t xml:space="preserve">544 U.S. 709</w:t>
      </w:r>
      <w:r>
        <w:t xml:space="preserve">, 715-716,</w:t>
      </w:r>
      <w:r>
        <w:t xml:space="preserve"> </w:t>
      </w:r>
      <w:r>
        <w:t xml:space="preserve">125 S.Ct. 2113</w:t>
      </w:r>
      <w:r>
        <w:t xml:space="preserve">,</w:t>
      </w:r>
      <w:r>
        <w:t xml:space="preserve"> </w:t>
      </w:r>
      <w:r>
        <w:t xml:space="preserve">161 L.Ed.2d 1020</w:t>
      </w:r>
      <w:r>
        <w:t xml:space="preserve"> </w:t>
      </w:r>
      <w:r>
        <w:t xml:space="preserve">(2005). And, what is most relevant for present purposes, RLUIPA amended RFRA's definition of the "exercise of religion." See § 2000bb-2(4) (importing RLUIPA definition). Before RLUIPA, RFRA's definition made reference to the First Amendment. See § 2000bb-2(4) (1994 ed.) (defining "exercise of religion" as "the exercise of religion under the First Amendment"). In RLUIPA, in an obvious effort to effect a complete separation from First Amendment case law, Congress deleted the reference to the First Amendment and defined the "exercise of religion" to include "any exercise of religion, whether or not compelled by, or central to, a system of religious belief." § 2000cc-5(7)(A). And Congress mandated that this concept "be construed in favor of a broad protection of religious exercise, to the maximum extent permitted by the terms of this chapter and the Constitution." § 2000cc-3(g).</w:t>
      </w:r>
      <w:hyperlink w:anchor="X25924055b0176946ed30e415ed6ccb7da679095">
        <w:r>
          <w:rPr>
            <w:rStyle w:val="Hyperlink"/>
            <w:vertAlign w:val="superscript"/>
          </w:rPr>
          <w:t xml:space="preserve">5</w:t>
        </w:r>
      </w:hyperlink>
    </w:p>
    <w:p>
      <w:pPr>
        <w:pStyle w:val="CaseBody"/>
      </w:pPr>
      <w:r>
        <w:rPr>
          <w:bCs/>
          <w:b/>
        </w:rPr>
        <w:t xml:space="preserve">B</w:t>
      </w:r>
    </w:p>
    <w:p>
      <w:pPr>
        <w:pStyle w:val="CaseBody"/>
      </w:pPr>
      <w:r>
        <w:t xml:space="preserve">At issue in these cases are HHS regulations promulgated under the Patient Protection and Affordable Care Act of 2010(ACA),</w:t>
      </w:r>
      <w:r>
        <w:t xml:space="preserve"> </w:t>
      </w:r>
      <w:r>
        <w:t xml:space="preserve">124 Stat. 119</w:t>
      </w:r>
      <w:r>
        <w:t xml:space="preserve">. ACA generally requires employers with 50 or more full-time employees to offer "a group health plan or group health insurance coverage" that provides "minimum essential coverage." 26 U.S.C. § 5000A(f)(2); §§ 4980H(a), (c)(2). Any covered employer that does not provide such coverage must pay a substantial price. Specifically, if a covered employer provides group health insurance but its plan fails to comply with ACA's group-health-plan requirements, the employer may be required to pay $100 per day for each affected "individual." §§ 4980D(a)-(b). And if the employer decides to stop providing health insurance altogether and at least one full-time employee enrolls in a health plan and qualifies for a subsidy on one of the government-run ACA exchanges, the employer must pay $2,000 per year for each of its full-time employees. §§ 4980H(a), (c)(1).</w:t>
      </w:r>
    </w:p>
    <w:p>
      <w:pPr>
        <w:pStyle w:val="CaseBody"/>
      </w:pPr>
      <w:r>
        <w:t xml:space="preserve">Unless an exception applies, ACA requires an employer's group health plan or group-health-insurance coverage to furnish "preventive care and screenings" for women without "any cost sharing requirements." 42 U.S.C. § 300gg-13(a)(4). Congress itself, however, did not specify what types of preventive care must be covered. Instead, Congress authorized the Health Resources and Services Administration (HRSA), a component of HHS, to make that important and sensitive decision.</w:t>
      </w:r>
      <w:r>
        <w:t xml:space="preserve"> </w:t>
      </w:r>
      <w:r>
        <w:rPr>
          <w:iCs/>
          <w:i/>
        </w:rPr>
        <w:t xml:space="preserve">Ibid</w:t>
      </w:r>
      <w:r>
        <w:t xml:space="preserve">.</w:t>
      </w:r>
      <w:r>
        <w:t xml:space="preserve"> </w:t>
      </w:r>
      <w:r>
        <w:t xml:space="preserve">The HRSA in turn consulted the Institute of Medicine, a nonprofit group of volunteer advisers, in determining which preventive services to require. See 77 Fed.Reg. 8725-8726 (2012).</w:t>
      </w:r>
    </w:p>
    <w:p>
      <w:pPr>
        <w:pStyle w:val="CaseBody"/>
      </w:pPr>
      <w:r>
        <w:t xml:space="preserve">In August 2011, based on the Institute's recommendations, the HRSA promulgated the Women's Preventive Services Guidelines. See</w:t>
      </w:r>
      <w:r>
        <w:t xml:space="preserve"> </w:t>
      </w:r>
      <w:r>
        <w:rPr>
          <w:iCs/>
          <w:i/>
        </w:rPr>
        <w:t xml:space="preserve">id.,</w:t>
      </w:r>
      <w:r>
        <w:t xml:space="preserve"> </w:t>
      </w:r>
      <w:r>
        <w:t xml:space="preserve">at 8725-8726, and n. 1; online at http:// hrsa. gov/ womens guidelines (all Internet materials as visited June 26, 2014, and available in Clerk of Court's case file). The Guidelines provide that nonexempt employers are generally required to provide "coverage, without cost sharing" for "[a]ll Food and Drug Administration [ (FDA) ] approved contraceptive methods, sterilization procedures, and patient education and counseling." 77 Fed.Reg. 8725 (internal quotation marks omitted)</w:t>
      </w:r>
      <w:r>
        <w:t xml:space="preserve"> </w:t>
      </w:r>
      <w:r>
        <w:rPr>
          <w:iCs/>
          <w:i/>
        </w:rPr>
        <w:t xml:space="preserve">.</w:t>
      </w:r>
      <w:r>
        <w:t xml:space="preserve"> </w:t>
      </w:r>
      <w:r>
        <w:t xml:space="preserve">Although many of the required, FDA-approved methods of contraception work by preventing the fertilization of an egg, four of those methods (those specifically at issue in these cases) may have the effect of preventing an already fertilized egg from developing any further by inhibiting its attachment to the uterus. See Brief for HHS in No. 13-354, pp. 9-10, n. 4;</w:t>
      </w:r>
      <w:r>
        <w:t xml:space="preserve"> </w:t>
      </w:r>
      <w:hyperlink w:anchor="Xb514e4c8dfcec26d033f5d9ceb97f72cf32abc0">
        <w:r>
          <w:rPr>
            <w:rStyle w:val="Hyperlink"/>
            <w:vertAlign w:val="superscript"/>
          </w:rPr>
          <w:t xml:space="preserve">6</w:t>
        </w:r>
      </w:hyperlink>
      <w:r>
        <w:t xml:space="preserve"> </w:t>
      </w:r>
      <w:r>
        <w:t xml:space="preserve">FDA, Birth Control: Medicines to Help You.</w:t>
      </w:r>
      <w:hyperlink w:anchor="X7b7a7f782b302d651f7598400157ba57c6b38c6">
        <w:r>
          <w:rPr>
            <w:rStyle w:val="Hyperlink"/>
            <w:vertAlign w:val="superscript"/>
          </w:rPr>
          <w:t xml:space="preserve">7</w:t>
        </w:r>
      </w:hyperlink>
    </w:p>
    <w:p>
      <w:pPr>
        <w:pStyle w:val="CaseBody"/>
      </w:pPr>
      <w:r>
        <w:t xml:space="preserve">HHS also authorized the HRSA to establish exemptions from the contraceptive mandate for "religious employers."</w:t>
      </w:r>
      <w:r>
        <w:t xml:space="preserve"> </w:t>
      </w:r>
      <w:r>
        <w:t xml:space="preserve">45 CFR § 147.131</w:t>
      </w:r>
      <w:r>
        <w:t xml:space="preserve">(a). That category encompasses "churches, their integrated auxiliaries, and conventions or associations of churches," as well as "the exclusively religious activities of any religious order." See</w:t>
      </w:r>
      <w:r>
        <w:t xml:space="preserve"> </w:t>
      </w:r>
      <w:r>
        <w:rPr>
          <w:iCs/>
          <w:i/>
        </w:rPr>
        <w:t xml:space="preserve">ibid</w:t>
      </w:r>
      <w:r>
        <w:t xml:space="preserve"> </w:t>
      </w:r>
      <w:r>
        <w:t xml:space="preserve">(citing</w:t>
      </w:r>
      <w:r>
        <w:t xml:space="preserve"> </w:t>
      </w:r>
      <w:r>
        <w:t xml:space="preserve">26 U.S.C. §§ 6033</w:t>
      </w:r>
      <w:r>
        <w:t xml:space="preserve">(a)(3)(A)(i), (iii)). In its Guidelines, HRSA exempted these organizations from the requirement to cover contraceptive services. See http:// hrsa. gov/ womens guidelines.</w:t>
      </w:r>
    </w:p>
    <w:p>
      <w:pPr>
        <w:pStyle w:val="CaseBody"/>
      </w:pPr>
      <w:r>
        <w:t xml:space="preserve">In addition, HHS has effectively exempted certain religious nonprofit organizations, described under HHS regulations as "eligible organizations," from the contraceptive mandate. See</w:t>
      </w:r>
      <w:r>
        <w:t xml:space="preserve"> </w:t>
      </w:r>
      <w:r>
        <w:t xml:space="preserve">45 CFR § 147.131</w:t>
      </w:r>
      <w:r>
        <w:t xml:space="preserve">(b); 78 Fed.Reg. 39874 (2013). An "eligible organization" means a nonprofit organization that "holds itself out as a religious organization" and "opposes providing coverage for some or all of any contraceptive services required to be covered ... on account of religious objections."</w:t>
      </w:r>
      <w:r>
        <w:t xml:space="preserve"> </w:t>
      </w:r>
      <w:r>
        <w:t xml:space="preserve">45 CFR § 147.131</w:t>
      </w:r>
      <w:r>
        <w:t xml:space="preserve">(b). To qualify for this accommodation, an employer must certify that it is such an organization. § 147.131(b)(4). When a group-health-insurance issuer receives notice that one of its clients has invoked this provision, the issuer must then exclude contraceptive coverage from the employer's plan and provide separate payments for contraceptive services for plan participants without imposing any cost-sharing requirements on the eligible organization, its insurance plan, or its employee beneficiaries. § 147.131(c).</w:t>
      </w:r>
      <w:hyperlink w:anchor="Xd82bc5e8ea79842727f45d3dea147f296b8ee66">
        <w:r>
          <w:rPr>
            <w:rStyle w:val="Hyperlink"/>
            <w:vertAlign w:val="superscript"/>
          </w:rPr>
          <w:t xml:space="preserve">8</w:t>
        </w:r>
      </w:hyperlink>
      <w:r>
        <w:t xml:space="preserve"> </w:t>
      </w:r>
      <w:r>
        <w:t xml:space="preserve">Although this procedure requires the issuer to bear the cost of these services, HHS has determined that this obligation will not impose any net expense on issuers because its cost will be less than or equal to the cost savings resulting from the services. 78 Fed.Reg. 39877.</w:t>
      </w:r>
      <w:hyperlink w:anchor="X1573892b32fb07387e235074a8aa6993fe3b84b">
        <w:r>
          <w:rPr>
            <w:rStyle w:val="Hyperlink"/>
            <w:vertAlign w:val="superscript"/>
          </w:rPr>
          <w:t xml:space="preserve">9</w:t>
        </w:r>
      </w:hyperlink>
    </w:p>
    <w:p>
      <w:pPr>
        <w:pStyle w:val="CaseBody"/>
      </w:pPr>
      <w:r>
        <w:t xml:space="preserve">In addition to these exemptions for religious organizations, ACA exempts a great many employers from most of its coverage requirements. Employers providing "grandfathered health plans"-those that existed prior to March 23, 2010, and that have not made specified changes after that date-need not comply with many of the Act's requirements, including the contraceptive mandate.</w:t>
      </w:r>
      <w:r>
        <w:t xml:space="preserve"> </w:t>
      </w:r>
      <w:r>
        <w:t xml:space="preserve">42 U.S.C. §§ 18011</w:t>
      </w:r>
      <w:r>
        <w:t xml:space="preserve">(a), (e). And employers with fewer than 50 employees are not required to provide health insurance at all. 26 U.S.C. § 4980H(c)(2).</w:t>
      </w:r>
    </w:p>
    <w:p>
      <w:pPr>
        <w:pStyle w:val="CaseBody"/>
      </w:pPr>
      <w:r>
        <w:t xml:space="preserve">All told, the contraceptive mandate "presently does not apply to tens of millions of people."</w:t>
      </w:r>
      <w:r>
        <w:t xml:space="preserve"> </w:t>
      </w:r>
      <w:r>
        <w:t xml:space="preserve">723 F.3d 1114</w:t>
      </w:r>
      <w:r>
        <w:t xml:space="preserve">, 1143 (C.A.10 2013). This is attributable, in large part, to grandfathered health plans: Over one-third of the 149 million nonelderly people in America with employer-sponsored health plans were enrolled in grandfathered plans in 2013. Brief for HHS in No. 13-354, at 53; Kaiser Family Foundation &amp; Health Research &amp; Educational Trust, Employer Health Benefits, 2013 Annual Survey 43, 221.</w:t>
      </w:r>
      <w:hyperlink w:anchor="X1264221111f3ba896f947b69369688cf37c6264">
        <w:r>
          <w:rPr>
            <w:rStyle w:val="Hyperlink"/>
            <w:vertAlign w:val="superscript"/>
          </w:rPr>
          <w:t xml:space="preserve">10</w:t>
        </w:r>
      </w:hyperlink>
      <w:r>
        <w:t xml:space="preserve"> </w:t>
      </w:r>
      <w:r>
        <w:t xml:space="preserve">The count for employees working for firms that do not have to provide insurance at all because they employ fewer than 50 employees is 34 million workers. See The Whitehouse, Health Reform for Small Businesses: The Affordable Care Act Increases Choice and Saving Money for Small Businesses 1.</w:t>
      </w:r>
      <w:hyperlink w:anchor="X0cb3dbcf00dfae718a789b065d545fd5387e01a">
        <w:r>
          <w:rPr>
            <w:rStyle w:val="Hyperlink"/>
            <w:vertAlign w:val="superscript"/>
          </w:rPr>
          <w:t xml:space="preserve">11</w:t>
        </w:r>
      </w:hyperlink>
    </w:p>
    <w:p>
      <w:pPr>
        <w:pStyle w:val="CaseBody"/>
      </w:pPr>
      <w:r>
        <w:rPr>
          <w:bCs/>
          <w:b/>
        </w:rPr>
        <w:t xml:space="preserve">II</w:t>
      </w:r>
    </w:p>
    <w:p>
      <w:pPr>
        <w:pStyle w:val="CaseBody"/>
      </w:pPr>
      <w:r>
        <w:rPr>
          <w:bCs/>
          <w:b/>
        </w:rPr>
        <w:t xml:space="preserve">A</w:t>
      </w:r>
    </w:p>
    <w:p>
      <w:pPr>
        <w:pStyle w:val="CaseBody"/>
      </w:pPr>
      <w:r>
        <w:t xml:space="preserve">Norman and Elizabeth Hahn and their three sons are devout members of the Mennonite Church, a Christian denomination. The Mennonite Church opposes abortion and believes that "[t]he fetus in its earliest stages ... shares humanity with those who conceived it."</w:t>
      </w:r>
      <w:r>
        <w:t xml:space="preserve"> </w:t>
      </w:r>
      <w:hyperlink w:anchor="X7f0d6d91ee61968efc3535139b9d02839efa121">
        <w:r>
          <w:rPr>
            <w:rStyle w:val="Hyperlink"/>
            <w:vertAlign w:val="superscript"/>
          </w:rPr>
          <w:t xml:space="preserve">12</w:t>
        </w:r>
      </w:hyperlink>
    </w:p>
    <w:p>
      <w:pPr>
        <w:pStyle w:val="CaseBody"/>
      </w:pPr>
      <w:r>
        <w:t xml:space="preserve">Fifty years ago, Norman Hahn started a wood-working business in his garage, and since then, this company, Conestoga Wood Specialties, has grown and now has 950 employees. Conestoga is organized under Pennsylvania law as a for-profit corporation. The Hahns exercise sole ownership of the closely held business; they control its board of directors and hold all of its voting shares. One of the Hahn sons serves as the president and CEO.</w:t>
      </w:r>
    </w:p>
    <w:p>
      <w:pPr>
        <w:pStyle w:val="CaseBody"/>
      </w:pPr>
      <w:r>
        <w:t xml:space="preserve">The Hahns believe that they are required to run their business "in accordance with their religious beliefs and moral principles."</w:t>
      </w:r>
      <w:r>
        <w:t xml:space="preserve"> </w:t>
      </w:r>
      <w:r>
        <w:t xml:space="preserve">917 F.Supp.2d 394</w:t>
      </w:r>
      <w:r>
        <w:t xml:space="preserve">, 402 (E.D.Pa.2013). To that end, the company's mission, as they see it, is to "operate in a professional environment founded upon the highest ethical, moral, and Christian principles."</w:t>
      </w:r>
      <w:r>
        <w:t xml:space="preserve"> </w:t>
      </w:r>
      <w:r>
        <w:rPr>
          <w:iCs/>
          <w:i/>
        </w:rPr>
        <w:t xml:space="preserve">Ibid.</w:t>
      </w:r>
      <w:r>
        <w:t xml:space="preserve"> </w:t>
      </w:r>
      <w:r>
        <w:t xml:space="preserve">(internal quotation marks omitted). The company's "Vision and Values Statements" affirms that Conestoga endeavors to "ensur[e] a reasonable profit in [a] manner that reflects [the Hahns'] Christian heritage." App. in No. 13-356, p. 94 (complaint).</w:t>
      </w:r>
    </w:p>
    <w:p>
      <w:pPr>
        <w:pStyle w:val="CaseBody"/>
      </w:pPr>
      <w:r>
        <w:t xml:space="preserve">As explained in Conestoga's board-adopted "Statement on the Sanctity of Human Life," the Hahns believe that "human life begins at conception."</w:t>
      </w:r>
    </w:p>
    <w:p>
      <w:pPr>
        <w:pStyle w:val="CaseBody"/>
      </w:pPr>
      <w:r>
        <w:t xml:space="preserve">724 F.3d 377</w:t>
      </w:r>
      <w:r>
        <w:t xml:space="preserve">, 382, and n. 5 (C.A.3 2013) (internal quotation marks omitted). It is therefore "against [their] moral conviction to be involved in the termination of human life" after conception, which they believe is a "sin against God to which they are held accountable."</w:t>
      </w:r>
      <w:r>
        <w:t xml:space="preserve"> </w:t>
      </w:r>
      <w:r>
        <w:rPr>
          <w:iCs/>
          <w:i/>
        </w:rPr>
        <w:t xml:space="preserve">Ibid.</w:t>
      </w:r>
      <w:r>
        <w:t xml:space="preserve"> </w:t>
      </w:r>
      <w:r>
        <w:t xml:space="preserve">(internal quotation marks omitted). The Hahns have accordingly excluded from the group-health-insurance plan they offer to their employees certain contraceptive methods that they consider to be abortifacients.</w:t>
      </w:r>
      <w:r>
        <w:t xml:space="preserve"> </w:t>
      </w:r>
      <w:r>
        <w:rPr>
          <w:iCs/>
          <w:i/>
        </w:rPr>
        <w:t xml:space="preserve">Id.,</w:t>
      </w:r>
      <w:r>
        <w:t xml:space="preserve"> </w:t>
      </w:r>
      <w:r>
        <w:t xml:space="preserve">at 382</w:t>
      </w:r>
      <w:r>
        <w:t xml:space="preserve">.</w:t>
      </w:r>
    </w:p>
    <w:p>
      <w:pPr>
        <w:pStyle w:val="CaseBody"/>
      </w:pPr>
      <w:r>
        <w:t xml:space="preserve">The Hahns and Conestoga sued HHS and other federal officials and agencies under RFRA and the Free Exercise Clause of the First Amendment, seeking to enjoin application of ACA's contraceptive mandate insofar as it requires them to provide health-insurance coverage for four FDA-approved contraceptives that may operate after the fertilization of an egg.</w:t>
      </w:r>
      <w:hyperlink w:anchor="X977a964862b3f07fed62d68bcd81caeb960efc9">
        <w:r>
          <w:rPr>
            <w:rStyle w:val="Hyperlink"/>
            <w:vertAlign w:val="superscript"/>
          </w:rPr>
          <w:t xml:space="preserve">13</w:t>
        </w:r>
      </w:hyperlink>
      <w:r>
        <w:t xml:space="preserve"> </w:t>
      </w:r>
      <w:r>
        <w:t xml:space="preserve">These include two forms of emergency contraception commonly called "morning after" pills and two types of intrauterine devices.</w:t>
      </w:r>
      <w:hyperlink w:anchor="X6da289067c72c68cb38bfb4a67cd8eb4d3bb21c">
        <w:r>
          <w:rPr>
            <w:rStyle w:val="Hyperlink"/>
            <w:vertAlign w:val="superscript"/>
          </w:rPr>
          <w:t xml:space="preserve">14</w:t>
        </w:r>
      </w:hyperlink>
    </w:p>
    <w:p>
      <w:pPr>
        <w:pStyle w:val="CaseBody"/>
      </w:pPr>
      <w:r>
        <w:t xml:space="preserve">In opposing the requirement to provide coverage for the contraceptives to which they object, the Hahns argued that "it is immoral and sinful for [them] to intentionally participate in, pay for, facilitate, or otherwise support these drugs."</w:t>
      </w:r>
      <w:r>
        <w:t xml:space="preserve"> </w:t>
      </w:r>
      <w:r>
        <w:rPr>
          <w:iCs/>
          <w:i/>
        </w:rPr>
        <w:t xml:space="preserve">Ibid</w:t>
      </w:r>
      <w:r>
        <w:t xml:space="preserve">.</w:t>
      </w:r>
      <w:r>
        <w:t xml:space="preserve"> </w:t>
      </w:r>
      <w:r>
        <w:t xml:space="preserve">The District Court denied a preliminary injunction, see</w:t>
      </w:r>
      <w:r>
        <w:t xml:space="preserve"> </w:t>
      </w:r>
      <w:r>
        <w:t xml:space="preserve">917 F.Supp.2d, at 419</w:t>
      </w:r>
      <w:r>
        <w:t xml:space="preserve">, and the Third Circuit affirmed in a divided opinion, holding that "for-profit, secular corporations cannot engage in religious exercise" within the meaning of RFRA or the First Amendment.</w:t>
      </w:r>
      <w:r>
        <w:t xml:space="preserve"> </w:t>
      </w:r>
      <w:r>
        <w:t xml:space="preserve">724 F.3d, at 381</w:t>
      </w:r>
      <w:r>
        <w:t xml:space="preserve">. The Third Circuit also rejected the claims brought by the Hahns themselves because it concluded that the HHS "[m]andate does not impose any requirements on the Hahns" in their personal capacity.</w:t>
      </w:r>
      <w:r>
        <w:t xml:space="preserve"> </w:t>
      </w:r>
      <w:r>
        <w:rPr>
          <w:iCs/>
          <w:i/>
        </w:rPr>
        <w:t xml:space="preserve">Id.,</w:t>
      </w:r>
      <w:r>
        <w:t xml:space="preserve"> </w:t>
      </w:r>
      <w:r>
        <w:t xml:space="preserve">at 389</w:t>
      </w:r>
      <w:r>
        <w:t xml:space="preserve">.</w:t>
      </w:r>
    </w:p>
    <w:p>
      <w:pPr>
        <w:pStyle w:val="CaseBody"/>
      </w:pPr>
      <w:r>
        <w:rPr>
          <w:bCs/>
          <w:b/>
        </w:rPr>
        <w:t xml:space="preserve">B</w:t>
      </w:r>
    </w:p>
    <w:p>
      <w:pPr>
        <w:pStyle w:val="CaseBody"/>
      </w:pPr>
      <w:r>
        <w:t xml:space="preserve">David and Barbara Green and their three children are Christians who own and operate two family businesses. Forty-five years ago, David Green started an arts-and-crafts store that has grown into a nationwide chain called Hobby Lobby. There are now 500 Hobby Lobby stores, and the company has more than 13,000 employees.</w:t>
      </w:r>
      <w:r>
        <w:t xml:space="preserve"> </w:t>
      </w:r>
      <w:r>
        <w:t xml:space="preserve">723 F.3d, at 1122</w:t>
      </w:r>
      <w:r>
        <w:t xml:space="preserve">. Hobby Lobby is organized as a for-profit corporation under Oklahoma law.</w:t>
      </w:r>
    </w:p>
    <w:p>
      <w:pPr>
        <w:pStyle w:val="CaseBody"/>
      </w:pPr>
      <w:r>
        <w:t xml:space="preserve">One of David's sons started an affiliated business, Mardel, which operates 35 Christian bookstores and employs close to 400 people.</w:t>
      </w:r>
      <w:r>
        <w:t xml:space="preserve"> </w:t>
      </w:r>
      <w:r>
        <w:rPr>
          <w:iCs/>
          <w:i/>
        </w:rPr>
        <w:t xml:space="preserve">Ibid</w:t>
      </w:r>
      <w:r>
        <w:t xml:space="preserve">.</w:t>
      </w:r>
      <w:r>
        <w:t xml:space="preserve"> </w:t>
      </w:r>
      <w:r>
        <w:t xml:space="preserve">Mardel is also organized as a for-profit corporation under Oklahoma law.</w:t>
      </w:r>
    </w:p>
    <w:p>
      <w:pPr>
        <w:pStyle w:val="CaseBody"/>
      </w:pPr>
      <w:r>
        <w:t xml:space="preserve">Though these two businesses have expanded over the years, they remain closely held, and David, Barbara, and their children retain exclusive control of both companies.</w:t>
      </w:r>
      <w:r>
        <w:t xml:space="preserve"> </w:t>
      </w:r>
      <w:r>
        <w:rPr>
          <w:iCs/>
          <w:i/>
        </w:rPr>
        <w:t xml:space="preserve">Ibid</w:t>
      </w:r>
      <w:r>
        <w:t xml:space="preserve">.</w:t>
      </w:r>
      <w:r>
        <w:t xml:space="preserve"> </w:t>
      </w:r>
      <w:r>
        <w:t xml:space="preserve">David serves as the CEO of Hobby Lobby, and his three children serve as the president, vice president, and vice CEO. See Brief for Respondents in No. 13-354, p. 8.</w:t>
      </w:r>
      <w:hyperlink w:anchor="X7db92d6964f0e4b4c2f35b5b8b78e7c84044e97">
        <w:r>
          <w:rPr>
            <w:rStyle w:val="Hyperlink"/>
            <w:vertAlign w:val="superscript"/>
          </w:rPr>
          <w:t xml:space="preserve">15</w:t>
        </w:r>
      </w:hyperlink>
    </w:p>
    <w:p>
      <w:pPr>
        <w:pStyle w:val="CaseBody"/>
      </w:pPr>
      <w:r>
        <w:t xml:space="preserve">Hobby Lobby's statement of purpose commits the Greens to "[h]onoring the Lord in all [they] do by operating the company in a manner consistent with Biblical principles." App. in No. 13-354, pp. 134-135 (complaint). Each family member has signed a pledge to run the businesses in accordance with the family's religious beliefs and to use the family assets to support Christian ministries.</w:t>
      </w:r>
      <w:r>
        <w:t xml:space="preserve"> </w:t>
      </w:r>
      <w:r>
        <w:t xml:space="preserve">723 F.3d, at 1122</w:t>
      </w:r>
      <w:r>
        <w:t xml:space="preserve">. In accordance with those commitments, Hobby Lobby and Mardel stores close on Sundays, even though the Greens calculate that they lose millions in sales annually by doing so.</w:t>
      </w:r>
      <w:r>
        <w:t xml:space="preserve"> </w:t>
      </w:r>
      <w:r>
        <w:rPr>
          <w:iCs/>
          <w:i/>
        </w:rPr>
        <w:t xml:space="preserve">Id.,</w:t>
      </w:r>
      <w:r>
        <w:t xml:space="preserve"> </w:t>
      </w:r>
      <w:r>
        <w:t xml:space="preserve">at 1122</w:t>
      </w:r>
      <w:r>
        <w:t xml:space="preserve">; App. in No. 13-354, at 136-137. The businesses refuse to engage in profitable transactions that facilitate or promote alcohol use; they contribute profits to Christian missionaries and ministries; and they buy hundreds of full-page newspaper ads inviting people to "know Jesus as Lord and Savior."</w:t>
      </w:r>
      <w:r>
        <w:t xml:space="preserve"> </w:t>
      </w:r>
      <w:r>
        <w:rPr>
          <w:iCs/>
          <w:i/>
        </w:rPr>
        <w:t xml:space="preserve">Ibid.</w:t>
      </w:r>
      <w:r>
        <w:t xml:space="preserve"> </w:t>
      </w:r>
      <w:r>
        <w:t xml:space="preserve">(internal quotation marks omitted).</w:t>
      </w:r>
    </w:p>
    <w:p>
      <w:pPr>
        <w:pStyle w:val="CaseBody"/>
      </w:pPr>
      <w:r>
        <w:t xml:space="preserve">Like the Hahns, the Greens believe that life begins at conception and that it would violate their religion to facilitate access to contraceptive drugs or devices that operate after that point.</w:t>
      </w:r>
      <w:r>
        <w:t xml:space="preserve"> </w:t>
      </w:r>
      <w:r>
        <w:t xml:space="preserve">723 F.3d, at 1122</w:t>
      </w:r>
      <w:r>
        <w:t xml:space="preserve">. They specifically object to the same four contraceptive methods as the Hahns and, like the Hahns, they have no objection to the other 16 FDA-approved methods of birth control.</w:t>
      </w:r>
      <w:r>
        <w:t xml:space="preserve"> </w:t>
      </w:r>
      <w:r>
        <w:rPr>
          <w:iCs/>
          <w:i/>
        </w:rPr>
        <w:t xml:space="preserve">Id.,</w:t>
      </w:r>
      <w:r>
        <w:t xml:space="preserve"> </w:t>
      </w:r>
      <w:r>
        <w:t xml:space="preserve">at 1125</w:t>
      </w:r>
      <w:r>
        <w:t xml:space="preserve">. Although their group-health-insurance plan predates the enactment of ACA, it is not a grandfathered plan because Hobby Lobby elected not to retain grandfathered status before the contraceptive mandate was proposed.</w:t>
      </w:r>
      <w:r>
        <w:t xml:space="preserve"> </w:t>
      </w:r>
      <w:r>
        <w:rPr>
          <w:iCs/>
          <w:i/>
        </w:rPr>
        <w:t xml:space="preserve">Id.,</w:t>
      </w:r>
      <w:r>
        <w:t xml:space="preserve"> </w:t>
      </w:r>
      <w:r>
        <w:t xml:space="preserve">at 1124</w:t>
      </w:r>
      <w:r>
        <w:t xml:space="preserve">.</w:t>
      </w:r>
    </w:p>
    <w:p>
      <w:pPr>
        <w:pStyle w:val="CaseBody"/>
      </w:pPr>
      <w:r>
        <w:t xml:space="preserve">The Greens, Hobby Lobby, and Mardel sued HHS and other federal agencies and officials to challenge the contraceptive mandate under RFRA and the Free Exercise Clause.</w:t>
      </w:r>
      <w:hyperlink w:anchor="X76772d018913094b85ed0a2f54fc40493a5e782">
        <w:r>
          <w:rPr>
            <w:rStyle w:val="Hyperlink"/>
            <w:vertAlign w:val="superscript"/>
          </w:rPr>
          <w:t xml:space="preserve">16</w:t>
        </w:r>
      </w:hyperlink>
      <w:r>
        <w:t xml:space="preserve"> </w:t>
      </w:r>
      <w:r>
        <w:t xml:space="preserve">The District Court denied a preliminary injunction, see</w:t>
      </w:r>
      <w:r>
        <w:t xml:space="preserve"> </w:t>
      </w:r>
      <w:r>
        <w:t xml:space="preserve">870 F.Supp.2d 1278</w:t>
      </w:r>
      <w:r>
        <w:t xml:space="preserve"> </w:t>
      </w:r>
      <w:r>
        <w:t xml:space="preserve">(W.D.Okla.2012), and the plaintiffs appealed, moving for initial en banc consideration. The Tenth Circuit granted that motion and reversed in a divided opinion. Contrary to the conclusion of the Third Circuit, the Tenth Circuit held that the Greens' two for-profit businesses are "persons" within the meaning of RFRA and therefore may bring suit under that law.</w:t>
      </w:r>
    </w:p>
    <w:p>
      <w:pPr>
        <w:pStyle w:val="CaseBody"/>
      </w:pPr>
      <w:r>
        <w:t xml:space="preserve">The court then held that the corporations had established a likelihood of success on their RFRA claim.</w:t>
      </w:r>
      <w:r>
        <w:t xml:space="preserve"> </w:t>
      </w:r>
      <w:r>
        <w:t xml:space="preserve">723 F.3d, at 1140-1147</w:t>
      </w:r>
      <w:r>
        <w:t xml:space="preserve">. The court concluded that the contraceptive mandate substantially burdened the exercise of religion by requiring the companies to choose between "compromis[ing] their religious beliefs" and paying a heavy fee-either "close to $475 million more in taxes every year" if they simply refused to provide coverage for the contraceptives at issue, or "roughly $26 million" annually if they "drop[ped] health-insurance benefits for all employees."</w:t>
      </w:r>
      <w:r>
        <w:t xml:space="preserve"> </w:t>
      </w:r>
      <w:r>
        <w:rPr>
          <w:iCs/>
          <w:i/>
        </w:rPr>
        <w:t xml:space="preserve">Id.,</w:t>
      </w:r>
      <w:r>
        <w:t xml:space="preserve"> </w:t>
      </w:r>
      <w:r>
        <w:t xml:space="preserve">at 1141</w:t>
      </w:r>
      <w:r>
        <w:t xml:space="preserve">.</w:t>
      </w:r>
    </w:p>
    <w:p>
      <w:pPr>
        <w:pStyle w:val="CaseBody"/>
      </w:pPr>
      <w:r>
        <w:t xml:space="preserve">The court next held that HHS had failed to demonstrate a compelling interest in enforcing the mandate against the Greens' businesses and, in the alternative, that HHS had failed to prove that enforcement of the mandate was the "least restrictive means" of furthering the Government's asserted interests.</w:t>
      </w:r>
      <w:r>
        <w:t xml:space="preserve"> </w:t>
      </w:r>
      <w:r>
        <w:rPr>
          <w:iCs/>
          <w:i/>
        </w:rPr>
        <w:t xml:space="preserve">Id.,</w:t>
      </w:r>
      <w:r>
        <w:t xml:space="preserve"> </w:t>
      </w:r>
      <w:r>
        <w:t xml:space="preserve">at 1143-1144</w:t>
      </w:r>
      <w:r>
        <w:t xml:space="preserve"> </w:t>
      </w:r>
      <w:r>
        <w:t xml:space="preserve">(emphasis deleted; internal quotation marks omitted). After concluding that the companies had "demonstrated irreparable harm," the court reversed and remanded for the District Court to consider the remaining factors of the preliminary-injunction test.</w:t>
      </w:r>
      <w:r>
        <w:t xml:space="preserve"> </w:t>
      </w:r>
      <w:r>
        <w:rPr>
          <w:iCs/>
          <w:i/>
        </w:rPr>
        <w:t xml:space="preserve">Id.,</w:t>
      </w:r>
      <w:r>
        <w:t xml:space="preserve"> </w:t>
      </w:r>
      <w:r>
        <w:t xml:space="preserve">at 1147</w:t>
      </w:r>
      <w:r>
        <w:t xml:space="preserve">.</w:t>
      </w:r>
      <w:hyperlink w:anchor="X7cb7dcadb8d52d63cc243aed24f700588f1c05b">
        <w:r>
          <w:rPr>
            <w:rStyle w:val="Hyperlink"/>
            <w:vertAlign w:val="superscript"/>
          </w:rPr>
          <w:t xml:space="preserve">17</w:t>
        </w:r>
      </w:hyperlink>
    </w:p>
    <w:p>
      <w:pPr>
        <w:pStyle w:val="CaseBody"/>
      </w:pPr>
      <w:r>
        <w:t xml:space="preserve">We granted certiorari. 571 U.S. ----,</w:t>
      </w:r>
      <w:r>
        <w:t xml:space="preserve"> </w:t>
      </w:r>
      <w:r>
        <w:t xml:space="preserve">134 S.Ct. 678</w:t>
      </w:r>
      <w:r>
        <w:t xml:space="preserve">,</w:t>
      </w:r>
      <w:r>
        <w:t xml:space="preserve"> </w:t>
      </w:r>
      <w:r>
        <w:t xml:space="preserve">187 L.Ed.2d 544</w:t>
      </w:r>
      <w:r>
        <w:t xml:space="preserve"> </w:t>
      </w:r>
      <w:r>
        <w:t xml:space="preserve">(2013).</w:t>
      </w:r>
    </w:p>
    <w:p>
      <w:pPr>
        <w:pStyle w:val="CaseBody"/>
      </w:pPr>
      <w:r>
        <w:rPr>
          <w:bCs/>
          <w:b/>
        </w:rPr>
        <w:t xml:space="preserve">III</w:t>
      </w:r>
    </w:p>
    <w:p>
      <w:pPr>
        <w:pStyle w:val="CaseBody"/>
      </w:pPr>
      <w:r>
        <w:rPr>
          <w:bCs/>
          <w:b/>
        </w:rPr>
        <w:t xml:space="preserve">A</w:t>
      </w:r>
    </w:p>
    <w:p>
      <w:pPr>
        <w:pStyle w:val="CaseBody"/>
      </w:pPr>
      <w:r>
        <w:t xml:space="preserve">RFRA prohibits the "Government [from] substantially burden[ing]</w:t>
      </w:r>
      <w:r>
        <w:t xml:space="preserve"> </w:t>
      </w:r>
      <w:r>
        <w:rPr>
          <w:iCs/>
          <w:i/>
        </w:rPr>
        <w:t xml:space="preserve">a person's</w:t>
      </w:r>
      <w:r>
        <w:t xml:space="preserve"> </w:t>
      </w:r>
      <w:r>
        <w:t xml:space="preserve">exercise of religion even if the burden results from a rule of general applicability" unless the Government "demonstrates that application of the burden to</w:t>
      </w:r>
      <w:r>
        <w:t xml:space="preserve"> </w:t>
      </w:r>
      <w:r>
        <w:rPr>
          <w:iCs/>
          <w:i/>
        </w:rPr>
        <w:t xml:space="preserve">the person</w:t>
      </w:r>
      <w:r>
        <w:t xml:space="preserve">-(1) is in furtherance of a compelling governmental interest; and (2) is the least restrictive means of furthering that compelling governmental interest." 42 U.S.C. §§ 2000bb-1(a), (b) (emphasis added). The first question that we must address is whether this provision applies to regulations that govern the activities of for-profit corporations like Hobby Lobby, Conestoga, and Mardel.</w:t>
      </w:r>
    </w:p>
    <w:p>
      <w:pPr>
        <w:pStyle w:val="CaseBody"/>
      </w:pPr>
      <w:r>
        <w:t xml:space="preserve">HHS contends that neither these companies nor their owners can even be heard under RFRA. According to HHS, the companies cannot sue because they seek to make a profit for their owners, and the owners cannot be heard because the regulations, at least as a formal matter, apply only to the companies and not to the owners as individuals. HHS's argument would have dramatic consequences.</w:t>
      </w:r>
    </w:p>
    <w:p>
      <w:pPr>
        <w:pStyle w:val="CaseBody"/>
      </w:pPr>
      <w:r>
        <w:t xml:space="preserve">Consider this Court's decision in</w:t>
      </w:r>
      <w:r>
        <w:t xml:space="preserve"> </w:t>
      </w:r>
      <w:r>
        <w:rPr>
          <w:iCs/>
          <w:i/>
        </w:rPr>
        <w:t xml:space="preserve">Braunfeld v. Brown,</w:t>
      </w:r>
      <w:r>
        <w:t xml:space="preserve"> </w:t>
      </w:r>
      <w:r>
        <w:t xml:space="preserve">366 U.S. 599</w:t>
      </w:r>
      <w:r>
        <w:t xml:space="preserve">,</w:t>
      </w:r>
      <w:r>
        <w:t xml:space="preserve"> </w:t>
      </w:r>
      <w:r>
        <w:t xml:space="preserve">81 S.Ct. 1144</w:t>
      </w:r>
      <w:r>
        <w:t xml:space="preserve">,</w:t>
      </w:r>
      <w:r>
        <w:t xml:space="preserve"> </w:t>
      </w:r>
      <w:r>
        <w:t xml:space="preserve">6 L.Ed.2d 563</w:t>
      </w:r>
      <w:r>
        <w:t xml:space="preserve"> </w:t>
      </w:r>
      <w:r>
        <w:t xml:space="preserve">(1961) (plurality opinion). In that case, five Orthodox Jewish merchants who ran small retail businesses in Philadelphia challenged a Pennsylvania Sunday closing law as a violation of the Free Exercise Clause. Because of their faith, these merchants closed their shops on Saturday, and they argued that requiring them to remain shut on Sunday threatened them with financial ruin. The Court entertained their claim (although it ruled against them on the merits), and if a similar claim were raised today under RFRA against a jurisdiction still subject to the Act (for example, the District of Columbia, see 42 U.S.C. § 2000bb-2(2)), the merchants would be entitled to be heard. According to HHS, however, if these merchants chose to incorporate their businesses-without in any way changing the size or nature of their businesses-they would forfeit all RFRA (and free-exercise) rights. HHS would put these merchants to a difficult choice: either give up the right to seek judicial protection of their religious liberty or forgo the benefits, available to their competitors, of operating as corporations.</w:t>
      </w:r>
    </w:p>
    <w:p>
      <w:pPr>
        <w:pStyle w:val="CaseBody"/>
      </w:pPr>
      <w:r>
        <w:t xml:space="preserve">As we have seen, RFRA was designed to provide very broad protection for religious liberty. By enacting RFRA, Congress went far beyond what this Court has held is constitutionally required.</w:t>
      </w:r>
      <w:hyperlink w:anchor="X386468907646ce1456303b84f73ec421dd9ce7f">
        <w:r>
          <w:rPr>
            <w:rStyle w:val="Hyperlink"/>
            <w:vertAlign w:val="superscript"/>
          </w:rPr>
          <w:t xml:space="preserve">18</w:t>
        </w:r>
      </w:hyperlink>
      <w:r>
        <w:t xml:space="preserve"> </w:t>
      </w:r>
      <w:r>
        <w:t xml:space="preserve">Is there any reason to think that the Congress that enacted such sweeping protection put small-business owners to the choice that HHS suggests? An examination of RFRA's text, to which we turn in the next part of this opinion, reveals that Congress did no such thing.</w:t>
      </w:r>
    </w:p>
    <w:p>
      <w:pPr>
        <w:pStyle w:val="CaseBody"/>
      </w:pPr>
      <w:r>
        <w:t xml:space="preserve">As we will show, Congress provided protection for people like the Hahns and Greens by employing a familiar legal fiction: It included corporations within RFRA's definition of "persons." But it is important to keep in mind that the purpose of this fiction is to provide protection for human beings. A corporation is simply a form of organization used by human beings to achieve desired ends. An established body of law specifies the rights and obligations of the</w:t>
      </w:r>
      <w:r>
        <w:t xml:space="preserve"> </w:t>
      </w:r>
      <w:r>
        <w:rPr>
          <w:iCs/>
          <w:i/>
        </w:rPr>
        <w:t xml:space="preserve">people</w:t>
      </w:r>
      <w:r>
        <w:t xml:space="preserve"> </w:t>
      </w:r>
      <w:r>
        <w:t xml:space="preserve">(including shareholders, officers, and employees) who are associated with a corporation in one way or another. When rights, whether constitutional or statutory, are extended to corporations, the purpose is to protect the rights of these people. For example, extending Fourth Amendment protection to corporations protects the privacy interests of employees and others associated with the company. Protecting corporations from government seizure of their property without just compensation protects all those who have a stake in the corporations' financial well-being. And protecting the free-exercise rights of corporations like Hobby Lobby, Conestoga, and Mardel protects the religious liberty of the humans who own and control those companies.</w:t>
      </w:r>
    </w:p>
    <w:p>
      <w:pPr>
        <w:pStyle w:val="CaseBody"/>
      </w:pPr>
      <w:r>
        <w:t xml:space="preserve">In holding that Conestoga, as a "secular, for-profit corporation," lacks RFRA protection, the Third Circuit wrote as follows:</w:t>
      </w:r>
    </w:p>
    <w:p>
      <w:pPr>
        <w:pStyle w:val="CaseBody"/>
      </w:pPr>
      <w:r>
        <w:t xml:space="preserve">"General business corporations do not,</w:t>
      </w:r>
      <w:r>
        <w:t xml:space="preserve"> </w:t>
      </w:r>
      <w:r>
        <w:rPr>
          <w:iCs/>
          <w:i/>
        </w:rPr>
        <w:t xml:space="preserve">separate and apart from the actions or belief systems of their individual owners or employees,</w:t>
      </w:r>
      <w:r>
        <w:t xml:space="preserve"> </w:t>
      </w:r>
      <w:r>
        <w:t xml:space="preserve">exercise religion. They do not pray, worship, observe sacraments or take other religiously-motivated actions separate and apart from the intention and direction of their individual actors."</w:t>
      </w:r>
      <w:r>
        <w:t xml:space="preserve"> </w:t>
      </w:r>
      <w:r>
        <w:t xml:space="preserve">724 F.3d, at 385</w:t>
      </w:r>
      <w:r>
        <w:t xml:space="preserve"> </w:t>
      </w:r>
      <w:r>
        <w:t xml:space="preserve">(emphasis added).</w:t>
      </w:r>
    </w:p>
    <w:p>
      <w:pPr>
        <w:pStyle w:val="CaseBody"/>
      </w:pPr>
      <w:r>
        <w:t xml:space="preserve">All of this is true-but quite beside the point. Corporations, "separate and apart from" the human beings who own, run, and are employed by them, cannot do anything at all.</w:t>
      </w:r>
    </w:p>
    <w:p>
      <w:pPr>
        <w:pStyle w:val="CaseBody"/>
      </w:pPr>
      <w:r>
        <w:rPr>
          <w:bCs/>
          <w:b/>
        </w:rPr>
        <w:t xml:space="preserve">B</w:t>
      </w:r>
    </w:p>
    <w:p>
      <w:pPr>
        <w:pStyle w:val="CaseBody"/>
      </w:pPr>
      <w:r>
        <w:rPr>
          <w:bCs/>
          <w:b/>
        </w:rPr>
        <w:t xml:space="preserve">1</w:t>
      </w:r>
    </w:p>
    <w:p>
      <w:pPr>
        <w:pStyle w:val="CaseBody"/>
      </w:pPr>
      <w:r>
        <w:t xml:space="preserve">As we noted above, RFRA applies to "a person's" exercise of religion, 42 U.S.C. §§ 2000bb-1(a), (b), and RFRA itself does not define the term "person." We therefore look to the Dictionary Act, which we must consult "[i]n determining the meaning of any Act of Congress, unless the context indicates otherwise."</w:t>
      </w:r>
      <w:r>
        <w:t xml:space="preserve"> </w:t>
      </w:r>
      <w:r>
        <w:t xml:space="preserve">1 U.S.C. § 1</w:t>
      </w:r>
      <w:r>
        <w:t xml:space="preserve">.</w:t>
      </w:r>
    </w:p>
    <w:p>
      <w:pPr>
        <w:pStyle w:val="CaseBody"/>
      </w:pPr>
      <w:r>
        <w:t xml:space="preserve">Under the Dictionary Act, "the wor[d] 'person' ... include[s] corporations, companies, associations, firms, partnerships, societies, and joint stock companies, as well as individuals."</w:t>
      </w:r>
      <w:r>
        <w:t xml:space="preserve"> </w:t>
      </w:r>
      <w:r>
        <w:rPr>
          <w:iCs/>
          <w:i/>
        </w:rPr>
        <w:t xml:space="preserve">Ibid.</w:t>
      </w:r>
      <w:r>
        <w:t xml:space="preserve">; see</w:t>
      </w:r>
      <w:r>
        <w:t xml:space="preserve"> </w:t>
      </w:r>
      <w:r>
        <w:rPr>
          <w:iCs/>
          <w:i/>
        </w:rPr>
        <w:t xml:space="preserve">FCC v. AT &amp; T Inc.,</w:t>
      </w:r>
      <w:r>
        <w:t xml:space="preserve"> </w:t>
      </w:r>
      <w:r>
        <w:t xml:space="preserve">562 U.S. ----, ----,</w:t>
      </w:r>
      <w:r>
        <w:t xml:space="preserve"> </w:t>
      </w:r>
      <w:r>
        <w:t xml:space="preserve">131 S.Ct. 1177</w:t>
      </w:r>
      <w:r>
        <w:t xml:space="preserve">, 1182-1183,</w:t>
      </w:r>
      <w:r>
        <w:t xml:space="preserve"> </w:t>
      </w:r>
      <w:r>
        <w:t xml:space="preserve">179 L.Ed.2d 132</w:t>
      </w:r>
      <w:r>
        <w:t xml:space="preserve"> </w:t>
      </w:r>
      <w:r>
        <w:t xml:space="preserve">(2011) ("We have no doubt that 'person,' in a legal setting, often refers to artificial entities. The Dictionary Act makes that clear"). Thus, unless there is something about the RFRA context that "indicates otherwise," the Dictionary Act provides a quick, clear, and affirmative answer to the question whether the companies involved in these cases may be heard.</w:t>
      </w:r>
    </w:p>
    <w:p>
      <w:pPr>
        <w:pStyle w:val="CaseBody"/>
      </w:pPr>
      <w:r>
        <w:t xml:space="preserve">We see nothing in RFRA that suggests a congressional intent to depart from the Dictionary Act definition, and HHS makes little effort to argue otherwise. We have entertained RFRA and free-exercise claims brought by nonprofit corporations, see</w:t>
      </w:r>
      <w:r>
        <w:t xml:space="preserve"> </w:t>
      </w:r>
      <w:r>
        <w:rPr>
          <w:iCs/>
          <w:i/>
        </w:rPr>
        <w:t xml:space="preserve">Gonzales v. O Centro Espírita Beneficente Uniao do Vegetal,</w:t>
      </w:r>
      <w:r>
        <w:t xml:space="preserve"> </w:t>
      </w:r>
      <w:r>
        <w:t xml:space="preserve">546 U.S. 418</w:t>
      </w:r>
      <w:r>
        <w:t xml:space="preserve">,</w:t>
      </w:r>
      <w:r>
        <w:t xml:space="preserve"> </w:t>
      </w:r>
      <w:r>
        <w:t xml:space="preserve">126 S.Ct. 1211</w:t>
      </w:r>
      <w:r>
        <w:t xml:space="preserve">,</w:t>
      </w:r>
      <w:r>
        <w:t xml:space="preserve"> </w:t>
      </w:r>
      <w:r>
        <w:t xml:space="preserve">163 L.Ed.2d 1017</w:t>
      </w:r>
      <w:r>
        <w:t xml:space="preserve"> </w:t>
      </w:r>
      <w:r>
        <w:t xml:space="preserve">(2006) (RFRA);</w:t>
      </w:r>
    </w:p>
    <w:p>
      <w:pPr>
        <w:pStyle w:val="CaseBody"/>
      </w:pPr>
      <w:r>
        <w:rPr>
          <w:iCs/>
          <w:i/>
        </w:rPr>
        <w:t xml:space="preserve">Hosanna-Tabor Evangelical Lutheran Church and School v. EEOC,</w:t>
      </w:r>
      <w:r>
        <w:t xml:space="preserve"> </w:t>
      </w:r>
      <w:r>
        <w:t xml:space="preserve">565 U.S. ----,</w:t>
      </w:r>
      <w:r>
        <w:t xml:space="preserve"> </w:t>
      </w:r>
      <w:r>
        <w:t xml:space="preserve">132 S.Ct. 694</w:t>
      </w:r>
      <w:r>
        <w:t xml:space="preserve">,</w:t>
      </w:r>
      <w:r>
        <w:t xml:space="preserve"> </w:t>
      </w:r>
      <w:r>
        <w:t xml:space="preserve">181 L.Ed.2d 650</w:t>
      </w:r>
      <w:r>
        <w:t xml:space="preserve"> </w:t>
      </w:r>
      <w:r>
        <w:t xml:space="preserve">(2012) (Free Exercise);</w:t>
      </w:r>
      <w:r>
        <w:t xml:space="preserve"> </w:t>
      </w:r>
      <w:r>
        <w:rPr>
          <w:iCs/>
          <w:i/>
        </w:rPr>
        <w:t xml:space="preserve">Church of the Lukumi Babalu Aye, Inc. v. Hialeah,</w:t>
      </w:r>
      <w:r>
        <w:t xml:space="preserve"> </w:t>
      </w:r>
      <w:r>
        <w:t xml:space="preserve">508 U.S. 520</w:t>
      </w:r>
      <w:r>
        <w:t xml:space="preserve">,</w:t>
      </w:r>
      <w:r>
        <w:t xml:space="preserve"> </w:t>
      </w:r>
      <w:r>
        <w:t xml:space="preserve">113 S.Ct. 2217</w:t>
      </w:r>
      <w:r>
        <w:t xml:space="preserve">,</w:t>
      </w:r>
      <w:r>
        <w:t xml:space="preserve"> </w:t>
      </w:r>
      <w:r>
        <w:t xml:space="preserve">124 L.Ed.2d 472</w:t>
      </w:r>
      <w:r>
        <w:t xml:space="preserve"> </w:t>
      </w:r>
      <w:r>
        <w:t xml:space="preserve">(1993) (Free Exercise), and HHS concedes that a nonprofit corporation can be a "person" within the meaning of RFRA. See Brief for HHS in No. 13-354, at 17; Reply Brief in No. 13-354, at 7-8.</w:t>
      </w:r>
      <w:hyperlink w:anchor="X5571284e5500e9d6e6f3a7be2e86fb4fb47ce2f">
        <w:r>
          <w:rPr>
            <w:rStyle w:val="Hyperlink"/>
            <w:vertAlign w:val="superscript"/>
          </w:rPr>
          <w:t xml:space="preserve">19</w:t>
        </w:r>
      </w:hyperlink>
    </w:p>
    <w:p>
      <w:pPr>
        <w:pStyle w:val="CaseBody"/>
      </w:pPr>
      <w:r>
        <w:t xml:space="preserve">This concession effectively dispatches any argument that the term "person" as used in RFRA does not reach the closely held corporations involved in these cases. No known understanding of the term "person" includes</w:t>
      </w:r>
      <w:r>
        <w:t xml:space="preserve"> </w:t>
      </w:r>
      <w:r>
        <w:rPr>
          <w:iCs/>
          <w:i/>
        </w:rPr>
        <w:t xml:space="preserve">some</w:t>
      </w:r>
      <w:r>
        <w:t xml:space="preserve"> </w:t>
      </w:r>
      <w:r>
        <w:t xml:space="preserve">but not all corporations. The term "person" sometimes encompasses artificial persons (as the Dictionary Act instructs), and it sometimes is limited to natural persons. But no conceivable definition of the term includes natural persons and nonprofit corporations, but not for-profit corporations.</w:t>
      </w:r>
      <w:hyperlink w:anchor="X90dcadf5cb831633da3d18df30e7eda73a6057c">
        <w:r>
          <w:rPr>
            <w:rStyle w:val="Hyperlink"/>
            <w:vertAlign w:val="superscript"/>
          </w:rPr>
          <w:t xml:space="preserve">20</w:t>
        </w:r>
      </w:hyperlink>
      <w:r>
        <w:t xml:space="preserve"> </w:t>
      </w:r>
      <w:r>
        <w:t xml:space="preserve">Cf.</w:t>
      </w:r>
      <w:r>
        <w:t xml:space="preserve"> </w:t>
      </w:r>
      <w:r>
        <w:rPr>
          <w:iCs/>
          <w:i/>
        </w:rPr>
        <w:t xml:space="preserve">Clark v. Martinez,</w:t>
      </w:r>
      <w:r>
        <w:t xml:space="preserve"> </w:t>
      </w:r>
      <w:r>
        <w:t xml:space="preserve">543 U.S. 371</w:t>
      </w:r>
      <w:r>
        <w:t xml:space="preserve">, 378,</w:t>
      </w:r>
      <w:r>
        <w:t xml:space="preserve"> </w:t>
      </w:r>
      <w:r>
        <w:t xml:space="preserve">125 S.Ct. 716</w:t>
      </w:r>
      <w:r>
        <w:t xml:space="preserve">,</w:t>
      </w:r>
      <w:r>
        <w:t xml:space="preserve"> </w:t>
      </w:r>
      <w:r>
        <w:t xml:space="preserve">160 L.Ed.2d 734</w:t>
      </w:r>
      <w:r>
        <w:t xml:space="preserve"> </w:t>
      </w:r>
      <w:r>
        <w:t xml:space="preserve">(2005) ("To give th[e] same words a different meaning for each category would be to invent a statute rather than interpret one").</w:t>
      </w:r>
    </w:p>
    <w:p>
      <w:pPr>
        <w:pStyle w:val="CaseBody"/>
      </w:pPr>
      <w:r>
        <w:rPr>
          <w:bCs/>
          <w:b/>
        </w:rPr>
        <w:t xml:space="preserve">2</w:t>
      </w:r>
    </w:p>
    <w:p>
      <w:pPr>
        <w:pStyle w:val="CaseBody"/>
      </w:pPr>
      <w:r>
        <w:t xml:space="preserve">The principal argument advanced by HHS and the principal dissent regarding RFRA protection for Hobby Lobby, Conestoga, and Mardel focuses not on the statutory term "person," but on the phrase "exercise of religion." According to HHS and the dissent, these corporations are not protected by RFRA because they cannot exercise religion. Neither HHS nor the dissent, however, provides any persuasive explanation for this conclusion.</w:t>
      </w:r>
    </w:p>
    <w:p>
      <w:pPr>
        <w:pStyle w:val="CaseBody"/>
      </w:pPr>
      <w:r>
        <w:t xml:space="preserve">Is it because of the corporate form? The corporate form alone cannot provide the explanation because, as we have pointed out, HHS concedes that nonprofit corporations can be protected by RFRA. The dissent suggests that nonprofit corporations are special because furthering their religious "autonomy ... often furthers individual religious freedom as well."</w:t>
      </w:r>
      <w:r>
        <w:t xml:space="preserve"> </w:t>
      </w:r>
      <w:r>
        <w:rPr>
          <w:iCs/>
          <w:i/>
        </w:rPr>
        <w:t xml:space="preserve">Post,</w:t>
      </w:r>
      <w:r>
        <w:t xml:space="preserve"> </w:t>
      </w:r>
      <w:r>
        <w:t xml:space="preserve">at 2794 (quoting</w:t>
      </w:r>
      <w:r>
        <w:t xml:space="preserve"> </w:t>
      </w:r>
      <w:r>
        <w:rPr>
          <w:iCs/>
          <w:i/>
        </w:rPr>
        <w:t xml:space="preserve">Corporation of Presiding Bishop of Church of Jesus Christ of Latter-day Saints v. Amos,</w:t>
      </w:r>
      <w:r>
        <w:t xml:space="preserve"> </w:t>
      </w:r>
      <w:r>
        <w:t xml:space="preserve">483 U.S. 327</w:t>
      </w:r>
      <w:r>
        <w:t xml:space="preserve">, 342,</w:t>
      </w:r>
      <w:r>
        <w:t xml:space="preserve"> </w:t>
      </w:r>
      <w:r>
        <w:t xml:space="preserve">107 S.Ct. 2862</w:t>
      </w:r>
      <w:r>
        <w:t xml:space="preserve">,</w:t>
      </w:r>
      <w:r>
        <w:t xml:space="preserve"> </w:t>
      </w:r>
      <w:r>
        <w:t xml:space="preserve">97 L.Ed.2d 273</w:t>
      </w:r>
      <w:r>
        <w:t xml:space="preserve"> </w:t>
      </w:r>
      <w:r>
        <w:t xml:space="preserve">(1987) (Brennan, J., concurring in judgment)). But this principle applies equally to for-profit corporations: Furthering their religious freedom also "furthers individual religious freedom." In these cases, for example, allowing Hobby Lobby, Conestoga, and Mardel to assert RFRA claims protects the religious liberty of the Greens and the Hahns.</w:t>
      </w:r>
      <w:hyperlink w:anchor="Xef63c74b979870ff634dcacbeb61b2b3cb5e6f3">
        <w:r>
          <w:rPr>
            <w:rStyle w:val="Hyperlink"/>
            <w:vertAlign w:val="superscript"/>
          </w:rPr>
          <w:t xml:space="preserve">21</w:t>
        </w:r>
      </w:hyperlink>
    </w:p>
    <w:p>
      <w:pPr>
        <w:pStyle w:val="CaseBody"/>
      </w:pPr>
      <w:r>
        <w:t xml:space="preserve">If the corporate form is not enough, what about the profit-making objective? In</w:t>
      </w:r>
      <w:r>
        <w:t xml:space="preserve"> </w:t>
      </w:r>
      <w:r>
        <w:rPr>
          <w:iCs/>
          <w:i/>
        </w:rPr>
        <w:t xml:space="preserve">Braunfeld,</w:t>
      </w:r>
      <w:r>
        <w:t xml:space="preserve"> </w:t>
      </w:r>
      <w:r>
        <w:t xml:space="preserve">366 U.S. 599</w:t>
      </w:r>
      <w:r>
        <w:t xml:space="preserve">,</w:t>
      </w:r>
      <w:r>
        <w:t xml:space="preserve"> </w:t>
      </w:r>
      <w:r>
        <w:t xml:space="preserve">81 S.Ct. 1144</w:t>
      </w:r>
      <w:r>
        <w:t xml:space="preserve">,</w:t>
      </w:r>
      <w:r>
        <w:t xml:space="preserve"> </w:t>
      </w:r>
      <w:r>
        <w:t xml:space="preserve">6 L.Ed.2d 563</w:t>
      </w:r>
      <w:r>
        <w:t xml:space="preserve">, we entertained the free-exercise claims of individuals who were attempting to make a profit as retail merchants, and the Court never even hinted that this objective precluded their claims. As the Court explained in a later case, the "exercise of religion" involves "not only belief and profession but the performance of (or abstention from) physical acts" that are "engaged in for religious reasons."</w:t>
      </w:r>
      <w:r>
        <w:t xml:space="preserve"> </w:t>
      </w:r>
      <w:r>
        <w:rPr>
          <w:iCs/>
          <w:i/>
        </w:rPr>
        <w:t xml:space="preserve">Smith,</w:t>
      </w:r>
      <w:r>
        <w:t xml:space="preserve"> </w:t>
      </w:r>
      <w:r>
        <w:t xml:space="preserve">494 U.S., at 877</w:t>
      </w:r>
      <w:r>
        <w:t xml:space="preserve">,</w:t>
      </w:r>
      <w:r>
        <w:t xml:space="preserve"> </w:t>
      </w:r>
      <w:r>
        <w:t xml:space="preserve">110 S.Ct. 1595</w:t>
      </w:r>
      <w:r>
        <w:t xml:space="preserve">. Business practices that are compelled or limited by the tenets of a religious doctrine fall comfortably within that definition. Thus, a law that "operates so as to make the practice of ... religious beliefs more expensive" in the context of business activities imposes a burden on the exercise of religion.</w:t>
      </w:r>
      <w:r>
        <w:t xml:space="preserve"> </w:t>
      </w:r>
      <w:r>
        <w:rPr>
          <w:iCs/>
          <w:i/>
        </w:rPr>
        <w:t xml:space="preserve">Braunfeld,</w:t>
      </w:r>
      <w:r>
        <w:rPr>
          <w:iCs/>
          <w:i/>
        </w:rPr>
        <w:t xml:space="preserve"> </w:t>
      </w:r>
      <w:r>
        <w:rPr>
          <w:iCs/>
          <w:i/>
        </w:rPr>
        <w:t xml:space="preserve">supra,</w:t>
      </w:r>
      <w:r>
        <w:t xml:space="preserve"> </w:t>
      </w:r>
      <w:r>
        <w:t xml:space="preserve">at 605</w:t>
      </w:r>
      <w:r>
        <w:t xml:space="preserve">,</w:t>
      </w:r>
      <w:r>
        <w:t xml:space="preserve"> </w:t>
      </w:r>
      <w:r>
        <w:t xml:space="preserve">81 S.Ct. 1144</w:t>
      </w:r>
      <w:r>
        <w:t xml:space="preserve">; see</w:t>
      </w:r>
      <w:r>
        <w:t xml:space="preserve"> </w:t>
      </w:r>
      <w:r>
        <w:rPr>
          <w:iCs/>
          <w:i/>
        </w:rPr>
        <w:t xml:space="preserve">United States v. Lee,</w:t>
      </w:r>
      <w:r>
        <w:t xml:space="preserve"> </w:t>
      </w:r>
      <w:r>
        <w:t xml:space="preserve">455 U.S. 252</w:t>
      </w:r>
      <w:r>
        <w:t xml:space="preserve">, 257,</w:t>
      </w:r>
      <w:r>
        <w:t xml:space="preserve"> </w:t>
      </w:r>
      <w:r>
        <w:t xml:space="preserve">102 S.Ct. 1051</w:t>
      </w:r>
      <w:r>
        <w:t xml:space="preserve">,</w:t>
      </w:r>
      <w:r>
        <w:t xml:space="preserve"> </w:t>
      </w:r>
      <w:r>
        <w:t xml:space="preserve">71 L.Ed.2d 127</w:t>
      </w:r>
      <w:r>
        <w:t xml:space="preserve"> </w:t>
      </w:r>
      <w:r>
        <w:t xml:space="preserve">(1982) (recognizing that "compulsory participation in the social security system interferes with [Amish employers'] free exercise rights").</w:t>
      </w:r>
    </w:p>
    <w:p>
      <w:pPr>
        <w:pStyle w:val="CaseBody"/>
      </w:pPr>
      <w:r>
        <w:t xml:space="preserve">If, as</w:t>
      </w:r>
      <w:r>
        <w:t xml:space="preserve"> </w:t>
      </w:r>
      <w:r>
        <w:rPr>
          <w:iCs/>
          <w:i/>
        </w:rPr>
        <w:t xml:space="preserve">Braunfeld</w:t>
      </w:r>
      <w:r>
        <w:t xml:space="preserve"> </w:t>
      </w:r>
      <w:r>
        <w:t xml:space="preserve">recognized, a sole proprietorship that seeks to make a profit may assert a free-exercise claim,</w:t>
      </w:r>
      <w:hyperlink w:anchor="X6d74a7674b24bf08c3ca625f06074930076748a">
        <w:r>
          <w:rPr>
            <w:rStyle w:val="Hyperlink"/>
            <w:vertAlign w:val="superscript"/>
          </w:rPr>
          <w:t xml:space="preserve">22</w:t>
        </w:r>
      </w:hyperlink>
      <w:r>
        <w:t xml:space="preserve"> </w:t>
      </w:r>
      <w:r>
        <w:t xml:space="preserve">why can't Hobby Lobby, Conestoga, and Mardel do the same?</w:t>
      </w:r>
    </w:p>
    <w:p>
      <w:pPr>
        <w:pStyle w:val="CaseBody"/>
      </w:pPr>
      <w:r>
        <w:t xml:space="preserve">Some lower court judges have suggested that RFRA does not protect for-profit corporations because the purpose of such corporations is simply to make money.</w:t>
      </w:r>
      <w:hyperlink w:anchor="Xae2f6d81817e4b696e05554d7d00a257af48507">
        <w:r>
          <w:rPr>
            <w:rStyle w:val="Hyperlink"/>
            <w:vertAlign w:val="superscript"/>
          </w:rPr>
          <w:t xml:space="preserve">23</w:t>
        </w:r>
      </w:hyperlink>
      <w:r>
        <w:t xml:space="preserve"> </w:t>
      </w:r>
      <w:r>
        <w:t xml:space="preserve">This argument flies in the face of modern corporate law. "Each American jurisdiction today either expressly or by implication authorizes corporations to be formed under its general corporation act for</w:t>
      </w:r>
      <w:r>
        <w:t xml:space="preserve"> </w:t>
      </w:r>
      <w:r>
        <w:rPr>
          <w:iCs/>
          <w:i/>
        </w:rPr>
        <w:t xml:space="preserve">any lawful purpose</w:t>
      </w:r>
      <w:r>
        <w:t xml:space="preserve"> </w:t>
      </w:r>
      <w:r>
        <w:t xml:space="preserve">or business." 1 J. Cox &amp; T. Hazen, Treatise of the Law of Corporations § 4:1, p. 224 (3d ed. 2010) (emphasis added); see 1A W. Fletcher, Cyclopedia of the Law of Corporations § 102 (rev. ed. 2010). While it is certainly true that a central objective of for-profit corporations is to make money, modern corporate law does not require for-profit corporations to pursue profit at the expense of everything else, and many do not do so. For-profit corporations, with ownership approval, support a wide variety of charitable causes, and it is not at all uncommon for such corporations to further humanitarian and other altruistic objectives. Many examples come readily to mind. So long as its owners agree, a for-profit corporation may take costly pollution-control and energy-conservation measures that go beyond what the law requires. A for-profit corporation that operates facilities in other countries may exceed the requirements of local law regarding working conditions and benefits. If for-profit corporations may pursue such worthy objectives, there is no apparent reason why they may not further religious objectives as well.</w:t>
      </w:r>
    </w:p>
    <w:p>
      <w:pPr>
        <w:pStyle w:val="CaseBody"/>
      </w:pPr>
      <w:r>
        <w:t xml:space="preserve">HHS would draw a sharp line between nonprofit corporations (which, HHS concedes, are protected by RFRA) and for-profit corporations (which HHS would leave unprotected), but the actual picture is less clear-cut. Not all corporations that decline to organize as nonprofits do so in order to maximize profit. For example, organizations with religious and charitable aims might organize as for-profit corporations because of the potential advantages of that corporate form, such as the freedom to participate in lobbying for legislation or campaigning for political candidates who promote their religious or charitable goals.</w:t>
      </w:r>
      <w:hyperlink w:anchor="X287476457a139536ed45a6d681d62c4b893f590">
        <w:r>
          <w:rPr>
            <w:rStyle w:val="Hyperlink"/>
            <w:vertAlign w:val="superscript"/>
          </w:rPr>
          <w:t xml:space="preserve">24</w:t>
        </w:r>
      </w:hyperlink>
      <w:r>
        <w:t xml:space="preserve"> </w:t>
      </w:r>
      <w:r>
        <w:t xml:space="preserve">In fact, recognizing the inherent compatibility between establishing a for-profit corporation and pursuing nonprofit goals, States have increasingly adopted laws formally recognizing hybrid corporate forms. Over half of the States, for instance, now recognize the "benefit corporation," a dual-purpose entity that seeks to achieve both a benefit for the public and a profit for its owners.</w:t>
      </w:r>
      <w:hyperlink w:anchor="X5d2edd0b9e33d49dbb01495cc9a84017c2486d7">
        <w:r>
          <w:rPr>
            <w:rStyle w:val="Hyperlink"/>
            <w:vertAlign w:val="superscript"/>
          </w:rPr>
          <w:t xml:space="preserve">25</w:t>
        </w:r>
      </w:hyperlink>
    </w:p>
    <w:p>
      <w:pPr>
        <w:pStyle w:val="CaseBody"/>
      </w:pPr>
      <w:r>
        <w:t xml:space="preserve">In any event, the objectives that may properly be pursued by the companies in these cases are governed by the laws of the States in which they were incorporated-Pennsylvania and Oklahoma-and the laws of those States permit for-profit corporations to pursue "any lawful purpose" or "act," including the pursuit of profit in conformity with the owners' religious principles. 15 Pa. Cons.Stat. § 1301 (2001) ("Corporations may be incorporated under this subpart for any lawful purpose or purposes"); Okla. Stat., Tit. 18, §§ 1002, 1005 (West 2012) ("[E]very corporation, whether profit or not for profit" may "be incorporated or organized ... to conduct or promote any lawful business or purposes"); see also § 1006(A)(3); Brief for State of Oklahoma as</w:t>
      </w:r>
      <w:r>
        <w:t xml:space="preserve"> </w:t>
      </w:r>
      <w:r>
        <w:rPr>
          <w:iCs/>
          <w:i/>
        </w:rPr>
        <w:t xml:space="preserve">Amicus Curiae</w:t>
      </w:r>
      <w:r>
        <w:t xml:space="preserve"> </w:t>
      </w:r>
      <w:r>
        <w:t xml:space="preserve">in No. 13-354.</w:t>
      </w:r>
    </w:p>
    <w:p>
      <w:pPr>
        <w:pStyle w:val="CaseBody"/>
      </w:pPr>
      <w:r>
        <w:rPr>
          <w:bCs/>
          <w:b/>
        </w:rPr>
        <w:t xml:space="preserve">3</w:t>
      </w:r>
    </w:p>
    <w:p>
      <w:pPr>
        <w:pStyle w:val="CaseBody"/>
      </w:pPr>
      <w:r>
        <w:t xml:space="preserve">HHS and the principal dissent make one additional argument in an effort to show that a for-profit corporation cannot engage in the "exercise of religion" within the meaning of RFRA: HHS argues that RFRA did no more than codify this Court's pre-</w:t>
      </w:r>
      <w:r>
        <w:t xml:space="preserve"> </w:t>
      </w:r>
      <w:r>
        <w:rPr>
          <w:iCs/>
          <w:i/>
        </w:rPr>
        <w:t xml:space="preserve">Smith</w:t>
      </w:r>
      <w:r>
        <w:t xml:space="preserve"> </w:t>
      </w:r>
      <w:r>
        <w:t xml:space="preserve">Free Exercise Clause precedents, and because none of those cases squarely held that a for-profit corporation has free-exercise rights, RFRA does not confer such protection. This argument has many flaws.</w:t>
      </w:r>
    </w:p>
    <w:p>
      <w:pPr>
        <w:pStyle w:val="CaseBody"/>
      </w:pPr>
      <w:r>
        <w:t xml:space="preserve">First, nothing in the text of RFRA as originally enacted suggested that the statutory phrase "exercise of religion under the First Amendment" was meant to be tied to this Court's pre-</w:t>
      </w:r>
      <w:r>
        <w:t xml:space="preserve"> </w:t>
      </w:r>
      <w:r>
        <w:rPr>
          <w:iCs/>
          <w:i/>
        </w:rPr>
        <w:t xml:space="preserve">Smith</w:t>
      </w:r>
      <w:r>
        <w:t xml:space="preserve"> </w:t>
      </w:r>
      <w:r>
        <w:t xml:space="preserve">interpretation of that Amendment. When first enacted, RFRA defined the "exercise of religion" to mean "the exercise of religion under the First Amendment"-not the exercise of religion as recognized only by then-existing Supreme Court precedents. 42 U.S.C. § 2000bb-2(4) (1994 ed.). When Congress wants to link the meaning of a statutory provision to a body of this Court's case law, it knows how to do so. See,</w:t>
      </w:r>
      <w:r>
        <w:t xml:space="preserve"> </w:t>
      </w:r>
      <w:r>
        <w:rPr>
          <w:iCs/>
          <w:i/>
        </w:rPr>
        <w:t xml:space="preserve">e.g.,</w:t>
      </w:r>
      <w:r>
        <w:t xml:space="preserve"> </w:t>
      </w:r>
      <w:r>
        <w:t xml:space="preserve">Antiterrorism and Effective Death Penalty Act of 1996,</w:t>
      </w:r>
      <w:r>
        <w:t xml:space="preserve"> </w:t>
      </w:r>
      <w:r>
        <w:t xml:space="preserve">28 U.S.C. § 2254</w:t>
      </w:r>
      <w:r>
        <w:t xml:space="preserve">(d)(1) (authorizing habeas relief from a state-court decision that "was contrary to, or involved an unreasonable application of, clearly established Federal law, as determined by the Supreme Court of the United States").</w:t>
      </w:r>
    </w:p>
    <w:p>
      <w:pPr>
        <w:pStyle w:val="CaseBody"/>
      </w:pPr>
      <w:r>
        <w:t xml:space="preserve">Second, if the original text of RFRA was not clear enough on this point-and we think it was-the amendment of RFRA through RLUIPA surely dispels any doubt. That amendment deleted the prior reference to the First Amendment, see 42 U.S.C. § 2000bb-2(4) (2000 ed.) (incorporating § 2000cc-5), and neither HHS nor the principal dissent can explain why Congress did this if it wanted to tie RFRA coverage tightly to the specific holdings of our pre-</w:t>
      </w:r>
      <w:r>
        <w:t xml:space="preserve"> </w:t>
      </w:r>
      <w:r>
        <w:rPr>
          <w:iCs/>
          <w:i/>
        </w:rPr>
        <w:t xml:space="preserve">Smith</w:t>
      </w:r>
      <w:r>
        <w:t xml:space="preserve"> </w:t>
      </w:r>
      <w:r>
        <w:t xml:space="preserve">free-exercise cases. Moreover, as discussed, the amendment went further, providing that the exercise of religion "shall be construed in favor of a broad protection of religious exercise, to the maximum extent permitted by the terms of this chapter and the Constitution." § 2000cc-3(g). It is simply not possible to read these provisions as restricting the concept of the "exercise of religion" to those practices specifically addressed in our pre-</w:t>
      </w:r>
      <w:r>
        <w:t xml:space="preserve"> </w:t>
      </w:r>
      <w:r>
        <w:rPr>
          <w:iCs/>
          <w:i/>
        </w:rPr>
        <w:t xml:space="preserve">Smith</w:t>
      </w:r>
      <w:r>
        <w:t xml:space="preserve"> </w:t>
      </w:r>
      <w:r>
        <w:t xml:space="preserve">decisions.</w:t>
      </w:r>
    </w:p>
    <w:p>
      <w:pPr>
        <w:pStyle w:val="CaseBody"/>
      </w:pPr>
      <w:r>
        <w:t xml:space="preserve">Third, the one pre-</w:t>
      </w:r>
      <w:r>
        <w:t xml:space="preserve"> </w:t>
      </w:r>
      <w:r>
        <w:rPr>
          <w:iCs/>
          <w:i/>
        </w:rPr>
        <w:t xml:space="preserve">Smith</w:t>
      </w:r>
      <w:r>
        <w:t xml:space="preserve"> </w:t>
      </w:r>
      <w:r>
        <w:t xml:space="preserve">case involving the free-exercise rights of a for-profit corporation suggests, if anything, that for-profit corporations possess such rights. In</w:t>
      </w:r>
      <w:r>
        <w:t xml:space="preserve"> </w:t>
      </w:r>
      <w:r>
        <w:rPr>
          <w:iCs/>
          <w:i/>
        </w:rPr>
        <w:t xml:space="preserve">Gallagher v. Crown Kosher Super Market of Mass., Inc.,</w:t>
      </w:r>
      <w:r>
        <w:t xml:space="preserve"> </w:t>
      </w:r>
      <w:r>
        <w:t xml:space="preserve">366 U.S. 617</w:t>
      </w:r>
      <w:r>
        <w:t xml:space="preserve">,</w:t>
      </w:r>
      <w:r>
        <w:t xml:space="preserve"> </w:t>
      </w:r>
      <w:r>
        <w:t xml:space="preserve">81 S.Ct. 1122</w:t>
      </w:r>
      <w:r>
        <w:t xml:space="preserve">,</w:t>
      </w:r>
      <w:r>
        <w:t xml:space="preserve"> </w:t>
      </w:r>
      <w:r>
        <w:t xml:space="preserve">6 L.Ed.2d 536</w:t>
      </w:r>
      <w:r>
        <w:t xml:space="preserve"> </w:t>
      </w:r>
      <w:r>
        <w:t xml:space="preserve">(1961), the Massachusetts Sunday closing law was challenged by a kosher market that was organized as a for-profit corporation, by customers of the market, and by a rabbi. The Commonwealth argued that the corporation lacked "standing" to assert a free-exercise claim,</w:t>
      </w:r>
      <w:hyperlink w:anchor="X44bca437af044ada4129a2b1f820771985c8f19">
        <w:r>
          <w:rPr>
            <w:rStyle w:val="Hyperlink"/>
            <w:vertAlign w:val="superscript"/>
          </w:rPr>
          <w:t xml:space="preserve">26</w:t>
        </w:r>
      </w:hyperlink>
      <w:r>
        <w:t xml:space="preserve"> </w:t>
      </w:r>
      <w:r>
        <w:t xml:space="preserve">but not one member of the Court expressed agreement with that argument. The plurality opinion for four Justices rejected the First Amendment claim on the merits based on the reasoning in</w:t>
      </w:r>
      <w:r>
        <w:t xml:space="preserve"> </w:t>
      </w:r>
      <w:r>
        <w:rPr>
          <w:iCs/>
          <w:i/>
        </w:rPr>
        <w:t xml:space="preserve">Braunfeld,</w:t>
      </w:r>
      <w:r>
        <w:t xml:space="preserve"> </w:t>
      </w:r>
      <w:r>
        <w:t xml:space="preserve">and reserved decision on the question whether the corporation had "standing" to raise the claim. See 366 U.S., at 631,</w:t>
      </w:r>
      <w:r>
        <w:t xml:space="preserve"> </w:t>
      </w:r>
      <w:r>
        <w:t xml:space="preserve">81 S.Ct. 1122</w:t>
      </w:r>
      <w:r>
        <w:t xml:space="preserve">. The three dissenters, Justices Douglas, Brennan, and Stewart, found the law unconstitutional as applied to the corporation and the other challengers and thus implicitly recognized their right to assert a free-exercise claim. See</w:t>
      </w:r>
      <w:r>
        <w:t xml:space="preserve"> </w:t>
      </w:r>
      <w:r>
        <w:rPr>
          <w:iCs/>
          <w:i/>
        </w:rPr>
        <w:t xml:space="preserve">id.,</w:t>
      </w:r>
      <w:r>
        <w:t xml:space="preserve"> </w:t>
      </w:r>
      <w:r>
        <w:t xml:space="preserve">at 642</w:t>
      </w:r>
      <w:r>
        <w:t xml:space="preserve">,</w:t>
      </w:r>
      <w:r>
        <w:t xml:space="preserve"> </w:t>
      </w:r>
      <w:r>
        <w:t xml:space="preserve">81 S.Ct. 1122</w:t>
      </w:r>
      <w:r>
        <w:t xml:space="preserve"> </w:t>
      </w:r>
      <w:r>
        <w:t xml:space="preserve">(Brennan, J., joined by Stewart, J., dissenting);</w:t>
      </w:r>
      <w:r>
        <w:t xml:space="preserve"> </w:t>
      </w:r>
      <w:r>
        <w:rPr>
          <w:iCs/>
          <w:i/>
        </w:rPr>
        <w:t xml:space="preserve">McGowan v. Maryland,</w:t>
      </w:r>
      <w:r>
        <w:t xml:space="preserve"> </w:t>
      </w:r>
      <w:r>
        <w:t xml:space="preserve">366 U.S. 420</w:t>
      </w:r>
      <w:r>
        <w:t xml:space="preserve">, 578-579,</w:t>
      </w:r>
      <w:r>
        <w:t xml:space="preserve"> </w:t>
      </w:r>
      <w:r>
        <w:t xml:space="preserve">81 S.Ct. 1101</w:t>
      </w:r>
      <w:r>
        <w:t xml:space="preserve">,</w:t>
      </w:r>
      <w:r>
        <w:t xml:space="preserve"> </w:t>
      </w:r>
      <w:r>
        <w:t xml:space="preserve">6 L.Ed.2d 393</w:t>
      </w:r>
      <w:r>
        <w:t xml:space="preserve"> </w:t>
      </w:r>
      <w:r>
        <w:t xml:space="preserve">(1961) (Douglas, J., dissenting as to related cases including</w:t>
      </w:r>
      <w:r>
        <w:t xml:space="preserve"> </w:t>
      </w:r>
      <w:r>
        <w:rPr>
          <w:iCs/>
          <w:i/>
        </w:rPr>
        <w:t xml:space="preserve">Gallagher</w:t>
      </w:r>
      <w:r>
        <w:t xml:space="preserve"> </w:t>
      </w:r>
      <w:r>
        <w:t xml:space="preserve">). Finally, Justice Frankfurter's opinion, which was joined by Justice Harlan, upheld the Massachusetts law on the merits but did not question or reserve decision on the issue of the right of the corporation or any of the other challengers to be heard. See</w:t>
      </w:r>
      <w:r>
        <w:t xml:space="preserve"> </w:t>
      </w:r>
      <w:r>
        <w:rPr>
          <w:iCs/>
          <w:i/>
        </w:rPr>
        <w:t xml:space="preserve">McGowan,</w:t>
      </w:r>
      <w:r>
        <w:t xml:space="preserve"> </w:t>
      </w:r>
      <w:r>
        <w:t xml:space="preserve">366 U.S., at 521-522</w:t>
      </w:r>
      <w:r>
        <w:t xml:space="preserve">,</w:t>
      </w:r>
      <w:r>
        <w:t xml:space="preserve"> </w:t>
      </w:r>
      <w:r>
        <w:t xml:space="preserve">81 S.Ct. 1101</w:t>
      </w:r>
      <w:r>
        <w:t xml:space="preserve">. It is quite a stretch to argue that RFRA, a law enacted to provide very broad protection for religious liberty, left for-profit corporations unprotected simply because in</w:t>
      </w:r>
      <w:r>
        <w:t xml:space="preserve"> </w:t>
      </w:r>
      <w:r>
        <w:rPr>
          <w:iCs/>
          <w:i/>
        </w:rPr>
        <w:t xml:space="preserve">Gallagher</w:t>
      </w:r>
      <w:r>
        <w:t xml:space="preserve">-the only pre-</w:t>
      </w:r>
      <w:r>
        <w:t xml:space="preserve"> </w:t>
      </w:r>
      <w:r>
        <w:rPr>
          <w:iCs/>
          <w:i/>
        </w:rPr>
        <w:t xml:space="preserve">Smith</w:t>
      </w:r>
      <w:r>
        <w:t xml:space="preserve"> </w:t>
      </w:r>
      <w:r>
        <w:t xml:space="preserve">case in which the issue was raised-a majority of the Justices did not find it necessary to decide whether the kosher market's corporate status barred it from raising a free-exercise claim.</w:t>
      </w:r>
    </w:p>
    <w:p>
      <w:pPr>
        <w:pStyle w:val="CaseBody"/>
      </w:pPr>
      <w:r>
        <w:t xml:space="preserve">Finally, the results would be absurd if RFRA merely restored this Court's pre-</w:t>
      </w:r>
      <w:r>
        <w:t xml:space="preserve"> </w:t>
      </w:r>
      <w:r>
        <w:rPr>
          <w:iCs/>
          <w:i/>
        </w:rPr>
        <w:t xml:space="preserve">Smith</w:t>
      </w:r>
      <w:r>
        <w:t xml:space="preserve"> </w:t>
      </w:r>
      <w:r>
        <w:t xml:space="preserve">decisions in ossified form and did not allow a plaintiff to raise a RFRA claim unless that plaintiff fell within a category of plaintiffs one of whom had brought a free-exercise claim that this Court entertained in the years before</w:t>
      </w:r>
      <w:r>
        <w:t xml:space="preserve"> </w:t>
      </w:r>
      <w:r>
        <w:rPr>
          <w:iCs/>
          <w:i/>
        </w:rPr>
        <w:t xml:space="preserve">Smith.</w:t>
      </w:r>
      <w:r>
        <w:t xml:space="preserve"> </w:t>
      </w:r>
      <w:r>
        <w:t xml:space="preserve">For example, we are not aware of any pre-</w:t>
      </w:r>
      <w:r>
        <w:t xml:space="preserve"> </w:t>
      </w:r>
      <w:r>
        <w:rPr>
          <w:iCs/>
          <w:i/>
        </w:rPr>
        <w:t xml:space="preserve">Smith</w:t>
      </w:r>
      <w:r>
        <w:t xml:space="preserve"> </w:t>
      </w:r>
      <w:r>
        <w:t xml:space="preserve">case in which this Court entertained a free-exercise claim brought by a resident noncitizen. Are such persons also beyond RFRA's protective reach simply because the Court never addressed their rights before</w:t>
      </w:r>
      <w:r>
        <w:t xml:space="preserve"> </w:t>
      </w:r>
      <w:r>
        <w:rPr>
          <w:iCs/>
          <w:i/>
        </w:rPr>
        <w:t xml:space="preserve">Smith</w:t>
      </w:r>
      <w:r>
        <w:t xml:space="preserve"> </w:t>
      </w:r>
      <w:r>
        <w:t xml:space="preserve">?</w:t>
      </w:r>
    </w:p>
    <w:p>
      <w:pPr>
        <w:pStyle w:val="CaseBody"/>
      </w:pPr>
      <w:r>
        <w:t xml:space="preserve">Presumably in recognition of the weakness of this argument, both HHS and the principal dissent fall back on the broader contention that the Nation lacks a tradition of exempting for-profit corporations from generally applicable laws. By contrast, HHS contends, statutes like Title VII, 42 U.S.C. § 2000e-19(A), expressly exempt churches and other nonprofit religious institutions but not for-profit corporations. See Brief for HHS in No. 13-356, p. 26. In making this argument, however, HHS did not call to our attention the fact that some federal statutes</w:t>
      </w:r>
      <w:r>
        <w:t xml:space="preserve"> </w:t>
      </w:r>
      <w:r>
        <w:rPr>
          <w:iCs/>
          <w:i/>
        </w:rPr>
        <w:t xml:space="preserve">do</w:t>
      </w:r>
      <w:r>
        <w:t xml:space="preserve"> </w:t>
      </w:r>
      <w:r>
        <w:t xml:space="preserve">exempt categories of entities that include for-profit corporations from laws that would otherwise require these entities to engage in activities to which they object on grounds of conscience. See,</w:t>
      </w:r>
      <w:r>
        <w:t xml:space="preserve"> </w:t>
      </w:r>
      <w:r>
        <w:rPr>
          <w:iCs/>
          <w:i/>
        </w:rPr>
        <w:t xml:space="preserve">e.g.,</w:t>
      </w:r>
      <w:r>
        <w:t xml:space="preserve"> </w:t>
      </w:r>
      <w:r>
        <w:t xml:space="preserve">42 U.S.C. § 300a-7(b)(2); § 238n(a).</w:t>
      </w:r>
      <w:hyperlink w:anchor="X72b205d6edb160b85bcadfe0c77e5f74512350f">
        <w:r>
          <w:rPr>
            <w:rStyle w:val="Hyperlink"/>
            <w:vertAlign w:val="superscript"/>
          </w:rPr>
          <w:t xml:space="preserve">27</w:t>
        </w:r>
      </w:hyperlink>
      <w:r>
        <w:t xml:space="preserve"> </w:t>
      </w:r>
      <w:r>
        <w:t xml:space="preserve">If Title VII and similar laws show anything, it is that Congress speaks with specificity when it intends a religious accommodation not to extend to for-profit corporations.</w:t>
      </w:r>
    </w:p>
    <w:p>
      <w:pPr>
        <w:pStyle w:val="CaseBody"/>
      </w:pPr>
      <w:r>
        <w:rPr>
          <w:bCs/>
          <w:b/>
        </w:rPr>
        <w:t xml:space="preserve">4</w:t>
      </w:r>
    </w:p>
    <w:p>
      <w:pPr>
        <w:pStyle w:val="CaseBody"/>
      </w:pPr>
      <w:r>
        <w:t xml:space="preserve">Finally, HHS contends that Congress could not have wanted RFRA to apply to for-profit corporations because it is difficult as a practical matter to ascertain the sincere "beliefs" of a corporation. HHS goes so far as to raise the specter of "divisive, polarizing proxy battles over the religious identity of large, publicly traded corporations such as IBM or General Electric." Brief for HHS in No. 13-356, at 30.</w:t>
      </w:r>
    </w:p>
    <w:p>
      <w:pPr>
        <w:pStyle w:val="CaseBody"/>
      </w:pPr>
      <w:r>
        <w:t xml:space="preserve">These cases, however, do not involve publicly traded corporations, and it seems unlikely that the sort of corporate giants to which HHS refers will often assert RFRA claims. HHS has not pointed to any example of a publicly traded corporation asserting RFRA rights, and numerous practical restraints would likely prevent that from occurring. For example, the idea that unrelated shareholders-including institutional investors with their own set of stakeholders-would agree to run a corporation under the same religious beliefs seems improbable. In any event, we have no occasion in these cases to consider RFRA's applicability to such companies. The companies in the cases before us are closely held corporations, each owned and controlled by members of a single family, and no one has disputed the sincerity of their religious beliefs.</w:t>
      </w:r>
      <w:r>
        <w:t xml:space="preserve"> </w:t>
      </w:r>
      <w:hyperlink w:anchor="X7798215b763b08d926833977c7a8c29c097a46e">
        <w:r>
          <w:rPr>
            <w:rStyle w:val="Hyperlink"/>
            <w:vertAlign w:val="superscript"/>
          </w:rPr>
          <w:t xml:space="preserve">28</w:t>
        </w:r>
      </w:hyperlink>
    </w:p>
    <w:p>
      <w:pPr>
        <w:pStyle w:val="CaseBody"/>
      </w:pPr>
      <w:r>
        <w:t xml:space="preserve">HHS has also provided no evidence that the purported problem of determining the sincerity of an asserted religious belief moved Congress to exclude for-profit corporations from RFRA's protection. On the contrary, the scope of RLUIPA shows that Congress was confident of the ability of the federal courts to weed out insincere claims. RLUIPA applies to "institutionalized persons," a category that consists primarily of prisoners, and by the time of RLUIPA's enactment, the propensity of some prisoners to assert claims of dubious sincerity was well documented.</w:t>
      </w:r>
      <w:hyperlink w:anchor="X58dd2928d840e2a7ef7ec4ed1de2cd14eaf8515">
        <w:r>
          <w:rPr>
            <w:rStyle w:val="Hyperlink"/>
            <w:vertAlign w:val="superscript"/>
          </w:rPr>
          <w:t xml:space="preserve">29</w:t>
        </w:r>
      </w:hyperlink>
      <w:r>
        <w:t xml:space="preserve"> </w:t>
      </w:r>
      <w:r>
        <w:t xml:space="preserve">Nevertheless, after our decision in</w:t>
      </w:r>
      <w:r>
        <w:t xml:space="preserve"> </w:t>
      </w:r>
      <w:r>
        <w:rPr>
          <w:iCs/>
          <w:i/>
        </w:rPr>
        <w:t xml:space="preserve">City of Boerne,</w:t>
      </w:r>
      <w:r>
        <w:t xml:space="preserve"> </w:t>
      </w:r>
      <w:r>
        <w:t xml:space="preserve">Congress enacted RLUIPA to preserve the right of prisoners to raise religious liberty claims. If Congress thought that the federal courts were up to the job of dealing with insincere prisoner claims, there is no reason to believe that Congress limited RFRA's reach out of concern for the seemingly less difficult task of doing the same in corporate cases. And if, as HHS seems to concede, Congress wanted RFRA to apply to nonprofit corporations, see, Reply Brief in No. 13-354, at 7-8, what reason is there to think that Congress believed that spotting insincere claims would be tougher in cases involving for-profits?</w:t>
      </w:r>
    </w:p>
    <w:p>
      <w:pPr>
        <w:pStyle w:val="CaseBody"/>
      </w:pPr>
      <w:r>
        <w:t xml:space="preserve">HHS and the principal dissent express concern about the possibility of disputes among the owners of corporations, but that is not a problem that arises because of RFRA or that is unique to this context. The owners of closely held corporations may-and sometimes do-disagree about the conduct of business. 1 Treatise of the Law of Corporations § 14:11. And even if RFRA did not exist, the owners of a company might well have a dispute relating to religion. For example, some might want a company's stores to remain open on the Sabbath in order to make more money, and others might want the stores to close for religious reasons. State corporate law provides a ready means for resolving any conflicts by, for example, dictating how a corporation can establish its governing structure. See,</w:t>
      </w:r>
      <w:r>
        <w:t xml:space="preserve"> </w:t>
      </w:r>
      <w:r>
        <w:rPr>
          <w:iCs/>
          <w:i/>
        </w:rPr>
        <w:t xml:space="preserve">e.g., ibid;</w:t>
      </w:r>
      <w:r>
        <w:rPr>
          <w:iCs/>
          <w:i/>
        </w:rPr>
        <w:t xml:space="preserve"> </w:t>
      </w:r>
      <w:r>
        <w:rPr>
          <w:iCs/>
          <w:i/>
        </w:rPr>
        <w:t xml:space="preserve">id.,</w:t>
      </w:r>
      <w:r>
        <w:t xml:space="preserve"> </w:t>
      </w:r>
      <w:r>
        <w:t xml:space="preserve">§ 3:2; Del.Code Ann., Tit. 8, § 351 (2011) (providing that certificate of incorporation may provide how "the business of the corporation shall be managed"). Courts will turn to that structure and the underlying state law in resolving disputes.</w:t>
      </w:r>
    </w:p>
    <w:p>
      <w:pPr>
        <w:pStyle w:val="CaseBody"/>
      </w:pPr>
      <w:r>
        <w:t xml:space="preserve">For all these reasons, we hold that a federal regulation's restriction on the activities of a for-profit closely held corporation must comply with RFRA.</w:t>
      </w:r>
      <w:r>
        <w:t xml:space="preserve"> </w:t>
      </w:r>
      <w:hyperlink w:anchor="Xc85cda28a8fc49c3b1c34b9f8d3ffbf4be5d43a">
        <w:r>
          <w:rPr>
            <w:rStyle w:val="Hyperlink"/>
            <w:vertAlign w:val="superscript"/>
          </w:rPr>
          <w:t xml:space="preserve">30</w:t>
        </w:r>
      </w:hyperlink>
    </w:p>
    <w:p>
      <w:pPr>
        <w:pStyle w:val="CaseBody"/>
      </w:pPr>
      <w:r>
        <w:rPr>
          <w:bCs/>
          <w:b/>
        </w:rPr>
        <w:t xml:space="preserve">IV</w:t>
      </w:r>
    </w:p>
    <w:p>
      <w:pPr>
        <w:pStyle w:val="CaseBody"/>
      </w:pPr>
      <w:r>
        <w:t xml:space="preserve">Because RFRA applies in these cases, we must next ask whether the HHS contraceptive mandate "substantially burden[s]" the exercise of religion. 42 U.S.C. § 2000bb-1(a). We have little trouble concluding that it does.</w:t>
      </w:r>
    </w:p>
    <w:p>
      <w:pPr>
        <w:pStyle w:val="CaseBody"/>
      </w:pPr>
      <w:r>
        <w:rPr>
          <w:bCs/>
          <w:b/>
        </w:rPr>
        <w:t xml:space="preserve">A</w:t>
      </w:r>
    </w:p>
    <w:p>
      <w:pPr>
        <w:pStyle w:val="CaseBody"/>
      </w:pPr>
      <w:r>
        <w:t xml:space="preserve">As we have noted, the Hahns and Greens have a sincere religious belief that life begins at conception. They therefore object on religious grounds to providing health insurance that covers methods of birth control that, as HHS acknowledges, see Brief for HHS in No. 13-354, at 9, n. 4, may result in the destruction of an embryo. By requiring the Hahns and Greens and their companies to arrange for such coverage, the HHS mandate demands that they engage in conduct that seriously violates their religious beliefs.</w:t>
      </w:r>
    </w:p>
    <w:p>
      <w:pPr>
        <w:pStyle w:val="CaseBody"/>
      </w:pPr>
      <w:r>
        <w:t xml:space="preserve">If the Hahns and Greens and their companies do not yield to this demand, the economic consequences will be severe. If the companies continue to offer group health plans that do not cover the contraceptives at issue, they will be taxed $100 per day for each affected individual. 26 U.S.C. § 4980D. For Hobby Lobby, the bill could amount to $1.3 million per day or about $475 million per year; for Conestoga, the assessment could be $90,000 per day or $33 million per year; and for Mardel, it could be $40,000 per day or about $15 million per year. These sums are surely substantial.</w:t>
      </w:r>
    </w:p>
    <w:p>
      <w:pPr>
        <w:pStyle w:val="CaseBody"/>
      </w:pPr>
      <w:r>
        <w:t xml:space="preserve">It is true that the plaintiffs could avoid these assessments by dropping insurance coverage altogether and thus forcing their employees to obtain health insurance on one of the exchanges established under ACA. But if at least one of their full-time employees were to qualify for a subsidy on one of the government-run exchanges, this course would also entail substantial economic consequences. The companies could face penalties of $2,000 per employee each year. § 4980H. These penalties would amount to roughly $26 million for Hobby Lobby, $1.8 million for Conestoga, and $800,000 for Mardel.</w:t>
      </w:r>
    </w:p>
    <w:p>
      <w:pPr>
        <w:pStyle w:val="CaseBody"/>
      </w:pPr>
      <w:r>
        <w:rPr>
          <w:bCs/>
          <w:b/>
        </w:rPr>
        <w:t xml:space="preserve">B</w:t>
      </w:r>
    </w:p>
    <w:p>
      <w:pPr>
        <w:pStyle w:val="CaseBody"/>
      </w:pPr>
      <w:r>
        <w:t xml:space="preserve">Although these totals are high,</w:t>
      </w:r>
      <w:r>
        <w:t xml:space="preserve"> </w:t>
      </w:r>
      <w:r>
        <w:rPr>
          <w:iCs/>
          <w:i/>
        </w:rPr>
        <w:t xml:space="preserve">amici</w:t>
      </w:r>
      <w:r>
        <w:t xml:space="preserve"> </w:t>
      </w:r>
      <w:r>
        <w:t xml:space="preserve">supporting HHS have suggested that the $2,000 per-employee penalty is actually less than the average cost of providing health insurance, see Brief for Religious Organizations 22, and therefore, they claim, the companies could readily eliminate any substantial burden by forcing their employees to obtain insurance in the government exchanges. We do not generally entertain arguments that were not raised below and are not advanced in this Court by any party, see</w:t>
      </w:r>
      <w:r>
        <w:t xml:space="preserve"> </w:t>
      </w:r>
      <w:r>
        <w:rPr>
          <w:iCs/>
          <w:i/>
        </w:rPr>
        <w:t xml:space="preserve">United Parcel Service, Inc. v. Mitchell,</w:t>
      </w:r>
      <w:r>
        <w:t xml:space="preserve"> </w:t>
      </w:r>
      <w:r>
        <w:t xml:space="preserve">451 U.S. 56</w:t>
      </w:r>
      <w:r>
        <w:t xml:space="preserve">, 60, n. 2,</w:t>
      </w:r>
      <w:r>
        <w:t xml:space="preserve"> </w:t>
      </w:r>
      <w:r>
        <w:t xml:space="preserve">101 S.Ct. 1559</w:t>
      </w:r>
      <w:r>
        <w:t xml:space="preserve">,</w:t>
      </w:r>
      <w:r>
        <w:t xml:space="preserve"> </w:t>
      </w:r>
      <w:r>
        <w:t xml:space="preserve">67 L.Ed.2d 732</w:t>
      </w:r>
      <w:r>
        <w:t xml:space="preserve"> </w:t>
      </w:r>
      <w:r>
        <w:t xml:space="preserve">(1981);</w:t>
      </w:r>
      <w:r>
        <w:t xml:space="preserve"> </w:t>
      </w:r>
      <w:r>
        <w:rPr>
          <w:iCs/>
          <w:i/>
        </w:rPr>
        <w:t xml:space="preserve">Bell v. Wolfish,</w:t>
      </w:r>
      <w:r>
        <w:t xml:space="preserve"> </w:t>
      </w:r>
      <w:r>
        <w:t xml:space="preserve">441 U.S. 520</w:t>
      </w:r>
      <w:r>
        <w:t xml:space="preserve">, 532, n. 13,</w:t>
      </w:r>
      <w:r>
        <w:t xml:space="preserve"> </w:t>
      </w:r>
      <w:r>
        <w:t xml:space="preserve">99 S.Ct. 1861</w:t>
      </w:r>
      <w:r>
        <w:t xml:space="preserve">,</w:t>
      </w:r>
      <w:r>
        <w:t xml:space="preserve"> </w:t>
      </w:r>
      <w:r>
        <w:t xml:space="preserve">60 L.Ed.2d 447</w:t>
      </w:r>
      <w:r>
        <w:t xml:space="preserve"> </w:t>
      </w:r>
      <w:r>
        <w:t xml:space="preserve">(1979);</w:t>
      </w:r>
      <w:r>
        <w:t xml:space="preserve"> </w:t>
      </w:r>
      <w:r>
        <w:rPr>
          <w:iCs/>
          <w:i/>
        </w:rPr>
        <w:t xml:space="preserve">Knetsch v. United States,</w:t>
      </w:r>
      <w:r>
        <w:t xml:space="preserve"> </w:t>
      </w:r>
      <w:r>
        <w:t xml:space="preserve">364 U.S. 361</w:t>
      </w:r>
      <w:r>
        <w:t xml:space="preserve">, 370,</w:t>
      </w:r>
      <w:r>
        <w:t xml:space="preserve"> </w:t>
      </w:r>
      <w:r>
        <w:t xml:space="preserve">81 S.Ct. 132</w:t>
      </w:r>
      <w:r>
        <w:t xml:space="preserve">,</w:t>
      </w:r>
      <w:r>
        <w:t xml:space="preserve"> </w:t>
      </w:r>
      <w:r>
        <w:t xml:space="preserve">5 L.Ed.2d 128</w:t>
      </w:r>
      <w:r>
        <w:t xml:space="preserve"> </w:t>
      </w:r>
      <w:r>
        <w:t xml:space="preserve">(1960), and there are strong reasons to adhere to that practice in these cases. HHS, which presumably could have compiled the relevant statistics, has never made this argument-not in its voluminous briefing or at oral argument in this Court nor, to our knowledge, in any of the numerous cases in which the issue now before us has been litigated around the country. As things now stand, we do not even know what the Government's position might be with respect to these</w:t>
      </w:r>
      <w:r>
        <w:t xml:space="preserve"> </w:t>
      </w:r>
      <w:r>
        <w:rPr>
          <w:iCs/>
          <w:i/>
        </w:rPr>
        <w:t xml:space="preserve">amici's</w:t>
      </w:r>
      <w:r>
        <w:t xml:space="preserve"> </w:t>
      </w:r>
      <w:r>
        <w:t xml:space="preserve">intensely empirical argument.</w:t>
      </w:r>
      <w:r>
        <w:t xml:space="preserve"> </w:t>
      </w:r>
      <w:hyperlink w:anchor="Xc68452566aeb804a5c47d367baa3995251d50e0">
        <w:r>
          <w:rPr>
            <w:rStyle w:val="Hyperlink"/>
            <w:vertAlign w:val="superscript"/>
          </w:rPr>
          <w:t xml:space="preserve">31</w:t>
        </w:r>
      </w:hyperlink>
      <w:r>
        <w:t xml:space="preserve"> </w:t>
      </w:r>
      <w:r>
        <w:t xml:space="preserve">For this same reason, the plaintiffs have never had an opportunity to respond to this novel claim that-contrary to their longstanding practice and that of most large employers-they would be better off discarding their employer insurance plans altogether.</w:t>
      </w:r>
    </w:p>
    <w:p>
      <w:pPr>
        <w:pStyle w:val="CaseBody"/>
      </w:pPr>
      <w:r>
        <w:t xml:space="preserve">Even if we were to reach this argument, we would find it unpersuasive. As an initial matter, it entirely ignores the fact that the Hahns and Greens and their companies have religious reasons for providing health-insurance coverage for their employees. Before the advent of ACA, they were not legally compelled to provide insurance, but they nevertheless did so-in part, no doubt, for conventional business reasons, but also in part because their religious beliefs govern their relations with their employees. See App. to Pet. for Cert. in No. 13-356, p. 11g; App. in No. 13-354, at 139.</w:t>
      </w:r>
    </w:p>
    <w:p>
      <w:pPr>
        <w:pStyle w:val="CaseBody"/>
      </w:pPr>
      <w:r>
        <w:t xml:space="preserve">Putting aside the religious dimension of the decision to provide insurance, moreover, it is far from clear that the net cost to the companies of providing insurance is more than the cost of dropping their insurance plans and paying the ACA penalty. Health insurance is a benefit that employees value. If the companies simply eliminated that benefit and forced employees to purchase their own insurance on the exchanges, without offering additional compensation, it is predictable that the companies would face a competitive disadvantage in retaining and attracting skilled workers. See App. in No. 13-354, at 153.</w:t>
      </w:r>
    </w:p>
    <w:p>
      <w:pPr>
        <w:pStyle w:val="CaseBody"/>
      </w:pPr>
      <w:r>
        <w:t xml:space="preserve">The companies could attempt to make up for the elimination of a group health plan by increasing wages, but this would be costly. Group health insurance is generally less expensive than comparable individual coverage, so the amount of the salary increase needed to fully compensate for the termination of insurance coverage may well exceed the cost to the companies of providing the insurance. In addition, any salary increase would have to take into account the fact that employees must pay income taxes on wages but not on the value of employer-provided health insurance.</w:t>
      </w:r>
      <w:r>
        <w:t xml:space="preserve"> </w:t>
      </w:r>
      <w:r>
        <w:t xml:space="preserve">26 U.S.C. § 106</w:t>
      </w:r>
      <w:r>
        <w:t xml:space="preserve">(a). Likewise, employers can deduct the cost of providing health insurance, see § 162(a)(1), but apparently cannot deduct the amount of the penalty that they must pay if insurance is not provided; that difference also must be taken into account. Given these economic incentives, it is far from clear that it would be financially advantageous for an employer to drop coverage and pay the penalty.</w:t>
      </w:r>
      <w:hyperlink w:anchor="Xdd71abf51a42c344cf99062d7684f644ce470bf">
        <w:r>
          <w:rPr>
            <w:rStyle w:val="Hyperlink"/>
            <w:vertAlign w:val="superscript"/>
          </w:rPr>
          <w:t xml:space="preserve">32</w:t>
        </w:r>
      </w:hyperlink>
    </w:p>
    <w:p>
      <w:pPr>
        <w:pStyle w:val="CaseBody"/>
      </w:pPr>
      <w:r>
        <w:t xml:space="preserve">In sum, we refuse to sustain the challenged regulations on the ground-never maintained by the Government-that dropping insurance coverage eliminates the substantial burden that the HHS mandate imposes. We doubt that the Congress that enacted RFRA-or, for that matter, ACA-would have believed it a tolerable result to put family-run businesses to the choice of violating their sincerely held religious beliefs or making all of their employees lose their existing healthcare plans.</w:t>
      </w:r>
    </w:p>
    <w:p>
      <w:pPr>
        <w:pStyle w:val="CaseBody"/>
      </w:pPr>
      <w:r>
        <w:rPr>
          <w:bCs/>
          <w:b/>
        </w:rPr>
        <w:t xml:space="preserve">C</w:t>
      </w:r>
    </w:p>
    <w:p>
      <w:pPr>
        <w:pStyle w:val="CaseBody"/>
      </w:pPr>
      <w:r>
        <w:t xml:space="preserve">In taking the position that the HHS mandate does not impose a substantial burden on the exercise of religion, HHS's main argument (echoed by the principal dissent) is basically that the connection between what the objecting parties must do (provide health-insurance coverage for four methods of contraception that may operate after the fertilization of an egg) and the end that they find to be morally wrong (destruction of an embryo) is simply too attenuated. Brief for HHS in 13-354, pp. 31-34;</w:t>
      </w:r>
      <w:r>
        <w:t xml:space="preserve"> </w:t>
      </w:r>
      <w:r>
        <w:rPr>
          <w:iCs/>
          <w:i/>
        </w:rPr>
        <w:t xml:space="preserve">post,</w:t>
      </w:r>
      <w:r>
        <w:t xml:space="preserve"> </w:t>
      </w:r>
      <w:r>
        <w:t xml:space="preserve">at 2798 - 2799. HHS and the dissent note that providing the coverage would not itself result in the destruction of an embryo; that would occur only if an employee chose to take advantage of the coverage and to use one of the four methods at issue.</w:t>
      </w:r>
      <w:r>
        <w:t xml:space="preserve"> </w:t>
      </w:r>
      <w:hyperlink w:anchor="X43fea0acc506e38483f3539271d803c177536bb">
        <w:r>
          <w:rPr>
            <w:rStyle w:val="Hyperlink"/>
            <w:vertAlign w:val="superscript"/>
          </w:rPr>
          <w:t xml:space="preserve">33</w:t>
        </w:r>
      </w:hyperlink>
      <w:r>
        <w:rPr>
          <w:iCs/>
          <w:i/>
        </w:rPr>
        <w:t xml:space="preserve">Ibid.</w:t>
      </w:r>
    </w:p>
    <w:p>
      <w:pPr>
        <w:pStyle w:val="CaseBody"/>
      </w:pPr>
      <w:r>
        <w:t xml:space="preserve">This argument dodges the question that RFRA presents (whether the HHS mandate imposes a substantial burden on the ability of the objecting parties to conduct business in accordance with</w:t>
      </w:r>
      <w:r>
        <w:t xml:space="preserve"> </w:t>
      </w:r>
      <w:r>
        <w:rPr>
          <w:iCs/>
          <w:i/>
        </w:rPr>
        <w:t xml:space="preserve">their religious beliefs</w:t>
      </w:r>
      <w:r>
        <w:t xml:space="preserve"> </w:t>
      </w:r>
      <w:r>
        <w:t xml:space="preserve">) and instead addresses a very different question that the federal courts have no business addressing (whether the religious belief asserted in a RFRA case is reasonable). The Hahns and Greens believe that providing the coverage demanded by the HHS regulations is connected to the destruction of an embryo in a way that is sufficient to make it immoral for them to provide the coverage. This belief implicates a difficult and important question of religion and moral philosophy, namely, the circumstances under which it is wrong for a person to perform an act that is innocent in itself but that has the effect of enabling or facilitating the commission of an immoral act by another.</w:t>
      </w:r>
      <w:hyperlink w:anchor="X8eb5b13b239a2d3fc3cc72b0ad43c9cb8b2dc14">
        <w:r>
          <w:rPr>
            <w:rStyle w:val="Hyperlink"/>
            <w:vertAlign w:val="superscript"/>
          </w:rPr>
          <w:t xml:space="preserve">34</w:t>
        </w:r>
      </w:hyperlink>
      <w:r>
        <w:t xml:space="preserve"> </w:t>
      </w:r>
      <w:r>
        <w:t xml:space="preserve">Arrogating the authority to provide a binding national answer to this religious and philosophical question, HHS and the principal dissent in effect tell the plaintiffs that their beliefs are flawed. For good reason, we have repeatedly refused to take such a step. See,</w:t>
      </w:r>
      <w:r>
        <w:t xml:space="preserve"> </w:t>
      </w:r>
      <w:r>
        <w:rPr>
          <w:iCs/>
          <w:i/>
        </w:rPr>
        <w:t xml:space="preserve">e.g</w:t>
      </w:r>
      <w:r>
        <w:t xml:space="preserve">.,</w:t>
      </w:r>
      <w:r>
        <w:t xml:space="preserve"> </w:t>
      </w:r>
      <w:r>
        <w:rPr>
          <w:iCs/>
          <w:i/>
        </w:rPr>
        <w:t xml:space="preserve">Smith,</w:t>
      </w:r>
      <w:r>
        <w:t xml:space="preserve"> </w:t>
      </w:r>
      <w:r>
        <w:t xml:space="preserve">494 U.S., at 887</w:t>
      </w:r>
      <w:r>
        <w:t xml:space="preserve">,</w:t>
      </w:r>
      <w:r>
        <w:t xml:space="preserve"> </w:t>
      </w:r>
      <w:r>
        <w:t xml:space="preserve">110 S.Ct. 1595</w:t>
      </w:r>
      <w:r>
        <w:t xml:space="preserve"> </w:t>
      </w:r>
      <w:r>
        <w:t xml:space="preserve">("Repeatedly and in many different contexts, we have warned that courts must not presume to determine ... the plausibility of a religious claim");</w:t>
      </w:r>
      <w:r>
        <w:t xml:space="preserve"> </w:t>
      </w:r>
      <w:r>
        <w:rPr>
          <w:iCs/>
          <w:i/>
        </w:rPr>
        <w:t xml:space="preserve">Hernandez v. Commissioner,</w:t>
      </w:r>
      <w:r>
        <w:t xml:space="preserve"> </w:t>
      </w:r>
      <w:r>
        <w:t xml:space="preserve">490 U.S. 680</w:t>
      </w:r>
      <w:r>
        <w:t xml:space="preserve">, 699,</w:t>
      </w:r>
      <w:r>
        <w:t xml:space="preserve"> </w:t>
      </w:r>
      <w:r>
        <w:t xml:space="preserve">109 S.Ct. 2136</w:t>
      </w:r>
      <w:r>
        <w:t xml:space="preserve">,</w:t>
      </w:r>
      <w:r>
        <w:t xml:space="preserve"> </w:t>
      </w:r>
      <w:r>
        <w:t xml:space="preserve">104 L.Ed.2d 766</w:t>
      </w:r>
      <w:r>
        <w:t xml:space="preserve"> </w:t>
      </w:r>
      <w:r>
        <w:t xml:space="preserve">(1989);</w:t>
      </w:r>
      <w:r>
        <w:t xml:space="preserve"> </w:t>
      </w:r>
      <w:r>
        <w:rPr>
          <w:iCs/>
          <w:i/>
        </w:rPr>
        <w:t xml:space="preserve">Presbyterian Church in U.S. v. Mary Elizabeth Blue Hull Memorial Presbyterian Church,</w:t>
      </w:r>
      <w:r>
        <w:t xml:space="preserve"> </w:t>
      </w:r>
      <w:r>
        <w:t xml:space="preserve">393 U.S. 440</w:t>
      </w:r>
      <w:r>
        <w:t xml:space="preserve">, 450,</w:t>
      </w:r>
      <w:r>
        <w:t xml:space="preserve"> </w:t>
      </w:r>
      <w:r>
        <w:t xml:space="preserve">89 S.Ct. 601</w:t>
      </w:r>
      <w:r>
        <w:t xml:space="preserve">,</w:t>
      </w:r>
      <w:r>
        <w:t xml:space="preserve"> </w:t>
      </w:r>
      <w:r>
        <w:t xml:space="preserve">21 L.Ed.2d 658</w:t>
      </w:r>
      <w:r>
        <w:t xml:space="preserve"> </w:t>
      </w:r>
      <w:r>
        <w:t xml:space="preserve">(1969).</w:t>
      </w:r>
    </w:p>
    <w:p>
      <w:pPr>
        <w:pStyle w:val="CaseBody"/>
      </w:pPr>
      <w:r>
        <w:t xml:space="preserve">Moreover, in</w:t>
      </w:r>
      <w:r>
        <w:t xml:space="preserve"> </w:t>
      </w:r>
      <w:r>
        <w:rPr>
          <w:iCs/>
          <w:i/>
        </w:rPr>
        <w:t xml:space="preserve">Thomas v. Review Bd. of Indiana Employment Security Div.,</w:t>
      </w:r>
      <w:r>
        <w:t xml:space="preserve"> </w:t>
      </w:r>
      <w:r>
        <w:t xml:space="preserve">450 U.S. 707</w:t>
      </w:r>
      <w:r>
        <w:t xml:space="preserve">,</w:t>
      </w:r>
      <w:r>
        <w:t xml:space="preserve"> </w:t>
      </w:r>
      <w:r>
        <w:t xml:space="preserve">101 S.Ct. 1425</w:t>
      </w:r>
      <w:r>
        <w:t xml:space="preserve">,</w:t>
      </w:r>
      <w:r>
        <w:t xml:space="preserve"> </w:t>
      </w:r>
      <w:r>
        <w:t xml:space="preserve">67 L.Ed.2d 624</w:t>
      </w:r>
      <w:r>
        <w:t xml:space="preserve"> </w:t>
      </w:r>
      <w:r>
        <w:t xml:space="preserve">(1981), we considered and rejected an argument that is nearly identical to the one now urged by HHS and the dissent. In</w:t>
      </w:r>
      <w:r>
        <w:t xml:space="preserve"> </w:t>
      </w:r>
      <w:r>
        <w:rPr>
          <w:iCs/>
          <w:i/>
        </w:rPr>
        <w:t xml:space="preserve">Thomas,</w:t>
      </w:r>
      <w:r>
        <w:t xml:space="preserve"> </w:t>
      </w:r>
      <w:r>
        <w:t xml:space="preserve">a Jehovah's Witness was initially employed making sheet steel for a variety of industrial uses, but he was later transferred to a job making turrets for tanks.</w:t>
      </w:r>
      <w:r>
        <w:t xml:space="preserve"> </w:t>
      </w:r>
      <w:r>
        <w:rPr>
          <w:iCs/>
          <w:i/>
        </w:rPr>
        <w:t xml:space="preserve">Id.,</w:t>
      </w:r>
      <w:r>
        <w:t xml:space="preserve"> </w:t>
      </w:r>
      <w:r>
        <w:t xml:space="preserve">at 710</w:t>
      </w:r>
      <w:r>
        <w:t xml:space="preserve">,</w:t>
      </w:r>
      <w:r>
        <w:t xml:space="preserve"> </w:t>
      </w:r>
      <w:r>
        <w:t xml:space="preserve">101 S.Ct. 1425</w:t>
      </w:r>
      <w:r>
        <w:t xml:space="preserve">. Because he objected on religious grounds to participating in the manufacture of weapons, he lost his job and sought unemployment compensation. Ruling against the employee, the state court had difficulty with the line that the employee drew between work that he found to be consistent with his religious beliefs (helping to manufacture steel that was used in making weapons) and work that he found morally objectionable (helping to make the weapons themselves). This Court, however, held that "it is not for us to say that the line he drew was an unreasonable one."</w:t>
      </w:r>
      <w:r>
        <w:t xml:space="preserve"> </w:t>
      </w:r>
      <w:r>
        <w:rPr>
          <w:iCs/>
          <w:i/>
        </w:rPr>
        <w:t xml:space="preserve">Id.,</w:t>
      </w:r>
      <w:r>
        <w:t xml:space="preserve"> </w:t>
      </w:r>
      <w:r>
        <w:t xml:space="preserve">at 715</w:t>
      </w:r>
      <w:r>
        <w:t xml:space="preserve">,</w:t>
      </w:r>
      <w:r>
        <w:t xml:space="preserve"> </w:t>
      </w:r>
      <w:r>
        <w:t xml:space="preserve">101 S.Ct. 1425</w:t>
      </w:r>
      <w:r>
        <w:t xml:space="preserve">.</w:t>
      </w:r>
      <w:hyperlink w:anchor="Xe7e7bb1d1bf46a1750ecf86924ac9a7912c6cb0">
        <w:r>
          <w:rPr>
            <w:rStyle w:val="Hyperlink"/>
            <w:vertAlign w:val="superscript"/>
          </w:rPr>
          <w:t xml:space="preserve">35</w:t>
        </w:r>
      </w:hyperlink>
    </w:p>
    <w:p>
      <w:pPr>
        <w:pStyle w:val="CaseBody"/>
      </w:pPr>
      <w:r>
        <w:t xml:space="preserve">Similarly, in these cases, the Hahns and Greens and their companies sincerely believe that providing the insurance coverage demanded by the HHS regulations lies on the forbidden side of the line, and it is not for us to say that their religious beliefs are mistaken or insubstantial. Instead, our "narrow function ... in this context is to determine" whether the line drawn reflects "an honest conviction,"</w:t>
      </w:r>
      <w:r>
        <w:t xml:space="preserve"> </w:t>
      </w:r>
      <w:r>
        <w:rPr>
          <w:iCs/>
          <w:i/>
        </w:rPr>
        <w:t xml:space="preserve">id</w:t>
      </w:r>
      <w:r>
        <w:t xml:space="preserve">., at 716</w:t>
      </w:r>
      <w:r>
        <w:t xml:space="preserve">,</w:t>
      </w:r>
      <w:r>
        <w:t xml:space="preserve"> </w:t>
      </w:r>
      <w:r>
        <w:t xml:space="preserve">101 S.Ct. 1425</w:t>
      </w:r>
      <w:r>
        <w:t xml:space="preserve">, and there is no dispute that it does.</w:t>
      </w:r>
    </w:p>
    <w:p>
      <w:pPr>
        <w:pStyle w:val="CaseBody"/>
      </w:pPr>
      <w:r>
        <w:t xml:space="preserve">HHS nevertheless compares these cases to decisions in which we rejected the argument that the use of general tax revenue to subsidize the secular activities of religious institutions violated the Free Exercise Clause. See</w:t>
      </w:r>
      <w:r>
        <w:t xml:space="preserve"> </w:t>
      </w:r>
      <w:r>
        <w:rPr>
          <w:iCs/>
          <w:i/>
        </w:rPr>
        <w:t xml:space="preserve">Tilton v. Richardson,</w:t>
      </w:r>
      <w:r>
        <w:t xml:space="preserve"> </w:t>
      </w:r>
      <w:r>
        <w:t xml:space="preserve">403 U.S. 672</w:t>
      </w:r>
      <w:r>
        <w:t xml:space="preserve">, 689,</w:t>
      </w:r>
      <w:r>
        <w:t xml:space="preserve"> </w:t>
      </w:r>
      <w:r>
        <w:t xml:space="preserve">91 S.Ct. 2091</w:t>
      </w:r>
      <w:r>
        <w:t xml:space="preserve">,</w:t>
      </w:r>
      <w:r>
        <w:t xml:space="preserve"> </w:t>
      </w:r>
      <w:r>
        <w:t xml:space="preserve">29 L.Ed.2d 790</w:t>
      </w:r>
      <w:r>
        <w:t xml:space="preserve"> </w:t>
      </w:r>
      <w:r>
        <w:t xml:space="preserve">(1971) (plurality);</w:t>
      </w:r>
      <w:r>
        <w:t xml:space="preserve"> </w:t>
      </w:r>
      <w:r>
        <w:rPr>
          <w:iCs/>
          <w:i/>
        </w:rPr>
        <w:t xml:space="preserve">Board of Ed. of Central School Dist. No. 1 v. Allen,</w:t>
      </w:r>
      <w:r>
        <w:t xml:space="preserve"> </w:t>
      </w:r>
      <w:r>
        <w:t xml:space="preserve">392 U.S. 236</w:t>
      </w:r>
      <w:r>
        <w:t xml:space="preserve">, 248-249,</w:t>
      </w:r>
      <w:r>
        <w:t xml:space="preserve"> </w:t>
      </w:r>
      <w:r>
        <w:t xml:space="preserve">88 S.Ct. 1923</w:t>
      </w:r>
      <w:r>
        <w:t xml:space="preserve">,</w:t>
      </w:r>
      <w:r>
        <w:t xml:space="preserve"> </w:t>
      </w:r>
      <w:r>
        <w:t xml:space="preserve">20 L.Ed.2d 1060</w:t>
      </w:r>
      <w:r>
        <w:t xml:space="preserve"> </w:t>
      </w:r>
      <w:r>
        <w:t xml:space="preserve">(1968). But in those cases, while the subsidies were clearly contrary to the challengers' views on a secular issue, namely, proper church-state relations, the challengers never articulated a</w:t>
      </w:r>
      <w:r>
        <w:t xml:space="preserve"> </w:t>
      </w:r>
      <w:r>
        <w:rPr>
          <w:iCs/>
          <w:i/>
        </w:rPr>
        <w:t xml:space="preserve">religious</w:t>
      </w:r>
      <w:r>
        <w:t xml:space="preserve"> </w:t>
      </w:r>
      <w:r>
        <w:t xml:space="preserve">objection to the subsidies. As we put it in</w:t>
      </w:r>
      <w:r>
        <w:t xml:space="preserve"> </w:t>
      </w:r>
      <w:r>
        <w:rPr>
          <w:iCs/>
          <w:i/>
        </w:rPr>
        <w:t xml:space="preserve">Tilton,</w:t>
      </w:r>
      <w:r>
        <w:t xml:space="preserve"> </w:t>
      </w:r>
      <w:r>
        <w:t xml:space="preserve">they were "unable to identify any coercion directed at the practice or exercise of their religious beliefs."</w:t>
      </w:r>
      <w:r>
        <w:t xml:space="preserve"> </w:t>
      </w:r>
      <w:r>
        <w:t xml:space="preserve">403 U.S., at 689</w:t>
      </w:r>
      <w:r>
        <w:t xml:space="preserve">,</w:t>
      </w:r>
      <w:r>
        <w:t xml:space="preserve"> </w:t>
      </w:r>
      <w:r>
        <w:t xml:space="preserve">91 S.Ct. 2091</w:t>
      </w:r>
      <w:r>
        <w:t xml:space="preserve"> </w:t>
      </w:r>
      <w:r>
        <w:t xml:space="preserve">(plurality opinion); see</w:t>
      </w:r>
      <w:r>
        <w:t xml:space="preserve"> </w:t>
      </w:r>
      <w:r>
        <w:rPr>
          <w:iCs/>
          <w:i/>
        </w:rPr>
        <w:t xml:space="preserve">Allen,</w:t>
      </w:r>
      <w:r>
        <w:rPr>
          <w:iCs/>
          <w:i/>
        </w:rPr>
        <w:t xml:space="preserve"> </w:t>
      </w:r>
      <w:r>
        <w:rPr>
          <w:iCs/>
          <w:i/>
        </w:rPr>
        <w:t xml:space="preserve">supra,</w:t>
      </w:r>
      <w:r>
        <w:t xml:space="preserve"> </w:t>
      </w:r>
      <w:r>
        <w:t xml:space="preserve">at 249</w:t>
      </w:r>
      <w:r>
        <w:t xml:space="preserve">,</w:t>
      </w:r>
      <w:r>
        <w:t xml:space="preserve"> </w:t>
      </w:r>
      <w:r>
        <w:t xml:space="preserve">88 S.Ct. 1923</w:t>
      </w:r>
      <w:r>
        <w:t xml:space="preserve"> </w:t>
      </w:r>
      <w:r>
        <w:t xml:space="preserve">("[A]ppellants have not contended that the New York law in any way coerces them as individuals in the practice of their religion"). Here, in contrast, the plaintiffs do assert that funding the specific contraceptive methods at issue violates their religious beliefs, and HHS does not question their sincerity. Because the contraceptive mandate forces them to pay an enormous sum of money-as much as $475 million per year in the case of Hobby Lobby-if they insist on providing insurance coverage in accordance with their religious beliefs, the mandate clearly imposes a substantial burden on those beliefs.</w:t>
      </w:r>
    </w:p>
    <w:p>
      <w:pPr>
        <w:pStyle w:val="CaseBody"/>
      </w:pPr>
      <w:r>
        <w:rPr>
          <w:bCs/>
          <w:b/>
        </w:rPr>
        <w:t xml:space="preserve">V</w:t>
      </w:r>
    </w:p>
    <w:p>
      <w:pPr>
        <w:pStyle w:val="CaseBody"/>
      </w:pPr>
      <w:r>
        <w:t xml:space="preserve">Since the HHS contraceptive mandate imposes a substantial burden on the exercise of religion, we must move on and decide whether HHS has shown that the mandate both "(1) is in furtherance of a compelling governmental interest; and (2) is the least restrictive means of furthering that compelling governmental interest." 42 U.S.C. § 2000bb-1(b).</w:t>
      </w:r>
    </w:p>
    <w:p>
      <w:pPr>
        <w:pStyle w:val="CaseBody"/>
      </w:pPr>
      <w:r>
        <w:rPr>
          <w:bCs/>
          <w:b/>
        </w:rPr>
        <w:t xml:space="preserve">A</w:t>
      </w:r>
    </w:p>
    <w:p>
      <w:pPr>
        <w:pStyle w:val="CaseBody"/>
      </w:pPr>
      <w:r>
        <w:t xml:space="preserve">HHS asserts that the contraceptive mandate serves a variety of important interests, but many of these are couched in very broad terms, such as promoting "public health" and "gender equality." Brief for HHS in No. 13-354, at 46, 49. RFRA, however, contemplates a "more focused" inquiry: It "requires the Government to demonstrate that the compelling interest test is satisfied through application of the challenged law 'to the person'-the particular claimant whose sincere exercise of religion is being substantially burdened."</w:t>
      </w:r>
      <w:r>
        <w:t xml:space="preserve"> </w:t>
      </w:r>
      <w:r>
        <w:rPr>
          <w:iCs/>
          <w:i/>
        </w:rPr>
        <w:t xml:space="preserve">O Centro,</w:t>
      </w:r>
      <w:r>
        <w:t xml:space="preserve"> </w:t>
      </w:r>
      <w:r>
        <w:t xml:space="preserve">546 U.S., at 430-431</w:t>
      </w:r>
      <w:r>
        <w:t xml:space="preserve">,</w:t>
      </w:r>
      <w:r>
        <w:t xml:space="preserve"> </w:t>
      </w:r>
      <w:r>
        <w:t xml:space="preserve">126 S.Ct. 1211</w:t>
      </w:r>
      <w:r>
        <w:t xml:space="preserve"> </w:t>
      </w:r>
      <w:r>
        <w:t xml:space="preserve">(quoting § 2000bb-1(b)). This requires us to "loo[k] beyond broadly formulated interests" and to "scrutiniz[e] the asserted harm of granting specific exemptions to particular religious claimants"-in other words, to look to the marginal interest in enforcing the contraceptive mandate in these cases.</w:t>
      </w:r>
      <w:r>
        <w:t xml:space="preserve"> </w:t>
      </w:r>
      <w:r>
        <w:rPr>
          <w:iCs/>
          <w:i/>
        </w:rPr>
        <w:t xml:space="preserve">O Centro,</w:t>
      </w:r>
      <w:r>
        <w:rPr>
          <w:iCs/>
          <w:i/>
        </w:rPr>
        <w:t xml:space="preserve"> </w:t>
      </w:r>
      <w:r>
        <w:rPr>
          <w:iCs/>
          <w:i/>
        </w:rPr>
        <w:t xml:space="preserve">supra,</w:t>
      </w:r>
      <w:r>
        <w:t xml:space="preserve"> </w:t>
      </w:r>
      <w:r>
        <w:t xml:space="preserve">at 431</w:t>
      </w:r>
      <w:r>
        <w:t xml:space="preserve">,</w:t>
      </w:r>
      <w:r>
        <w:t xml:space="preserve"> </w:t>
      </w:r>
      <w:r>
        <w:t xml:space="preserve">126 S.Ct. 1211</w:t>
      </w:r>
      <w:r>
        <w:t xml:space="preserve">.</w:t>
      </w:r>
    </w:p>
    <w:p>
      <w:pPr>
        <w:pStyle w:val="CaseBody"/>
      </w:pPr>
      <w:r>
        <w:t xml:space="preserve">In addition to asserting these very broadly framed interests, HHS maintains that the mandate serves a compelling interest in ensuring that all women have access to all FDA-approved contraceptives without cost sharing. See Brief for HHS in No. 13-354, at 14-15, 49; see Brief for HHS in No. 13-356, at 10, 48. Under our cases, women (and men) have a constitutional right to obtain contraceptives, see</w:t>
      </w:r>
      <w:r>
        <w:t xml:space="preserve"> </w:t>
      </w:r>
      <w:r>
        <w:rPr>
          <w:iCs/>
          <w:i/>
        </w:rPr>
        <w:t xml:space="preserve">Griswold v. Connecticut,</w:t>
      </w:r>
      <w:r>
        <w:t xml:space="preserve"> </w:t>
      </w:r>
      <w:r>
        <w:t xml:space="preserve">381 U.S. 479</w:t>
      </w:r>
      <w:r>
        <w:t xml:space="preserve">, 485-486,</w:t>
      </w:r>
      <w:r>
        <w:t xml:space="preserve"> </w:t>
      </w:r>
      <w:r>
        <w:t xml:space="preserve">85 S.Ct. 1678</w:t>
      </w:r>
      <w:r>
        <w:t xml:space="preserve">,</w:t>
      </w:r>
      <w:r>
        <w:t xml:space="preserve"> </w:t>
      </w:r>
      <w:r>
        <w:t xml:space="preserve">14 L.Ed.2d 510</w:t>
      </w:r>
      <w:r>
        <w:t xml:space="preserve"> </w:t>
      </w:r>
      <w:r>
        <w:t xml:space="preserve">(1965), and HHS tells us that "[s]tudies have demonstrated that even moderate copayments for preventive services can deter patients from receiving those services." Brief for HHS in No. 13-354, at 50 (internal quotation marks omitted).</w:t>
      </w:r>
    </w:p>
    <w:p>
      <w:pPr>
        <w:pStyle w:val="CaseBody"/>
      </w:pPr>
      <w:r>
        <w:t xml:space="preserve">The objecting parties contend that HHS has not shown that the mandate serves a compelling government interest, and it is arguable that there are features of ACA that support that view. As we have noted, many employees-those covered by grandfathered plans and those who work for employers with fewer than 50 employees-may have no contraceptive coverage without cost sharing at all.</w:t>
      </w:r>
    </w:p>
    <w:p>
      <w:pPr>
        <w:pStyle w:val="CaseBody"/>
      </w:pPr>
      <w:r>
        <w:t xml:space="preserve">HHS responds that many legal requirements have exceptions and the existence of exceptions does not in itself indicate that the principal interest served by a law is not compelling. Even a compelling interest may be outweighed in some circumstances by another even weightier consideration. In these cases, however, the interest served by one of the biggest exceptions, the exception for grandfathered plans, is simply the interest of employers in avoiding the inconvenience of amending an existing plan. Grandfathered plans are required "to comply with a subset of the Affordable Care Act's health reform provisions" that provide what HHS has described as "particularly significant protections." 75 Fed.Reg. 34540 (2010). But the contraceptive mandate is expressly excluded from this subset.</w:t>
      </w:r>
      <w:r>
        <w:t xml:space="preserve"> </w:t>
      </w:r>
      <w:r>
        <w:rPr>
          <w:iCs/>
          <w:i/>
        </w:rPr>
        <w:t xml:space="preserve">Ibid</w:t>
      </w:r>
      <w:r>
        <w:t xml:space="preserve">.</w:t>
      </w:r>
    </w:p>
    <w:p>
      <w:pPr>
        <w:pStyle w:val="CaseBody"/>
      </w:pPr>
      <w:r>
        <w:t xml:space="preserve">We find it unnecessary to adjudicate this issue. We will assume that the interest in guaranteeing cost-free access to the four challenged contraceptive methods is compelling within the meaning of RFRA, and we will proceed to consider the final prong of the RFRA test,</w:t>
      </w:r>
      <w:r>
        <w:t xml:space="preserve"> </w:t>
      </w:r>
      <w:r>
        <w:rPr>
          <w:iCs/>
          <w:i/>
        </w:rPr>
        <w:t xml:space="preserve">i.e.,</w:t>
      </w:r>
      <w:r>
        <w:t xml:space="preserve"> </w:t>
      </w:r>
      <w:r>
        <w:t xml:space="preserve">whether HHS has shown that the contraceptive mandate is "the least restrictive means of furthering that compelling governmental interest." § 2000bb-1(b)(2).</w:t>
      </w:r>
    </w:p>
    <w:p>
      <w:pPr>
        <w:pStyle w:val="CaseBody"/>
      </w:pPr>
      <w:r>
        <w:rPr>
          <w:bCs/>
          <w:b/>
        </w:rPr>
        <w:t xml:space="preserve">B</w:t>
      </w:r>
    </w:p>
    <w:p>
      <w:pPr>
        <w:pStyle w:val="CaseBody"/>
      </w:pPr>
      <w:r>
        <w:t xml:space="preserve">The least-restrictive-means standard is exceptionally demanding, see</w:t>
      </w:r>
      <w:r>
        <w:t xml:space="preserve"> </w:t>
      </w:r>
      <w:r>
        <w:rPr>
          <w:iCs/>
          <w:i/>
        </w:rPr>
        <w:t xml:space="preserve">City of Boerne,</w:t>
      </w:r>
      <w:r>
        <w:t xml:space="preserve"> </w:t>
      </w:r>
      <w:r>
        <w:t xml:space="preserve">521 U.S., at 532</w:t>
      </w:r>
      <w:r>
        <w:t xml:space="preserve">,</w:t>
      </w:r>
      <w:r>
        <w:t xml:space="preserve"> </w:t>
      </w:r>
      <w:r>
        <w:t xml:space="preserve">117 S.Ct. 2157</w:t>
      </w:r>
      <w:r>
        <w:t xml:space="preserve">, and it is not satisfied here. HHS has not shown that it lacks other means of achieving its desired goal without imposing a substantial burden on the exercise of religion by the objecting parties in these cases. See §§ 2000bb-1(a), (b) (requiring the Government to "demonstrat[e] that application of [a substantial] burden to</w:t>
      </w:r>
      <w:r>
        <w:t xml:space="preserve"> </w:t>
      </w:r>
      <w:r>
        <w:rPr>
          <w:iCs/>
          <w:i/>
        </w:rPr>
        <w:t xml:space="preserve">the person</w:t>
      </w:r>
      <w:r>
        <w:t xml:space="preserve"> </w:t>
      </w:r>
      <w:r>
        <w:t xml:space="preserve">... is the least restrictive means of furthering [a] compelling governmental interest" (emphasis added)).</w:t>
      </w:r>
    </w:p>
    <w:p>
      <w:pPr>
        <w:pStyle w:val="CaseBody"/>
      </w:pPr>
      <w:r>
        <w:t xml:space="preserve">The most straightforward way of doing this would be for the Government to assume the cost of providing the four contraceptives at issue to any women who are unable to obtain them under their health-insurance policies due to their employers' religious objections. This would certainly be less restrictive of the plaintiffs' religious liberty, and HHS has not shown, see § 2000bb-1(b)(2), that this is not a viable alternative. HHS has not provided any estimate of the average cost per employee of providing access to these contraceptives, two of which, according to the FDA, are designed primarily for emergency use. See Birth Control: Medicines to Help You, online at http:// www. fda. gov/ forconsumers/ byaudience/ forwomen/ free publications/ ucm 313215. htm. Nor has HHS provided any statistics regarding the number of employees who might be affected because they work for corporations like Hobby Lobby, Conestoga, and Mardel. Nor has HHS told us that it is unable to provide such statistics. It seems likely, however, that the cost of providing the forms of contraceptives at issue in these cases (if not all FDA-approved contraceptives) would be minor when compared with the overall cost of ACA. According to one of the Congressional Budget Office's most recent forecasts, ACA's insurance-coverage provisions will cost the Federal Government more than $1.3 trillion through the next decade. See CBO, Updated Estimates of the Effects of the Insurance Coverage Provisions of the Affordable Care Act, April 2014, p. 2.</w:t>
      </w:r>
      <w:hyperlink w:anchor="X8c828f732a4d2e0aa3325f8745c8646259c301e">
        <w:r>
          <w:rPr>
            <w:rStyle w:val="Hyperlink"/>
            <w:vertAlign w:val="superscript"/>
          </w:rPr>
          <w:t xml:space="preserve">36</w:t>
        </w:r>
      </w:hyperlink>
      <w:r>
        <w:t xml:space="preserve"> </w:t>
      </w:r>
      <w:r>
        <w:t xml:space="preserve">If, as HHS tells us, providing all women with cost-free access to all FDA-approved methods of contraception is a Government interest of the highest order, it is hard to understand HHS's argument that it cannot be required under RFRA to pay</w:t>
      </w:r>
      <w:r>
        <w:t xml:space="preserve"> </w:t>
      </w:r>
      <w:r>
        <w:rPr>
          <w:iCs/>
          <w:i/>
        </w:rPr>
        <w:t xml:space="preserve">anything</w:t>
      </w:r>
      <w:r>
        <w:t xml:space="preserve"> </w:t>
      </w:r>
      <w:r>
        <w:t xml:space="preserve">in order to achieve this important goal.</w:t>
      </w:r>
    </w:p>
    <w:p>
      <w:pPr>
        <w:pStyle w:val="CaseBody"/>
      </w:pPr>
      <w:r>
        <w:t xml:space="preserve">HHS contends that RFRA does not permit us to take this option into account because "RFRA cannot be used to require creation of entirely new programs." Brief for HHS in 13-354, at 15.</w:t>
      </w:r>
      <w:hyperlink w:anchor="X7ae40849f5ea4032ede3a00c884e7c438e2950b">
        <w:r>
          <w:rPr>
            <w:rStyle w:val="Hyperlink"/>
            <w:vertAlign w:val="superscript"/>
          </w:rPr>
          <w:t xml:space="preserve">37</w:t>
        </w:r>
      </w:hyperlink>
      <w:r>
        <w:t xml:space="preserve"> </w:t>
      </w:r>
      <w:r>
        <w:t xml:space="preserve">But we see nothing in RFRA that supports this argument, and drawing the line between the "creation of an entirely new program" and the modification of an existing program (which RFRA surely allows) would be fraught with problems. We do not doubt that cost may be an important factor in the least-restrictive-means analysis, but both RFRA and its sister statute, RLUIPA, may in some circumstances require the Government to expend additional funds to accommodate citizens' religious beliefs. Cf. § 2000cc-3(c) (RLUIPA: "[T]his chapter may require a government to incur expenses in its own operations to avoid imposing a substantial burden on religious exercise."). HHS's view that RFRA can never require the Government to spend even a small amount reflects a judgment about the importance of religious liberty that was not shared by the Congress that enacted that law.</w:t>
      </w:r>
    </w:p>
    <w:p>
      <w:pPr>
        <w:pStyle w:val="CaseBody"/>
      </w:pPr>
      <w:r>
        <w:t xml:space="preserve">In the end, however, we need not rely on the option of a new, government-funded program in order to conclude that the HHS regulations fail the least-restrictive-means test. HHS itself has demonstrated that it has at its disposal an approach that is less restrictive than requiring employers to fund contraceptive methods that violate their religious beliefs. As we explained above, HHS has already established an accommodation for nonprofit organizations with religious objections. See</w:t>
      </w:r>
      <w:r>
        <w:t xml:space="preserve"> </w:t>
      </w:r>
      <w:r>
        <w:rPr>
          <w:iCs/>
          <w:i/>
        </w:rPr>
        <w:t xml:space="preserve">supra,</w:t>
      </w:r>
      <w:r>
        <w:t xml:space="preserve"> </w:t>
      </w:r>
      <w:r>
        <w:t xml:space="preserve">at 2763 - 2764, and nn. 8-9. Under that accommodation, the organization can self-certify that it opposes providing coverage for particular contraceptive services. See</w:t>
      </w:r>
      <w:r>
        <w:t xml:space="preserve"> </w:t>
      </w:r>
      <w:r>
        <w:t xml:space="preserve">45 CFR §§ 147.131</w:t>
      </w:r>
      <w:r>
        <w:t xml:space="preserve">(b)(4), (c)(1);</w:t>
      </w:r>
      <w:r>
        <w:t xml:space="preserve"> </w:t>
      </w:r>
      <w:r>
        <w:t xml:space="preserve">26 CFR §§ 54.9815</w:t>
      </w:r>
      <w:r>
        <w:t xml:space="preserve">-2713A(a)(4), (b). If the organization makes such a certification, the organization's insurance issuer or third-party administrator must "[e]xpressly exclude contraceptive coverage from the group health insurance coverage provided in connection with the group health plan" and "[p]rovide separate payments for any contraceptive services required to be covered" without imposing "any cost-sharing requirements ... on the eligible organization, the group health plan, or plan participants or beneficiaries."</w:t>
      </w:r>
      <w:r>
        <w:t xml:space="preserve"> </w:t>
      </w:r>
      <w:r>
        <w:t xml:space="preserve">45 CFR § 147.131</w:t>
      </w:r>
      <w:r>
        <w:t xml:space="preserve">(c)(2);</w:t>
      </w:r>
      <w:r>
        <w:t xml:space="preserve"> </w:t>
      </w:r>
      <w:r>
        <w:t xml:space="preserve">26 CFR § 54.9815</w:t>
      </w:r>
      <w:r>
        <w:t xml:space="preserve">-2713A(c)(2).</w:t>
      </w:r>
      <w:r>
        <w:t xml:space="preserve"> </w:t>
      </w:r>
      <w:hyperlink w:anchor="Xbc639d2ae66899289c21dca517fde65c45d55b6">
        <w:r>
          <w:rPr>
            <w:rStyle w:val="Hyperlink"/>
            <w:vertAlign w:val="superscript"/>
          </w:rPr>
          <w:t xml:space="preserve">38</w:t>
        </w:r>
      </w:hyperlink>
    </w:p>
    <w:p>
      <w:pPr>
        <w:pStyle w:val="CaseBody"/>
      </w:pPr>
      <w:r>
        <w:t xml:space="preserve">We do not decide today whether an approach of this type complies with RFRA for purposes of all religious claims.</w:t>
      </w:r>
      <w:hyperlink w:anchor="X1c12b85cbfd9e8aa0b5469787d144cb32b96148">
        <w:r>
          <w:rPr>
            <w:rStyle w:val="Hyperlink"/>
            <w:vertAlign w:val="superscript"/>
          </w:rPr>
          <w:t xml:space="preserve">39</w:t>
        </w:r>
      </w:hyperlink>
      <w:r>
        <w:t xml:space="preserve"> </w:t>
      </w:r>
      <w:r>
        <w:t xml:space="preserve">At a minimum, however, it does not impinge on the plaintiffs' religious belief that providing insurance coverage for the contraceptives at issue here violates their religion, and it serves HHS's stated interests equally well.</w:t>
      </w:r>
      <w:hyperlink w:anchor="X540fec1aeab92b3bf2e7994b33f515e0adb7696">
        <w:r>
          <w:rPr>
            <w:rStyle w:val="Hyperlink"/>
            <w:vertAlign w:val="superscript"/>
          </w:rPr>
          <w:t xml:space="preserve">40</w:t>
        </w:r>
      </w:hyperlink>
    </w:p>
    <w:p>
      <w:pPr>
        <w:pStyle w:val="CaseBody"/>
      </w:pPr>
      <w:r>
        <w:t xml:space="preserve">The principal dissent identifies no reason why this accommodation would fail to protect the asserted needs of women as effectively as the contraceptive mandate, and there is none.</w:t>
      </w:r>
      <w:hyperlink w:anchor="X97ad5491c05fbe4124a15adbc8820d1d2c39b28">
        <w:r>
          <w:rPr>
            <w:rStyle w:val="Hyperlink"/>
            <w:vertAlign w:val="superscript"/>
          </w:rPr>
          <w:t xml:space="preserve">41</w:t>
        </w:r>
      </w:hyperlink>
      <w:r>
        <w:t xml:space="preserve"> </w:t>
      </w:r>
      <w:r>
        <w:t xml:space="preserve">Under the accommodation, the plaintiffs' female employees would continue to receive contraceptive coverage without cost sharing for all FDA-approved contraceptives, and they would continue to "face minimal logistical and administrative obstacles,"</w:t>
      </w:r>
      <w:r>
        <w:t xml:space="preserve"> </w:t>
      </w:r>
      <w:r>
        <w:rPr>
          <w:iCs/>
          <w:i/>
        </w:rPr>
        <w:t xml:space="preserve">post,</w:t>
      </w:r>
      <w:r>
        <w:t xml:space="preserve"> </w:t>
      </w:r>
      <w:r>
        <w:t xml:space="preserve">at 2802 (internal quotation marks omitted), because their employers' insurers would be responsible for providing information and coverage, see,</w:t>
      </w:r>
      <w:r>
        <w:t xml:space="preserve"> </w:t>
      </w:r>
      <w:r>
        <w:rPr>
          <w:iCs/>
          <w:i/>
        </w:rPr>
        <w:t xml:space="preserve">e.g.,</w:t>
      </w:r>
      <w:r>
        <w:t xml:space="preserve">45 CFR §§ 147.131</w:t>
      </w:r>
      <w:r>
        <w:t xml:space="preserve">(c)- (d); cf.</w:t>
      </w:r>
    </w:p>
    <w:p>
      <w:pPr>
        <w:pStyle w:val="CaseBody"/>
      </w:pPr>
      <w:r>
        <w:t xml:space="preserve">26 CFR §§ 54.9815</w:t>
      </w:r>
      <w:r>
        <w:t xml:space="preserve">-2713A(b), (d). Ironically, it is the dissent's approach that would "[i]mped[e] women's receipt of benefits by 'requiring them to take steps to learn about, and to sign up for, a new government funded and administered health benefit,' "</w:t>
      </w:r>
      <w:r>
        <w:t xml:space="preserve"> </w:t>
      </w:r>
      <w:r>
        <w:rPr>
          <w:iCs/>
          <w:i/>
        </w:rPr>
        <w:t xml:space="preserve">post,</w:t>
      </w:r>
      <w:r>
        <w:t xml:space="preserve"> </w:t>
      </w:r>
      <w:r>
        <w:t xml:space="preserve">at 2802, because the dissent would effectively compel religious employers to drop health-insurance coverage altogether, leaving their employees to find individual plans on government-run exchanges or elsewhere. This is indeed "scarcely what Congress contemplated."</w:t>
      </w:r>
      <w:r>
        <w:t xml:space="preserve"> </w:t>
      </w:r>
      <w:r>
        <w:rPr>
          <w:iCs/>
          <w:i/>
        </w:rPr>
        <w:t xml:space="preserve">Ibid.</w:t>
      </w:r>
    </w:p>
    <w:p>
      <w:pPr>
        <w:pStyle w:val="CaseBody"/>
      </w:pPr>
      <w:r>
        <w:rPr>
          <w:bCs/>
          <w:b/>
        </w:rPr>
        <w:t xml:space="preserve">C</w:t>
      </w:r>
    </w:p>
    <w:p>
      <w:pPr>
        <w:pStyle w:val="CaseBody"/>
      </w:pPr>
      <w:r>
        <w:t xml:space="preserve">HHS and the principal dissent argue that a ruling in favor of the objecting parties in these cases will lead to a flood of religious objections regarding a wide variety of medical procedures and drugs, such as vaccinations and blood transfusions, but HHS has made no effort to substantiate this prediction.</w:t>
      </w:r>
      <w:hyperlink w:anchor="X34c10d7fdbfbcc0379e285e6f2c35d8d16e986e">
        <w:r>
          <w:rPr>
            <w:rStyle w:val="Hyperlink"/>
            <w:vertAlign w:val="superscript"/>
          </w:rPr>
          <w:t xml:space="preserve">42</w:t>
        </w:r>
      </w:hyperlink>
      <w:r>
        <w:t xml:space="preserve"> </w:t>
      </w:r>
      <w:r>
        <w:t xml:space="preserve">HHS points to no evidence that insurance plans in existence prior to the enactment of ACA excluded coverage for such items. Nor has HHS provided evidence that any significant number of employers sought exemption, on religious grounds, from any of ACA's coverage requirements other than the contraceptive mandate.</w:t>
      </w:r>
    </w:p>
    <w:p>
      <w:pPr>
        <w:pStyle w:val="CaseBody"/>
      </w:pPr>
      <w:r>
        <w:t xml:space="preserve">It is HHS's apparent belief that no insurance-coverage mandate would violate RFRA-no matter how significantly it impinges on the religious liberties of employers-that would lead to intolerable consequences. Under HHS's view, RFRA would permit the Government to require all employers to provide coverage for any medical procedure allowed by law in the jurisdiction in question-for instance, third-trimester abortions or assisted suicide. The owners of many closely held corporations could not in good conscience provide such coverage, and thus HHS would effectively exclude these people from full participation in the economic life of the Nation. RFRA was enacted to prevent such an outcome.</w:t>
      </w:r>
    </w:p>
    <w:p>
      <w:pPr>
        <w:pStyle w:val="CaseBody"/>
      </w:pPr>
      <w:r>
        <w:t xml:space="preserve">In any event, our decision in these cases is concerned solely with the contraceptive mandate. Our decision should not be understood to hold that an insurance-coverage mandate must necessarily fall if it conflicts with an employer's religious beliefs. Other coverage requirements, such as immunizations, may be supported by different interests (for example, the need to combat the spread of infectious diseases) and may involve different arguments about the least restrictive means of providing them.</w:t>
      </w:r>
    </w:p>
    <w:p>
      <w:pPr>
        <w:pStyle w:val="CaseBody"/>
      </w:pPr>
      <w:r>
        <w:t xml:space="preserve">The principal dissent raises the possibility that discrimination in hiring, for example on the basis of race, might be cloaked as religious practice to escape legal sanction. See</w:t>
      </w:r>
      <w:r>
        <w:t xml:space="preserve"> </w:t>
      </w:r>
      <w:r>
        <w:rPr>
          <w:iCs/>
          <w:i/>
        </w:rPr>
        <w:t xml:space="preserve">post,</w:t>
      </w:r>
      <w:r>
        <w:t xml:space="preserve"> </w:t>
      </w:r>
      <w:r>
        <w:t xml:space="preserve">at 2804 - 2805. Our decision today provides no such shield. The Government has a compelling interest in providing an equal opportunity to participate in the workforce without regard to race, and prohibitions on racial discrimination are precisely tailored to achieve that critical goal.</w:t>
      </w:r>
    </w:p>
    <w:p>
      <w:pPr>
        <w:pStyle w:val="CaseBody"/>
      </w:pPr>
      <w:r>
        <w:t xml:space="preserve">HHS also raises for the first time in this Court the argument that applying the contraceptive mandate to for-profit employers with sincere religious objections is essential to the comprehensive health-insurance scheme that ACA establishes. HHS analogizes the contraceptive mandate to the requirement to pay Social Security taxes, which we upheld in</w:t>
      </w:r>
      <w:r>
        <w:t xml:space="preserve"> </w:t>
      </w:r>
      <w:r>
        <w:rPr>
          <w:iCs/>
          <w:i/>
        </w:rPr>
        <w:t xml:space="preserve">Lee</w:t>
      </w:r>
      <w:r>
        <w:t xml:space="preserve"> </w:t>
      </w:r>
      <w:r>
        <w:t xml:space="preserve">despite the religious objection of an employer, but these cases are quite different. Our holding in</w:t>
      </w:r>
      <w:r>
        <w:t xml:space="preserve"> </w:t>
      </w:r>
      <w:r>
        <w:rPr>
          <w:iCs/>
          <w:i/>
        </w:rPr>
        <w:t xml:space="preserve">Lee</w:t>
      </w:r>
      <w:r>
        <w:t xml:space="preserve"> </w:t>
      </w:r>
      <w:r>
        <w:t xml:space="preserve">turned primarily on the special problems associated with a national system of taxation. We noted that "[t]he obligation to pay the social security tax initially is not fundamentally different from the obligation to pay income taxes."</w:t>
      </w:r>
      <w:r>
        <w:t xml:space="preserve"> </w:t>
      </w:r>
      <w:r>
        <w:t xml:space="preserve">455 U.S., at 260</w:t>
      </w:r>
      <w:r>
        <w:t xml:space="preserve">,</w:t>
      </w:r>
      <w:r>
        <w:t xml:space="preserve"> </w:t>
      </w:r>
      <w:r>
        <w:t xml:space="preserve">102 S.Ct. 1051</w:t>
      </w:r>
      <w:r>
        <w:t xml:space="preserve">. Based on that premise, we explained that it was untenable to allow individuals to seek exemptions from taxes based on religious objections to particular Government expenditures: "If, for example, a religious adherent believes war is a sin, and if a certain percentage of the federal budget can be identified as devoted to war-related activities, such individuals would have a similarly valid claim to be exempt from paying that percentage of the income tax."</w:t>
      </w:r>
      <w:r>
        <w:t xml:space="preserve"> </w:t>
      </w:r>
      <w:r>
        <w:rPr>
          <w:iCs/>
          <w:i/>
        </w:rPr>
        <w:t xml:space="preserve">Ibid.</w:t>
      </w:r>
      <w:r>
        <w:t xml:space="preserve"> </w:t>
      </w:r>
      <w:r>
        <w:t xml:space="preserve">We observed that "[t]he tax system could not function if denominations were allowed to challenge the tax system because tax payments were spent in a manner that violates their religious belief."</w:t>
      </w:r>
      <w:r>
        <w:t xml:space="preserve"> </w:t>
      </w:r>
      <w:r>
        <w:rPr>
          <w:iCs/>
          <w:i/>
        </w:rPr>
        <w:t xml:space="preserve">Ibid.</w:t>
      </w:r>
      <w:r>
        <w:t xml:space="preserve">; see</w:t>
      </w:r>
      <w:r>
        <w:t xml:space="preserve"> </w:t>
      </w:r>
      <w:r>
        <w:rPr>
          <w:iCs/>
          <w:i/>
        </w:rPr>
        <w:t xml:space="preserve">O Centro,</w:t>
      </w:r>
      <w:r>
        <w:t xml:space="preserve"> </w:t>
      </w:r>
      <w:r>
        <w:t xml:space="preserve">546 U.S., at 435</w:t>
      </w:r>
      <w:r>
        <w:t xml:space="preserve">,</w:t>
      </w:r>
      <w:r>
        <w:t xml:space="preserve"> </w:t>
      </w:r>
      <w:r>
        <w:t xml:space="preserve">126 S.Ct. 1211</w:t>
      </w:r>
      <w:r>
        <w:t xml:space="preserve">.</w:t>
      </w:r>
    </w:p>
    <w:p>
      <w:pPr>
        <w:pStyle w:val="CaseBody"/>
      </w:pPr>
      <w:r>
        <w:rPr>
          <w:iCs/>
          <w:i/>
        </w:rPr>
        <w:t xml:space="preserve">Lee</w:t>
      </w:r>
      <w:r>
        <w:t xml:space="preserve"> </w:t>
      </w:r>
      <w:r>
        <w:t xml:space="preserve">was a free-exercise, not a RFRA, case, but if the issue in</w:t>
      </w:r>
      <w:r>
        <w:t xml:space="preserve"> </w:t>
      </w:r>
      <w:r>
        <w:rPr>
          <w:iCs/>
          <w:i/>
        </w:rPr>
        <w:t xml:space="preserve">Lee</w:t>
      </w:r>
      <w:r>
        <w:t xml:space="preserve"> </w:t>
      </w:r>
      <w:r>
        <w:t xml:space="preserve">were analyzed under the RFRA framework, the fundamental point would be that there simply is no less restrictive alternative to the categorical requirement to pay taxes. Because of the enormous variety of government expenditures funded by tax dollars, allowing taxpayers to withhold a portion of their tax obligations on religious grounds would lead to chaos. Recognizing exemptions from the contraceptive mandate is very different. ACA does not create a large national pool of tax revenue for use in purchasing healthcare coverage. Rather, individual employers like the plaintiffs purchase insurance for their own employees. And contrary to the principal dissent's characterization, the employers' contributions do not necessarily funnel into "undifferentiated funds."</w:t>
      </w:r>
      <w:r>
        <w:t xml:space="preserve"> </w:t>
      </w:r>
      <w:r>
        <w:rPr>
          <w:iCs/>
          <w:i/>
        </w:rPr>
        <w:t xml:space="preserve">Post,</w:t>
      </w:r>
      <w:r>
        <w:t xml:space="preserve"> </w:t>
      </w:r>
      <w:r>
        <w:t xml:space="preserve">at 2799. The accommodation established by HHS requires issuers to have a mechanism by which to "segregate premium revenue collected from the eligible organization from the monies used to provide payments for contraceptive services."</w:t>
      </w:r>
      <w:r>
        <w:t xml:space="preserve"> </w:t>
      </w:r>
      <w:r>
        <w:t xml:space="preserve">45 CFR § 147.131</w:t>
      </w:r>
      <w:r>
        <w:t xml:space="preserve">(c)(2)(ii). Recognizing a religious accommodation under RFRA for particular coverage requirements, therefore, does not threaten the viability of ACA's comprehensive scheme in the way that recognizing religious objections to particular expenditures from general tax revenues would.</w:t>
      </w:r>
      <w:hyperlink w:anchor="X1aa23324aa65870a3fdf6f9daba718ed5e44d48">
        <w:r>
          <w:rPr>
            <w:rStyle w:val="Hyperlink"/>
            <w:vertAlign w:val="superscript"/>
          </w:rPr>
          <w:t xml:space="preserve">43</w:t>
        </w:r>
      </w:hyperlink>
    </w:p>
    <w:p>
      <w:pPr>
        <w:pStyle w:val="CaseBody"/>
      </w:pPr>
      <w:r>
        <w:t xml:space="preserve">In its final pages, the principal dissent reveals that its fundamental objection to the claims of the plaintiffs is an objection to RFRA itself. The dissent worries about forcing the federal courts to apply RFRA to a host of claims made by litigants seeking a religious exemption from generally applicable laws, and the dissent expresses a desire to keep the courts out of this business. See</w:t>
      </w:r>
      <w:r>
        <w:t xml:space="preserve"> </w:t>
      </w:r>
      <w:r>
        <w:rPr>
          <w:iCs/>
          <w:i/>
        </w:rPr>
        <w:t xml:space="preserve">post,</w:t>
      </w:r>
      <w:r>
        <w:t xml:space="preserve"> </w:t>
      </w:r>
      <w:r>
        <w:t xml:space="preserve">at 2804 - 2806. In making this plea, the dissent reiterates a point made forcefully by the Court in</w:t>
      </w:r>
      <w:r>
        <w:t xml:space="preserve"> </w:t>
      </w:r>
      <w:r>
        <w:rPr>
          <w:iCs/>
          <w:i/>
        </w:rPr>
        <w:t xml:space="preserve">Smith.</w:t>
      </w:r>
      <w:r>
        <w:t xml:space="preserve"> </w:t>
      </w:r>
      <w:r>
        <w:t xml:space="preserve">494 U.S., at 888-889</w:t>
      </w:r>
      <w:r>
        <w:t xml:space="preserve">,</w:t>
      </w:r>
      <w:r>
        <w:t xml:space="preserve"> </w:t>
      </w:r>
      <w:r>
        <w:t xml:space="preserve">110 S.Ct. 1595</w:t>
      </w:r>
      <w:r>
        <w:t xml:space="preserve"> </w:t>
      </w:r>
      <w:r>
        <w:t xml:space="preserve">(applying the</w:t>
      </w:r>
      <w:r>
        <w:t xml:space="preserve"> </w:t>
      </w:r>
      <w:r>
        <w:rPr>
          <w:iCs/>
          <w:i/>
        </w:rPr>
        <w:t xml:space="preserve">Sherbert</w:t>
      </w:r>
      <w:r>
        <w:t xml:space="preserve"> </w:t>
      </w:r>
      <w:r>
        <w:t xml:space="preserve">test to all free-exercise claims "would open the prospect of constitutionally required religious exemptions from civic obligations of almost every conceivable kind"). But Congress, in enacting RFRA, took the position that "the compelling interest test as set forth in prior Federal court rulings is a workable test for striking sensible balances between religious liberty and competing prior governmental interests." 42 U.S.C. § 2000bb(a)(5). The wisdom of Congress's judgment on this matter is not our concern. Our responsibility is to enforce RFRA as written, and under the standard that RFRA prescribes, the HHS contraceptive mandate is unlawful.</w:t>
      </w:r>
    </w:p>
    <w:p>
      <w:pPr>
        <w:pStyle w:val="CaseBody"/>
      </w:pPr>
      <w:r>
        <w:t xml:space="preserve">* * *</w:t>
      </w:r>
    </w:p>
    <w:p>
      <w:pPr>
        <w:pStyle w:val="CaseBody"/>
      </w:pPr>
      <w:r>
        <w:t xml:space="preserve">The contraceptive mandate, as applied to closely held corporations, violates RFRA. Our decision on that statutory question makes it unnecessary to reach the First Amendment claim raised by Conestoga and the Hahns.</w:t>
      </w:r>
    </w:p>
    <w:p>
      <w:pPr>
        <w:pStyle w:val="CaseBody"/>
      </w:pPr>
      <w:r>
        <w:t xml:space="preserve">The judgment of the Tenth Circuit in No. 13-354 is affirmed; the judgment of the Third Circuit in No. 13-356 is reversed, and that case is remanded for further proceedings consistent with this opinion.</w:t>
      </w:r>
    </w:p>
    <w:p>
      <w:pPr>
        <w:pStyle w:val="CaseBody"/>
      </w:pPr>
      <w:r>
        <w:rPr>
          <w:iCs/>
          <w:i/>
        </w:rPr>
        <w:t xml:space="preserve">It is so ordered.</w:t>
      </w:r>
    </w:p>
    <w:p>
      <w:pPr>
        <w:pStyle w:val="CaseBody"/>
      </w:pPr>
      <w:r>
        <w:rPr>
          <w:bCs/>
          <w:b/>
        </w:rPr>
        <w:t xml:space="preserve">Justice KENNEDY, concurring.</w:t>
      </w:r>
    </w:p>
    <w:p>
      <w:pPr>
        <w:pStyle w:val="CaseBody"/>
      </w:pPr>
      <w:r>
        <w:t xml:space="preserve">It seems to me appropriate, in joining the Court's opinion, to add these few remarks. At the outset it should be said that the Court's opinion does not have the breadth and sweep ascribed to it by the respectful and powerful dissent. The Court and the dissent disagree on the proper interpretation of the Religious Freedom and Restoration Act of 1993 (RFRA), but do agree on the purpose of that statute. 42 U.S.C. § 2000bb</w:t>
      </w:r>
      <w:r>
        <w:t xml:space="preserve"> </w:t>
      </w:r>
      <w:r>
        <w:rPr>
          <w:iCs/>
          <w:i/>
        </w:rPr>
        <w:t xml:space="preserve">et seq.</w:t>
      </w:r>
      <w:r>
        <w:t xml:space="preserve">It is to ensure that interests in religious freedom are protected.</w:t>
      </w:r>
      <w:r>
        <w:t xml:space="preserve"> </w:t>
      </w:r>
      <w:r>
        <w:rPr>
          <w:iCs/>
          <w:i/>
        </w:rPr>
        <w:t xml:space="preserve">Ante,</w:t>
      </w:r>
      <w:r>
        <w:t xml:space="preserve"> </w:t>
      </w:r>
      <w:r>
        <w:t xml:space="preserve">at 2760 - 2761;</w:t>
      </w:r>
      <w:r>
        <w:t xml:space="preserve"> </w:t>
      </w:r>
      <w:r>
        <w:rPr>
          <w:iCs/>
          <w:i/>
        </w:rPr>
        <w:t xml:space="preserve">post,</w:t>
      </w:r>
      <w:r>
        <w:t xml:space="preserve"> </w:t>
      </w:r>
      <w:r>
        <w:t xml:space="preserve">at 2790 - 2791 (GINSBURG, J., dissenting).</w:t>
      </w:r>
    </w:p>
    <w:p>
      <w:pPr>
        <w:pStyle w:val="CaseBody"/>
      </w:pPr>
      <w:r>
        <w:t xml:space="preserve">In our constitutional tradition, freedom means that all persons have the right to believe or strive to believe in a divine creator and a divine law. For those who choose this course, free exercise is essential in preserving their own dignity and in striving for a self-definition shaped by their religious precepts. Free exercise in this sense implicates more than just freedom of belief. See</w:t>
      </w:r>
      <w:r>
        <w:t xml:space="preserve"> </w:t>
      </w:r>
      <w:r>
        <w:rPr>
          <w:iCs/>
          <w:i/>
        </w:rPr>
        <w:t xml:space="preserve">Cantwell v. Connecticut,</w:t>
      </w:r>
      <w:r>
        <w:t xml:space="preserve"> </w:t>
      </w:r>
      <w:r>
        <w:t xml:space="preserve">310 U.S. 296</w:t>
      </w:r>
      <w:r>
        <w:t xml:space="preserve">, 303,</w:t>
      </w:r>
      <w:r>
        <w:t xml:space="preserve"> </w:t>
      </w:r>
      <w:r>
        <w:t xml:space="preserve">60 S.Ct. 900</w:t>
      </w:r>
      <w:r>
        <w:t xml:space="preserve">,</w:t>
      </w:r>
      <w:r>
        <w:t xml:space="preserve"> </w:t>
      </w:r>
      <w:r>
        <w:t xml:space="preserve">84 L.Ed. 1213</w:t>
      </w:r>
      <w:r>
        <w:t xml:space="preserve"> </w:t>
      </w:r>
      <w:r>
        <w:t xml:space="preserve">(1940). It means, too, the right to express those beliefs and to establish one's religious (or nonreligious) self-definition in the political, civic, and economic life of our larger community. But in a complex society and an era of pervasive governmental regulation, defining the proper realm for free exercise can be difficult. In these cases the plaintiffs deem it necessary to exercise their religious beliefs within the context of their own closely held, for-profit corporations. They claim protection under RFRA, the federal statute discussed with care and in detail in the Court's opinion.</w:t>
      </w:r>
    </w:p>
    <w:p>
      <w:pPr>
        <w:pStyle w:val="CaseBody"/>
      </w:pPr>
      <w:r>
        <w:t xml:space="preserve">As the Court notes, under our precedents, RFRA imposes a " 'stringent test.' "</w:t>
      </w:r>
      <w:r>
        <w:t xml:space="preserve"> </w:t>
      </w:r>
      <w:r>
        <w:rPr>
          <w:iCs/>
          <w:i/>
        </w:rPr>
        <w:t xml:space="preserve">Ante,</w:t>
      </w:r>
      <w:r>
        <w:t xml:space="preserve"> </w:t>
      </w:r>
      <w:r>
        <w:t xml:space="preserve">at 2761 (quoting</w:t>
      </w:r>
      <w:r>
        <w:t xml:space="preserve"> </w:t>
      </w:r>
      <w:r>
        <w:rPr>
          <w:iCs/>
          <w:i/>
        </w:rPr>
        <w:t xml:space="preserve">City of Boerne v. Flores,</w:t>
      </w:r>
      <w:r>
        <w:t xml:space="preserve"> </w:t>
      </w:r>
      <w:r>
        <w:t xml:space="preserve">521 U.S. 507</w:t>
      </w:r>
      <w:r>
        <w:t xml:space="preserve">, 533,</w:t>
      </w:r>
      <w:r>
        <w:t xml:space="preserve"> </w:t>
      </w:r>
      <w:r>
        <w:t xml:space="preserve">117 S.Ct. 2157</w:t>
      </w:r>
      <w:r>
        <w:t xml:space="preserve">,</w:t>
      </w:r>
      <w:r>
        <w:t xml:space="preserve"> </w:t>
      </w:r>
      <w:r>
        <w:t xml:space="preserve">138 L.Ed.2d 624</w:t>
      </w:r>
      <w:r>
        <w:t xml:space="preserve"> </w:t>
      </w:r>
      <w:r>
        <w:t xml:space="preserve">(1997)). The Government must demonstrate that the application of a substantial burden to a person's exercise of religion "(1) is in furtherance of a compelling governmental interest; and (2) is the least restrictive means of furthering that compelling governmental interest." § 2000bb-1(b).</w:t>
      </w:r>
    </w:p>
    <w:p>
      <w:pPr>
        <w:pStyle w:val="CaseBody"/>
      </w:pPr>
      <w:r>
        <w:t xml:space="preserve">As to RFRA's first requirement, the Department of Health and Human Services (HHS) makes the case that the mandate serves the Government's compelling interest in providing insurance coverage that is necessary to protect the health of female employees, coverage that is significantly more costly than for a male employee.</w:t>
      </w:r>
      <w:r>
        <w:t xml:space="preserve"> </w:t>
      </w:r>
      <w:r>
        <w:rPr>
          <w:iCs/>
          <w:i/>
        </w:rPr>
        <w:t xml:space="preserve">Ante,</w:t>
      </w:r>
      <w:r>
        <w:t xml:space="preserve"> </w:t>
      </w:r>
      <w:r>
        <w:t xml:space="preserve">at 2779; see,</w:t>
      </w:r>
      <w:r>
        <w:t xml:space="preserve"> </w:t>
      </w:r>
      <w:r>
        <w:rPr>
          <w:iCs/>
          <w:i/>
        </w:rPr>
        <w:t xml:space="preserve">e.g</w:t>
      </w:r>
      <w:r>
        <w:t xml:space="preserve">., Brief for HHS in No. 13-354, pp. 14-15. There are many medical conditions for which pregnancy is contraindicated. See,</w:t>
      </w:r>
      <w:r>
        <w:t xml:space="preserve"> </w:t>
      </w:r>
      <w:r>
        <w:rPr>
          <w:iCs/>
          <w:i/>
        </w:rPr>
        <w:t xml:space="preserve">e.g.,</w:t>
      </w:r>
      <w:r>
        <w:t xml:space="preserve"> </w:t>
      </w:r>
      <w:r>
        <w:rPr>
          <w:iCs/>
          <w:i/>
        </w:rPr>
        <w:t xml:space="preserve">id</w:t>
      </w:r>
      <w:r>
        <w:t xml:space="preserve">., at 2784. It is important to confirm that a premise of the Court's opinion is its assumption that the HHS regulation here at issue furthers a legitimate and compelling interest in the health of female employees.</w:t>
      </w:r>
      <w:r>
        <w:t xml:space="preserve"> </w:t>
      </w:r>
      <w:r>
        <w:rPr>
          <w:iCs/>
          <w:i/>
        </w:rPr>
        <w:t xml:space="preserve">Ante,</w:t>
      </w:r>
      <w:r>
        <w:t xml:space="preserve"> </w:t>
      </w:r>
      <w:r>
        <w:t xml:space="preserve">at 2780.</w:t>
      </w:r>
    </w:p>
    <w:p>
      <w:pPr>
        <w:pStyle w:val="CaseBody"/>
      </w:pPr>
      <w:r>
        <w:t xml:space="preserve">But the Government has not made the second showing required by RFRA, that the means it uses to regulate is the least restrictive way to further its interest. As the Court's opinion explains, the record in these cases shows that there is an existing, recognized, workable, and already-implemented framework to provide coverage. That framework is one that HHS has itself devised, that the plaintiffs have not criticized with a specific objection that has been considered in detail by the courts in this litigation, and that is less restrictive than the means challenged by the plaintiffs in these cases.</w:t>
      </w:r>
      <w:r>
        <w:t xml:space="preserve"> </w:t>
      </w:r>
      <w:r>
        <w:rPr>
          <w:iCs/>
          <w:i/>
        </w:rPr>
        <w:t xml:space="preserve">Ante,</w:t>
      </w:r>
      <w:r>
        <w:t xml:space="preserve"> </w:t>
      </w:r>
      <w:r>
        <w:t xml:space="preserve">at 2763 - 2764, and n. 9, 2781 - 2782.</w:t>
      </w:r>
    </w:p>
    <w:p>
      <w:pPr>
        <w:pStyle w:val="CaseBody"/>
      </w:pPr>
      <w:r>
        <w:t xml:space="preserve">The means the Government chose is the imposition of a direct mandate on the employers in these cases.</w:t>
      </w:r>
      <w:r>
        <w:t xml:space="preserve"> </w:t>
      </w:r>
      <w:r>
        <w:rPr>
          <w:iCs/>
          <w:i/>
        </w:rPr>
        <w:t xml:space="preserve">Ante,</w:t>
      </w:r>
      <w:r>
        <w:t xml:space="preserve"> </w:t>
      </w:r>
      <w:r>
        <w:t xml:space="preserve">at 2762 - 2763. But in other instances the Government has allowed the same contraception coverage in issue here to be provided to employees of nonprofit religious organizations, as an accommodation to the religious objections of those entities. See</w:t>
      </w:r>
      <w:r>
        <w:t xml:space="preserve"> </w:t>
      </w:r>
      <w:r>
        <w:rPr>
          <w:iCs/>
          <w:i/>
        </w:rPr>
        <w:t xml:space="preserve">ante,</w:t>
      </w:r>
      <w:r>
        <w:t xml:space="preserve"> </w:t>
      </w:r>
      <w:r>
        <w:t xml:space="preserve">at 2763 - 2764, and n. 9, 2781 - 2782. The accommodation works by requiring insurance companies to cover, without cost sharing, contraception coverage for female employees who wish it. That accommodation equally furthers the Government's interest but does not impinge on the plaintiffs' religious beliefs. See</w:t>
      </w:r>
      <w:r>
        <w:t xml:space="preserve"> </w:t>
      </w:r>
      <w:r>
        <w:rPr>
          <w:iCs/>
          <w:i/>
        </w:rPr>
        <w:t xml:space="preserve">ante,</w:t>
      </w:r>
      <w:r>
        <w:t xml:space="preserve"> </w:t>
      </w:r>
      <w:r>
        <w:t xml:space="preserve">at 2782.</w:t>
      </w:r>
    </w:p>
    <w:p>
      <w:pPr>
        <w:pStyle w:val="CaseBody"/>
      </w:pPr>
      <w:r>
        <w:t xml:space="preserve">On this record and as explained by the Court, the Government has not met its burden of showing that it cannot accommodate the plaintiffs' similar religious objections under this established framework. RFRA is inconsistent with the insistence of an agency such as HHS on distinguishing between different religious believers-burdening one while accommodating the other-when it may treat both equally by offering both of them the same accommodation.</w:t>
      </w:r>
    </w:p>
    <w:p>
      <w:pPr>
        <w:pStyle w:val="CaseBody"/>
      </w:pPr>
      <w:r>
        <w:t xml:space="preserve">The parties who were the plaintiffs in the District Courts argue that the Government could pay for the methods that are found objectionable. Brief for Respondents in No. 13-354, p. 58. In discussing this alternative, the Court does not address whether the proper response to a legitimate claim for freedom in the health care arena is for the Government to create an additional program.</w:t>
      </w:r>
      <w:r>
        <w:t xml:space="preserve"> </w:t>
      </w:r>
      <w:r>
        <w:rPr>
          <w:iCs/>
          <w:i/>
        </w:rPr>
        <w:t xml:space="preserve">Ante,</w:t>
      </w:r>
      <w:r>
        <w:t xml:space="preserve"> </w:t>
      </w:r>
      <w:r>
        <w:t xml:space="preserve">at 2780 - 2782. The Court properly does not resolve whether one freedom should be protected by creating incentives for additional government constraints. In these cases, it is the Court's understanding that an accommodation may be made to the employers without imposition of a whole new program or burden on the Government. As the Court makes clear, this is not a case where it can be established that it is difficult to accommodate the government's interest, and in fact the mechanism for doing so is already in place.</w:t>
      </w:r>
      <w:r>
        <w:t xml:space="preserve"> </w:t>
      </w:r>
      <w:r>
        <w:rPr>
          <w:iCs/>
          <w:i/>
        </w:rPr>
        <w:t xml:space="preserve">Ante,</w:t>
      </w:r>
      <w:r>
        <w:t xml:space="preserve"> </w:t>
      </w:r>
      <w:r>
        <w:t xml:space="preserve">at 2781 - 2782.</w:t>
      </w:r>
    </w:p>
    <w:p>
      <w:pPr>
        <w:pStyle w:val="CaseBody"/>
      </w:pPr>
      <w:r>
        <w:t xml:space="preserve">"[T]he American community is today, as it long has been, a rich mosaic of religious faiths."</w:t>
      </w:r>
      <w:r>
        <w:t xml:space="preserve"> </w:t>
      </w:r>
      <w:r>
        <w:rPr>
          <w:iCs/>
          <w:i/>
        </w:rPr>
        <w:t xml:space="preserve">Town of Greece v. Galloway,</w:t>
      </w:r>
      <w:r>
        <w:t xml:space="preserve"> </w:t>
      </w:r>
      <w:r>
        <w:t xml:space="preserve">572 U.S. ----, ----,</w:t>
      </w:r>
      <w:r>
        <w:t xml:space="preserve"> </w:t>
      </w:r>
      <w:r>
        <w:t xml:space="preserve">134 S.Ct. 1811</w:t>
      </w:r>
      <w:r>
        <w:t xml:space="preserve">, 1849,</w:t>
      </w:r>
      <w:r>
        <w:t xml:space="preserve"> </w:t>
      </w:r>
      <w:r>
        <w:t xml:space="preserve">188 L.Ed.2d 835</w:t>
      </w:r>
      <w:r>
        <w:t xml:space="preserve"> </w:t>
      </w:r>
      <w:r>
        <w:t xml:space="preserve">(2014) (KAGAN, J., dissenting). Among the reasons the United States is so open, so tolerant, and so free is that no person may be restricted or demeaned by government in exercising his or her religion. Yet neither may that same exercise unduly restrict other persons, such as employees, in protecting their own interests, interests the law deems compelling. In these cases the means to reconcile those two priorities are at hand in the existing accommodation the Government has designed, identified, and used for circumstances closely parallel to those presented here. RFRA requires the Government to use this less restrictive means. As the Court explains, this existing model, designed precisely for this problem, might well suffice to distinguish the instant cases from many others in which it is more difficult and expensive to accommodate a governmental program to countless religious claims based on an alleged statutory right of free exercise.</w:t>
      </w:r>
      <w:r>
        <w:t xml:space="preserve"> </w:t>
      </w:r>
      <w:r>
        <w:rPr>
          <w:iCs/>
          <w:i/>
        </w:rPr>
        <w:t xml:space="preserve">Ante,</w:t>
      </w:r>
      <w:r>
        <w:t xml:space="preserve"> </w:t>
      </w:r>
      <w:r>
        <w:t xml:space="preserve">at 2782 - 2783.</w:t>
      </w:r>
    </w:p>
    <w:p>
      <w:pPr>
        <w:pStyle w:val="CaseBody"/>
      </w:pPr>
      <w:r>
        <w:t xml:space="preserve">For these reasons and others put forth by the Court, I join its opinion.</w:t>
      </w:r>
    </w:p>
    <w:p>
      <w:pPr>
        <w:pStyle w:val="CaseBody"/>
      </w:pPr>
      <w:r>
        <w:rPr>
          <w:bCs/>
          <w:b/>
        </w:rPr>
        <w:t xml:space="preserve">Justice GINSBURG, with whom Justice Sotomayor joins, and with whom Justice BREYER and Justice KAGAN join as to all but Part III-C-1, dissenting.</w:t>
      </w:r>
    </w:p>
    <w:p>
      <w:pPr>
        <w:pStyle w:val="CaseBody"/>
      </w:pPr>
      <w:r>
        <w:t xml:space="preserve">In a decision of startling breadth, the Court holds that commercial enterprises, including corporations, along with partnerships and sole proprietorships, can opt out of any law (saving only tax laws) they judge incompatible with their sincerely held religious beliefs. See</w:t>
      </w:r>
      <w:r>
        <w:t xml:space="preserve"> </w:t>
      </w:r>
      <w:r>
        <w:rPr>
          <w:iCs/>
          <w:i/>
        </w:rPr>
        <w:t xml:space="preserve">ante,</w:t>
      </w:r>
      <w:r>
        <w:t xml:space="preserve"> </w:t>
      </w:r>
      <w:r>
        <w:t xml:space="preserve">at 2767 - 2785. Compelling governmental interests in uniform compliance with the law, and disadvantages that religion-based opt-outs impose on others, hold no sway, the Court decides, at least when there is a "less restrictive alternative." And such an alternative, the Court suggests, there always will be whenever, in lieu of tolling an enterprise claiming a religion-based exemption, the government,</w:t>
      </w:r>
      <w:r>
        <w:t xml:space="preserve"> </w:t>
      </w:r>
      <w:r>
        <w:rPr>
          <w:iCs/>
          <w:i/>
        </w:rPr>
        <w:t xml:space="preserve">i.e.,</w:t>
      </w:r>
      <w:r>
        <w:t xml:space="preserve"> </w:t>
      </w:r>
      <w:r>
        <w:t xml:space="preserve">the general public, can pick up the tab. See</w:t>
      </w:r>
      <w:r>
        <w:t xml:space="preserve"> </w:t>
      </w:r>
      <w:r>
        <w:rPr>
          <w:iCs/>
          <w:i/>
        </w:rPr>
        <w:t xml:space="preserve">ante,</w:t>
      </w:r>
      <w:r>
        <w:t xml:space="preserve"> </w:t>
      </w:r>
      <w:r>
        <w:t xml:space="preserve">at 2780 - 2782.</w:t>
      </w:r>
      <w:hyperlink w:anchor="Xd24c5e2fa7d402a11beace39befaf5849fd40bc">
        <w:r>
          <w:rPr>
            <w:rStyle w:val="Hyperlink"/>
            <w:vertAlign w:val="superscript"/>
          </w:rPr>
          <w:t xml:space="preserve">1</w:t>
        </w:r>
      </w:hyperlink>
    </w:p>
    <w:p>
      <w:pPr>
        <w:pStyle w:val="CaseBody"/>
      </w:pPr>
      <w:r>
        <w:t xml:space="preserve">The Court does not pretend that the First Amendment's Free Exercise Clause demands religion-based accommodations so extreme, for our decisions leave no doubt on that score. See</w:t>
      </w:r>
      <w:r>
        <w:t xml:space="preserve"> </w:t>
      </w:r>
      <w:r>
        <w:rPr>
          <w:iCs/>
          <w:i/>
        </w:rPr>
        <w:t xml:space="preserve">infra,</w:t>
      </w:r>
      <w:r>
        <w:t xml:space="preserve"> </w:t>
      </w:r>
      <w:r>
        <w:t xml:space="preserve">at 2789 - 2791. Instead, the Court holds that Congress, in the Religious Freedom Restoration Act of 1993 (RFRA), 42 U.S.C. § 2000bb</w:t>
      </w:r>
      <w:r>
        <w:t xml:space="preserve"> </w:t>
      </w:r>
      <w:r>
        <w:rPr>
          <w:iCs/>
          <w:i/>
        </w:rPr>
        <w:t xml:space="preserve">et seq.,</w:t>
      </w:r>
      <w:r>
        <w:t xml:space="preserve"> </w:t>
      </w:r>
      <w:r>
        <w:t xml:space="preserve">dictated the extraordinary religion-based exemptions today's decision endorses. In the Court's view, RFRA demands accommodation of a for-profit corporation's religious beliefs no matter the impact that accommodation may have on third parties who do not share the corporation owners' religious faith-in these cases, thousands of women employed by Hobby Lobby and Conestoga or dependents of persons those corporations employ. Persuaded that Congress enacted RFRA to serve a far less radical purpose, and mindful of the havoc the Court's judgment can introduce, I dissent.</w:t>
      </w:r>
    </w:p>
    <w:p>
      <w:pPr>
        <w:pStyle w:val="CaseBody"/>
      </w:pPr>
      <w:r>
        <w:rPr>
          <w:bCs/>
          <w:b/>
        </w:rPr>
        <w:t xml:space="preserve">I</w:t>
      </w:r>
    </w:p>
    <w:p>
      <w:pPr>
        <w:pStyle w:val="CaseBody"/>
      </w:pPr>
      <w:r>
        <w:t xml:space="preserve">"The ability of women to participate equally in the economic and social life of the Nation has been facilitated by their ability to control their reproductive lives."</w:t>
      </w:r>
    </w:p>
    <w:p>
      <w:pPr>
        <w:pStyle w:val="CaseBody"/>
      </w:pPr>
      <w:r>
        <w:rPr>
          <w:iCs/>
          <w:i/>
        </w:rPr>
        <w:t xml:space="preserve">Planned Parenthood of Southeastern Pa. v. Casey,</w:t>
      </w:r>
      <w:r>
        <w:t xml:space="preserve"> </w:t>
      </w:r>
      <w:r>
        <w:t xml:space="preserve">505 U.S. 833</w:t>
      </w:r>
      <w:r>
        <w:t xml:space="preserve">, 856,</w:t>
      </w:r>
      <w:r>
        <w:t xml:space="preserve"> </w:t>
      </w:r>
      <w:r>
        <w:t xml:space="preserve">112 S.Ct. 2791</w:t>
      </w:r>
      <w:r>
        <w:t xml:space="preserve">,</w:t>
      </w:r>
      <w:r>
        <w:t xml:space="preserve"> </w:t>
      </w:r>
      <w:r>
        <w:t xml:space="preserve">120 L.Ed.2d 674</w:t>
      </w:r>
      <w:r>
        <w:t xml:space="preserve"> </w:t>
      </w:r>
      <w:r>
        <w:t xml:space="preserve">(1992). Congress acted on that understanding when, as part of a nationwide insurance program intended to be comprehensive, it called for coverage of preventive care responsive to women's needs. Carrying out Congress' direction, the Department of Health and Human Services (HHS), in consultation with public health experts, promulgated regulations requiring group health plans to cover all forms of contraception approved by the Food and Drug Administration (FDA). The genesis of this coverage should enlighten the Court's resolution of these cases.</w:t>
      </w:r>
    </w:p>
    <w:p>
      <w:pPr>
        <w:pStyle w:val="CaseBody"/>
      </w:pPr>
      <w:r>
        <w:rPr>
          <w:bCs/>
          <w:b/>
        </w:rPr>
        <w:t xml:space="preserve">A</w:t>
      </w:r>
    </w:p>
    <w:p>
      <w:pPr>
        <w:pStyle w:val="CaseBody"/>
      </w:pPr>
      <w:r>
        <w:t xml:space="preserve">The Affordable Care Act (ACA), in its initial form, specified three categories of preventive care that health plans must cover at no added cost to the plan participant or beneficiary.</w:t>
      </w:r>
      <w:hyperlink w:anchor="Xa9c5b56509e5452e00c70d89604016e5e96acc6">
        <w:r>
          <w:rPr>
            <w:rStyle w:val="Hyperlink"/>
            <w:vertAlign w:val="superscript"/>
          </w:rPr>
          <w:t xml:space="preserve">2</w:t>
        </w:r>
      </w:hyperlink>
      <w:r>
        <w:t xml:space="preserve"> </w:t>
      </w:r>
      <w:r>
        <w:t xml:space="preserve">Particular services were to be recommended by the U.S. Preventive Services Task Force, an independent panel of experts. The scheme had a large gap, however; it left out preventive services that "many women's health advocates and medical professionals believe are critically important." 155 Cong. Rec. 28841 (2009) (statement of Sen. Boxer). To correct this oversight, Senator Barbara Mikulski introduced the Women's Health Amendment, which added to the ACA's minimum coverage requirements a new category of preventive services specific to women's health.</w:t>
      </w:r>
    </w:p>
    <w:p>
      <w:pPr>
        <w:pStyle w:val="CaseBody"/>
      </w:pPr>
      <w:r>
        <w:t xml:space="preserve">Women paid significantly more than men for preventive care, the amendment's proponents noted; in fact, cost barriers operated to block many women from obtaining needed care at all. See,</w:t>
      </w:r>
      <w:r>
        <w:t xml:space="preserve"> </w:t>
      </w:r>
      <w:r>
        <w:rPr>
          <w:iCs/>
          <w:i/>
        </w:rPr>
        <w:t xml:space="preserve">e.g.,</w:t>
      </w:r>
      <w:r>
        <w:t xml:space="preserve"> </w:t>
      </w:r>
      <w:r>
        <w:rPr>
          <w:iCs/>
          <w:i/>
        </w:rPr>
        <w:t xml:space="preserve">id.,</w:t>
      </w:r>
      <w:r>
        <w:t xml:space="preserve"> </w:t>
      </w:r>
      <w:r>
        <w:t xml:space="preserve">at 29070 (statement of Sen. Feinstein) ("Women of childbearing age spend 68 percent more in out-of-pocket health care costs than men.");</w:t>
      </w:r>
      <w:r>
        <w:t xml:space="preserve"> </w:t>
      </w:r>
      <w:r>
        <w:rPr>
          <w:iCs/>
          <w:i/>
        </w:rPr>
        <w:t xml:space="preserve">id.,</w:t>
      </w:r>
      <w:r>
        <w:t xml:space="preserve"> </w:t>
      </w:r>
      <w:r>
        <w:t xml:space="preserve">at 29302 (statement of Sen. Mikulski) ("copayments are [often] so high that [women] avoid getting [preventive and screening services] in the first place"). And increased access to contraceptive services, the sponsors comprehended, would yield important public health gains. See,</w:t>
      </w:r>
      <w:r>
        <w:t xml:space="preserve"> </w:t>
      </w:r>
      <w:r>
        <w:rPr>
          <w:iCs/>
          <w:i/>
        </w:rPr>
        <w:t xml:space="preserve">e.g.,</w:t>
      </w:r>
      <w:r>
        <w:t xml:space="preserve"> </w:t>
      </w:r>
      <w:r>
        <w:rPr>
          <w:iCs/>
          <w:i/>
        </w:rPr>
        <w:t xml:space="preserve">id.,</w:t>
      </w:r>
      <w:r>
        <w:t xml:space="preserve"> </w:t>
      </w:r>
      <w:r>
        <w:t xml:space="preserve">at 29768 (statement of Sen. Durbin) ("This bill will expand health insurance coverage to the vast majority of [the 17 million women of reproductive age in the United States who are uninsured].... This expanded access will reduce unintended pregnancies.").</w:t>
      </w:r>
    </w:p>
    <w:p>
      <w:pPr>
        <w:pStyle w:val="CaseBody"/>
      </w:pPr>
      <w:r>
        <w:t xml:space="preserve">As altered by the Women's Health Amendment's passage, the ACA requires new insurance plans to include coverage without cost sharing of "such additional preventive care and screenings ... as provided for in comprehensive guidelines supported by the Health Resources and Services Administration [ (HRSA) ]," a unit of HHS. 42 U.S.C. § 300gg-13(a)(4). Thus charged, the HRSA developed recommendations in consultation with the Institute of Medicine (IOM). See 77 Fed.Reg. 8725-8726 (2012).</w:t>
      </w:r>
      <w:hyperlink w:anchor="Xaf27a72d69bbe337459d5c1eaa71a68f9562e0e">
        <w:r>
          <w:rPr>
            <w:rStyle w:val="Hyperlink"/>
            <w:vertAlign w:val="superscript"/>
          </w:rPr>
          <w:t xml:space="preserve">3</w:t>
        </w:r>
      </w:hyperlink>
      <w:r>
        <w:t xml:space="preserve"> </w:t>
      </w:r>
      <w:r>
        <w:t xml:space="preserve">The IOM convened a group of independent experts, including "specialists in disease prevention [and] women's health"; those experts prepared a report evaluating the efficacy of a number of preventive services. IOM, Clinical Prevention Services for Women: Closing the Gaps 2 (2011) (hereinafter IOM Report). Consistent with the findings of "[n]umerous health professional associations" and other organizations, the IOM experts determined that preventive coverage should include the "full range" of FDA-approved contraceptive methods.</w:t>
      </w:r>
      <w:r>
        <w:t xml:space="preserve"> </w:t>
      </w:r>
      <w:r>
        <w:rPr>
          <w:iCs/>
          <w:i/>
        </w:rPr>
        <w:t xml:space="preserve">Id.,</w:t>
      </w:r>
      <w:r>
        <w:t xml:space="preserve"> </w:t>
      </w:r>
      <w:r>
        <w:t xml:space="preserve">at 10. See also</w:t>
      </w:r>
      <w:r>
        <w:t xml:space="preserve"> </w:t>
      </w:r>
      <w:r>
        <w:rPr>
          <w:iCs/>
          <w:i/>
        </w:rPr>
        <w:t xml:space="preserve">id.,</w:t>
      </w:r>
      <w:r>
        <w:t xml:space="preserve"> </w:t>
      </w:r>
      <w:r>
        <w:t xml:space="preserve">at 102-110.</w:t>
      </w:r>
    </w:p>
    <w:p>
      <w:pPr>
        <w:pStyle w:val="CaseBody"/>
      </w:pPr>
      <w:r>
        <w:t xml:space="preserve">In making that recommendation, the IOM's report expressed concerns similar to those voiced by congressional proponents of the Women's Health Amendment. The report noted the disproportionate burden women carried for comprehensive health services and the adverse health consequences of excluding contraception from preventive care available to employees without cost sharing. See,</w:t>
      </w:r>
      <w:r>
        <w:t xml:space="preserve"> </w:t>
      </w:r>
      <w:r>
        <w:rPr>
          <w:iCs/>
          <w:i/>
        </w:rPr>
        <w:t xml:space="preserve">e.g.,</w:t>
      </w:r>
      <w:r>
        <w:t xml:space="preserve"> </w:t>
      </w:r>
      <w:r>
        <w:rPr>
          <w:iCs/>
          <w:i/>
        </w:rPr>
        <w:t xml:space="preserve">id.,</w:t>
      </w:r>
      <w:r>
        <w:t xml:space="preserve"> </w:t>
      </w:r>
      <w:r>
        <w:t xml:space="preserve">at 19 ("[W]omen are consistently more likely than men to report a wide range of cost-related barriers to receiving ... medical tests and treatments and to filling prescriptions for themselves and their families.");</w:t>
      </w:r>
      <w:r>
        <w:t xml:space="preserve"> </w:t>
      </w:r>
      <w:r>
        <w:rPr>
          <w:iCs/>
          <w:i/>
        </w:rPr>
        <w:t xml:space="preserve">id.,</w:t>
      </w:r>
      <w:r>
        <w:t xml:space="preserve"> </w:t>
      </w:r>
      <w:r>
        <w:t xml:space="preserve">at 103-104, 107 (pregnancy may be contraindicated for women with certain medical conditions, for example, some congenital heart diseases, pulmonary hypertension, and Marfan syndrome, and contraceptives may be used to reduce risk of endometrial cancer, among other serious medical conditions);</w:t>
      </w:r>
      <w:r>
        <w:t xml:space="preserve"> </w:t>
      </w:r>
      <w:r>
        <w:rPr>
          <w:iCs/>
          <w:i/>
        </w:rPr>
        <w:t xml:space="preserve">id</w:t>
      </w:r>
      <w:r>
        <w:t xml:space="preserve">., at 103 (women with unintended pregnancies are more likely to experience depression and anxiety, and their children face "increased odds of preterm birth and low birth weight").</w:t>
      </w:r>
    </w:p>
    <w:p>
      <w:pPr>
        <w:pStyle w:val="CaseBody"/>
      </w:pPr>
      <w:r>
        <w:t xml:space="preserve">In line with the IOM's suggestions, the HRSA adopted guidelines recommending coverage of "[a]ll [FDA-] approved contraceptive methods, sterilization procedures, and patient education and counseling for all women with reproductive capacity."</w:t>
      </w:r>
      <w:r>
        <w:t xml:space="preserve"> </w:t>
      </w:r>
      <w:hyperlink w:anchor="X5a8b29dce51d039ea9003277cf83b8b7b837c1a">
        <w:r>
          <w:rPr>
            <w:rStyle w:val="Hyperlink"/>
            <w:vertAlign w:val="superscript"/>
          </w:rPr>
          <w:t xml:space="preserve">4</w:t>
        </w:r>
      </w:hyperlink>
      <w:r>
        <w:t xml:space="preserve"> </w:t>
      </w:r>
      <w:r>
        <w:t xml:space="preserve">Thereafter, HHS, the Department of Labor, and the Department of Treasury promulgated regulations requiring group health plans to include coverage of the contraceptive services recommended in the HRSA guidelines, subject to certain exceptions, described</w:t>
      </w:r>
      <w:r>
        <w:t xml:space="preserve"> </w:t>
      </w:r>
      <w:r>
        <w:rPr>
          <w:iCs/>
          <w:i/>
        </w:rPr>
        <w:t xml:space="preserve">infra,</w:t>
      </w:r>
      <w:r>
        <w:t xml:space="preserve"> </w:t>
      </w:r>
      <w:r>
        <w:t xml:space="preserve">at 2800 - 2801.</w:t>
      </w:r>
      <w:r>
        <w:t xml:space="preserve"> </w:t>
      </w:r>
      <w:hyperlink w:anchor="Xd65e3ed545420b2b96a0624cfc20571a01a09f4">
        <w:r>
          <w:rPr>
            <w:rStyle w:val="Hyperlink"/>
            <w:vertAlign w:val="superscript"/>
          </w:rPr>
          <w:t xml:space="preserve">5</w:t>
        </w:r>
      </w:hyperlink>
      <w:r>
        <w:t xml:space="preserve"> </w:t>
      </w:r>
      <w:r>
        <w:t xml:space="preserve">This opinion refers to these regulations as the contraceptive coverage requirement.</w:t>
      </w:r>
    </w:p>
    <w:p>
      <w:pPr>
        <w:pStyle w:val="CaseBody"/>
      </w:pPr>
      <w:r>
        <w:rPr>
          <w:bCs/>
          <w:b/>
        </w:rPr>
        <w:t xml:space="preserve">B</w:t>
      </w:r>
    </w:p>
    <w:p>
      <w:pPr>
        <w:pStyle w:val="CaseBody"/>
      </w:pPr>
      <w:r>
        <w:t xml:space="preserve">While the Women's Health Amendment succeeded, a countermove proved unavailing. The Senate voted down the so-called "conscience amendment," which would have enabled any employer or insurance provider to deny coverage based on its asserted "religious beliefs or moral convictions." 158 Cong. Rec. S539 (Feb. 9, 2012); see</w:t>
      </w:r>
      <w:r>
        <w:t xml:space="preserve"> </w:t>
      </w:r>
      <w:r>
        <w:rPr>
          <w:iCs/>
          <w:i/>
        </w:rPr>
        <w:t xml:space="preserve">id.,</w:t>
      </w:r>
      <w:r>
        <w:t xml:space="preserve"> </w:t>
      </w:r>
      <w:r>
        <w:t xml:space="preserve">at S1162-S1173 (Mar. 1, 2012) (debate and vote).</w:t>
      </w:r>
      <w:r>
        <w:t xml:space="preserve"> </w:t>
      </w:r>
      <w:hyperlink w:anchor="Xe873df92f79476f633209b07bad1e3a8487ea3f">
        <w:r>
          <w:rPr>
            <w:rStyle w:val="Hyperlink"/>
            <w:vertAlign w:val="superscript"/>
          </w:rPr>
          <w:t xml:space="preserve">6</w:t>
        </w:r>
      </w:hyperlink>
      <w:r>
        <w:t xml:space="preserve"> </w:t>
      </w:r>
      <w:r>
        <w:t xml:space="preserve">That amendment, Senator Mikulski observed, would have "pu[t] the personal opinion of employers and insurers over the practice of medicine."</w:t>
      </w:r>
      <w:r>
        <w:t xml:space="preserve"> </w:t>
      </w:r>
      <w:r>
        <w:rPr>
          <w:iCs/>
          <w:i/>
        </w:rPr>
        <w:t xml:space="preserve">Id.,</w:t>
      </w:r>
      <w:r>
        <w:t xml:space="preserve"> </w:t>
      </w:r>
      <w:r>
        <w:t xml:space="preserve">at S1127 (Feb. 29, 2012). Rejecting the "conscience amendment," Congress left health care decisions-including the choice among contraceptive methods-in the hands of women, with the aid of their health care providers.</w:t>
      </w:r>
    </w:p>
    <w:p>
      <w:pPr>
        <w:pStyle w:val="CaseBody"/>
      </w:pPr>
      <w:r>
        <w:rPr>
          <w:bCs/>
          <w:b/>
        </w:rPr>
        <w:t xml:space="preserve">II</w:t>
      </w:r>
    </w:p>
    <w:p>
      <w:pPr>
        <w:pStyle w:val="CaseBody"/>
      </w:pPr>
      <w:r>
        <w:t xml:space="preserve">Any First Amendment Free Exercise Clause claim Hobby Lobby or Conestoga</w:t>
      </w:r>
      <w:r>
        <w:t xml:space="preserve"> </w:t>
      </w:r>
      <w:hyperlink w:anchor="X112746de136ac8b83d8581bb6187a49e6d97b10">
        <w:r>
          <w:rPr>
            <w:rStyle w:val="Hyperlink"/>
            <w:vertAlign w:val="superscript"/>
          </w:rPr>
          <w:t xml:space="preserve">7</w:t>
        </w:r>
      </w:hyperlink>
      <w:r>
        <w:t xml:space="preserve"> </w:t>
      </w:r>
      <w:r>
        <w:t xml:space="preserve">might assert is foreclosed by this Court's decision in</w:t>
      </w:r>
      <w:r>
        <w:t xml:space="preserve"> </w:t>
      </w:r>
      <w:r>
        <w:rPr>
          <w:iCs/>
          <w:i/>
        </w:rPr>
        <w:t xml:space="preserve">Employment Div., Dept. of Human Resources of Ore. v. Smith,</w:t>
      </w:r>
      <w:r>
        <w:t xml:space="preserve"> </w:t>
      </w:r>
      <w:r>
        <w:t xml:space="preserve">494 U.S. 872</w:t>
      </w:r>
      <w:r>
        <w:t xml:space="preserve">,</w:t>
      </w:r>
      <w:r>
        <w:t xml:space="preserve"> </w:t>
      </w:r>
      <w:r>
        <w:t xml:space="preserve">110 S.Ct. 1595</w:t>
      </w:r>
      <w:r>
        <w:t xml:space="preserve">,</w:t>
      </w:r>
      <w:r>
        <w:t xml:space="preserve"> </w:t>
      </w:r>
      <w:r>
        <w:t xml:space="preserve">108 L.Ed.2d 876</w:t>
      </w:r>
      <w:r>
        <w:t xml:space="preserve"> </w:t>
      </w:r>
      <w:r>
        <w:t xml:space="preserve">(1990). In</w:t>
      </w:r>
      <w:r>
        <w:t xml:space="preserve"> </w:t>
      </w:r>
      <w:r>
        <w:rPr>
          <w:iCs/>
          <w:i/>
        </w:rPr>
        <w:t xml:space="preserve">Smith,</w:t>
      </w:r>
      <w:r>
        <w:t xml:space="preserve"> </w:t>
      </w:r>
      <w:r>
        <w:t xml:space="preserve">two members of the Native American Church were dismissed from their jobs and denied unemployment benefits because they ingested peyote at, and as an essential element of, a religious ceremony. Oregon law forbade the consumption of peyote, and this Court, relying on that prohibition, rejected the employees' claim that the denial of unemployment benefits violated their free exercise rights. The First Amendment is not offended,</w:t>
      </w:r>
      <w:r>
        <w:t xml:space="preserve"> </w:t>
      </w:r>
      <w:r>
        <w:rPr>
          <w:iCs/>
          <w:i/>
        </w:rPr>
        <w:t xml:space="preserve">Smith</w:t>
      </w:r>
      <w:r>
        <w:t xml:space="preserve"> </w:t>
      </w:r>
      <w:r>
        <w:t xml:space="preserve">held, when "prohibiting the exercise of religion ... is not the object of [governmental regulation] but merely the incidental effect of a generally applicable and otherwise valid provision."</w:t>
      </w:r>
      <w:r>
        <w:t xml:space="preserve"> </w:t>
      </w:r>
      <w:r>
        <w:rPr>
          <w:iCs/>
          <w:i/>
        </w:rPr>
        <w:t xml:space="preserve">Id.,</w:t>
      </w:r>
      <w:r>
        <w:t xml:space="preserve"> </w:t>
      </w:r>
      <w:r>
        <w:t xml:space="preserve">at 878</w:t>
      </w:r>
      <w:r>
        <w:t xml:space="preserve">,</w:t>
      </w:r>
      <w:r>
        <w:t xml:space="preserve"> </w:t>
      </w:r>
      <w:r>
        <w:t xml:space="preserve">110 S.Ct. 1595</w:t>
      </w:r>
      <w:r>
        <w:t xml:space="preserve">; see</w:t>
      </w:r>
      <w:r>
        <w:t xml:space="preserve"> </w:t>
      </w:r>
      <w:r>
        <w:rPr>
          <w:iCs/>
          <w:i/>
        </w:rPr>
        <w:t xml:space="preserve">id.,</w:t>
      </w:r>
      <w:r>
        <w:t xml:space="preserve"> </w:t>
      </w:r>
      <w:r>
        <w:t xml:space="preserve">at 878-879</w:t>
      </w:r>
      <w:r>
        <w:t xml:space="preserve">,</w:t>
      </w:r>
      <w:r>
        <w:t xml:space="preserve"> </w:t>
      </w:r>
      <w:r>
        <w:t xml:space="preserve">110 S.Ct. 1595</w:t>
      </w:r>
      <w:r>
        <w:t xml:space="preserve"> </w:t>
      </w:r>
      <w:r>
        <w:t xml:space="preserve">("an individual's religious beliefs [do not] excuse him from compliance with an otherwise valid law prohibiting conduct that the State is free to regulate"). The ACA's contraceptive coverage requirement applies generally, it is "otherwise valid," it trains on women's well being, not on the exercise of religion, and any effect it has on such exercise is incidental.</w:t>
      </w:r>
    </w:p>
    <w:p>
      <w:pPr>
        <w:pStyle w:val="CaseBody"/>
      </w:pPr>
      <w:r>
        <w:t xml:space="preserve">Even if</w:t>
      </w:r>
      <w:r>
        <w:t xml:space="preserve"> </w:t>
      </w:r>
      <w:r>
        <w:rPr>
          <w:iCs/>
          <w:i/>
        </w:rPr>
        <w:t xml:space="preserve">Smith</w:t>
      </w:r>
      <w:r>
        <w:t xml:space="preserve"> </w:t>
      </w:r>
      <w:r>
        <w:t xml:space="preserve">did not control, the Free Exercise Clause would not require the exemption Hobby Lobby and Conestoga seek. Accommodations to religious beliefs or observances, the Court has clarified, must not significantly impinge on the interests of third parties.</w:t>
      </w:r>
      <w:hyperlink w:anchor="Xdf165ee659fd81ba38ce3373b20a78da1862c3e">
        <w:r>
          <w:rPr>
            <w:rStyle w:val="Hyperlink"/>
            <w:vertAlign w:val="superscript"/>
          </w:rPr>
          <w:t xml:space="preserve">8</w:t>
        </w:r>
      </w:hyperlink>
    </w:p>
    <w:p>
      <w:pPr>
        <w:pStyle w:val="CaseBody"/>
      </w:pPr>
      <w:r>
        <w:t xml:space="preserve">The exemption sought by Hobby Lobby and Conestoga would override significant interests of the corporations' employees and covered dependents. It would deny legions of women who do not hold their employers' beliefs access to contraceptive coverage that the ACA would otherwise secure. See</w:t>
      </w:r>
      <w:r>
        <w:t xml:space="preserve"> </w:t>
      </w:r>
      <w:r>
        <w:rPr>
          <w:iCs/>
          <w:i/>
        </w:rPr>
        <w:t xml:space="preserve">Catholic Charities of Sacramento, Inc. v. Superior Court,</w:t>
      </w:r>
      <w:r>
        <w:t xml:space="preserve"> </w:t>
      </w:r>
      <w:r>
        <w:t xml:space="preserve">32 Cal.4th 527</w:t>
      </w:r>
      <w:r>
        <w:t xml:space="preserve">, 565,</w:t>
      </w:r>
      <w:r>
        <w:t xml:space="preserve"> </w:t>
      </w:r>
      <w:r>
        <w:t xml:space="preserve">10 Cal.Rptr.3d 283</w:t>
      </w:r>
      <w:r>
        <w:t xml:space="preserve">,</w:t>
      </w:r>
      <w:r>
        <w:t xml:space="preserve"> </w:t>
      </w:r>
      <w:r>
        <w:t xml:space="preserve">85 P.3d 67</w:t>
      </w:r>
      <w:r>
        <w:t xml:space="preserve">, 93 (2004) ("We are unaware of any decision in which ... [the U.S. Supreme Court] has exempted a religious objector from the operation of a neutral, generally applicable law despite the recognition that the requested exemption would detrimentally affect the rights of third parties."). In sum, with respect to free exercise claims no less than free speech claims, " '[y]our right to swing your arms ends just where the other man's nose begins.' " Chafee, Freedom of Speech in War Time,</w:t>
      </w:r>
      <w:r>
        <w:t xml:space="preserve"> </w:t>
      </w:r>
      <w:r>
        <w:t xml:space="preserve">32 Harv. L.Rev. 932</w:t>
      </w:r>
      <w:r>
        <w:t xml:space="preserve">, 957 (1919).</w:t>
      </w:r>
    </w:p>
    <w:p>
      <w:pPr>
        <w:pStyle w:val="CaseBody"/>
      </w:pPr>
      <w:r>
        <w:rPr>
          <w:bCs/>
          <w:b/>
        </w:rPr>
        <w:t xml:space="preserve">III</w:t>
      </w:r>
    </w:p>
    <w:p>
      <w:pPr>
        <w:pStyle w:val="CaseBody"/>
      </w:pPr>
      <w:r>
        <w:rPr>
          <w:bCs/>
          <w:b/>
        </w:rPr>
        <w:t xml:space="preserve">A</w:t>
      </w:r>
    </w:p>
    <w:p>
      <w:pPr>
        <w:pStyle w:val="CaseBody"/>
      </w:pPr>
      <w:r>
        <w:t xml:space="preserve">Lacking a tenable claim under the Free Exercise Clause, Hobby Lobby and Conestoga rely on RFRA, a statute instructing that "[g]overnment shall not substantially burden a person's exercise of religion even if the burden results from a rule of general applicability" unless the government shows that application of the burden is "the least restrictive means" to further a "compelling governmental interest." 42 U.S.C. § 2000bb-1(a), (b)(2). In RFRA, Congress "adopt[ed] a statutory rule comparable to the constitutional rule rejected in</w:t>
      </w:r>
      <w:r>
        <w:t xml:space="preserve"> </w:t>
      </w:r>
      <w:r>
        <w:rPr>
          <w:iCs/>
          <w:i/>
        </w:rPr>
        <w:t xml:space="preserve">Smith</w:t>
      </w:r>
      <w:r>
        <w:t xml:space="preserve">."</w:t>
      </w:r>
      <w:r>
        <w:t xml:space="preserve"> </w:t>
      </w:r>
      <w:r>
        <w:rPr>
          <w:iCs/>
          <w:i/>
        </w:rPr>
        <w:t xml:space="preserve">Gonzales v. O Centro Espírita Beneficente Uniao do Vegetal,</w:t>
      </w:r>
      <w:r>
        <w:t xml:space="preserve"> </w:t>
      </w:r>
      <w:r>
        <w:t xml:space="preserve">546 U.S. 418</w:t>
      </w:r>
      <w:r>
        <w:t xml:space="preserve">, 424,</w:t>
      </w:r>
      <w:r>
        <w:t xml:space="preserve"> </w:t>
      </w:r>
      <w:r>
        <w:t xml:space="preserve">126 S.Ct. 1211</w:t>
      </w:r>
      <w:r>
        <w:t xml:space="preserve">,</w:t>
      </w:r>
      <w:r>
        <w:t xml:space="preserve"> </w:t>
      </w:r>
      <w:r>
        <w:t xml:space="preserve">163 L.Ed.2d 1017</w:t>
      </w:r>
      <w:r>
        <w:t xml:space="preserve"> </w:t>
      </w:r>
      <w:r>
        <w:t xml:space="preserve">(2006).</w:t>
      </w:r>
    </w:p>
    <w:p>
      <w:pPr>
        <w:pStyle w:val="CaseBody"/>
      </w:pPr>
      <w:r>
        <w:t xml:space="preserve">RFRA's purpose is specific and written into the statute itself. The Act was crafted to "restore the compelling interest test as set forth in</w:t>
      </w:r>
      <w:r>
        <w:t xml:space="preserve"> </w:t>
      </w:r>
      <w:r>
        <w:rPr>
          <w:iCs/>
          <w:i/>
        </w:rPr>
        <w:t xml:space="preserve">Sherbert v. Verner,</w:t>
      </w:r>
      <w:r>
        <w:t xml:space="preserve"> </w:t>
      </w:r>
      <w:r>
        <w:t xml:space="preserve">374 U.S. 398</w:t>
      </w:r>
      <w:r>
        <w:t xml:space="preserve">,</w:t>
      </w:r>
      <w:r>
        <w:t xml:space="preserve"> </w:t>
      </w:r>
      <w:r>
        <w:t xml:space="preserve">83 S.Ct. 1790</w:t>
      </w:r>
      <w:r>
        <w:t xml:space="preserve">,</w:t>
      </w:r>
      <w:r>
        <w:t xml:space="preserve"> </w:t>
      </w:r>
      <w:r>
        <w:t xml:space="preserve">10 L.Ed.2d 965</w:t>
      </w:r>
      <w:r>
        <w:t xml:space="preserve"> </w:t>
      </w:r>
      <w:r>
        <w:t xml:space="preserve">(1963) and</w:t>
      </w:r>
      <w:r>
        <w:t xml:space="preserve"> </w:t>
      </w:r>
      <w:r>
        <w:rPr>
          <w:iCs/>
          <w:i/>
        </w:rPr>
        <w:t xml:space="preserve">Wisconsin v. Yoder,</w:t>
      </w:r>
      <w:r>
        <w:t xml:space="preserve"> </w:t>
      </w:r>
      <w:r>
        <w:t xml:space="preserve">406 U.S. 205</w:t>
      </w:r>
      <w:r>
        <w:t xml:space="preserve">,</w:t>
      </w:r>
      <w:r>
        <w:t xml:space="preserve"> </w:t>
      </w:r>
      <w:r>
        <w:t xml:space="preserve">92 S.Ct. 1526</w:t>
      </w:r>
      <w:r>
        <w:t xml:space="preserve">,</w:t>
      </w:r>
      <w:r>
        <w:t xml:space="preserve"> </w:t>
      </w:r>
      <w:r>
        <w:t xml:space="preserve">32 L.Ed.2d 15</w:t>
      </w:r>
      <w:r>
        <w:t xml:space="preserve"> </w:t>
      </w:r>
      <w:r>
        <w:t xml:space="preserve">(1972) and to guarantee its application in all cases where free exercise of religion is substantially burdened." § 2000bb(b)(1).</w:t>
      </w:r>
      <w:hyperlink w:anchor="X79d4e3532b19a973e914ccd9624db65383d1a32">
        <w:r>
          <w:rPr>
            <w:rStyle w:val="Hyperlink"/>
            <w:vertAlign w:val="superscript"/>
          </w:rPr>
          <w:t xml:space="preserve">9</w:t>
        </w:r>
      </w:hyperlink>
      <w:r>
        <w:t xml:space="preserve"> </w:t>
      </w:r>
      <w:r>
        <w:t xml:space="preserve">See also § 2000bb(a)(5) ("[T]he compelling interest test as set forth in prior Federal court rulings is a workable test for striking sensible balances between religious liberty and competing prior governmental interests.");</w:t>
      </w:r>
      <w:r>
        <w:t xml:space="preserve"> </w:t>
      </w:r>
      <w:r>
        <w:rPr>
          <w:iCs/>
          <w:i/>
        </w:rPr>
        <w:t xml:space="preserve">ante,</w:t>
      </w:r>
      <w:r>
        <w:t xml:space="preserve"> </w:t>
      </w:r>
      <w:r>
        <w:t xml:space="preserve">at 2785 (agreeing that the pre-</w:t>
      </w:r>
      <w:r>
        <w:t xml:space="preserve"> </w:t>
      </w:r>
      <w:r>
        <w:rPr>
          <w:iCs/>
          <w:i/>
        </w:rPr>
        <w:t xml:space="preserve">Smith</w:t>
      </w:r>
      <w:r>
        <w:t xml:space="preserve"> </w:t>
      </w:r>
      <w:r>
        <w:t xml:space="preserve">compelling interest test is "workable" and "strike[s] sensible balances").</w:t>
      </w:r>
    </w:p>
    <w:p>
      <w:pPr>
        <w:pStyle w:val="CaseBody"/>
      </w:pPr>
      <w:r>
        <w:t xml:space="preserve">The legislative history is correspondingly emphatic on RFRA's aim. See,</w:t>
      </w:r>
      <w:r>
        <w:t xml:space="preserve"> </w:t>
      </w:r>
      <w:r>
        <w:rPr>
          <w:iCs/>
          <w:i/>
        </w:rPr>
        <w:t xml:space="preserve">e.g.,</w:t>
      </w:r>
      <w:r>
        <w:t xml:space="preserve">S.Rep. No. 103-111, p. 12 (1993) (hereinafter Senate Report) (RFRA's purpose was "only to overturn the Supreme Court's decision in</w:t>
      </w:r>
      <w:r>
        <w:t xml:space="preserve"> </w:t>
      </w:r>
      <w:r>
        <w:rPr>
          <w:iCs/>
          <w:i/>
        </w:rPr>
        <w:t xml:space="preserve">Smith,</w:t>
      </w:r>
      <w:r>
        <w:t xml:space="preserve">" not to "unsettle other areas of the law."); 139 Cong. Rec. 26178 (1993) (statement of Sen. Kennedy) (RFRA was "designed to restore the compelling interest test for deciding free exercise claims."). In line with this restorative purpose, Congress expected courts considering RFRA claims to "look to free exercise cases decided prior to</w:t>
      </w:r>
      <w:r>
        <w:t xml:space="preserve"> </w:t>
      </w:r>
      <w:r>
        <w:rPr>
          <w:iCs/>
          <w:i/>
        </w:rPr>
        <w:t xml:space="preserve">Smith</w:t>
      </w:r>
      <w:r>
        <w:t xml:space="preserve"> </w:t>
      </w:r>
      <w:r>
        <w:t xml:space="preserve">for guidance." Senate Report 8. See also H.R.Rep. No. 103-88, pp. 6-7 (1993) (hereinafter House Report) (same). In short, the Act reinstates the law as it was prior to</w:t>
      </w:r>
      <w:r>
        <w:t xml:space="preserve"> </w:t>
      </w:r>
      <w:r>
        <w:rPr>
          <w:iCs/>
          <w:i/>
        </w:rPr>
        <w:t xml:space="preserve">Smith,</w:t>
      </w:r>
      <w:r>
        <w:t xml:space="preserve"> </w:t>
      </w:r>
      <w:r>
        <w:t xml:space="preserve">without "creat[ing] ... new rights for any religious practice or for any potential litigant." 139 Cong. Rec. 26178 (statement of Sen. Kennedy). Given the Act's moderate purpose, it is hardly surprising that RFRA's enactment in 1993 provoked little controversy. See Brief for Senator Murray et al. as</w:t>
      </w:r>
      <w:r>
        <w:t xml:space="preserve"> </w:t>
      </w:r>
      <w:r>
        <w:rPr>
          <w:iCs/>
          <w:i/>
        </w:rPr>
        <w:t xml:space="preserve">Amici Curiae</w:t>
      </w:r>
      <w:r>
        <w:t xml:space="preserve"> </w:t>
      </w:r>
      <w:r>
        <w:t xml:space="preserve">8 (hereinafter Senators Brief) (RFRA was approved by a 97-to-3 vote in the Senate and a voice vote in the House of Representatives).</w:t>
      </w:r>
    </w:p>
    <w:p>
      <w:pPr>
        <w:pStyle w:val="CaseBody"/>
      </w:pPr>
      <w:r>
        <w:rPr>
          <w:bCs/>
          <w:b/>
        </w:rPr>
        <w:t xml:space="preserve">B</w:t>
      </w:r>
    </w:p>
    <w:p>
      <w:pPr>
        <w:pStyle w:val="CaseBody"/>
      </w:pPr>
      <w:r>
        <w:t xml:space="preserve">Despite these authoritative indications, the Court sees RFRA as a bold initiative departing from, rather than restoring, pre-</w:t>
      </w:r>
      <w:r>
        <w:rPr>
          <w:iCs/>
          <w:i/>
        </w:rPr>
        <w:t xml:space="preserve">Smith</w:t>
      </w:r>
      <w:r>
        <w:t xml:space="preserve"> </w:t>
      </w:r>
      <w:r>
        <w:t xml:space="preserve">jurisprudence. See</w:t>
      </w:r>
      <w:r>
        <w:t xml:space="preserve"> </w:t>
      </w:r>
      <w:r>
        <w:rPr>
          <w:iCs/>
          <w:i/>
        </w:rPr>
        <w:t xml:space="preserve">ante,</w:t>
      </w:r>
      <w:r>
        <w:t xml:space="preserve"> </w:t>
      </w:r>
      <w:r>
        <w:t xml:space="preserve">at 2761, n. 3, 2761 - 2762, 2767, 2771 - 2773. To support its conception of RFRA as a measure detached from this Court's decisions, one that sets a new course, the Court points first to the Religious Land Use and Institutionalized Persons Act of 2000 (RLUIPA), 42 U.S.C. § 2000cc</w:t>
      </w:r>
      <w:r>
        <w:t xml:space="preserve"> </w:t>
      </w:r>
      <w:r>
        <w:rPr>
          <w:iCs/>
          <w:i/>
        </w:rPr>
        <w:t xml:space="preserve">et seq.,</w:t>
      </w:r>
      <w:r>
        <w:t xml:space="preserve"> </w:t>
      </w:r>
      <w:r>
        <w:t xml:space="preserve">which altered RFRA's definition of the term "exercise of religion." RFRA, as originally enacted, defined that term to mean "the exercise of religion under the First Amendment to the Constitution." § 2000bb-2(4) (1994 ed.). See</w:t>
      </w:r>
      <w:r>
        <w:t xml:space="preserve"> </w:t>
      </w:r>
      <w:r>
        <w:rPr>
          <w:iCs/>
          <w:i/>
        </w:rPr>
        <w:t xml:space="preserve">ante,</w:t>
      </w:r>
      <w:r>
        <w:t xml:space="preserve"> </w:t>
      </w:r>
      <w:r>
        <w:t xml:space="preserve">at 2761 - 2762. As amended by RLUIPA, RFRA's definition now includes "any exercise of religion, whether or not compelled by, or central to, a system of religious belief." § 2000bb-2(4) (2012 ed.) (cross-referencing § 2000cc-5). That definitional change, according to the Court, reflects "an obvious effort to effect a complete separation from First Amendment case law."</w:t>
      </w:r>
      <w:r>
        <w:t xml:space="preserve"> </w:t>
      </w:r>
      <w:r>
        <w:rPr>
          <w:iCs/>
          <w:i/>
        </w:rPr>
        <w:t xml:space="preserve">Ante,</w:t>
      </w:r>
      <w:r>
        <w:t xml:space="preserve"> </w:t>
      </w:r>
      <w:r>
        <w:t xml:space="preserve">at 2761 - 2762.</w:t>
      </w:r>
    </w:p>
    <w:p>
      <w:pPr>
        <w:pStyle w:val="CaseBody"/>
      </w:pPr>
      <w:r>
        <w:t xml:space="preserve">The Court's reading is not plausible. RLUIPA's alteration clarifies that courts should not question the centrality of a particular religious exercise. But the amendment in no way suggests that Congress meant to expand the class of entities qualified to mount religious accommodation claims, nor does it relieve courts of the obligation to inquire whether a government action substantially burdens a religious exercise. See</w:t>
      </w:r>
      <w:r>
        <w:t xml:space="preserve"> </w:t>
      </w:r>
      <w:r>
        <w:rPr>
          <w:iCs/>
          <w:i/>
        </w:rPr>
        <w:t xml:space="preserve">Rasul v. Myers,</w:t>
      </w:r>
      <w:r>
        <w:t xml:space="preserve"> </w:t>
      </w:r>
      <w:r>
        <w:t xml:space="preserve">563 F.3d 527</w:t>
      </w:r>
      <w:r>
        <w:t xml:space="preserve">, 535 (C.A.D.C.2009) (Brown, J., concurring) ("There is no doubt that RLUIPA's drafters, in changing the definition of 'exercise of religion,' wanted to broaden the scope of the kinds of practices protected by RFRA, not increase the universe of individuals protected by RFRA."); H.R.Rep. No. 106-219, p. 30 (1999). See also</w:t>
      </w:r>
      <w:r>
        <w:t xml:space="preserve"> </w:t>
      </w:r>
      <w:r>
        <w:rPr>
          <w:iCs/>
          <w:i/>
        </w:rPr>
        <w:t xml:space="preserve">Gilardi v. United States Dept. of Health and Human Servs.,</w:t>
      </w:r>
      <w:r>
        <w:t xml:space="preserve"> </w:t>
      </w:r>
      <w:r>
        <w:t xml:space="preserve">733 F.3d 1208</w:t>
      </w:r>
      <w:r>
        <w:t xml:space="preserve">, 1211 (C.A.D.C.2013) (RFRA, as amended, "provides us with no helpful definition of 'exercise of religion.' ");</w:t>
      </w:r>
      <w:r>
        <w:t xml:space="preserve"> </w:t>
      </w:r>
      <w:r>
        <w:rPr>
          <w:iCs/>
          <w:i/>
        </w:rPr>
        <w:t xml:space="preserve">Henderson v. Kennedy,</w:t>
      </w:r>
      <w:r>
        <w:t xml:space="preserve"> </w:t>
      </w:r>
      <w:r>
        <w:t xml:space="preserve">265 F.3d 1072</w:t>
      </w:r>
      <w:r>
        <w:t xml:space="preserve">, 1073 (C.A.D.C.2001) ("The [RLUIPA] amendments did not alter RFRA's basic prohibition that the '[g]overnment shall not substantially burden a person's exercise of religion.' ").</w:t>
      </w:r>
      <w:hyperlink w:anchor="X6b91ffc32fdece0178f5e2ef6382965c51503a6">
        <w:r>
          <w:rPr>
            <w:rStyle w:val="Hyperlink"/>
            <w:vertAlign w:val="superscript"/>
          </w:rPr>
          <w:t xml:space="preserve">10</w:t>
        </w:r>
      </w:hyperlink>
    </w:p>
    <w:p>
      <w:pPr>
        <w:pStyle w:val="CaseBody"/>
      </w:pPr>
      <w:r>
        <w:t xml:space="preserve">Next, the Court highlights RFRA's requirement that the government, if its action substantially burdens a person's religious observance, must demonstrate that it chose the least restrictive means for furthering a compelling interest. "[B]y imposing a least-restrictive-means test," the Court suggests, RFRA "went beyond what was required by our pre-</w:t>
      </w:r>
      <w:r>
        <w:t xml:space="preserve"> </w:t>
      </w:r>
      <w:r>
        <w:rPr>
          <w:iCs/>
          <w:i/>
        </w:rPr>
        <w:t xml:space="preserve">Smith</w:t>
      </w:r>
      <w:r>
        <w:t xml:space="preserve"> </w:t>
      </w:r>
      <w:r>
        <w:t xml:space="preserve">decisions."</w:t>
      </w:r>
      <w:r>
        <w:t xml:space="preserve"> </w:t>
      </w:r>
      <w:r>
        <w:rPr>
          <w:iCs/>
          <w:i/>
        </w:rPr>
        <w:t xml:space="preserve">Ante,</w:t>
      </w:r>
      <w:r>
        <w:t xml:space="preserve"> </w:t>
      </w:r>
      <w:r>
        <w:t xml:space="preserve">at 2767, n. 18 (citing</w:t>
      </w:r>
      <w:r>
        <w:t xml:space="preserve"> </w:t>
      </w:r>
      <w:r>
        <w:rPr>
          <w:iCs/>
          <w:i/>
        </w:rPr>
        <w:t xml:space="preserve">City of Boerne v. Flores,</w:t>
      </w:r>
      <w:r>
        <w:t xml:space="preserve"> </w:t>
      </w:r>
      <w:r>
        <w:t xml:space="preserve">521 U.S. 507</w:t>
      </w:r>
      <w:r>
        <w:t xml:space="preserve">,</w:t>
      </w:r>
      <w:r>
        <w:t xml:space="preserve"> </w:t>
      </w:r>
      <w:r>
        <w:t xml:space="preserve">117 S.Ct. 2157</w:t>
      </w:r>
      <w:r>
        <w:t xml:space="preserve">,</w:t>
      </w:r>
      <w:r>
        <w:t xml:space="preserve"> </w:t>
      </w:r>
      <w:r>
        <w:t xml:space="preserve">138 L.Ed.2d 624</w:t>
      </w:r>
      <w:r>
        <w:t xml:space="preserve"> </w:t>
      </w:r>
      <w:r>
        <w:t xml:space="preserve">(1997)). See also</w:t>
      </w:r>
      <w:r>
        <w:t xml:space="preserve"> </w:t>
      </w:r>
      <w:r>
        <w:rPr>
          <w:iCs/>
          <w:i/>
        </w:rPr>
        <w:t xml:space="preserve">ante,</w:t>
      </w:r>
      <w:r>
        <w:t xml:space="preserve"> </w:t>
      </w:r>
      <w:r>
        <w:t xml:space="preserve">at 2761, n. 3. But as RFRA's statements of purpose and legislative history make clear, Congress intended only to restore, not to scrap or alter, the balancing test as this Court had applied it pre-</w:t>
      </w:r>
      <w:r>
        <w:rPr>
          <w:iCs/>
          <w:i/>
        </w:rPr>
        <w:t xml:space="preserve">Smith</w:t>
      </w:r>
      <w:r>
        <w:t xml:space="preserve">. See</w:t>
      </w:r>
      <w:r>
        <w:t xml:space="preserve"> </w:t>
      </w:r>
      <w:r>
        <w:rPr>
          <w:iCs/>
          <w:i/>
        </w:rPr>
        <w:t xml:space="preserve">supra,</w:t>
      </w:r>
      <w:r>
        <w:t xml:space="preserve"> </w:t>
      </w:r>
      <w:r>
        <w:t xml:space="preserve">at 2790 - 2791. See also Senate Report 9 (RFRA's "compelling interest test generally should not be construed more stringently or more leniently than it was prior to</w:t>
      </w:r>
      <w:r>
        <w:t xml:space="preserve"> </w:t>
      </w:r>
      <w:r>
        <w:rPr>
          <w:iCs/>
          <w:i/>
        </w:rPr>
        <w:t xml:space="preserve">Smith</w:t>
      </w:r>
      <w:r>
        <w:t xml:space="preserve">."); House Report 7 (same).</w:t>
      </w:r>
    </w:p>
    <w:p>
      <w:pPr>
        <w:pStyle w:val="CaseBody"/>
      </w:pPr>
      <w:r>
        <w:t xml:space="preserve">The Congress that passed RFRA correctly read this Court's pre-</w:t>
      </w:r>
      <w:r>
        <w:t xml:space="preserve"> </w:t>
      </w:r>
      <w:r>
        <w:rPr>
          <w:iCs/>
          <w:i/>
        </w:rPr>
        <w:t xml:space="preserve">Smith</w:t>
      </w:r>
      <w:r>
        <w:t xml:space="preserve"> </w:t>
      </w:r>
      <w:r>
        <w:t xml:space="preserve">case law as including within the "compelling interest test" a "least restrictive means" requirement. See,</w:t>
      </w:r>
      <w:r>
        <w:t xml:space="preserve"> </w:t>
      </w:r>
      <w:r>
        <w:rPr>
          <w:iCs/>
          <w:i/>
        </w:rPr>
        <w:t xml:space="preserve">e.g.,</w:t>
      </w:r>
      <w:r>
        <w:t xml:space="preserve"> </w:t>
      </w:r>
      <w:r>
        <w:t xml:space="preserve">Senate Report 5 ("Where [a substantial] burden is placed upon the free exercise of religion, the Court ruled [in</w:t>
      </w:r>
      <w:r>
        <w:t xml:space="preserve"> </w:t>
      </w:r>
      <w:r>
        <w:rPr>
          <w:iCs/>
          <w:i/>
        </w:rPr>
        <w:t xml:space="preserve">Sherbert</w:t>
      </w:r>
      <w:r>
        <w:t xml:space="preserve"> </w:t>
      </w:r>
      <w:r>
        <w:t xml:space="preserve">], the Government must demonstrate that it is the least restrictive means to achieve a compelling governmental interest."). And the view that the pre-</w:t>
      </w:r>
      <w:r>
        <w:t xml:space="preserve"> </w:t>
      </w:r>
      <w:r>
        <w:rPr>
          <w:iCs/>
          <w:i/>
        </w:rPr>
        <w:t xml:space="preserve">Smith</w:t>
      </w:r>
      <w:r>
        <w:t xml:space="preserve"> </w:t>
      </w:r>
      <w:r>
        <w:t xml:space="preserve">test included a "least restrictive means" requirement had been aired in testimony before the Senate Judiciary Committee by experts on religious freedom. See,</w:t>
      </w:r>
      <w:r>
        <w:t xml:space="preserve"> </w:t>
      </w:r>
      <w:r>
        <w:rPr>
          <w:iCs/>
          <w:i/>
        </w:rPr>
        <w:t xml:space="preserve">e.g.,</w:t>
      </w:r>
      <w:r>
        <w:t xml:space="preserve"> </w:t>
      </w:r>
      <w:r>
        <w:t xml:space="preserve">Hearing on S. 2969 before the Senate Committee on the Judiciary, 102d Cong., 2d Sess., 78-79 (1993) (statement of Prof. Douglas Laycock).</w:t>
      </w:r>
    </w:p>
    <w:p>
      <w:pPr>
        <w:pStyle w:val="CaseBody"/>
      </w:pPr>
      <w:r>
        <w:t xml:space="preserve">Our decision in</w:t>
      </w:r>
      <w:r>
        <w:t xml:space="preserve"> </w:t>
      </w:r>
      <w:r>
        <w:rPr>
          <w:iCs/>
          <w:i/>
        </w:rPr>
        <w:t xml:space="preserve">City of Boerne,</w:t>
      </w:r>
      <w:r>
        <w:t xml:space="preserve"> </w:t>
      </w:r>
      <w:r>
        <w:t xml:space="preserve">it is true, states that the least restrictive means requirement "was not used in the pre-</w:t>
      </w:r>
      <w:r>
        <w:t xml:space="preserve"> </w:t>
      </w:r>
      <w:r>
        <w:rPr>
          <w:iCs/>
          <w:i/>
        </w:rPr>
        <w:t xml:space="preserve">Smith</w:t>
      </w:r>
      <w:r>
        <w:t xml:space="preserve"> </w:t>
      </w:r>
      <w:r>
        <w:t xml:space="preserve">jurisprudence RFRA purported to codify." See</w:t>
      </w:r>
      <w:r>
        <w:t xml:space="preserve"> </w:t>
      </w:r>
      <w:r>
        <w:rPr>
          <w:iCs/>
          <w:i/>
        </w:rPr>
        <w:t xml:space="preserve">ante,</w:t>
      </w:r>
      <w:r>
        <w:t xml:space="preserve"> </w:t>
      </w:r>
      <w:r>
        <w:t xml:space="preserve">at 2761, n. 3, 2767, n. 18. As just indicated, however, that statement does not accurately convey the Court's pre-</w:t>
      </w:r>
      <w:r>
        <w:t xml:space="preserve"> </w:t>
      </w:r>
      <w:r>
        <w:rPr>
          <w:iCs/>
          <w:i/>
        </w:rPr>
        <w:t xml:space="preserve">Smith</w:t>
      </w:r>
      <w:r>
        <w:t xml:space="preserve"> </w:t>
      </w:r>
      <w:r>
        <w:t xml:space="preserve">jurisprudence. See</w:t>
      </w:r>
      <w:r>
        <w:t xml:space="preserve"> </w:t>
      </w:r>
      <w:r>
        <w:rPr>
          <w:iCs/>
          <w:i/>
        </w:rPr>
        <w:t xml:space="preserve">Sherbert,</w:t>
      </w:r>
      <w:r>
        <w:t xml:space="preserve"> </w:t>
      </w:r>
      <w:r>
        <w:t xml:space="preserve">374 U.S., at 407</w:t>
      </w:r>
      <w:r>
        <w:t xml:space="preserve">,</w:t>
      </w:r>
      <w:r>
        <w:t xml:space="preserve"> </w:t>
      </w:r>
      <w:r>
        <w:t xml:space="preserve">83 S.Ct. 1790</w:t>
      </w:r>
      <w:r>
        <w:t xml:space="preserve"> </w:t>
      </w:r>
      <w:r>
        <w:t xml:space="preserve">("[I]t would plainly be incumbent upon the [government] to demonstrate that no alternative forms of regulation would combat [the problem] without infringing First Amendment rights.");</w:t>
      </w:r>
      <w:r>
        <w:t xml:space="preserve"> </w:t>
      </w:r>
      <w:r>
        <w:rPr>
          <w:iCs/>
          <w:i/>
        </w:rPr>
        <w:t xml:space="preserve">Thomas v. Review Bd. of Indiana Employment Security Div.,</w:t>
      </w:r>
      <w:r>
        <w:t xml:space="preserve"> </w:t>
      </w:r>
      <w:r>
        <w:t xml:space="preserve">450 U.S. 707</w:t>
      </w:r>
      <w:r>
        <w:t xml:space="preserve">, 718,</w:t>
      </w:r>
      <w:r>
        <w:t xml:space="preserve"> </w:t>
      </w:r>
      <w:r>
        <w:t xml:space="preserve">101 S.Ct. 1425</w:t>
      </w:r>
      <w:r>
        <w:t xml:space="preserve">,</w:t>
      </w:r>
      <w:r>
        <w:t xml:space="preserve"> </w:t>
      </w:r>
      <w:r>
        <w:t xml:space="preserve">67 L.Ed.2d 624</w:t>
      </w:r>
      <w:r>
        <w:t xml:space="preserve"> </w:t>
      </w:r>
      <w:r>
        <w:t xml:space="preserve">(1981) ("The state may justify an inroad on religious liberty by showing that it is the least restrictive means of achieving some compelling state interest."). See also Berg, The New Attacks on Religious Freedom Legislation and Why They Are Wrong,</w:t>
      </w:r>
      <w:r>
        <w:t xml:space="preserve"> </w:t>
      </w:r>
      <w:r>
        <w:t xml:space="preserve">21 Cardozo L.Rev. 415</w:t>
      </w:r>
      <w:r>
        <w:t xml:space="preserve">, 424 (1999) ("In</w:t>
      </w:r>
      <w:r>
        <w:t xml:space="preserve"> </w:t>
      </w:r>
      <w:r>
        <w:rPr>
          <w:iCs/>
          <w:i/>
        </w:rPr>
        <w:t xml:space="preserve">Boerne,</w:t>
      </w:r>
      <w:r>
        <w:t xml:space="preserve"> </w:t>
      </w:r>
      <w:r>
        <w:t xml:space="preserve">the Court erroneously said that the least restrictive means test 'was not used in the pre-</w:t>
      </w:r>
      <w:r>
        <w:t xml:space="preserve"> </w:t>
      </w:r>
      <w:r>
        <w:rPr>
          <w:iCs/>
          <w:i/>
        </w:rPr>
        <w:t xml:space="preserve">Smith</w:t>
      </w:r>
      <w:r>
        <w:t xml:space="preserve"> </w:t>
      </w:r>
      <w:r>
        <w:t xml:space="preserve">jurisprudence.' ").</w:t>
      </w:r>
      <w:hyperlink w:anchor="X1a70e3cacbc41416c763e9a886bafaaac6fc079">
        <w:r>
          <w:rPr>
            <w:rStyle w:val="Hyperlink"/>
            <w:vertAlign w:val="superscript"/>
          </w:rPr>
          <w:t xml:space="preserve">11</w:t>
        </w:r>
      </w:hyperlink>
    </w:p>
    <w:p>
      <w:pPr>
        <w:pStyle w:val="CaseBody"/>
      </w:pPr>
      <w:r>
        <w:rPr>
          <w:bCs/>
          <w:b/>
        </w:rPr>
        <w:t xml:space="preserve">C</w:t>
      </w:r>
    </w:p>
    <w:p>
      <w:pPr>
        <w:pStyle w:val="CaseBody"/>
      </w:pPr>
      <w:r>
        <w:t xml:space="preserve">With RFRA's restorative purpose in mind, I turn to the Act's application to the instant lawsuits. That task, in view of the positions taken by the Court, requires consideration of several questions, each potentially dispositive of Hobby Lobby's and Conestoga's claims: Do for-profit corporations rank among "person[s]" who "exercise ... religion"? Assuming that they do, does the contraceptive coverage requirement "substantially burden" their religious exercise? If so, is the requirement "in furtherance of a compelling government interest"? And last, does the requirement represent the least restrictive means for furthering that interest?</w:t>
      </w:r>
    </w:p>
    <w:p>
      <w:pPr>
        <w:pStyle w:val="CaseBody"/>
      </w:pPr>
      <w:r>
        <w:t xml:space="preserve">Misguided by its errant premise that RFRA moved beyond the pre-</w:t>
      </w:r>
      <w:r>
        <w:t xml:space="preserve"> </w:t>
      </w:r>
      <w:r>
        <w:rPr>
          <w:iCs/>
          <w:i/>
        </w:rPr>
        <w:t xml:space="preserve">Smith</w:t>
      </w:r>
      <w:r>
        <w:t xml:space="preserve"> </w:t>
      </w:r>
      <w:r>
        <w:t xml:space="preserve">case law, the Court falters at each step of its analysis.</w:t>
      </w:r>
    </w:p>
    <w:p>
      <w:pPr>
        <w:pStyle w:val="CaseBody"/>
      </w:pPr>
      <w:r>
        <w:rPr>
          <w:bCs/>
          <w:b/>
        </w:rPr>
        <w:t xml:space="preserve">1</w:t>
      </w:r>
    </w:p>
    <w:p>
      <w:pPr>
        <w:pStyle w:val="CaseBody"/>
      </w:pPr>
      <w:r>
        <w:t xml:space="preserve">RFRA's compelling interest test, as noted, see</w:t>
      </w:r>
      <w:r>
        <w:t xml:space="preserve"> </w:t>
      </w:r>
      <w:r>
        <w:rPr>
          <w:iCs/>
          <w:i/>
        </w:rPr>
        <w:t xml:space="preserve">supra,</w:t>
      </w:r>
      <w:r>
        <w:t xml:space="preserve"> </w:t>
      </w:r>
      <w:r>
        <w:t xml:space="preserve">at 2790, applies to government actions that "substantially burden</w:t>
      </w:r>
      <w:r>
        <w:t xml:space="preserve"> </w:t>
      </w:r>
      <w:r>
        <w:rPr>
          <w:iCs/>
          <w:i/>
        </w:rPr>
        <w:t xml:space="preserve">a person's exercise of religion</w:t>
      </w:r>
      <w:r>
        <w:t xml:space="preserve">." 42 U.S.C. § 2000bb-1(a) (emphasis added). This reference, the Court submits, incorporates the definition of "person" found in the Dictionary Act,</w:t>
      </w:r>
      <w:r>
        <w:t xml:space="preserve"> </w:t>
      </w:r>
      <w:r>
        <w:t xml:space="preserve">1 U.S.C. § 1</w:t>
      </w:r>
      <w:r>
        <w:t xml:space="preserve">, which extends to "corporations, companies, associations, firms, partnerships, societies, and joint stock companies, as well as individuals." See</w:t>
      </w:r>
      <w:r>
        <w:t xml:space="preserve"> </w:t>
      </w:r>
      <w:r>
        <w:rPr>
          <w:iCs/>
          <w:i/>
        </w:rPr>
        <w:t xml:space="preserve">ante,</w:t>
      </w:r>
      <w:r>
        <w:t xml:space="preserve"> </w:t>
      </w:r>
      <w:r>
        <w:t xml:space="preserve">at 2768</w:t>
      </w:r>
      <w:r>
        <w:t xml:space="preserve"> </w:t>
      </w:r>
      <w:r>
        <w:rPr>
          <w:iCs/>
          <w:i/>
        </w:rPr>
        <w:t xml:space="preserve">.</w:t>
      </w:r>
      <w:r>
        <w:t xml:space="preserve"> </w:t>
      </w:r>
      <w:r>
        <w:t xml:space="preserve">The Dictionary Act's definition, however, controls only where "context" does not "indicat[e] otherwise." § 1. Here, context does so indicate. RFRA speaks of "a person's</w:t>
      </w:r>
      <w:r>
        <w:t xml:space="preserve"> </w:t>
      </w:r>
      <w:r>
        <w:rPr>
          <w:iCs/>
          <w:i/>
        </w:rPr>
        <w:t xml:space="preserve">exercise of religion</w:t>
      </w:r>
      <w:r>
        <w:t xml:space="preserve">." 42 U.S.C. § 2000bb-1(a) (emphasis added). See also §§ 2000bb-2(4), 2000cc-5(7)(a).</w:t>
      </w:r>
      <w:hyperlink w:anchor="X59ebd784c2114e961db0a87f35269e364c38391">
        <w:r>
          <w:rPr>
            <w:rStyle w:val="Hyperlink"/>
            <w:vertAlign w:val="superscript"/>
          </w:rPr>
          <w:t xml:space="preserve">12</w:t>
        </w:r>
      </w:hyperlink>
      <w:r>
        <w:t xml:space="preserve"> </w:t>
      </w:r>
      <w:r>
        <w:t xml:space="preserve">Whether a corporation qualifies as a "person" capable of exercising religion is an inquiry one cannot answer without reference to the "full body" of pre-</w:t>
      </w:r>
      <w:r>
        <w:t xml:space="preserve"> </w:t>
      </w:r>
      <w:r>
        <w:rPr>
          <w:iCs/>
          <w:i/>
        </w:rPr>
        <w:t xml:space="preserve">Smith</w:t>
      </w:r>
      <w:r>
        <w:t xml:space="preserve"> </w:t>
      </w:r>
      <w:r>
        <w:t xml:space="preserve">"free-exercise caselaw."</w:t>
      </w:r>
      <w:r>
        <w:t xml:space="preserve"> </w:t>
      </w:r>
      <w:r>
        <w:rPr>
          <w:iCs/>
          <w:i/>
        </w:rPr>
        <w:t xml:space="preserve">Gilardi,</w:t>
      </w:r>
      <w:r>
        <w:t xml:space="preserve"> </w:t>
      </w:r>
      <w:r>
        <w:t xml:space="preserve">733 F.3d, at 1212</w:t>
      </w:r>
      <w:r>
        <w:t xml:space="preserve">. There is in that case law no support for the notion that free exercise rights pertain to for-profit corporations.</w:t>
      </w:r>
    </w:p>
    <w:p>
      <w:pPr>
        <w:pStyle w:val="CaseBody"/>
      </w:pPr>
      <w:r>
        <w:t xml:space="preserve">Until this litigation, no decision of this Court recognized a for-profit corporation's qualification for a religious exemption from a generally applicable law, whether under the Free Exercise Clause or RFRA.</w:t>
      </w:r>
      <w:hyperlink w:anchor="Xa6f028ac6e8ab075e47539f9faaaabc73016e6a">
        <w:r>
          <w:rPr>
            <w:rStyle w:val="Hyperlink"/>
            <w:vertAlign w:val="superscript"/>
          </w:rPr>
          <w:t xml:space="preserve">13</w:t>
        </w:r>
      </w:hyperlink>
      <w:r>
        <w:t xml:space="preserve"> </w:t>
      </w:r>
      <w:r>
        <w:t xml:space="preserve">The absence of such precedent is just what one would expect, for the exercise of religion is characteristic of natural persons, not artificial legal entities. As Chief Justice Marshall observed nearly two centuries ago, a corporation is "an artificial being, invisible, intangible, and existing only in contemplation of law."</w:t>
      </w:r>
      <w:r>
        <w:t xml:space="preserve"> </w:t>
      </w:r>
      <w:r>
        <w:rPr>
          <w:iCs/>
          <w:i/>
        </w:rPr>
        <w:t xml:space="preserve">Trustees of Dartmouth College v. Woodward,</w:t>
      </w:r>
      <w:r>
        <w:t xml:space="preserve"> </w:t>
      </w:r>
      <w:r>
        <w:t xml:space="preserve">4 Wheat. 518</w:t>
      </w:r>
      <w:r>
        <w:t xml:space="preserve">, 636,</w:t>
      </w:r>
      <w:r>
        <w:t xml:space="preserve"> </w:t>
      </w:r>
      <w:r>
        <w:t xml:space="preserve">4 L.Ed. 629</w:t>
      </w:r>
      <w:r>
        <w:t xml:space="preserve"> </w:t>
      </w:r>
      <w:r>
        <w:t xml:space="preserve">(1819). Corporations, Justice Stevens more recently reminded, "have no consciences, no beliefs, no feelings, no thoughts, no desires."</w:t>
      </w:r>
      <w:r>
        <w:t xml:space="preserve"> </w:t>
      </w:r>
      <w:r>
        <w:rPr>
          <w:iCs/>
          <w:i/>
        </w:rPr>
        <w:t xml:space="preserve">Citizens United v. Federal Election Comm'n,</w:t>
      </w:r>
      <w:r>
        <w:t xml:space="preserve"> </w:t>
      </w:r>
      <w:r>
        <w:t xml:space="preserve">558 U.S. 310</w:t>
      </w:r>
      <w:r>
        <w:t xml:space="preserve">, 466,</w:t>
      </w:r>
      <w:r>
        <w:t xml:space="preserve"> </w:t>
      </w:r>
      <w:r>
        <w:t xml:space="preserve">130 S.Ct. 876</w:t>
      </w:r>
      <w:r>
        <w:t xml:space="preserve">,</w:t>
      </w:r>
      <w:r>
        <w:t xml:space="preserve"> </w:t>
      </w:r>
      <w:r>
        <w:t xml:space="preserve">175 L.Ed.2d 753</w:t>
      </w:r>
      <w:r>
        <w:t xml:space="preserve"> </w:t>
      </w:r>
      <w:r>
        <w:t xml:space="preserve">(2010) (opinion concurring in part and dissenting in part).</w:t>
      </w:r>
    </w:p>
    <w:p>
      <w:pPr>
        <w:pStyle w:val="CaseBody"/>
      </w:pPr>
      <w:r>
        <w:t xml:space="preserve">The First Amendment's free exercise protections, the Court has indeed recognized, shelter churches and other nonprofit religion-based organizations.</w:t>
      </w:r>
      <w:r>
        <w:t xml:space="preserve"> </w:t>
      </w:r>
      <w:hyperlink w:anchor="Xef9e0c022fbfbdf07952323229bdfd0ebb3aa92">
        <w:r>
          <w:rPr>
            <w:rStyle w:val="Hyperlink"/>
            <w:vertAlign w:val="superscript"/>
          </w:rPr>
          <w:t xml:space="preserve">14</w:t>
        </w:r>
      </w:hyperlink>
      <w:r>
        <w:t xml:space="preserve"> </w:t>
      </w:r>
      <w:r>
        <w:t xml:space="preserve">"For many individuals, religious activity derives meaning in large measure from participation in a larger religious community," and "furtherance of the autonomy of religious organizations often furthers individual religious freedom as well."</w:t>
      </w:r>
      <w:r>
        <w:t xml:space="preserve"> </w:t>
      </w:r>
      <w:r>
        <w:rPr>
          <w:iCs/>
          <w:i/>
        </w:rPr>
        <w:t xml:space="preserve">Corporation of Presiding Bishop of Church of Jesus Christ of Latter-day Saints v. Amos,</w:t>
      </w:r>
      <w:r>
        <w:t xml:space="preserve"> </w:t>
      </w:r>
      <w:r>
        <w:t xml:space="preserve">483 U.S. 327</w:t>
      </w:r>
      <w:r>
        <w:t xml:space="preserve">, 342,</w:t>
      </w:r>
      <w:r>
        <w:t xml:space="preserve"> </w:t>
      </w:r>
      <w:r>
        <w:t xml:space="preserve">107 S.Ct. 2862</w:t>
      </w:r>
      <w:r>
        <w:t xml:space="preserve">,</w:t>
      </w:r>
      <w:r>
        <w:t xml:space="preserve"> </w:t>
      </w:r>
      <w:r>
        <w:t xml:space="preserve">97 L.Ed.2d 273</w:t>
      </w:r>
      <w:r>
        <w:t xml:space="preserve"> </w:t>
      </w:r>
      <w:r>
        <w:t xml:space="preserve">(1987) (Brennan, J., concurring in judgment). The Court's "special solicitude to the rights of religious organizations,"</w:t>
      </w:r>
    </w:p>
    <w:p>
      <w:pPr>
        <w:pStyle w:val="CaseBody"/>
      </w:pPr>
      <w:r>
        <w:rPr>
          <w:iCs/>
          <w:i/>
        </w:rPr>
        <w:t xml:space="preserve">Hosanna-Tabor Evangelical Lutheran Church and School v. EEOC,</w:t>
      </w:r>
      <w:r>
        <w:t xml:space="preserve"> </w:t>
      </w:r>
      <w:r>
        <w:t xml:space="preserve">565 U.S. ----, ----,</w:t>
      </w:r>
      <w:r>
        <w:t xml:space="preserve"> </w:t>
      </w:r>
      <w:r>
        <w:t xml:space="preserve">132 S.Ct. 694</w:t>
      </w:r>
      <w:r>
        <w:t xml:space="preserve">, 706,</w:t>
      </w:r>
      <w:r>
        <w:t xml:space="preserve"> </w:t>
      </w:r>
      <w:r>
        <w:t xml:space="preserve">181 L.Ed.2d 650</w:t>
      </w:r>
      <w:r>
        <w:t xml:space="preserve"> </w:t>
      </w:r>
      <w:r>
        <w:t xml:space="preserve">(2012), however, is just that. No such solicitude is traditional for commercial organizations.</w:t>
      </w:r>
      <w:hyperlink w:anchor="Xd5bb8a4651ef53791edca325815adafa9bd1a14">
        <w:r>
          <w:rPr>
            <w:rStyle w:val="Hyperlink"/>
            <w:vertAlign w:val="superscript"/>
          </w:rPr>
          <w:t xml:space="preserve">15</w:t>
        </w:r>
      </w:hyperlink>
      <w:r>
        <w:t xml:space="preserve"> </w:t>
      </w:r>
      <w:r>
        <w:t xml:space="preserve">Indeed, until today, religious exemptions had never been extended to any entity operating in "the commercial, profit-making world."</w:t>
      </w:r>
      <w:r>
        <w:t xml:space="preserve"> </w:t>
      </w:r>
      <w:r>
        <w:rPr>
          <w:iCs/>
          <w:i/>
        </w:rPr>
        <w:t xml:space="preserve">Amos,</w:t>
      </w:r>
      <w:r>
        <w:t xml:space="preserve"> </w:t>
      </w:r>
      <w:r>
        <w:t xml:space="preserve">483 U.S., at 337</w:t>
      </w:r>
      <w:r>
        <w:t xml:space="preserve">,</w:t>
      </w:r>
      <w:r>
        <w:t xml:space="preserve"> </w:t>
      </w:r>
      <w:r>
        <w:t xml:space="preserve">107 S.Ct. 2862</w:t>
      </w:r>
      <w:r>
        <w:t xml:space="preserve">.</w:t>
      </w:r>
      <w:hyperlink w:anchor="X540b472bad524cbd4ca33c4bc4b8cc1c63afa43">
        <w:r>
          <w:rPr>
            <w:rStyle w:val="Hyperlink"/>
            <w:vertAlign w:val="superscript"/>
          </w:rPr>
          <w:t xml:space="preserve">16</w:t>
        </w:r>
      </w:hyperlink>
    </w:p>
    <w:p>
      <w:pPr>
        <w:pStyle w:val="CaseBody"/>
      </w:pPr>
      <w:r>
        <w:t xml:space="preserve">The reason why is hardly obscure. Religious organizations exist to foster the interests of persons subscribing to the same religious faith. Not so of for-profit corporations. Workers who sustain the operations of those corporations commonly are not drawn from one religious community. Indeed, by law, no religion-based criterion can restrict the work force of for-profit corporations. See 42 U.S.C. §§ 2000e(b), 2000e-1(a), 2000e-2(a); cf.</w:t>
      </w:r>
      <w:r>
        <w:t xml:space="preserve"> </w:t>
      </w:r>
      <w:r>
        <w:rPr>
          <w:iCs/>
          <w:i/>
        </w:rPr>
        <w:t xml:space="preserve">Trans World Airlines, Inc. v. Hardison,</w:t>
      </w:r>
      <w:r>
        <w:t xml:space="preserve"> </w:t>
      </w:r>
      <w:r>
        <w:t xml:space="preserve">432 U.S. 63</w:t>
      </w:r>
      <w:r>
        <w:t xml:space="preserve">, 80-81,</w:t>
      </w:r>
      <w:r>
        <w:t xml:space="preserve"> </w:t>
      </w:r>
      <w:r>
        <w:t xml:space="preserve">97 S.Ct. 2264</w:t>
      </w:r>
      <w:r>
        <w:t xml:space="preserve">,</w:t>
      </w:r>
      <w:r>
        <w:t xml:space="preserve"> </w:t>
      </w:r>
      <w:r>
        <w:t xml:space="preserve">53 L.Ed.2d 113</w:t>
      </w:r>
      <w:r>
        <w:t xml:space="preserve"> </w:t>
      </w:r>
      <w:r>
        <w:t xml:space="preserve">(1977) (Title VII requires reasonable accommodation of an employee's religious exercise, but such accommodation must not come "at the expense of other[ employees]").</w:t>
      </w:r>
    </w:p>
    <w:p>
      <w:pPr>
        <w:pStyle w:val="CaseBody"/>
      </w:pPr>
      <w:r>
        <w:t xml:space="preserve">The distinction between a community made up of believers in the same religion and one embracing persons of diverse beliefs, clear as it is, constantly escapes the Court's attention.</w:t>
      </w:r>
      <w:hyperlink w:anchor="X979d90be5f71b16c6f62437de3ff1cac88c30f3">
        <w:r>
          <w:rPr>
            <w:rStyle w:val="Hyperlink"/>
            <w:vertAlign w:val="superscript"/>
          </w:rPr>
          <w:t xml:space="preserve">17</w:t>
        </w:r>
      </w:hyperlink>
      <w:r>
        <w:t xml:space="preserve"> </w:t>
      </w:r>
      <w:r>
        <w:t xml:space="preserve">One can only wonder why the Court shuts this key difference from sight.</w:t>
      </w:r>
    </w:p>
    <w:p>
      <w:pPr>
        <w:pStyle w:val="CaseBody"/>
      </w:pPr>
      <w:r>
        <w:t xml:space="preserve">Reading RFRA, as the Court does, to require extension of religion-based exemptions to for-profit corporations surely is not grounded in the pre-</w:t>
      </w:r>
      <w:r>
        <w:t xml:space="preserve"> </w:t>
      </w:r>
      <w:r>
        <w:rPr>
          <w:iCs/>
          <w:i/>
        </w:rPr>
        <w:t xml:space="preserve">Smith</w:t>
      </w:r>
      <w:r>
        <w:t xml:space="preserve"> </w:t>
      </w:r>
      <w:r>
        <w:t xml:space="preserve">precedent Congress sought to preserve. Had Congress intended RFRA to initiate a change so huge, a clarion statement to that effect likely would have been made in the legislation. See</w:t>
      </w:r>
      <w:r>
        <w:t xml:space="preserve"> </w:t>
      </w:r>
      <w:r>
        <w:rPr>
          <w:iCs/>
          <w:i/>
        </w:rPr>
        <w:t xml:space="preserve">Whitman v. American Trucking Assns., Inc.,</w:t>
      </w:r>
      <w:r>
        <w:t xml:space="preserve"> </w:t>
      </w:r>
      <w:r>
        <w:t xml:space="preserve">531 U.S. 457</w:t>
      </w:r>
      <w:r>
        <w:t xml:space="preserve">, 468,</w:t>
      </w:r>
      <w:r>
        <w:t xml:space="preserve"> </w:t>
      </w:r>
      <w:r>
        <w:t xml:space="preserve">121 S.Ct. 903</w:t>
      </w:r>
      <w:r>
        <w:t xml:space="preserve">,</w:t>
      </w:r>
      <w:r>
        <w:t xml:space="preserve"> </w:t>
      </w:r>
      <w:r>
        <w:t xml:space="preserve">149 L.Ed.2d 1</w:t>
      </w:r>
      <w:r>
        <w:t xml:space="preserve"> </w:t>
      </w:r>
      <w:r>
        <w:t xml:space="preserve">(2001) (Congress does not "hide elephants in mouseholes"). The text of RFRA makes no such statement and the legislative history does not so much as mention for-profit corporations. See</w:t>
      </w:r>
      <w:r>
        <w:t xml:space="preserve"> </w:t>
      </w:r>
      <w:r>
        <w:rPr>
          <w:iCs/>
          <w:i/>
        </w:rPr>
        <w:t xml:space="preserve">Hobby Lobby Stores, Inc. v. Sebelius,</w:t>
      </w:r>
      <w:r>
        <w:t xml:space="preserve"> </w:t>
      </w:r>
      <w:r>
        <w:t xml:space="preserve">723 F.3d 1114</w:t>
      </w:r>
      <w:r>
        <w:t xml:space="preserve">, 1169 (C.A.10 2013) (Briscoe, C.J., concurring in part and dissenting in part) (legislative record lacks "any suggestion that Congress foresaw, let alone intended that, RFRA would cover for-profit corporations"). See also Senators Brief 10-13 (none of the cases cited in House or Senate Judiciary Committee reports accompanying RFRA, or mentioned during floor speeches, recognized the free exercise rights of for-profit corporations).</w:t>
      </w:r>
    </w:p>
    <w:p>
      <w:pPr>
        <w:pStyle w:val="CaseBody"/>
      </w:pPr>
      <w:r>
        <w:t xml:space="preserve">The Court notes that for-profit corporations may support charitable causes and use their funds for religious ends, and therefore questions the distinction between such corporations and religious nonprofit organizations. See</w:t>
      </w:r>
      <w:r>
        <w:t xml:space="preserve"> </w:t>
      </w:r>
      <w:r>
        <w:rPr>
          <w:iCs/>
          <w:i/>
        </w:rPr>
        <w:t xml:space="preserve">ante,</w:t>
      </w:r>
      <w:r>
        <w:t xml:space="preserve"> </w:t>
      </w:r>
      <w:r>
        <w:t xml:space="preserve">at 2769 - 2772. See also</w:t>
      </w:r>
      <w:r>
        <w:t xml:space="preserve"> </w:t>
      </w:r>
      <w:r>
        <w:rPr>
          <w:iCs/>
          <w:i/>
        </w:rPr>
        <w:t xml:space="preserve">ante,</w:t>
      </w:r>
      <w:r>
        <w:t xml:space="preserve"> </w:t>
      </w:r>
      <w:r>
        <w:t xml:space="preserve">at 2786 (KENNEDY, J., concurring) (criticizing the Government for "distinguishing between different religious believers-burdening one while accommodating the other-when it may treat both equally by offering both of them the same accommodation").</w:t>
      </w:r>
      <w:hyperlink w:anchor="X154179def0536944b31ecf46dc841239d595e9c">
        <w:r>
          <w:rPr>
            <w:rStyle w:val="Hyperlink"/>
            <w:vertAlign w:val="superscript"/>
          </w:rPr>
          <w:t xml:space="preserve">18</w:t>
        </w:r>
      </w:hyperlink>
      <w:r>
        <w:t xml:space="preserve"> </w:t>
      </w:r>
      <w:r>
        <w:t xml:space="preserve">Again, the Court forgets that religious organizations exist to serve a community of believers. For-profit corporations do not fit that bill. Moreover, history is not on the Court's side. Recognition of the discrete characters of "ecclesiastical and lay" corporations dates back to Blackstone, see 1 W. Blackstone, Commentaries on the Laws of England 458 (1765), and was reiterated by this Court centuries before the enactment of the Internal Revenue Code. See</w:t>
      </w:r>
      <w:r>
        <w:t xml:space="preserve"> </w:t>
      </w:r>
      <w:r>
        <w:rPr>
          <w:iCs/>
          <w:i/>
        </w:rPr>
        <w:t xml:space="preserve">Terrett v. Taylor,</w:t>
      </w:r>
      <w:r>
        <w:t xml:space="preserve"> </w:t>
      </w:r>
      <w:r>
        <w:t xml:space="preserve">9 Cranch 43</w:t>
      </w:r>
      <w:r>
        <w:t xml:space="preserve">, 49,</w:t>
      </w:r>
      <w:r>
        <w:t xml:space="preserve"> </w:t>
      </w:r>
      <w:r>
        <w:t xml:space="preserve">3 L.Ed. 650</w:t>
      </w:r>
      <w:r>
        <w:t xml:space="preserve"> </w:t>
      </w:r>
      <w:r>
        <w:t xml:space="preserve">(1815) (describing religious corporations);</w:t>
      </w:r>
      <w:r>
        <w:t xml:space="preserve"> </w:t>
      </w:r>
      <w:r>
        <w:rPr>
          <w:iCs/>
          <w:i/>
        </w:rPr>
        <w:t xml:space="preserve">Trustees of Dartmouth College,</w:t>
      </w:r>
      <w:r>
        <w:t xml:space="preserve"> </w:t>
      </w:r>
      <w:r>
        <w:t xml:space="preserve">4 Wheat., at 645</w:t>
      </w:r>
      <w:r>
        <w:t xml:space="preserve"> </w:t>
      </w:r>
      <w:r>
        <w:t xml:space="preserve">(discussing "eleemosynary" corporations, including those "created for the promotion of religion"). To reiterate, "for-profit corporations are different from religious non-profits in that they use labor to make a profit, rather than to perpetuate [the] religious value[s] [shared by a community of believers]."</w:t>
      </w:r>
      <w:r>
        <w:t xml:space="preserve"> </w:t>
      </w:r>
      <w:r>
        <w:rPr>
          <w:iCs/>
          <w:i/>
        </w:rPr>
        <w:t xml:space="preserve">Gilardi,</w:t>
      </w:r>
      <w:r>
        <w:t xml:space="preserve"> </w:t>
      </w:r>
      <w:r>
        <w:t xml:space="preserve">733 F.3d, at 1242</w:t>
      </w:r>
      <w:r>
        <w:t xml:space="preserve"> </w:t>
      </w:r>
      <w:r>
        <w:t xml:space="preserve">(Edwards, J., concurring in part and dissenting in part) (emphasis deleted).</w:t>
      </w:r>
    </w:p>
    <w:p>
      <w:pPr>
        <w:pStyle w:val="CaseBody"/>
      </w:pPr>
      <w:r>
        <w:t xml:space="preserve">Citing</w:t>
      </w:r>
      <w:r>
        <w:t xml:space="preserve"> </w:t>
      </w:r>
      <w:r>
        <w:rPr>
          <w:iCs/>
          <w:i/>
        </w:rPr>
        <w:t xml:space="preserve">Braunfeld v. Brown,</w:t>
      </w:r>
      <w:r>
        <w:t xml:space="preserve"> </w:t>
      </w:r>
      <w:r>
        <w:t xml:space="preserve">366 U.S. 599</w:t>
      </w:r>
      <w:r>
        <w:t xml:space="preserve">,</w:t>
      </w:r>
      <w:r>
        <w:t xml:space="preserve"> </w:t>
      </w:r>
      <w:r>
        <w:t xml:space="preserve">81 S.Ct. 1144</w:t>
      </w:r>
      <w:r>
        <w:t xml:space="preserve">,</w:t>
      </w:r>
      <w:r>
        <w:t xml:space="preserve"> </w:t>
      </w:r>
      <w:r>
        <w:t xml:space="preserve">6 L.Ed.2d 563</w:t>
      </w:r>
      <w:r>
        <w:t xml:space="preserve"> </w:t>
      </w:r>
      <w:r>
        <w:t xml:space="preserve">(1961), the Court questions why, if "a sole proprietorship that seeks to make a profit may assert a free-exercise claim, [Hobby Lobby and Conestoga] can't ... do the same?"</w:t>
      </w:r>
      <w:r>
        <w:t xml:space="preserve"> </w:t>
      </w:r>
      <w:r>
        <w:rPr>
          <w:iCs/>
          <w:i/>
        </w:rPr>
        <w:t xml:space="preserve">Ante,</w:t>
      </w:r>
      <w:r>
        <w:t xml:space="preserve"> </w:t>
      </w:r>
      <w:r>
        <w:t xml:space="preserve">at 2770 (footnote omitted). See also</w:t>
      </w:r>
      <w:r>
        <w:t xml:space="preserve"> </w:t>
      </w:r>
      <w:r>
        <w:rPr>
          <w:iCs/>
          <w:i/>
        </w:rPr>
        <w:t xml:space="preserve">ante,</w:t>
      </w:r>
      <w:r>
        <w:t xml:space="preserve"> </w:t>
      </w:r>
      <w:r>
        <w:t xml:space="preserve">at 2767 - 2768. But even accepting,</w:t>
      </w:r>
      <w:r>
        <w:t xml:space="preserve"> </w:t>
      </w:r>
      <w:r>
        <w:rPr>
          <w:iCs/>
          <w:i/>
        </w:rPr>
        <w:t xml:space="preserve">arguendo,</w:t>
      </w:r>
      <w:r>
        <w:t xml:space="preserve"> </w:t>
      </w:r>
      <w:r>
        <w:t xml:space="preserve">the premise that unincorporated business enterprises may gain religious accommodations under the Free Exercise Clause, the Court's conclusion is unsound. In a sole proprietorship, the business and its owner are one and the same. By incorporating a business, however, an individual separates herself from the entity and escapes personal responsibility for the entity's obligations. One might ask why the separation should hold only when it serves the interest of those who control the corporation. In any event,</w:t>
      </w:r>
      <w:r>
        <w:t xml:space="preserve"> </w:t>
      </w:r>
      <w:r>
        <w:rPr>
          <w:iCs/>
          <w:i/>
        </w:rPr>
        <w:t xml:space="preserve">Braunfeld</w:t>
      </w:r>
      <w:r>
        <w:t xml:space="preserve"> </w:t>
      </w:r>
      <w:r>
        <w:t xml:space="preserve">is hardly impressive authority for the entitlement Hobby Lobby and Conestoga seek. The free exercise claim asserted there was promptly rejected on the merits.</w:t>
      </w:r>
    </w:p>
    <w:p>
      <w:pPr>
        <w:pStyle w:val="CaseBody"/>
      </w:pPr>
      <w:r>
        <w:t xml:space="preserve">The Court's determination that RFRA extends to for-profit corporations is bound to have untoward effects. Although the Court attempts to cabin its language to closely held corporations, its logic extends to corporations of any size, public or private.</w:t>
      </w:r>
      <w:hyperlink w:anchor="Xd57c97183b7abbc025d0c8e9961e1cb5106ee57">
        <w:r>
          <w:rPr>
            <w:rStyle w:val="Hyperlink"/>
            <w:vertAlign w:val="superscript"/>
          </w:rPr>
          <w:t xml:space="preserve">19</w:t>
        </w:r>
      </w:hyperlink>
      <w:r>
        <w:t xml:space="preserve"> </w:t>
      </w:r>
      <w:r>
        <w:t xml:space="preserve">Little doubt that RFRA claims will proliferate, for the Court's expansive notion of corporate personhood-combined with its other errors in construing RFRA-invites for-profit entities to seek religion-based exemptions from regulations they deem offensive to their faith.</w:t>
      </w:r>
    </w:p>
    <w:p>
      <w:pPr>
        <w:pStyle w:val="CaseBody"/>
      </w:pPr>
      <w:r>
        <w:rPr>
          <w:bCs/>
          <w:b/>
        </w:rPr>
        <w:t xml:space="preserve">2</w:t>
      </w:r>
    </w:p>
    <w:p>
      <w:pPr>
        <w:pStyle w:val="CaseBody"/>
      </w:pPr>
      <w:r>
        <w:t xml:space="preserve">Even if Hobby Lobby and Conestoga were deemed RFRA "person[s]," to gain an exemption, they must demonstrate that the contraceptive coverage requirement "substantially burden[s] [their] exercise of religion." 42 U.S.C. § 2000bb-1(a). Congress no doubt meant the modifier "substantially" to carry weight. In the original draft of RFRA, the word "burden" appeared unmodified. The word "substantially" was inserted pursuant to a clarifying amendment offered by Senators Kennedy and Hatch. See 139 Cong. Rec. 26180. In proposing the amendment, Senator Kennedy stated that RFRA, in accord with the Court's pre-</w:t>
      </w:r>
      <w:r>
        <w:t xml:space="preserve"> </w:t>
      </w:r>
      <w:r>
        <w:rPr>
          <w:iCs/>
          <w:i/>
        </w:rPr>
        <w:t xml:space="preserve">Smith</w:t>
      </w:r>
      <w:r>
        <w:t xml:space="preserve"> </w:t>
      </w:r>
      <w:r>
        <w:t xml:space="preserve">case law, "does not require the Government to justify every action that has some effect on religious exercise."</w:t>
      </w:r>
      <w:r>
        <w:t xml:space="preserve"> </w:t>
      </w:r>
      <w:r>
        <w:rPr>
          <w:iCs/>
          <w:i/>
        </w:rPr>
        <w:t xml:space="preserve">Ibid.</w:t>
      </w:r>
    </w:p>
    <w:p>
      <w:pPr>
        <w:pStyle w:val="CaseBody"/>
      </w:pPr>
      <w:r>
        <w:t xml:space="preserve">The Court barely pauses to inquire whether any burden imposed by the contraceptive coverage requirement is substantial. Instead, it rests on the Greens' and Hahns' "belie[f] that providing the coverage demanded by the HHS regulations is connected to the destruction of an embryo in a way that is sufficient to make it immoral for them to provide the coverage."</w:t>
      </w:r>
      <w:r>
        <w:t xml:space="preserve"> </w:t>
      </w:r>
      <w:r>
        <w:rPr>
          <w:iCs/>
          <w:i/>
        </w:rPr>
        <w:t xml:space="preserve">Ante,</w:t>
      </w:r>
      <w:r>
        <w:t xml:space="preserve"> </w:t>
      </w:r>
      <w:r>
        <w:t xml:space="preserve">at 2778.</w:t>
      </w:r>
      <w:hyperlink w:anchor="X97ece79edcbaa120cd73360b4caa5d371c28069">
        <w:r>
          <w:rPr>
            <w:rStyle w:val="Hyperlink"/>
            <w:vertAlign w:val="superscript"/>
          </w:rPr>
          <w:t xml:space="preserve">20</w:t>
        </w:r>
      </w:hyperlink>
      <w:r>
        <w:t xml:space="preserve"> </w:t>
      </w:r>
      <w:r>
        <w:t xml:space="preserve">I agree with the Court that the Green and Hahn families' religious convictions regarding contraception are sincerely held. See</w:t>
      </w:r>
      <w:r>
        <w:t xml:space="preserve"> </w:t>
      </w:r>
      <w:r>
        <w:rPr>
          <w:iCs/>
          <w:i/>
        </w:rPr>
        <w:t xml:space="preserve">Thomas,</w:t>
      </w:r>
      <w:r>
        <w:t xml:space="preserve"> </w:t>
      </w:r>
      <w:r>
        <w:t xml:space="preserve">450 U.S., at 715</w:t>
      </w:r>
      <w:r>
        <w:t xml:space="preserve">,</w:t>
      </w:r>
      <w:r>
        <w:t xml:space="preserve"> </w:t>
      </w:r>
      <w:r>
        <w:t xml:space="preserve">101 S.Ct. 1425</w:t>
      </w:r>
      <w:r>
        <w:t xml:space="preserve"> </w:t>
      </w:r>
      <w:r>
        <w:t xml:space="preserve">(courts are not to question where an individual "dr[aws] the line" in defining which practices run afoul of her religious beliefs). See also 42 U.S.C. §§ 2000bb-1(a), 2000bb-2(4), 2000cc-5(7)(A).</w:t>
      </w:r>
      <w:hyperlink w:anchor="X82725f957d3cf38667b9421ba79d8626f90081d">
        <w:r>
          <w:rPr>
            <w:rStyle w:val="Hyperlink"/>
            <w:vertAlign w:val="superscript"/>
          </w:rPr>
          <w:t xml:space="preserve">21</w:t>
        </w:r>
      </w:hyperlink>
      <w:r>
        <w:t xml:space="preserve"> </w:t>
      </w:r>
      <w:r>
        <w:t xml:space="preserve">But those beliefs, however deeply held, do not suffice to sustain a RFRA claim. RFRA, properly understood, distinguishes between "factual allegations that [plaintiffs'] beliefs are sincere and of a religious nature," which a court must accept as true, and the "legal conclusion ... that [plaintiffs'] religious exercise is substantially burdened," an inquiry the court must undertake.</w:t>
      </w:r>
      <w:r>
        <w:t xml:space="preserve"> </w:t>
      </w:r>
      <w:r>
        <w:rPr>
          <w:iCs/>
          <w:i/>
        </w:rPr>
        <w:t xml:space="preserve">Kaemmerling v. Lappin,</w:t>
      </w:r>
      <w:r>
        <w:t xml:space="preserve"> </w:t>
      </w:r>
      <w:r>
        <w:t xml:space="preserve">553 F.3d 669</w:t>
      </w:r>
      <w:r>
        <w:t xml:space="preserve">, 679 (C.A.D.C.2008).</w:t>
      </w:r>
    </w:p>
    <w:p>
      <w:pPr>
        <w:pStyle w:val="CaseBody"/>
      </w:pPr>
      <w:r>
        <w:t xml:space="preserve">That distinction is a facet of the pre-</w:t>
      </w:r>
      <w:r>
        <w:t xml:space="preserve"> </w:t>
      </w:r>
      <w:r>
        <w:rPr>
          <w:iCs/>
          <w:i/>
        </w:rPr>
        <w:t xml:space="preserve">Smith</w:t>
      </w:r>
      <w:r>
        <w:t xml:space="preserve"> </w:t>
      </w:r>
      <w:r>
        <w:t xml:space="preserve">jurisprudence RFRA incorporates.</w:t>
      </w:r>
      <w:r>
        <w:t xml:space="preserve"> </w:t>
      </w:r>
      <w:r>
        <w:rPr>
          <w:iCs/>
          <w:i/>
        </w:rPr>
        <w:t xml:space="preserve">Bowen v. Roy,</w:t>
      </w:r>
      <w:r>
        <w:t xml:space="preserve"> </w:t>
      </w:r>
      <w:r>
        <w:t xml:space="preserve">476 U.S. 693</w:t>
      </w:r>
      <w:r>
        <w:t xml:space="preserve">,</w:t>
      </w:r>
      <w:r>
        <w:t xml:space="preserve"> </w:t>
      </w:r>
      <w:r>
        <w:t xml:space="preserve">106 S.Ct. 2147</w:t>
      </w:r>
      <w:r>
        <w:t xml:space="preserve">,</w:t>
      </w:r>
      <w:r>
        <w:t xml:space="preserve"> </w:t>
      </w:r>
      <w:r>
        <w:t xml:space="preserve">90 L.Ed.2d 735</w:t>
      </w:r>
      <w:r>
        <w:t xml:space="preserve"> </w:t>
      </w:r>
      <w:r>
        <w:t xml:space="preserve">(1986), is instructive. There, the Court rejected a free exercise challenge to the Government's use of a Native American child's Social Security number for purposes of administering benefit programs. Without questioning the sincerity of the father's religious belief that "use of [his daughter's Social Security] number may harm [her] spirit," the Court concluded that the Government's internal uses of that number "place[d] [no] restriction on what [the father] may believe or what he may do."</w:t>
      </w:r>
      <w:r>
        <w:t xml:space="preserve"> </w:t>
      </w:r>
      <w:r>
        <w:rPr>
          <w:iCs/>
          <w:i/>
        </w:rPr>
        <w:t xml:space="preserve">Id.,</w:t>
      </w:r>
      <w:r>
        <w:t xml:space="preserve"> </w:t>
      </w:r>
      <w:r>
        <w:t xml:space="preserve">at 699</w:t>
      </w:r>
      <w:r>
        <w:t xml:space="preserve">,</w:t>
      </w:r>
      <w:r>
        <w:t xml:space="preserve"> </w:t>
      </w:r>
      <w:r>
        <w:t xml:space="preserve">106 S.Ct. 2147</w:t>
      </w:r>
      <w:r>
        <w:t xml:space="preserve"> </w:t>
      </w:r>
      <w:r>
        <w:rPr>
          <w:iCs/>
          <w:i/>
        </w:rPr>
        <w:t xml:space="preserve">.</w:t>
      </w:r>
      <w:r>
        <w:t xml:space="preserve"> </w:t>
      </w:r>
      <w:r>
        <w:t xml:space="preserve">Recognizing that the father's "religious views may not accept" the position that the challenged uses concerned only the Government's internal affairs, the Court explained that "for the adjudication of a constitutional claim, the Constitution, rather than an individual's religion, must supply the frame of reference."</w:t>
      </w:r>
      <w:r>
        <w:t xml:space="preserve"> </w:t>
      </w:r>
      <w:r>
        <w:rPr>
          <w:iCs/>
          <w:i/>
        </w:rPr>
        <w:t xml:space="preserve">Id.,</w:t>
      </w:r>
      <w:r>
        <w:t xml:space="preserve"> </w:t>
      </w:r>
      <w:r>
        <w:t xml:space="preserve">at 700-701, n. 6</w:t>
      </w:r>
      <w:r>
        <w:t xml:space="preserve">,</w:t>
      </w:r>
      <w:r>
        <w:t xml:space="preserve"> </w:t>
      </w:r>
      <w:r>
        <w:t xml:space="preserve">106 S.Ct. 2147</w:t>
      </w:r>
      <w:r>
        <w:t xml:space="preserve">. See also</w:t>
      </w:r>
      <w:r>
        <w:t xml:space="preserve"> </w:t>
      </w:r>
      <w:r>
        <w:rPr>
          <w:iCs/>
          <w:i/>
        </w:rPr>
        <w:t xml:space="preserve">Hernandez v. Commissioner,</w:t>
      </w:r>
      <w:r>
        <w:t xml:space="preserve"> </w:t>
      </w:r>
      <w:r>
        <w:t xml:space="preserve">490 U.S. 680</w:t>
      </w:r>
      <w:r>
        <w:t xml:space="preserve">, 699,</w:t>
      </w:r>
      <w:r>
        <w:t xml:space="preserve"> </w:t>
      </w:r>
      <w:r>
        <w:t xml:space="preserve">109 S.Ct. 2136</w:t>
      </w:r>
      <w:r>
        <w:t xml:space="preserve">,</w:t>
      </w:r>
      <w:r>
        <w:t xml:space="preserve"> </w:t>
      </w:r>
      <w:r>
        <w:t xml:space="preserve">104 L.Ed.2d 766</w:t>
      </w:r>
      <w:r>
        <w:t xml:space="preserve"> </w:t>
      </w:r>
      <w:r>
        <w:t xml:space="preserve">(1989) (distinguishing between, on the one hand, "question[s] [of] the centrality of particular beliefs or practices to a faith, or the validity of particular litigants' interpretations of those creeds," and, on the other, "whether the alleged burden imposed [by the challenged government action] is a substantial one"). Inattentive to this guidance, today's decision elides entirely the distinction between the sincerity of a challenger's religious belief and the substantiality of the burden placed on the challenger.</w:t>
      </w:r>
    </w:p>
    <w:p>
      <w:pPr>
        <w:pStyle w:val="CaseBody"/>
      </w:pPr>
      <w:r>
        <w:t xml:space="preserve">Undertaking the inquiry that the Court forgoes, I would conclude that the connection between the families' religious objections and the contraceptive coverage requirement is too attenuated to rank as substantial. The requirement carries no command that Hobby Lobby or Conestoga purchase or provide the contraceptives they find objectionable. Instead, it calls on the companies covered by the requirement to direct money into undifferentiated funds that finance a wide variety of benefits under comprehensive health plans. Those plans, in order to comply with the ACA, see</w:t>
      </w:r>
      <w:r>
        <w:t xml:space="preserve"> </w:t>
      </w:r>
      <w:r>
        <w:rPr>
          <w:iCs/>
          <w:i/>
        </w:rPr>
        <w:t xml:space="preserve">supra,</w:t>
      </w:r>
      <w:r>
        <w:t xml:space="preserve"> </w:t>
      </w:r>
      <w:r>
        <w:t xml:space="preserve">at 2788 - 2790, must offer contraceptive coverage without cost sharing, just as they must cover an array of other preventive services.</w:t>
      </w:r>
    </w:p>
    <w:p>
      <w:pPr>
        <w:pStyle w:val="CaseBody"/>
      </w:pPr>
      <w:r>
        <w:t xml:space="preserve">Importantly, the decisions whether to claim benefits under the plans are made not by Hobby Lobby or Conestoga, but by the covered employees and dependents, in consultation with their health care providers. Should an employee of Hobby Lobby or Conestoga share the religious beliefs of the Greens and Hahns, she is of course under no compulsion to use the contraceptives in question. But "[n]o individual decision by an employee and her physician-be it to use contraception, treat an infection, or have a hip replaced-is in any meaningful sense [her employer's] decision or action."</w:t>
      </w:r>
      <w:r>
        <w:t xml:space="preserve"> </w:t>
      </w:r>
      <w:r>
        <w:rPr>
          <w:iCs/>
          <w:i/>
        </w:rPr>
        <w:t xml:space="preserve">Grote v. Sebelius,</w:t>
      </w:r>
      <w:r>
        <w:t xml:space="preserve"> </w:t>
      </w:r>
      <w:r>
        <w:t xml:space="preserve">708 F.3d 850</w:t>
      </w:r>
      <w:r>
        <w:t xml:space="preserve">, 865 (C.A.7 2013) (Rovner, J., dissenting). It is doubtful that Congress, when it specified that burdens must be "substantia[l]," had in mind a linkage thus interrupted by independent decisionmakers (the woman and her health counselor) standing between the challenged government action and the religious exercise claimed to be infringed. Any decision to use contraceptives made by a woman covered under Hobby Lobby's or Conestoga's plan will not be propelled by the Government, it will be the woman's autonomous choice, informed by the physician she consults.</w:t>
      </w:r>
    </w:p>
    <w:p>
      <w:pPr>
        <w:pStyle w:val="CaseBody"/>
      </w:pPr>
      <w:r>
        <w:rPr>
          <w:bCs/>
          <w:b/>
        </w:rPr>
        <w:t xml:space="preserve">3</w:t>
      </w:r>
    </w:p>
    <w:p>
      <w:pPr>
        <w:pStyle w:val="CaseBody"/>
      </w:pPr>
      <w:r>
        <w:t xml:space="preserve">Even if one were to conclude that Hobby Lobby and Conestoga meet the substantial burden requirement, the Government has shown that the contraceptive coverage for which the ACA provides furthers compelling interests in public health and women's well being. Those interests are concrete, specific, and demonstrated by a wealth of empirical evidence. To recapitulate, the mandated contraception coverage enables women to avoid the health problems unintended pregnancies may visit on them and their children. See IOM Report 102-107. The coverage helps safeguard the health of women for whom pregnancy may be hazardous, even life threatening. See Brief for American College of Obstetricians and Gynecologists et al. as</w:t>
      </w:r>
      <w:r>
        <w:t xml:space="preserve"> </w:t>
      </w:r>
      <w:r>
        <w:rPr>
          <w:iCs/>
          <w:i/>
        </w:rPr>
        <w:t xml:space="preserve">Amici Curiae</w:t>
      </w:r>
      <w:r>
        <w:t xml:space="preserve"> </w:t>
      </w:r>
      <w:r>
        <w:t xml:space="preserve">14-15. And the mandate secures benefits wholly unrelated to pregnancy, preventing certain cancers, menstrual disorders, and pelvic pain. Brief for Ovarian Cancer National Alliance et al. as</w:t>
      </w:r>
      <w:r>
        <w:t xml:space="preserve"> </w:t>
      </w:r>
      <w:r>
        <w:rPr>
          <w:iCs/>
          <w:i/>
        </w:rPr>
        <w:t xml:space="preserve">Amici Curiae</w:t>
      </w:r>
      <w:r>
        <w:t xml:space="preserve"> </w:t>
      </w:r>
      <w:r>
        <w:t xml:space="preserve">4, 6-7, 15-16; 78 Fed.Reg. 39872 (2013); IOM Report 107.</w:t>
      </w:r>
    </w:p>
    <w:p>
      <w:pPr>
        <w:pStyle w:val="CaseBody"/>
      </w:pPr>
      <w:r>
        <w:t xml:space="preserve">That Hobby Lobby and Conestoga resist coverage for only 4 of the 20 FDA-approved contraceptives does not lessen these compelling interests. Notably, the corporations exclude intrauterine devices (IUDs), devices significantly more effective, and significantly more expensive than other contraceptive methods. See</w:t>
      </w:r>
      <w:r>
        <w:t xml:space="preserve"> </w:t>
      </w:r>
      <w:r>
        <w:rPr>
          <w:iCs/>
          <w:i/>
        </w:rPr>
        <w:t xml:space="preserve">id.,</w:t>
      </w:r>
      <w:r>
        <w:t xml:space="preserve"> </w:t>
      </w:r>
      <w:r>
        <w:t xml:space="preserve">at 105.</w:t>
      </w:r>
      <w:hyperlink w:anchor="Xb979d21561405f559d42d3fcabaa9b47fe676b9">
        <w:r>
          <w:rPr>
            <w:rStyle w:val="Hyperlink"/>
            <w:vertAlign w:val="superscript"/>
          </w:rPr>
          <w:t xml:space="preserve">22</w:t>
        </w:r>
      </w:hyperlink>
      <w:r>
        <w:t xml:space="preserve"> </w:t>
      </w:r>
      <w:r>
        <w:t xml:space="preserve">Moreover, the Court's reasoning appears to permit commercial enterprises like Hobby Lobby and Conestoga to exclude from their group health plans all forms of contraceptives. See Tr. of Oral Arg. 38-39 (counsel for Hobby Lobby acknowledged that his "argument ... would apply just as well if the employer said 'no contraceptives' " (internal quotation marks added)).</w:t>
      </w:r>
    </w:p>
    <w:p>
      <w:pPr>
        <w:pStyle w:val="CaseBody"/>
      </w:pPr>
      <w:r>
        <w:t xml:space="preserve">Perhaps the gravity of the interests at stake has led the Court to assume, for purposes of its RFRA analysis, that the compelling interest criterion is met in these cases. See</w:t>
      </w:r>
      <w:r>
        <w:t xml:space="preserve"> </w:t>
      </w:r>
      <w:r>
        <w:rPr>
          <w:iCs/>
          <w:i/>
        </w:rPr>
        <w:t xml:space="preserve">ante,</w:t>
      </w:r>
      <w:r>
        <w:t xml:space="preserve"> </w:t>
      </w:r>
      <w:r>
        <w:t xml:space="preserve">at 2780.</w:t>
      </w:r>
      <w:hyperlink w:anchor="Xc713ecebc0e539cabf1c07641f3338b3968e4d0">
        <w:r>
          <w:rPr>
            <w:rStyle w:val="Hyperlink"/>
            <w:vertAlign w:val="superscript"/>
          </w:rPr>
          <w:t xml:space="preserve">23</w:t>
        </w:r>
      </w:hyperlink>
      <w:r>
        <w:t xml:space="preserve"> </w:t>
      </w:r>
      <w:r>
        <w:t xml:space="preserve">It bears note in this regard that the cost of an IUD is nearly equivalent to a month's full-time pay for workers earning the minimum wage, Brief for Guttmacher Institute et al. as</w:t>
      </w:r>
      <w:r>
        <w:t xml:space="preserve"> </w:t>
      </w:r>
      <w:r>
        <w:rPr>
          <w:iCs/>
          <w:i/>
        </w:rPr>
        <w:t xml:space="preserve">Amici Curiae</w:t>
      </w:r>
      <w:r>
        <w:t xml:space="preserve"> </w:t>
      </w:r>
      <w:r>
        <w:t xml:space="preserve">16; that almost one-third of women would change their contraceptive method if costs were not a factor, Frost &amp; Darroch, Factors Associated With Contraceptive Choice and Inconsistent Method Use, United States, 2004, 40 Perspectives on Sexual &amp; Reproductive Health 94, 98 (2008); and that only one-fourth of women who request an IUD actually have one inserted after finding out how expensive it would be, Gariepy, Simon, Patel, Creinin, &amp; Schwarz, The Impact of Out-of-Pocket Expense on IUD Utilization Among Women With Private Insurance, 84 Contraception e39, e40 (2011). See also Eisenberg,</w:t>
      </w:r>
      <w:r>
        <w:t xml:space="preserve"> </w:t>
      </w:r>
      <w:r>
        <w:rPr>
          <w:iCs/>
          <w:i/>
        </w:rPr>
        <w:t xml:space="preserve">supra,</w:t>
      </w:r>
      <w:r>
        <w:t xml:space="preserve"> </w:t>
      </w:r>
      <w:r>
        <w:t xml:space="preserve">at S60 (recent study found that women who face out-of-pocket IUD costs in excess of $50 were "11-times less likely to obtain an IUD than women who had to pay less than $50"); Postlethwaite, Trussell, Zoolakis, Shabear, &amp; Petitti, A Comparison of Contraceptive Procurement Pre- and Post-Benefit Change, 76 Contraception 360, 361-362 (2007) (when one health system eliminated patient cost sharing for IUDs, use of this form of contraception more than doubled).</w:t>
      </w:r>
    </w:p>
    <w:p>
      <w:pPr>
        <w:pStyle w:val="CaseBody"/>
      </w:pPr>
      <w:r>
        <w:t xml:space="preserve">Stepping back from its assumption that compelling interests support the contraceptive coverage requirement, the Court notes that small employers and grandfathered plans are not subject to the requirement. If there is a compelling interest in contraceptive coverage, the Court suggests, Congress would not have created these exclusions. See</w:t>
      </w:r>
      <w:r>
        <w:t xml:space="preserve"> </w:t>
      </w:r>
      <w:r>
        <w:rPr>
          <w:iCs/>
          <w:i/>
        </w:rPr>
        <w:t xml:space="preserve">ante,</w:t>
      </w:r>
      <w:r>
        <w:t xml:space="preserve"> </w:t>
      </w:r>
      <w:r>
        <w:t xml:space="preserve">at 2779 - 2780.</w:t>
      </w:r>
    </w:p>
    <w:p>
      <w:pPr>
        <w:pStyle w:val="CaseBody"/>
      </w:pPr>
      <w:r>
        <w:t xml:space="preserve">Federal statutes often include exemptions for small employers, and such provisions have never been held to undermine the interests served by these statutes. See,</w:t>
      </w:r>
      <w:r>
        <w:t xml:space="preserve"> </w:t>
      </w:r>
      <w:r>
        <w:rPr>
          <w:iCs/>
          <w:i/>
        </w:rPr>
        <w:t xml:space="preserve">e.g.,</w:t>
      </w:r>
      <w:r>
        <w:t xml:space="preserve"> </w:t>
      </w:r>
      <w:r>
        <w:t xml:space="preserve">Family and Medical Leave Act of 1993,</w:t>
      </w:r>
      <w:r>
        <w:t xml:space="preserve"> </w:t>
      </w:r>
      <w:r>
        <w:t xml:space="preserve">29 U.S.C. § 2611</w:t>
      </w:r>
      <w:r>
        <w:t xml:space="preserve">(4)(A)(i) (applicable to employers with 50 or more employees); Age Discrimination in Employment Act of 1967,</w:t>
      </w:r>
      <w:r>
        <w:t xml:space="preserve"> </w:t>
      </w:r>
      <w:r>
        <w:t xml:space="preserve">29 U.S.C. § 630</w:t>
      </w:r>
      <w:r>
        <w:t xml:space="preserve">(b) (originally exempting employers with fewer than 50 employees,</w:t>
      </w:r>
      <w:r>
        <w:t xml:space="preserve"> </w:t>
      </w:r>
      <w:r>
        <w:t xml:space="preserve">81 Stat. 605</w:t>
      </w:r>
      <w:r>
        <w:t xml:space="preserve">, the statute now governs employers with 20 or more employees); Americans With Disabilities Act,</w:t>
      </w:r>
      <w:r>
        <w:t xml:space="preserve"> </w:t>
      </w:r>
      <w:r>
        <w:t xml:space="preserve">42 U.S.C. § 12111</w:t>
      </w:r>
      <w:r>
        <w:t xml:space="preserve">(5)(A) (applicable to employers with 15 or more employees); Title VII, 42 U.S.C. § 2000e(b) (originally exempting employers with fewer than 25 employees, see</w:t>
      </w:r>
      <w:r>
        <w:t xml:space="preserve"> </w:t>
      </w:r>
      <w:r>
        <w:rPr>
          <w:iCs/>
          <w:i/>
        </w:rPr>
        <w:t xml:space="preserve">Arbaugh v. Y &amp; H Corp.,</w:t>
      </w:r>
      <w:r>
        <w:t xml:space="preserve"> </w:t>
      </w:r>
      <w:r>
        <w:t xml:space="preserve">546 U.S. 500</w:t>
      </w:r>
      <w:r>
        <w:t xml:space="preserve">, 505, n. 2,</w:t>
      </w:r>
      <w:r>
        <w:t xml:space="preserve"> </w:t>
      </w:r>
      <w:r>
        <w:t xml:space="preserve">126 S.Ct. 1235</w:t>
      </w:r>
      <w:r>
        <w:t xml:space="preserve">,</w:t>
      </w:r>
      <w:r>
        <w:t xml:space="preserve"> </w:t>
      </w:r>
      <w:r>
        <w:t xml:space="preserve">163 L.Ed.2d 1097</w:t>
      </w:r>
      <w:r>
        <w:t xml:space="preserve"> </w:t>
      </w:r>
      <w:r>
        <w:t xml:space="preserve">(2006), the statute now governs employers with 15 or more employees).</w:t>
      </w:r>
    </w:p>
    <w:p>
      <w:pPr>
        <w:pStyle w:val="CaseBody"/>
      </w:pPr>
      <w:r>
        <w:t xml:space="preserve">The ACA's grandfathering provision,</w:t>
      </w:r>
      <w:r>
        <w:t xml:space="preserve"> </w:t>
      </w:r>
      <w:r>
        <w:t xml:space="preserve">42 U.S.C. § 18011</w:t>
      </w:r>
      <w:r>
        <w:t xml:space="preserve">, allows a phasing-in period for compliance with a number of the Act's requirements (not just the contraceptive coverage or other preventive services provisions). Once specified changes are made, grandfathered status ceases. See</w:t>
      </w:r>
      <w:r>
        <w:t xml:space="preserve"> </w:t>
      </w:r>
      <w:r>
        <w:t xml:space="preserve">45 CFR § 147.140</w:t>
      </w:r>
      <w:r>
        <w:t xml:space="preserve">(g). Hobby Lobby's own situation is illustrative. By the time this litigation commenced, Hobby Lobby did not have grandfathered status. Asked why by the District Court, Hobby Lobby's counsel explained that the "grandfathering requirements mean that you can't make a whole menu of changes to your plan that involve things like the amount of co-pays, the amount of co-insurance, deductibles, that sort of thing." App. in No. 13-354, pp. 39-40. Counsel acknowledged that, "just because of economic realities, our plan has to shift over time. I mean, insurance plans, as everyone knows, shif[t] over time."</w:t>
      </w:r>
      <w:r>
        <w:t xml:space="preserve"> </w:t>
      </w:r>
      <w:r>
        <w:rPr>
          <w:iCs/>
          <w:i/>
        </w:rPr>
        <w:t xml:space="preserve">Id.,</w:t>
      </w:r>
      <w:r>
        <w:t xml:space="preserve"> </w:t>
      </w:r>
      <w:r>
        <w:t xml:space="preserve">at 40</w:t>
      </w:r>
      <w:r>
        <w:t xml:space="preserve">.</w:t>
      </w:r>
      <w:hyperlink w:anchor="Xfc9d39c88fea106b8f8196661b1ef49cb12ae18">
        <w:r>
          <w:rPr>
            <w:rStyle w:val="Hyperlink"/>
            <w:vertAlign w:val="superscript"/>
          </w:rPr>
          <w:t xml:space="preserve">24</w:t>
        </w:r>
      </w:hyperlink>
      <w:r>
        <w:t xml:space="preserve"> </w:t>
      </w:r>
      <w:r>
        <w:t xml:space="preserve">The percentage of employees in grandfathered plans is steadily declining, having dropped from 56% in 2011 to 48% in 2012 to 36% in 2013. Kaiser Family Foundation &amp; Health Research &amp; Educ. Trust, Employer Benefits 2013 Annual Survey 7, 196. In short, far from ranking as a categorical exemption, the grandfathering provision is "temporary, intended to be a means for gradually transitioning employers into mandatory coverage."</w:t>
      </w:r>
      <w:r>
        <w:t xml:space="preserve"> </w:t>
      </w:r>
      <w:r>
        <w:rPr>
          <w:iCs/>
          <w:i/>
        </w:rPr>
        <w:t xml:space="preserve">Gilardi,</w:t>
      </w:r>
      <w:r>
        <w:t xml:space="preserve"> </w:t>
      </w:r>
      <w:r>
        <w:t xml:space="preserve">733 F.3d, at 1241</w:t>
      </w:r>
      <w:r>
        <w:t xml:space="preserve"> </w:t>
      </w:r>
      <w:r>
        <w:t xml:space="preserve">(Edwards, J., concurring in part and dissenting in part).</w:t>
      </w:r>
    </w:p>
    <w:p>
      <w:pPr>
        <w:pStyle w:val="CaseBody"/>
      </w:pPr>
      <w:r>
        <w:t xml:space="preserve">The Court ultimately acknowledges a critical point: RFRA's application "</w:t>
      </w:r>
      <w:r>
        <w:t xml:space="preserve"> </w:t>
      </w:r>
      <w:r>
        <w:rPr>
          <w:iCs/>
          <w:i/>
        </w:rPr>
        <w:t xml:space="preserve">must</w:t>
      </w:r>
      <w:r>
        <w:t xml:space="preserve"> </w:t>
      </w:r>
      <w:r>
        <w:t xml:space="preserve">take adequate account of the burdens a requested accommodation may impose on nonbeneficiaries."</w:t>
      </w:r>
      <w:r>
        <w:t xml:space="preserve"> </w:t>
      </w:r>
      <w:r>
        <w:rPr>
          <w:iCs/>
          <w:i/>
        </w:rPr>
        <w:t xml:space="preserve">Ante,</w:t>
      </w:r>
      <w:r>
        <w:t xml:space="preserve"> </w:t>
      </w:r>
      <w:r>
        <w:t xml:space="preserve">at 2781, n. 37 (quoting</w:t>
      </w:r>
      <w:r>
        <w:t xml:space="preserve"> </w:t>
      </w:r>
      <w:r>
        <w:rPr>
          <w:iCs/>
          <w:i/>
        </w:rPr>
        <w:t xml:space="preserve">Cutter v. Wilkinson,</w:t>
      </w:r>
      <w:r>
        <w:t xml:space="preserve"> </w:t>
      </w:r>
      <w:r>
        <w:t xml:space="preserve">544 U.S. 709</w:t>
      </w:r>
      <w:r>
        <w:t xml:space="preserve">, 720,</w:t>
      </w:r>
      <w:r>
        <w:t xml:space="preserve"> </w:t>
      </w:r>
      <w:r>
        <w:t xml:space="preserve">125 S.Ct. 2113</w:t>
      </w:r>
      <w:r>
        <w:t xml:space="preserve">,</w:t>
      </w:r>
      <w:r>
        <w:t xml:space="preserve"> </w:t>
      </w:r>
      <w:r>
        <w:t xml:space="preserve">161 L.Ed.2d 1020</w:t>
      </w:r>
      <w:r>
        <w:t xml:space="preserve"> </w:t>
      </w:r>
      <w:r>
        <w:t xml:space="preserve">(2005); emphasis added). No tradition, and no prior decision under RFRA, allows a religion-based exemption when the accommodation would be harmful to others-here, the very persons the contraceptive coverage requirement was designed to protect. Cf.</w:t>
      </w:r>
      <w:r>
        <w:t xml:space="preserve"> </w:t>
      </w:r>
      <w:r>
        <w:rPr>
          <w:iCs/>
          <w:i/>
        </w:rPr>
        <w:t xml:space="preserve">supra,</w:t>
      </w:r>
      <w:r>
        <w:t xml:space="preserve"> </w:t>
      </w:r>
      <w:r>
        <w:t xml:space="preserve">at 2790 - 2791;</w:t>
      </w:r>
      <w:r>
        <w:t xml:space="preserve"> </w:t>
      </w:r>
      <w:r>
        <w:rPr>
          <w:iCs/>
          <w:i/>
        </w:rPr>
        <w:t xml:space="preserve">Prince v. Massachusetts,</w:t>
      </w:r>
      <w:r>
        <w:t xml:space="preserve"> </w:t>
      </w:r>
      <w:r>
        <w:t xml:space="preserve">321 U.S. 158</w:t>
      </w:r>
      <w:r>
        <w:t xml:space="preserve">, 177,</w:t>
      </w:r>
      <w:r>
        <w:t xml:space="preserve"> </w:t>
      </w:r>
      <w:r>
        <w:t xml:space="preserve">64 S.Ct. 438</w:t>
      </w:r>
      <w:r>
        <w:t xml:space="preserve">,</w:t>
      </w:r>
      <w:r>
        <w:t xml:space="preserve"> </w:t>
      </w:r>
      <w:r>
        <w:t xml:space="preserve">88 L.Ed. 645</w:t>
      </w:r>
      <w:r>
        <w:t xml:space="preserve"> </w:t>
      </w:r>
      <w:r>
        <w:t xml:space="preserve">(1944) (Jackson, J., dissenting) ("[The] limitations which of necessity bound religious freedom ... begin to operate whenever activities begin to affect or collide with liberties of others or of the public.").</w:t>
      </w:r>
    </w:p>
    <w:p>
      <w:pPr>
        <w:pStyle w:val="CaseBody"/>
      </w:pPr>
      <w:r>
        <w:rPr>
          <w:bCs/>
          <w:b/>
        </w:rPr>
        <w:t xml:space="preserve">4</w:t>
      </w:r>
    </w:p>
    <w:p>
      <w:pPr>
        <w:pStyle w:val="CaseBody"/>
      </w:pPr>
      <w:r>
        <w:t xml:space="preserve">After assuming the existence of compelling government interests, the Court holds that the contraceptive coverage requirement fails to satisfy RFRA's least restrictive means test. But the Government has shown that there is no less restrictive, equally effective means that would both (1) satisfy the challengers' religious objections to providing insurance coverage for certain contraceptives (which they believe cause abortions); and (2) carry out the objective of the ACA's contraceptive coverage requirement, to ensure that women employees receive, at no cost to them, the preventive care needed to safeguard their health and well being. A "least restrictive means" cannot require employees to relinquish benefits accorded them by federal law in order to ensure that their commercial employers can adhere unreservedly to their religious tenets. See</w:t>
      </w:r>
      <w:r>
        <w:t xml:space="preserve"> </w:t>
      </w:r>
      <w:r>
        <w:rPr>
          <w:iCs/>
          <w:i/>
        </w:rPr>
        <w:t xml:space="preserve">supra,</w:t>
      </w:r>
      <w:r>
        <w:t xml:space="preserve"> </w:t>
      </w:r>
      <w:r>
        <w:t xml:space="preserve">at 2790 - 2791, 2801.</w:t>
      </w:r>
      <w:hyperlink w:anchor="Xab955a1995fdf022dc3cfdaf0b1716512a613e4">
        <w:r>
          <w:rPr>
            <w:rStyle w:val="Hyperlink"/>
            <w:vertAlign w:val="superscript"/>
          </w:rPr>
          <w:t xml:space="preserve">25</w:t>
        </w:r>
      </w:hyperlink>
    </w:p>
    <w:p>
      <w:pPr>
        <w:pStyle w:val="CaseBody"/>
      </w:pPr>
      <w:r>
        <w:t xml:space="preserve">Then let the government pay (rather than the employees who do not share their employer's faith), the Court suggests. "The most straightforward [alternative]," the Court asserts, "would be for the Government to assume the cost of providing ... contraceptives ... to any women who are unable to obtain them under their health-insurance policies due to their employers' religious objections."</w:t>
      </w:r>
      <w:r>
        <w:t xml:space="preserve"> </w:t>
      </w:r>
      <w:r>
        <w:rPr>
          <w:iCs/>
          <w:i/>
        </w:rPr>
        <w:t xml:space="preserve">Ante,</w:t>
      </w:r>
      <w:r>
        <w:t xml:space="preserve"> </w:t>
      </w:r>
      <w:r>
        <w:t xml:space="preserve">at 2780. The ACA, however, requires coverage of preventive services through the existing employer-based system of health insurance "so that [employees] face minimal logistical and administrative obstacles." 78 Fed.Reg. 39888. Impeding women's receipt of benefits "by requiring them to take steps to learn about, and to sign up for, a new [government funded and administered] health benefit" was scarcely what Congress contemplated.</w:t>
      </w:r>
      <w:r>
        <w:t xml:space="preserve"> </w:t>
      </w:r>
      <w:r>
        <w:rPr>
          <w:iCs/>
          <w:i/>
        </w:rPr>
        <w:t xml:space="preserve">Ibid.</w:t>
      </w:r>
      <w:r>
        <w:t xml:space="preserve"> </w:t>
      </w:r>
      <w:r>
        <w:t xml:space="preserve">Moreover, Title X of the Public Health Service Act,</w:t>
      </w:r>
      <w:r>
        <w:t xml:space="preserve"> </w:t>
      </w:r>
      <w:r>
        <w:t xml:space="preserve">42 U.S.C. § 300</w:t>
      </w:r>
      <w:r>
        <w:t xml:space="preserve"> </w:t>
      </w:r>
      <w:r>
        <w:rPr>
          <w:iCs/>
          <w:i/>
        </w:rPr>
        <w:t xml:space="preserve">et seq.,</w:t>
      </w:r>
      <w:r>
        <w:t xml:space="preserve"> </w:t>
      </w:r>
      <w:r>
        <w:t xml:space="preserve">"is the nation's only dedicated source of federal funding for safety net family planning services." Brief for National Health Law Program et al. as</w:t>
      </w:r>
      <w:r>
        <w:t xml:space="preserve"> </w:t>
      </w:r>
      <w:r>
        <w:rPr>
          <w:iCs/>
          <w:i/>
        </w:rPr>
        <w:t xml:space="preserve">Amici Curiae</w:t>
      </w:r>
      <w:r>
        <w:t xml:space="preserve"> </w:t>
      </w:r>
      <w:r>
        <w:t xml:space="preserve">23. "Safety net programs like Title X are not designed to absorb the unmet needs of ... insured individuals."</w:t>
      </w:r>
      <w:r>
        <w:t xml:space="preserve"> </w:t>
      </w:r>
      <w:r>
        <w:rPr>
          <w:iCs/>
          <w:i/>
        </w:rPr>
        <w:t xml:space="preserve">Id.,</w:t>
      </w:r>
      <w:r>
        <w:t xml:space="preserve"> </w:t>
      </w:r>
      <w:r>
        <w:t xml:space="preserve">at 24</w:t>
      </w:r>
      <w:r>
        <w:t xml:space="preserve">. Note, too, that Congress declined to write into law the preferential treatment Hobby Lobby and Conestoga describe as a less restrictive alternative. See</w:t>
      </w:r>
      <w:r>
        <w:t xml:space="preserve"> </w:t>
      </w:r>
      <w:r>
        <w:rPr>
          <w:iCs/>
          <w:i/>
        </w:rPr>
        <w:t xml:space="preserve">supra,</w:t>
      </w:r>
      <w:r>
        <w:t xml:space="preserve"> </w:t>
      </w:r>
      <w:r>
        <w:t xml:space="preserve">at 2789.</w:t>
      </w:r>
    </w:p>
    <w:p>
      <w:pPr>
        <w:pStyle w:val="CaseBody"/>
      </w:pPr>
      <w:r>
        <w:t xml:space="preserve">And where is the stopping point to the "let the government pay" alternative? Suppose an employer's sincerely held religious belief is offended by health coverage of vaccines, or paying the minimum wage, see</w:t>
      </w:r>
      <w:r>
        <w:t xml:space="preserve"> </w:t>
      </w:r>
      <w:r>
        <w:rPr>
          <w:iCs/>
          <w:i/>
        </w:rPr>
        <w:t xml:space="preserve">Tony and Susan Alamo Foundation v. Secretary of Labor,</w:t>
      </w:r>
      <w:r>
        <w:t xml:space="preserve"> </w:t>
      </w:r>
      <w:r>
        <w:t xml:space="preserve">471 U.S. 290</w:t>
      </w:r>
      <w:r>
        <w:t xml:space="preserve">, 303,</w:t>
      </w:r>
      <w:r>
        <w:t xml:space="preserve"> </w:t>
      </w:r>
      <w:r>
        <w:t xml:space="preserve">105 S.Ct. 1953</w:t>
      </w:r>
      <w:r>
        <w:t xml:space="preserve">,</w:t>
      </w:r>
      <w:r>
        <w:t xml:space="preserve"> </w:t>
      </w:r>
      <w:r>
        <w:t xml:space="preserve">85 L.Ed.2d 278</w:t>
      </w:r>
      <w:r>
        <w:t xml:space="preserve"> </w:t>
      </w:r>
      <w:r>
        <w:t xml:space="preserve">(1985), or according women equal pay for substantially similar work, see</w:t>
      </w:r>
      <w:r>
        <w:t xml:space="preserve"> </w:t>
      </w:r>
      <w:r>
        <w:rPr>
          <w:iCs/>
          <w:i/>
        </w:rPr>
        <w:t xml:space="preserve">Dole v. Shenandoah Baptist Church,</w:t>
      </w:r>
      <w:r>
        <w:t xml:space="preserve"> </w:t>
      </w:r>
      <w:r>
        <w:t xml:space="preserve">899 F.2d 1389</w:t>
      </w:r>
      <w:r>
        <w:t xml:space="preserve">, 1392 (C.A.4 1990)? Does it rank as a less restrictive alternative to require the government to provide the money or benefit to which the employer has a religion-based objection?</w:t>
      </w:r>
      <w:r>
        <w:t xml:space="preserve"> </w:t>
      </w:r>
      <w:hyperlink w:anchor="Xa58d0c6b5448cbd9825c606b430dea0791e23f7">
        <w:r>
          <w:rPr>
            <w:rStyle w:val="Hyperlink"/>
            <w:vertAlign w:val="superscript"/>
          </w:rPr>
          <w:t xml:space="preserve">26</w:t>
        </w:r>
      </w:hyperlink>
      <w:r>
        <w:t xml:space="preserve"> </w:t>
      </w:r>
      <w:r>
        <w:t xml:space="preserve">Because the Court cannot easily answer that question, it proposes something else: Extension to commercial enterprises of the accommodation already afforded to nonprofit religion-based organizations. See</w:t>
      </w:r>
      <w:r>
        <w:t xml:space="preserve"> </w:t>
      </w:r>
      <w:r>
        <w:rPr>
          <w:iCs/>
          <w:i/>
        </w:rPr>
        <w:t xml:space="preserve">ante,</w:t>
      </w:r>
      <w:r>
        <w:t xml:space="preserve"> </w:t>
      </w:r>
      <w:r>
        <w:t xml:space="preserve">at 2759 - 2760, 2763 - 2764, 2781 - 2783. "At a minimum," according to the Court, such an approach would not "impinge on [Hobby Lobby's and Conestoga's] religious belief."</w:t>
      </w:r>
      <w:r>
        <w:t xml:space="preserve"> </w:t>
      </w:r>
      <w:r>
        <w:rPr>
          <w:iCs/>
          <w:i/>
        </w:rPr>
        <w:t xml:space="preserve">Ante,</w:t>
      </w:r>
      <w:r>
        <w:t xml:space="preserve"> </w:t>
      </w:r>
      <w:r>
        <w:t xml:space="preserve">at 2782. I have already discussed the "special solicitude"</w:t>
      </w:r>
    </w:p>
    <w:p>
      <w:pPr>
        <w:pStyle w:val="CaseBody"/>
      </w:pPr>
      <w:r>
        <w:t xml:space="preserve">generally accorded nonprofit religion-based organizations that exist to serve a community of believers, solicitude never before accorded to commercial enterprises comprising employees of diverse faiths. See</w:t>
      </w:r>
      <w:r>
        <w:t xml:space="preserve"> </w:t>
      </w:r>
      <w:r>
        <w:rPr>
          <w:iCs/>
          <w:i/>
        </w:rPr>
        <w:t xml:space="preserve">supra,</w:t>
      </w:r>
      <w:r>
        <w:t xml:space="preserve"> </w:t>
      </w:r>
      <w:r>
        <w:t xml:space="preserve">at 2794 - 2796.</w:t>
      </w:r>
    </w:p>
    <w:p>
      <w:pPr>
        <w:pStyle w:val="CaseBody"/>
      </w:pPr>
      <w:r>
        <w:t xml:space="preserve">Ultimately, the Court hedges on its proposal to align for-profit enterprises with nonprofit religion-based organizations. "We do not decide today whether [the] approach [the opinion advances] complies with RFRA for purposes of all religious claims."</w:t>
      </w:r>
      <w:r>
        <w:t xml:space="preserve"> </w:t>
      </w:r>
      <w:r>
        <w:rPr>
          <w:iCs/>
          <w:i/>
        </w:rPr>
        <w:t xml:space="preserve">Ante,</w:t>
      </w:r>
      <w:r>
        <w:t xml:space="preserve"> </w:t>
      </w:r>
      <w:r>
        <w:t xml:space="preserve">at 2782. Counsel for Hobby Lobby was similarly noncommittal. Asked at oral argument whether the Court-proposed alternative was acceptable,</w:t>
      </w:r>
      <w:hyperlink w:anchor="X081dc764a904830855e661420a570c33db8b4f0">
        <w:r>
          <w:rPr>
            <w:rStyle w:val="Hyperlink"/>
            <w:vertAlign w:val="superscript"/>
          </w:rPr>
          <w:t xml:space="preserve">27</w:t>
        </w:r>
      </w:hyperlink>
      <w:r>
        <w:t xml:space="preserve"> </w:t>
      </w:r>
      <w:r>
        <w:t xml:space="preserve">counsel responded: "We haven't been offered that accommodation, so we haven't had to decide what kind of objection, if any, we would make to that." Tr. of Oral Arg. 86-87.</w:t>
      </w:r>
    </w:p>
    <w:p>
      <w:pPr>
        <w:pStyle w:val="CaseBody"/>
      </w:pPr>
      <w:r>
        <w:t xml:space="preserve">Conestoga suggests that, if its employees had to acquire and pay for the contraceptives (to which the corporation objects) on their own, a tax credit would qualify as a less restrictive alternative. See Brief for Petitioners in No. 13-356, p. 64. A tax credit, of course, is one variety of "let the government pay." In addition to departing from the existing employer-based system of health insurance, Conestoga's alternative would require a woman to reach into her own pocket in the first instance, and it would do nothing for the woman too poor to be aided by a tax credit.</w:t>
      </w:r>
    </w:p>
    <w:p>
      <w:pPr>
        <w:pStyle w:val="CaseBody"/>
      </w:pPr>
      <w:r>
        <w:t xml:space="preserve">In sum, in view of what Congress sought to accomplish,</w:t>
      </w:r>
      <w:r>
        <w:t xml:space="preserve"> </w:t>
      </w:r>
      <w:r>
        <w:rPr>
          <w:iCs/>
          <w:i/>
        </w:rPr>
        <w:t xml:space="preserve">i.e.,</w:t>
      </w:r>
      <w:r>
        <w:t xml:space="preserve"> </w:t>
      </w:r>
      <w:r>
        <w:t xml:space="preserve">comprehensive preventive care for women furnished through employer-based health plans, none of the proffered alternatives would satisfactorily serve the compelling interests to which Congress responded.</w:t>
      </w:r>
    </w:p>
    <w:p>
      <w:pPr>
        <w:pStyle w:val="CaseBody"/>
      </w:pPr>
      <w:r>
        <w:rPr>
          <w:bCs/>
          <w:b/>
        </w:rPr>
        <w:t xml:space="preserve">IV</w:t>
      </w:r>
    </w:p>
    <w:p>
      <w:pPr>
        <w:pStyle w:val="CaseBody"/>
      </w:pPr>
      <w:r>
        <w:t xml:space="preserve">Among the pathmarking pre-</w:t>
      </w:r>
      <w:r>
        <w:t xml:space="preserve"> </w:t>
      </w:r>
      <w:r>
        <w:rPr>
          <w:iCs/>
          <w:i/>
        </w:rPr>
        <w:t xml:space="preserve">Smith</w:t>
      </w:r>
      <w:r>
        <w:t xml:space="preserve"> </w:t>
      </w:r>
      <w:r>
        <w:t xml:space="preserve">decisions RFRA preserved is</w:t>
      </w:r>
      <w:r>
        <w:t xml:space="preserve"> </w:t>
      </w:r>
      <w:r>
        <w:rPr>
          <w:iCs/>
          <w:i/>
        </w:rPr>
        <w:t xml:space="preserve">United States v. Lee,</w:t>
      </w:r>
      <w:r>
        <w:t xml:space="preserve"> </w:t>
      </w:r>
      <w:r>
        <w:t xml:space="preserve">455 U.S. 252</w:t>
      </w:r>
      <w:r>
        <w:t xml:space="preserve">,</w:t>
      </w:r>
      <w:r>
        <w:t xml:space="preserve"> </w:t>
      </w:r>
      <w:r>
        <w:t xml:space="preserve">102 S.Ct. 1051</w:t>
      </w:r>
      <w:r>
        <w:t xml:space="preserve">,</w:t>
      </w:r>
      <w:r>
        <w:t xml:space="preserve"> </w:t>
      </w:r>
      <w:r>
        <w:t xml:space="preserve">71 L.Ed.2d 127</w:t>
      </w:r>
      <w:r>
        <w:t xml:space="preserve"> </w:t>
      </w:r>
      <w:r>
        <w:t xml:space="preserve">(1982). Lee, a sole proprietor engaged in farming and carpentry, was a member of the Old Order Amish. He sincerely believed that withholding Social Security taxes from his employees or paying the employer's share of such taxes would violate the Amish faith. This Court held that, although the obligations imposed by the Social Security system conflicted with Lee's religious beliefs, the burden was not unconstitutional.</w:t>
      </w:r>
      <w:r>
        <w:t xml:space="preserve"> </w:t>
      </w:r>
      <w:r>
        <w:rPr>
          <w:iCs/>
          <w:i/>
        </w:rPr>
        <w:t xml:space="preserve">Id.,</w:t>
      </w:r>
      <w:r>
        <w:t xml:space="preserve"> </w:t>
      </w:r>
      <w:r>
        <w:t xml:space="preserve">at 260-261</w:t>
      </w:r>
      <w:r>
        <w:t xml:space="preserve">,</w:t>
      </w:r>
      <w:r>
        <w:t xml:space="preserve"> </w:t>
      </w:r>
      <w:r>
        <w:t xml:space="preserve">102 S.Ct. 1051</w:t>
      </w:r>
      <w:r>
        <w:t xml:space="preserve">. See also</w:t>
      </w:r>
      <w:r>
        <w:t xml:space="preserve"> </w:t>
      </w:r>
      <w:r>
        <w:rPr>
          <w:iCs/>
          <w:i/>
        </w:rPr>
        <w:t xml:space="preserve">id.,</w:t>
      </w:r>
      <w:r>
        <w:t xml:space="preserve"> </w:t>
      </w:r>
      <w:r>
        <w:t xml:space="preserve">at 258</w:t>
      </w:r>
      <w:r>
        <w:t xml:space="preserve">,</w:t>
      </w:r>
      <w:r>
        <w:t xml:space="preserve"> </w:t>
      </w:r>
      <w:r>
        <w:t xml:space="preserve">102 S.Ct. 1051</w:t>
      </w:r>
      <w:r>
        <w:t xml:space="preserve"> </w:t>
      </w:r>
      <w:r>
        <w:t xml:space="preserve">(recognizing the important governmental interest in providing a "nationwide ... comprehensive insurance system with a variety of benefits available to all participants, with costs shared by employers and employees").</w:t>
      </w:r>
      <w:hyperlink w:anchor="X66c015fab789b2896bc8508e4fa026db54f07dd">
        <w:r>
          <w:rPr>
            <w:rStyle w:val="Hyperlink"/>
            <w:vertAlign w:val="superscript"/>
          </w:rPr>
          <w:t xml:space="preserve">28</w:t>
        </w:r>
      </w:hyperlink>
      <w:r>
        <w:t xml:space="preserve"> </w:t>
      </w:r>
      <w:r>
        <w:t xml:space="preserve">The Government urges that</w:t>
      </w:r>
      <w:r>
        <w:t xml:space="preserve"> </w:t>
      </w:r>
      <w:r>
        <w:rPr>
          <w:iCs/>
          <w:i/>
        </w:rPr>
        <w:t xml:space="preserve">Lee</w:t>
      </w:r>
      <w:r>
        <w:t xml:space="preserve"> </w:t>
      </w:r>
      <w:r>
        <w:t xml:space="preserve">should control the challenges brought by Hobby Lobby and Conestoga. See Brief for Respondents in No. 13-356, p. 18. In contrast, today's Court dismisses</w:t>
      </w:r>
      <w:r>
        <w:t xml:space="preserve"> </w:t>
      </w:r>
      <w:r>
        <w:rPr>
          <w:iCs/>
          <w:i/>
        </w:rPr>
        <w:t xml:space="preserve">Lee</w:t>
      </w:r>
      <w:r>
        <w:t xml:space="preserve"> </w:t>
      </w:r>
      <w:r>
        <w:t xml:space="preserve">as a tax case. See</w:t>
      </w:r>
      <w:r>
        <w:t xml:space="preserve"> </w:t>
      </w:r>
      <w:r>
        <w:rPr>
          <w:iCs/>
          <w:i/>
        </w:rPr>
        <w:t xml:space="preserve">ante,</w:t>
      </w:r>
      <w:r>
        <w:t xml:space="preserve"> </w:t>
      </w:r>
      <w:r>
        <w:t xml:space="preserve">at 2783 - 2784. Indeed, it was a tax case and the Court in</w:t>
      </w:r>
      <w:r>
        <w:t xml:space="preserve"> </w:t>
      </w:r>
      <w:r>
        <w:rPr>
          <w:iCs/>
          <w:i/>
        </w:rPr>
        <w:t xml:space="preserve">Lee</w:t>
      </w:r>
      <w:r>
        <w:t xml:space="preserve"> </w:t>
      </w:r>
      <w:r>
        <w:t xml:space="preserve">homed in on "[t]he difficulty in attempting to accommodate religious beliefs in the area of taxation."</w:t>
      </w:r>
      <w:r>
        <w:t xml:space="preserve"> </w:t>
      </w:r>
      <w:r>
        <w:t xml:space="preserve">455 U.S., at 259</w:t>
      </w:r>
      <w:r>
        <w:t xml:space="preserve">,</w:t>
      </w:r>
      <w:r>
        <w:t xml:space="preserve"> </w:t>
      </w:r>
      <w:r>
        <w:t xml:space="preserve">102 S.Ct. 1051</w:t>
      </w:r>
      <w:r>
        <w:t xml:space="preserve">.</w:t>
      </w:r>
    </w:p>
    <w:p>
      <w:pPr>
        <w:pStyle w:val="CaseBody"/>
      </w:pPr>
      <w:r>
        <w:t xml:space="preserve">But the</w:t>
      </w:r>
      <w:r>
        <w:t xml:space="preserve"> </w:t>
      </w:r>
      <w:r>
        <w:rPr>
          <w:iCs/>
          <w:i/>
        </w:rPr>
        <w:t xml:space="preserve">Lee</w:t>
      </w:r>
      <w:r>
        <w:t xml:space="preserve"> </w:t>
      </w:r>
      <w:r>
        <w:t xml:space="preserve">Court made two key points one cannot confine to tax cases. "When followers of a particular sect enter into commercial activity as a matter of choice," the Court observed, "the limits they accept on their own conduct as a matter of conscience and faith are not to be superimposed on statutory schemes which are binding on others in that activity."</w:t>
      </w:r>
      <w:r>
        <w:t xml:space="preserve"> </w:t>
      </w:r>
      <w:r>
        <w:rPr>
          <w:iCs/>
          <w:i/>
        </w:rPr>
        <w:t xml:space="preserve">Id.,</w:t>
      </w:r>
      <w:r>
        <w:t xml:space="preserve"> </w:t>
      </w:r>
      <w:r>
        <w:t xml:space="preserve">at 261</w:t>
      </w:r>
      <w:r>
        <w:t xml:space="preserve">,</w:t>
      </w:r>
      <w:r>
        <w:t xml:space="preserve"> </w:t>
      </w:r>
      <w:r>
        <w:t xml:space="preserve">102 S.Ct. 1051</w:t>
      </w:r>
      <w:r>
        <w:t xml:space="preserve">. The statutory scheme of employer-based comprehensive health coverage involved in these cases is surely binding on others engaged in the same trade or business as the corporate challengers here, Hobby Lobby and Conestoga. Further, the Court recognized in</w:t>
      </w:r>
      <w:r>
        <w:t xml:space="preserve"> </w:t>
      </w:r>
      <w:r>
        <w:rPr>
          <w:iCs/>
          <w:i/>
        </w:rPr>
        <w:t xml:space="preserve">Lee</w:t>
      </w:r>
      <w:r>
        <w:t xml:space="preserve"> </w:t>
      </w:r>
      <w:r>
        <w:t xml:space="preserve">that allowing a religion-based exemption to a commercial employer would "operat[e] to impose the employer's religious faith on the employees."</w:t>
      </w:r>
      <w:r>
        <w:t xml:space="preserve"> </w:t>
      </w:r>
      <w:r>
        <w:rPr>
          <w:iCs/>
          <w:i/>
        </w:rPr>
        <w:t xml:space="preserve">Ibid.</w:t>
      </w:r>
      <w:hyperlink w:anchor="Xf660da40606cdea6ab9f741d531b0dc0884c256">
        <w:r>
          <w:rPr>
            <w:rStyle w:val="Hyperlink"/>
            <w:vertAlign w:val="superscript"/>
          </w:rPr>
          <w:t xml:space="preserve">29</w:t>
        </w:r>
      </w:hyperlink>
      <w:r>
        <w:t xml:space="preserve"> </w:t>
      </w:r>
      <w:r>
        <w:t xml:space="preserve">No doubt the Greens and Hahns and all who share their beliefs may decline to acquire for themselves the contraceptives in question. But that choice may not be imposed on employees who hold other beliefs. Working for Hobby Lobby or Conestoga, in other words, should not deprive employees of the preventive care available to workers at the shop next door,</w:t>
      </w:r>
      <w:hyperlink w:anchor="X03074de69b31dafc0241bdbbeb8c0378d046ee9">
        <w:r>
          <w:rPr>
            <w:rStyle w:val="Hyperlink"/>
            <w:vertAlign w:val="superscript"/>
          </w:rPr>
          <w:t xml:space="preserve">30</w:t>
        </w:r>
      </w:hyperlink>
      <w:r>
        <w:t xml:space="preserve"> </w:t>
      </w:r>
      <w:r>
        <w:t xml:space="preserve">at least in the absence of directions from the Legislature or Administration to do so.</w:t>
      </w:r>
    </w:p>
    <w:p>
      <w:pPr>
        <w:pStyle w:val="CaseBody"/>
      </w:pPr>
      <w:r>
        <w:t xml:space="preserve">Why should decisions of this order be made by Congress or the regulatory authority, and not this Court? Hobby Lobby and Conestoga surely do not stand alone as commercial enterprises seeking exemptions from generally applicable laws on the basis of their religious beliefs. See,</w:t>
      </w:r>
      <w:r>
        <w:t xml:space="preserve"> </w:t>
      </w:r>
      <w:r>
        <w:rPr>
          <w:iCs/>
          <w:i/>
        </w:rPr>
        <w:t xml:space="preserve">e.g.,</w:t>
      </w:r>
      <w:r>
        <w:t xml:space="preserve"> </w:t>
      </w:r>
      <w:r>
        <w:rPr>
          <w:iCs/>
          <w:i/>
        </w:rPr>
        <w:t xml:space="preserve">Newman v. Piggie Park Enterprises, Inc.,</w:t>
      </w:r>
      <w:r>
        <w:t xml:space="preserve"> </w:t>
      </w:r>
      <w:r>
        <w:t xml:space="preserve">256 F.Supp. 941</w:t>
      </w:r>
      <w:r>
        <w:t xml:space="preserve">, 945 (D.S.C.1966) (owner of restaurant chain refused to serve black patrons based on his religious beliefs opposing racial integration), aff'd in relevant part and rev'd in part on other grounds,</w:t>
      </w:r>
      <w:r>
        <w:t xml:space="preserve"> </w:t>
      </w:r>
      <w:r>
        <w:t xml:space="preserve">377 F.2d 433</w:t>
      </w:r>
      <w:r>
        <w:t xml:space="preserve"> </w:t>
      </w:r>
      <w:r>
        <w:t xml:space="preserve">(C.A.4 1967), aff'd and modified on other grounds,</w:t>
      </w:r>
      <w:r>
        <w:t xml:space="preserve"> </w:t>
      </w:r>
      <w:r>
        <w:t xml:space="preserve">390 U.S. 400</w:t>
      </w:r>
      <w:r>
        <w:t xml:space="preserve">,</w:t>
      </w:r>
      <w:r>
        <w:t xml:space="preserve"> </w:t>
      </w:r>
      <w:r>
        <w:t xml:space="preserve">88 S.Ct. 964</w:t>
      </w:r>
      <w:r>
        <w:t xml:space="preserve">,</w:t>
      </w:r>
      <w:r>
        <w:t xml:space="preserve"> </w:t>
      </w:r>
      <w:r>
        <w:t xml:space="preserve">19 L.Ed.2d 1263</w:t>
      </w:r>
      <w:r>
        <w:t xml:space="preserve"> </w:t>
      </w:r>
      <w:r>
        <w:t xml:space="preserve">(1968);</w:t>
      </w:r>
      <w:r>
        <w:t xml:space="preserve"> </w:t>
      </w:r>
      <w:r>
        <w:rPr>
          <w:iCs/>
          <w:i/>
        </w:rPr>
        <w:t xml:space="preserve">In re Minnesota ex rel. McClure,</w:t>
      </w:r>
      <w:r>
        <w:t xml:space="preserve"> </w:t>
      </w:r>
      <w:r>
        <w:t xml:space="preserve">370 N.W.2d 844</w:t>
      </w:r>
      <w:r>
        <w:t xml:space="preserve">, 847 (Minn.1985) (born-again Christians who owned closely held, for-profit health clubs believed that the Bible proscribed hiring or retaining an "individua[l] living with but not married to a person of the opposite sex," "a young, single woman working without her father's consent or a married woman working without her husband's consent," and any person "antagonistic to the Bible," including "fornicators and homosexuals" (internal quotation marks omitted)), appeal dismissed,</w:t>
      </w:r>
      <w:r>
        <w:t xml:space="preserve"> </w:t>
      </w:r>
      <w:r>
        <w:t xml:space="preserve">478 U.S. 1015</w:t>
      </w:r>
      <w:r>
        <w:t xml:space="preserve">,</w:t>
      </w:r>
      <w:r>
        <w:t xml:space="preserve"> </w:t>
      </w:r>
      <w:r>
        <w:t xml:space="preserve">106 S.Ct. 3315</w:t>
      </w:r>
      <w:r>
        <w:t xml:space="preserve">,</w:t>
      </w:r>
      <w:r>
        <w:t xml:space="preserve"> </w:t>
      </w:r>
      <w:r>
        <w:t xml:space="preserve">92 L.Ed.2d 730</w:t>
      </w:r>
      <w:r>
        <w:t xml:space="preserve"> </w:t>
      </w:r>
      <w:r>
        <w:t xml:space="preserve">(1986);</w:t>
      </w:r>
      <w:r>
        <w:t xml:space="preserve"> </w:t>
      </w:r>
      <w:r>
        <w:rPr>
          <w:iCs/>
          <w:i/>
        </w:rPr>
        <w:t xml:space="preserve">Elane Photography, LLC v. Willock,</w:t>
      </w:r>
      <w:r>
        <w:t xml:space="preserve"> </w:t>
      </w:r>
      <w:r>
        <w:t xml:space="preserve">2013-NMSC-040</w:t>
      </w:r>
      <w:r>
        <w:t xml:space="preserve">, --- N.M. ----,</w:t>
      </w:r>
      <w:r>
        <w:t xml:space="preserve"> </w:t>
      </w:r>
      <w:r>
        <w:t xml:space="preserve">309 P.3d 53</w:t>
      </w:r>
      <w:r>
        <w:t xml:space="preserve"> </w:t>
      </w:r>
      <w:r>
        <w:t xml:space="preserve">(for-profit photography business owned by a husband and wife refused to photograph a lesbian couple's commitment ceremony based on the religious beliefs of the company's owners), cert. denied, 572 U.S. ----,</w:t>
      </w:r>
      <w:r>
        <w:t xml:space="preserve"> </w:t>
      </w:r>
      <w:r>
        <w:t xml:space="preserve">134 S.Ct. 1787</w:t>
      </w:r>
      <w:r>
        <w:t xml:space="preserve">,</w:t>
      </w:r>
      <w:r>
        <w:t xml:space="preserve"> </w:t>
      </w:r>
      <w:r>
        <w:t xml:space="preserve">188 L.Ed.2d 757</w:t>
      </w:r>
      <w:r>
        <w:t xml:space="preserve"> </w:t>
      </w:r>
      <w:r>
        <w:t xml:space="preserve">(2014). Would RFRA require exemptions in cases of this ilk? And if not, how does the Court divine which religious beliefs are worthy of accommodation, and which are not? Isn't the Court disarmed from making such a judgment given its recognition that "courts must not presume to determine ... the plausibility of a religious claim"?</w:t>
      </w:r>
      <w:r>
        <w:t xml:space="preserve"> </w:t>
      </w:r>
      <w:r>
        <w:rPr>
          <w:iCs/>
          <w:i/>
        </w:rPr>
        <w:t xml:space="preserve">Ante,</w:t>
      </w:r>
      <w:r>
        <w:t xml:space="preserve"> </w:t>
      </w:r>
      <w:r>
        <w:t xml:space="preserve">at 2778.</w:t>
      </w:r>
    </w:p>
    <w:p>
      <w:pPr>
        <w:pStyle w:val="CaseBody"/>
      </w:pPr>
      <w:r>
        <w:t xml:space="preserve">Would the exemption the Court holds RFRA demands for employers with religiously grounded objections to the use of certain contraceptives extend to employers with religiously grounded objections to blood transfusions (Jehovah's Witnesses); antidepressants (Scientologists); medications derived from pigs, including anesthesia, intravenous fluids, and pills coated with gelatin (certain Muslims, Jews, and Hindus); and vaccinations (Christian Scientists, among others)?</w:t>
      </w:r>
      <w:r>
        <w:t xml:space="preserve"> </w:t>
      </w:r>
      <w:hyperlink w:anchor="X807d37e5bba0585a3691d16ac6bae5f6d256ff4">
        <w:r>
          <w:rPr>
            <w:rStyle w:val="Hyperlink"/>
            <w:vertAlign w:val="superscript"/>
          </w:rPr>
          <w:t xml:space="preserve">31</w:t>
        </w:r>
      </w:hyperlink>
      <w:r>
        <w:t xml:space="preserve"> </w:t>
      </w:r>
      <w:r>
        <w:t xml:space="preserve">According to counsel for Hobby Lobby, "each one of these cases ... would have to be evaluated on its own ... apply [ing] the compelling interest-least restrictive alternative test." Tr. of Oral Arg. 6. Not much help there for the lower courts bound by today's decision.</w:t>
      </w:r>
    </w:p>
    <w:p>
      <w:pPr>
        <w:pStyle w:val="CaseBody"/>
      </w:pPr>
      <w:r>
        <w:t xml:space="preserve">The Court, however, sees nothing to worry about. Today's cases, the Court concludes, are "concerned solely with the contraceptive mandate. Our decision should not be understood to hold that an insurance-coverage mandate must necessarily fall if it conflicts with an employer's religious beliefs. Other coverage requirements, such as immunizations, may be supported by different interests (for example, the need to combat the spread of infectious diseases) and may involve different arguments about the least restrictive means of providing them."</w:t>
      </w:r>
      <w:r>
        <w:t xml:space="preserve"> </w:t>
      </w:r>
      <w:r>
        <w:rPr>
          <w:iCs/>
          <w:i/>
        </w:rPr>
        <w:t xml:space="preserve">Ante,</w:t>
      </w:r>
      <w:r>
        <w:t xml:space="preserve"> </w:t>
      </w:r>
      <w:r>
        <w:t xml:space="preserve">at 2783. But the Court has assumed, for RFRA purposes, that the interest in women's health and well being is compelling and has come up with no means adequate to serve that interest, the one motivating Congress to adopt the Women's Health Amendment.</w:t>
      </w:r>
    </w:p>
    <w:p>
      <w:pPr>
        <w:pStyle w:val="CaseBody"/>
      </w:pPr>
      <w:r>
        <w:t xml:space="preserve">There is an overriding interest, I believe, in keeping the courts "out of the business of evaluating the relative merits of differing religious claims,"</w:t>
      </w:r>
      <w:r>
        <w:t xml:space="preserve"> </w:t>
      </w:r>
      <w:r>
        <w:rPr>
          <w:iCs/>
          <w:i/>
        </w:rPr>
        <w:t xml:space="preserve">Lee,</w:t>
      </w:r>
      <w:r>
        <w:t xml:space="preserve"> </w:t>
      </w:r>
      <w:r>
        <w:t xml:space="preserve">455 U.S., at 263, n. 2</w:t>
      </w:r>
      <w:r>
        <w:t xml:space="preserve">,</w:t>
      </w:r>
      <w:r>
        <w:t xml:space="preserve"> </w:t>
      </w:r>
      <w:r>
        <w:t xml:space="preserve">102 S.Ct. 1051</w:t>
      </w:r>
      <w:r>
        <w:t xml:space="preserve"> </w:t>
      </w:r>
      <w:r>
        <w:t xml:space="preserve">(Stevens, J., concurring in judgment), or the sincerity with which an asserted religious belief is held. Indeed, approving some religious claims while deeming others unworthy of accommodation could be "perceived as favoring one religion over another," the very "risk the Establishment Clause was designed to preclude."</w:t>
      </w:r>
      <w:r>
        <w:t xml:space="preserve"> </w:t>
      </w:r>
      <w:r>
        <w:rPr>
          <w:iCs/>
          <w:i/>
        </w:rPr>
        <w:t xml:space="preserve">Ibid.</w:t>
      </w:r>
      <w:r>
        <w:t xml:space="preserve"> </w:t>
      </w:r>
      <w:r>
        <w:t xml:space="preserve">The Court, I fear, has ventured into a minefield, cf.</w:t>
      </w:r>
      <w:r>
        <w:t xml:space="preserve"> </w:t>
      </w:r>
      <w:r>
        <w:rPr>
          <w:iCs/>
          <w:i/>
        </w:rPr>
        <w:t xml:space="preserve">Spencer v. World Vision, Inc.,</w:t>
      </w:r>
      <w:r>
        <w:t xml:space="preserve"> </w:t>
      </w:r>
      <w:r>
        <w:t xml:space="preserve">633 F.3d 723</w:t>
      </w:r>
      <w:r>
        <w:t xml:space="preserve">, 730 (C.A.9 2010) (O'Scannlain, J., concurring), by its immoderate reading of RFRA. I would confine religious exemptions under that Act to organizations formed "for a religious purpose," "engage[d] primarily in carrying out that religious purpose," and not "engaged ...</w:t>
      </w:r>
    </w:p>
    <w:p>
      <w:pPr>
        <w:pStyle w:val="CaseBody"/>
      </w:pPr>
      <w:r>
        <w:t xml:space="preserve">substantially in the exchange of goods or services for money beyond nominal amounts." See</w:t>
      </w:r>
      <w:r>
        <w:t xml:space="preserve"> </w:t>
      </w:r>
      <w:r>
        <w:rPr>
          <w:iCs/>
          <w:i/>
        </w:rPr>
        <w:t xml:space="preserve">id.,</w:t>
      </w:r>
      <w:r>
        <w:t xml:space="preserve"> </w:t>
      </w:r>
      <w:r>
        <w:t xml:space="preserve">at 748</w:t>
      </w:r>
      <w:r>
        <w:t xml:space="preserve"> </w:t>
      </w:r>
      <w:r>
        <w:t xml:space="preserve">(Kleinfeld, J., concurring).</w:t>
      </w:r>
    </w:p>
    <w:p>
      <w:pPr>
        <w:pStyle w:val="CaseBody"/>
      </w:pPr>
      <w:r>
        <w:t xml:space="preserve">* * *</w:t>
      </w:r>
    </w:p>
    <w:p>
      <w:pPr>
        <w:pStyle w:val="CaseBody"/>
      </w:pPr>
      <w:r>
        <w:t xml:space="preserve">For the reasons stated, I would reverse the judgment of the Court of Appeals for the Tenth Circuit and affirm the judgment of the Court of Appeals for the Third Circuit.</w:t>
      </w:r>
    </w:p>
    <w:p>
      <w:pPr>
        <w:pStyle w:val="CaseBody"/>
      </w:pPr>
      <w:r>
        <w:rPr>
          <w:bCs/>
          <w:b/>
        </w:rPr>
        <w:t xml:space="preserve">Justice BREYER and Justice KAGAN, dissenting.</w:t>
      </w:r>
    </w:p>
    <w:p>
      <w:pPr>
        <w:pStyle w:val="CaseBody"/>
      </w:pPr>
      <w:r>
        <w:t xml:space="preserve">We agree with Justice GINSBURG that the plaintiffs' challenge to the contraceptive coverage requirement fails on the merits. We need not and do not decide whether either for-profit corporations or their owners may bring claims under the Religious Freedom Restoration Act of 1993. Accordingly, we join all but Part III-C-1 of Justice GINSBURG's dissenting opinion.</w:t>
      </w:r>
    </w:p>
    <w:p>
      <w:pPr>
        <w:pStyle w:val="CaseFootnoteText"/>
      </w:pPr>
      <w:r>
        <w:rPr>
          <w:rStyle w:val="FootnoteReference"/>
        </w:rPr>
        <w:t xml:space="preserve">1.</w:t>
      </w:r>
      <w:r>
        <w:t xml:space="preserve">See also</w:t>
      </w:r>
      <w:r>
        <w:t xml:space="preserve"> </w:t>
      </w:r>
      <w:r>
        <w:rPr>
          <w:iCs/>
          <w:i/>
        </w:rPr>
        <w:t xml:space="preserve">post,</w:t>
      </w:r>
      <w:r>
        <w:t xml:space="preserve"> </w:t>
      </w:r>
      <w:r>
        <w:t xml:space="preserve">at 2790 ("The exemption sought by Hobby Lobby and Conestoga ... would deny [their employees] access to contraceptive coverage that the ACA would otherwise secure")</w:t>
      </w:r>
    </w:p>
    <w:p>
      <w:pPr>
        <w:pStyle w:val="CaseFootnoteText"/>
      </w:pPr>
      <w:r>
        <w:rPr>
          <w:rStyle w:val="FootnoteReference"/>
        </w:rPr>
        <w:t xml:space="preserve">2.</w:t>
      </w:r>
      <w:r>
        <w:t xml:space="preserve">The Act defines "government" to include any "department" or "agency" of the United States. § 2000bb-2(1).</w:t>
      </w:r>
    </w:p>
    <w:p>
      <w:pPr>
        <w:pStyle w:val="CaseFootnoteText"/>
      </w:pPr>
      <w:r>
        <w:rPr>
          <w:rStyle w:val="FootnoteReference"/>
        </w:rPr>
        <w:t xml:space="preserve">3.</w:t>
      </w:r>
      <w:r>
        <w:t xml:space="preserve">In</w:t>
      </w:r>
      <w:r>
        <w:t xml:space="preserve"> </w:t>
      </w:r>
      <w:r>
        <w:rPr>
          <w:iCs/>
          <w:i/>
        </w:rPr>
        <w:t xml:space="preserve">City of Boerne v. Flores,</w:t>
      </w:r>
      <w:r>
        <w:t xml:space="preserve"> </w:t>
      </w:r>
      <w:r>
        <w:t xml:space="preserve">521 U.S., 507</w:t>
      </w:r>
      <w:r>
        <w:t xml:space="preserve">,</w:t>
      </w:r>
      <w:r>
        <w:t xml:space="preserve"> </w:t>
      </w:r>
      <w:r>
        <w:t xml:space="preserve">117 S.Ct. 2157</w:t>
      </w:r>
      <w:r>
        <w:t xml:space="preserve">,</w:t>
      </w:r>
      <w:r>
        <w:t xml:space="preserve"> </w:t>
      </w:r>
      <w:r>
        <w:t xml:space="preserve">138 L.Ed.2d 624</w:t>
      </w:r>
      <w:r>
        <w:t xml:space="preserve"> </w:t>
      </w:r>
      <w:r>
        <w:t xml:space="preserve">(1997), we wrote that RFRA's "least restrictive means requirement was not used in the pre-</w:t>
      </w:r>
      <w:r>
        <w:t xml:space="preserve"> </w:t>
      </w:r>
      <w:r>
        <w:rPr>
          <w:iCs/>
          <w:i/>
        </w:rPr>
        <w:t xml:space="preserve">Smith</w:t>
      </w:r>
      <w:r>
        <w:t xml:space="preserve"> </w:t>
      </w:r>
      <w:r>
        <w:t xml:space="preserve">jurisprudence RFRA purported to codify."</w:t>
      </w:r>
      <w:r>
        <w:t xml:space="preserve"> </w:t>
      </w:r>
      <w:r>
        <w:rPr>
          <w:iCs/>
          <w:i/>
        </w:rPr>
        <w:t xml:space="preserve">Id.,</w:t>
      </w:r>
      <w:r>
        <w:t xml:space="preserve"> </w:t>
      </w:r>
      <w:r>
        <w:t xml:space="preserve">at 509</w:t>
      </w:r>
      <w:r>
        <w:t xml:space="preserve">,</w:t>
      </w:r>
      <w:r>
        <w:t xml:space="preserve"> </w:t>
      </w:r>
      <w:r>
        <w:t xml:space="preserve">117 S.Ct. 2157</w:t>
      </w:r>
      <w:r>
        <w:t xml:space="preserve">. On this understanding of our pre-</w:t>
      </w:r>
      <w:r>
        <w:t xml:space="preserve"> </w:t>
      </w:r>
      <w:r>
        <w:rPr>
          <w:iCs/>
          <w:i/>
        </w:rPr>
        <w:t xml:space="preserve">Smith</w:t>
      </w:r>
      <w:r>
        <w:t xml:space="preserve"> </w:t>
      </w:r>
      <w:r>
        <w:t xml:space="preserve">cases, RFRA did more than merely restore the balancing test used in the</w:t>
      </w:r>
      <w:r>
        <w:t xml:space="preserve"> </w:t>
      </w:r>
      <w:r>
        <w:rPr>
          <w:iCs/>
          <w:i/>
        </w:rPr>
        <w:t xml:space="preserve">Sherbert</w:t>
      </w:r>
      <w:r>
        <w:t xml:space="preserve"> </w:t>
      </w:r>
      <w:r>
        <w:t xml:space="preserve">line of cases; it provided even broader protection for religious liberty than was available under those decisions.</w:t>
      </w:r>
    </w:p>
    <w:p>
      <w:pPr>
        <w:pStyle w:val="CaseFootnoteText"/>
      </w:pPr>
      <w:r>
        <w:rPr>
          <w:rStyle w:val="FootnoteReference"/>
        </w:rPr>
        <w:t xml:space="preserve">4.</w:t>
      </w:r>
      <w:r>
        <w:t xml:space="preserve">See,</w:t>
      </w:r>
      <w:r>
        <w:t xml:space="preserve"> </w:t>
      </w:r>
      <w:r>
        <w:rPr>
          <w:iCs/>
          <w:i/>
        </w:rPr>
        <w:t xml:space="preserve">e.g.,Hankins v. Lyght,</w:t>
      </w:r>
      <w:r>
        <w:t xml:space="preserve"> </w:t>
      </w:r>
      <w:r>
        <w:t xml:space="preserve">441 F.3d 96</w:t>
      </w:r>
      <w:r>
        <w:t xml:space="preserve">, 108 (C.A.2 2006);</w:t>
      </w:r>
      <w:r>
        <w:t xml:space="preserve"> </w:t>
      </w:r>
      <w:r>
        <w:rPr>
          <w:iCs/>
          <w:i/>
        </w:rPr>
        <w:t xml:space="preserve">Guam v. Guerrero,</w:t>
      </w:r>
      <w:r>
        <w:t xml:space="preserve"> </w:t>
      </w:r>
      <w:r>
        <w:t xml:space="preserve">290 F.3d 1210</w:t>
      </w:r>
      <w:r>
        <w:t xml:space="preserve">, 1220 (C.A.9 2002).</w:t>
      </w:r>
    </w:p>
    <w:p>
      <w:pPr>
        <w:pStyle w:val="CaseFootnoteText"/>
      </w:pPr>
      <w:r>
        <w:rPr>
          <w:rStyle w:val="FootnoteReference"/>
        </w:rPr>
        <w:t xml:space="preserve">5.</w:t>
      </w:r>
      <w:r>
        <w:t xml:space="preserve">The principal dissent appears to contend that this rule of construction should apply only when defining the "exercise of religion" in an RLUIPA case, but not in a RFRA case. See</w:t>
      </w:r>
      <w:r>
        <w:t xml:space="preserve"> </w:t>
      </w:r>
      <w:r>
        <w:rPr>
          <w:iCs/>
          <w:i/>
        </w:rPr>
        <w:t xml:space="preserve">post,</w:t>
      </w:r>
      <w:r>
        <w:t xml:space="preserve"> </w:t>
      </w:r>
      <w:r>
        <w:t xml:space="preserve">at 2792, n. 10. That argument is plainly wrong. Under this rule of construction, the phrase "exercise of religion," as it appears in RLUIPA, must be interpreted broadly, and RFRA states that the same phrase, as used in RFRA, means "religious exercis[e] as defined in [RLUIPA]." 42 U.S.C. § 2000bb-2(4). It necessarily follows that the "exercise of religion" under RFRA must be given the same broad meaning that applies under RLUIPA.</w:t>
      </w:r>
    </w:p>
    <w:p>
      <w:pPr>
        <w:pStyle w:val="CaseFootnoteText"/>
      </w:pPr>
      <w:r>
        <w:rPr>
          <w:rStyle w:val="FootnoteReference"/>
        </w:rPr>
        <w:t xml:space="preserve">6.</w:t>
      </w:r>
      <w:r>
        <w:t xml:space="preserve">We will use "Brief for HHS" to refer to the Brief for Petitioners in No. 13-354 and the Brief for Respondents in No. 13-356. The federal parties are the Departments of HHS, Treasury, and Labor, and the Secretaries of those Departments.</w:t>
      </w:r>
    </w:p>
    <w:p>
      <w:pPr>
        <w:pStyle w:val="CaseFootnoteText"/>
      </w:pPr>
      <w:r>
        <w:rPr>
          <w:rStyle w:val="FootnoteReference"/>
        </w:rPr>
        <w:t xml:space="preserve">7.</w:t>
      </w:r>
      <w:r>
        <w:t xml:space="preserve">Online at http:// www. fda. gov/ forconsumers/ byaudience/ forwomen/ free publications/ ucm 313215. htm. The owners of the companies involved in these cases and others who believe that life begins at conception regard these four methods as causing abortions, but federal regulations, which define pregnancy as beginning at implantation, see,</w:t>
      </w:r>
      <w:r>
        <w:t xml:space="preserve"> </w:t>
      </w:r>
      <w:r>
        <w:rPr>
          <w:iCs/>
          <w:i/>
        </w:rPr>
        <w:t xml:space="preserve">e.g</w:t>
      </w:r>
      <w:r>
        <w:t xml:space="preserve">., 62 Fed.Reg. 8611 (1997);</w:t>
      </w:r>
      <w:r>
        <w:t xml:space="preserve"> </w:t>
      </w:r>
      <w:r>
        <w:t xml:space="preserve">45 CFR § 46.202</w:t>
      </w:r>
      <w:r>
        <w:t xml:space="preserve">(f) (2013), do not so classify them.</w:t>
      </w:r>
    </w:p>
    <w:p>
      <w:pPr>
        <w:pStyle w:val="CaseFootnoteText"/>
      </w:pPr>
      <w:r>
        <w:rPr>
          <w:rStyle w:val="FootnoteReference"/>
        </w:rPr>
        <w:t xml:space="preserve">8.</w:t>
      </w:r>
      <w:r>
        <w:t xml:space="preserve">In the case of self-insured religious organizations entitled to the accommodation, the third-party administrator of the organization must "provide or arrange payments for contraceptive services" for the organization's employees without imposing any cost-sharing requirements on the eligible organization, its insurance plan, or its employee beneficiaries. 78 Fed.Reg. 39893 (to be codified in</w:t>
      </w:r>
      <w:r>
        <w:t xml:space="preserve"> </w:t>
      </w:r>
      <w:r>
        <w:t xml:space="preserve">26 CFR § 54.9815</w:t>
      </w:r>
      <w:r>
        <w:t xml:space="preserve">-2713A(b)(2)). The regulations establish a mechanism for these third-party administrators to be compensated for their expenses by obtaining a reduction in the fee paid by insurers to participate in the federally facilitated exchanges. See 78 Fed.Reg. 39893 (to be codified in</w:t>
      </w:r>
      <w:r>
        <w:t xml:space="preserve"> </w:t>
      </w:r>
      <w:r>
        <w:t xml:space="preserve">26 CFR § 54.9815</w:t>
      </w:r>
      <w:r>
        <w:t xml:space="preserve">-2713A (b)(3)). HHS believes that these fee reductions will not materially affect funding of the exchanges because "payments for contraceptive services will represent only a small portion of total [exchange] user fees." 78 Fed.Reg. 39882.</w:t>
      </w:r>
    </w:p>
    <w:p>
      <w:pPr>
        <w:pStyle w:val="CaseFootnoteText"/>
      </w:pPr>
      <w:r>
        <w:rPr>
          <w:rStyle w:val="FootnoteReference"/>
        </w:rPr>
        <w:t xml:space="preserve">9.</w:t>
      </w:r>
      <w:r>
        <w:t xml:space="preserve">In a separate challenge to this framework for religious nonprofit organizations, the Court recently ordered that, pending appeal, the eligible organizations be permitted to opt out of the contraceptive mandate by providing written notification of their objections to the Secretary of HHS, rather than to their insurance issuers or third-party administrators. See</w:t>
      </w:r>
      <w:r>
        <w:t xml:space="preserve"> </w:t>
      </w:r>
      <w:r>
        <w:rPr>
          <w:iCs/>
          <w:i/>
        </w:rPr>
        <w:t xml:space="preserve">Little Sisters of the Poor v. Sebelius,</w:t>
      </w:r>
      <w:r>
        <w:t xml:space="preserve"> </w:t>
      </w:r>
      <w:r>
        <w:t xml:space="preserve">571 U.S. ----,</w:t>
      </w:r>
      <w:r>
        <w:t xml:space="preserve"> </w:t>
      </w:r>
      <w:r>
        <w:t xml:space="preserve">134 S.Ct. 1022</w:t>
      </w:r>
      <w:r>
        <w:t xml:space="preserve">,</w:t>
      </w:r>
      <w:r>
        <w:t xml:space="preserve"> </w:t>
      </w:r>
      <w:r>
        <w:t xml:space="preserve">187 L.Ed.2d 867</w:t>
      </w:r>
      <w:r>
        <w:t xml:space="preserve"> </w:t>
      </w:r>
      <w:r>
        <w:t xml:space="preserve">(2014).</w:t>
      </w:r>
    </w:p>
    <w:p>
      <w:pPr>
        <w:pStyle w:val="CaseFootnoteText"/>
      </w:pPr>
      <w:r>
        <w:rPr>
          <w:rStyle w:val="FootnoteReference"/>
        </w:rPr>
        <w:t xml:space="preserve">10.</w:t>
      </w:r>
      <w:r>
        <w:t xml:space="preserve">While the Government predicts that this number will decline over time, the total number of Americans working for employers to whom the contraceptive mandate does not apply is still substantial, and there is no legal requirement that grandfathered plans ever be phased out.</w:t>
      </w:r>
    </w:p>
    <w:p>
      <w:pPr>
        <w:pStyle w:val="CaseFootnoteText"/>
      </w:pPr>
      <w:r>
        <w:rPr>
          <w:rStyle w:val="FootnoteReference"/>
        </w:rPr>
        <w:t xml:space="preserve">11.</w:t>
      </w:r>
      <w:r>
        <w:t xml:space="preserve">Online at http:// www. whitehouse. gov/ files/ documents/ health_ reform_ for_ small_ businesses. pdf.</w:t>
      </w:r>
    </w:p>
    <w:p>
      <w:pPr>
        <w:pStyle w:val="CaseFootnoteText"/>
      </w:pPr>
      <w:r>
        <w:rPr>
          <w:rStyle w:val="FootnoteReference"/>
        </w:rPr>
        <w:t xml:space="preserve">12.</w:t>
      </w:r>
      <w:r>
        <w:t xml:space="preserve">Mennonite Church USA, Statement on Abortion, online at http:// www. mennoniteusa. org/ resource- center/ resources/ statements- and- resolutions/ statement- on- abortion/.</w:t>
      </w:r>
    </w:p>
    <w:p>
      <w:pPr>
        <w:pStyle w:val="CaseFootnoteText"/>
      </w:pPr>
      <w:r>
        <w:rPr>
          <w:rStyle w:val="FootnoteReference"/>
        </w:rPr>
        <w:t xml:space="preserve">13.</w:t>
      </w:r>
      <w:r>
        <w:t xml:space="preserve">The Hahns and Conestoga also claimed that the contraceptive mandate violates the Fifth Amendment and the Administrative Procedure Act,</w:t>
      </w:r>
      <w:r>
        <w:t xml:space="preserve"> </w:t>
      </w:r>
      <w:r>
        <w:t xml:space="preserve">5 U.S.C. § 553</w:t>
      </w:r>
      <w:r>
        <w:t xml:space="preserve">, but those claims are not before us.</w:t>
      </w:r>
    </w:p>
    <w:p>
      <w:pPr>
        <w:pStyle w:val="CaseFootnoteText"/>
      </w:pPr>
      <w:r>
        <w:rPr>
          <w:rStyle w:val="FootnoteReference"/>
        </w:rPr>
        <w:t xml:space="preserve">14.</w:t>
      </w:r>
      <w:r>
        <w:t xml:space="preserve">See,</w:t>
      </w:r>
      <w:r>
        <w:t xml:space="preserve"> </w:t>
      </w:r>
      <w:r>
        <w:rPr>
          <w:iCs/>
          <w:i/>
        </w:rPr>
        <w:t xml:space="preserve">e.g.,</w:t>
      </w:r>
      <w:r>
        <w:t xml:space="preserve"> </w:t>
      </w:r>
      <w:r>
        <w:t xml:space="preserve">WebMD Health News, New Morning-After Pill Ella Wins FDA Approval, online at http:// www. webmd. com/ sex/ birth- control/ news/ 20100813/ new- morning- after- pill- ella- wins- fda- approval.</w:t>
      </w:r>
    </w:p>
    <w:p>
      <w:pPr>
        <w:pStyle w:val="CaseFootnoteText"/>
      </w:pPr>
      <w:r>
        <w:rPr>
          <w:rStyle w:val="FootnoteReference"/>
        </w:rPr>
        <w:t xml:space="preserve">15.</w:t>
      </w:r>
      <w:r>
        <w:t xml:space="preserve">The Greens operate Hobby Lobby and Mardel through a management trust, of which each member of the family serves as trustee.</w:t>
      </w:r>
      <w:r>
        <w:t xml:space="preserve"> </w:t>
      </w:r>
      <w:r>
        <w:t xml:space="preserve">723 F.3d 1114</w:t>
      </w:r>
      <w:r>
        <w:t xml:space="preserve">, 1122 (C.A.10 2013). The family provided that the trust would also be governed according to their religious principles.</w:t>
      </w:r>
      <w:r>
        <w:t xml:space="preserve"> </w:t>
      </w:r>
      <w:r>
        <w:rPr>
          <w:iCs/>
          <w:i/>
        </w:rPr>
        <w:t xml:space="preserve">Ibid.</w:t>
      </w:r>
    </w:p>
    <w:p>
      <w:pPr>
        <w:pStyle w:val="CaseFootnoteText"/>
      </w:pPr>
      <w:r>
        <w:rPr>
          <w:rStyle w:val="FootnoteReference"/>
        </w:rPr>
        <w:t xml:space="preserve">16.</w:t>
      </w:r>
      <w:r>
        <w:t xml:space="preserve">They also raised a claim under the Administrative Procedure Act,</w:t>
      </w:r>
      <w:r>
        <w:t xml:space="preserve"> </w:t>
      </w:r>
      <w:r>
        <w:t xml:space="preserve">5 U.S.C. § 553</w:t>
      </w:r>
      <w:r>
        <w:t xml:space="preserve">.</w:t>
      </w:r>
    </w:p>
    <w:p>
      <w:pPr>
        <w:pStyle w:val="CaseFootnoteText"/>
      </w:pPr>
      <w:r>
        <w:rPr>
          <w:rStyle w:val="FootnoteReference"/>
        </w:rPr>
        <w:t xml:space="preserve">17.</w:t>
      </w:r>
      <w:r>
        <w:t xml:space="preserve">Given its RFRA ruling, the court declined to address the plaintiffs' free-exercise claim or the question whether the Greens could bring RFRA claims as individual owners of Hobby Lobby and Mardel. Four judges, however, concluded that the Greens could do so, see</w:t>
      </w:r>
      <w:r>
        <w:t xml:space="preserve"> </w:t>
      </w:r>
      <w:r>
        <w:t xml:space="preserve">723 F.3d, at 1156</w:t>
      </w:r>
      <w:r>
        <w:t xml:space="preserve"> </w:t>
      </w:r>
      <w:r>
        <w:t xml:space="preserve">(Gorsuch, J., concurring);</w:t>
      </w:r>
      <w:r>
        <w:t xml:space="preserve"> </w:t>
      </w:r>
      <w:r>
        <w:rPr>
          <w:iCs/>
          <w:i/>
        </w:rPr>
        <w:t xml:space="preserve">id.,</w:t>
      </w:r>
      <w:r>
        <w:t xml:space="preserve"> </w:t>
      </w:r>
      <w:r>
        <w:t xml:space="preserve">at 1184</w:t>
      </w:r>
      <w:r>
        <w:t xml:space="preserve"> </w:t>
      </w:r>
      <w:r>
        <w:t xml:space="preserve">(Matheson, J., concurring in part and dissenting in part), and three of those judges would have granted plaintiffs a preliminary injunction, see</w:t>
      </w:r>
      <w:r>
        <w:t xml:space="preserve"> </w:t>
      </w:r>
      <w:r>
        <w:rPr>
          <w:iCs/>
          <w:i/>
        </w:rPr>
        <w:t xml:space="preserve">id.,</w:t>
      </w:r>
      <w:r>
        <w:t xml:space="preserve"> </w:t>
      </w:r>
      <w:r>
        <w:t xml:space="preserve">at 1156</w:t>
      </w:r>
      <w:r>
        <w:t xml:space="preserve"> </w:t>
      </w:r>
      <w:r>
        <w:t xml:space="preserve">(Gorsuch, J., concurring).</w:t>
      </w:r>
    </w:p>
    <w:p>
      <w:pPr>
        <w:pStyle w:val="CaseFootnoteText"/>
      </w:pPr>
      <w:r>
        <w:rPr>
          <w:rStyle w:val="FootnoteReference"/>
        </w:rPr>
        <w:t xml:space="preserve">18.</w:t>
      </w:r>
      <w:r>
        <w:t xml:space="preserve">As discussed, n. 3,</w:t>
      </w:r>
      <w:r>
        <w:t xml:space="preserve"> </w:t>
      </w:r>
      <w:r>
        <w:rPr>
          <w:iCs/>
          <w:i/>
        </w:rPr>
        <w:t xml:space="preserve">supra,</w:t>
      </w:r>
      <w:r>
        <w:t xml:space="preserve"> </w:t>
      </w:r>
      <w:r>
        <w:t xml:space="preserve">in</w:t>
      </w:r>
      <w:r>
        <w:t xml:space="preserve"> </w:t>
      </w:r>
      <w:r>
        <w:rPr>
          <w:iCs/>
          <w:i/>
        </w:rPr>
        <w:t xml:space="preserve">City of Boerne</w:t>
      </w:r>
      <w:r>
        <w:t xml:space="preserve"> </w:t>
      </w:r>
      <w:r>
        <w:t xml:space="preserve">we stated that RFRA, by imposing a least-restrictive-means test, went beyond what was required by our pre-</w:t>
      </w:r>
      <w:r>
        <w:t xml:space="preserve"> </w:t>
      </w:r>
      <w:r>
        <w:rPr>
          <w:iCs/>
          <w:i/>
        </w:rPr>
        <w:t xml:space="preserve">Smith</w:t>
      </w:r>
      <w:r>
        <w:t xml:space="preserve"> </w:t>
      </w:r>
      <w:r>
        <w:t xml:space="preserve">decisions. Although the author of the principal dissent joined the Court's opinion in</w:t>
      </w:r>
      <w:r>
        <w:t xml:space="preserve"> </w:t>
      </w:r>
      <w:r>
        <w:rPr>
          <w:iCs/>
          <w:i/>
        </w:rPr>
        <w:t xml:space="preserve">City of Boerne,</w:t>
      </w:r>
      <w:r>
        <w:t xml:space="preserve"> </w:t>
      </w:r>
      <w:r>
        <w:t xml:space="preserve">she now claims that the statement was incorrect.</w:t>
      </w:r>
      <w:r>
        <w:t xml:space="preserve"> </w:t>
      </w:r>
      <w:r>
        <w:rPr>
          <w:iCs/>
          <w:i/>
        </w:rPr>
        <w:t xml:space="preserve">Post,</w:t>
      </w:r>
      <w:r>
        <w:t xml:space="preserve"> </w:t>
      </w:r>
      <w:r>
        <w:t xml:space="preserve">at 2793. For present purposes, it is unnecessary to adjudicate this dispute. Even if RFRA simply restored the status quo ante, there is no reason to believe, as HHS and the dissent seem to suggest, that the law was meant to be limited to situations that fall squarely within the holdings of pre-</w:t>
      </w:r>
      <w:r>
        <w:t xml:space="preserve"> </w:t>
      </w:r>
      <w:r>
        <w:rPr>
          <w:iCs/>
          <w:i/>
        </w:rPr>
        <w:t xml:space="preserve">Smith</w:t>
      </w:r>
      <w:r>
        <w:t xml:space="preserve"> </w:t>
      </w:r>
      <w:r>
        <w:t xml:space="preserve">cases. See</w:t>
      </w:r>
      <w:r>
        <w:t xml:space="preserve"> </w:t>
      </w:r>
      <w:r>
        <w:rPr>
          <w:iCs/>
          <w:i/>
        </w:rPr>
        <w:t xml:space="preserve">infra,</w:t>
      </w:r>
      <w:r>
        <w:t xml:space="preserve"> </w:t>
      </w:r>
      <w:r>
        <w:t xml:space="preserve">at 2771 - 2774.</w:t>
      </w:r>
    </w:p>
    <w:p>
      <w:pPr>
        <w:pStyle w:val="CaseFootnoteText"/>
      </w:pPr>
      <w:r>
        <w:rPr>
          <w:rStyle w:val="FootnoteReference"/>
        </w:rPr>
        <w:t xml:space="preserve">19.</w:t>
      </w:r>
      <w:r>
        <w:t xml:space="preserve">Cf. Brief for Federal Petitioners in</w:t>
      </w:r>
      <w:r>
        <w:t xml:space="preserve"> </w:t>
      </w:r>
      <w:r>
        <w:rPr>
          <w:iCs/>
          <w:i/>
        </w:rPr>
        <w:t xml:space="preserve">O Centro,</w:t>
      </w:r>
      <w:r>
        <w:t xml:space="preserve"> </w:t>
      </w:r>
      <w:r>
        <w:t xml:space="preserve">O.T. 2004, No. 04-1084, p. II (stating that the organizational respondent was "a New Mexico Corporation"); Brief for Federal Respondent in</w:t>
      </w:r>
      <w:r>
        <w:t xml:space="preserve"> </w:t>
      </w:r>
      <w:r>
        <w:rPr>
          <w:iCs/>
          <w:i/>
        </w:rPr>
        <w:t xml:space="preserve">Hosanna-Tabor,</w:t>
      </w:r>
      <w:r>
        <w:t xml:space="preserve"> </w:t>
      </w:r>
      <w:r>
        <w:t xml:space="preserve">O.T. 2011, No. 10-553, p. 3 (stating that the petitioner was an "ecclesiastical corporation").</w:t>
      </w:r>
    </w:p>
    <w:p>
      <w:pPr>
        <w:pStyle w:val="CaseFootnoteText"/>
      </w:pPr>
      <w:r>
        <w:rPr>
          <w:rStyle w:val="FootnoteReference"/>
        </w:rPr>
        <w:t xml:space="preserve">20.</w:t>
      </w:r>
      <w:r>
        <w:t xml:space="preserve">Not only does the Government concede that the term "persons" in RFRA includes nonprofit corporations, it goes further and appears to concede that the term might also encompass other artificial entities, namely, general partnerships and unincorporated associations. See Brief for HHS in No. 13-354, at 28, 40.</w:t>
      </w:r>
    </w:p>
    <w:p>
      <w:pPr>
        <w:pStyle w:val="CaseFootnoteText"/>
      </w:pPr>
      <w:r>
        <w:rPr>
          <w:rStyle w:val="FootnoteReference"/>
        </w:rPr>
        <w:t xml:space="preserve">21.</w:t>
      </w:r>
      <w:r>
        <w:t xml:space="preserve">Although the principal dissent seems to think that Justice Brennan's statement in</w:t>
      </w:r>
      <w:r>
        <w:t xml:space="preserve"> </w:t>
      </w:r>
      <w:r>
        <w:rPr>
          <w:iCs/>
          <w:i/>
        </w:rPr>
        <w:t xml:space="preserve">Amos</w:t>
      </w:r>
      <w:r>
        <w:t xml:space="preserve"> </w:t>
      </w:r>
      <w:r>
        <w:t xml:space="preserve">provides a ground for holding that for-profit corporations may not assert free-exercise claims, that was not Justice Brennan's view. See</w:t>
      </w:r>
      <w:r>
        <w:t xml:space="preserve"> </w:t>
      </w:r>
      <w:r>
        <w:rPr>
          <w:iCs/>
          <w:i/>
        </w:rPr>
        <w:t xml:space="preserve">Gallagher v. Crown Kosher Super Market of Mass., Inc.,</w:t>
      </w:r>
      <w:r>
        <w:t xml:space="preserve"> </w:t>
      </w:r>
      <w:r>
        <w:t xml:space="preserve">366 U.S. 617</w:t>
      </w:r>
      <w:r>
        <w:t xml:space="preserve">, 642,</w:t>
      </w:r>
      <w:r>
        <w:t xml:space="preserve"> </w:t>
      </w:r>
      <w:r>
        <w:t xml:space="preserve">81 S.Ct. 1122</w:t>
      </w:r>
      <w:r>
        <w:t xml:space="preserve">,</w:t>
      </w:r>
      <w:r>
        <w:t xml:space="preserve"> </w:t>
      </w:r>
      <w:r>
        <w:t xml:space="preserve">6 L.Ed.2d 536</w:t>
      </w:r>
      <w:r>
        <w:t xml:space="preserve"> </w:t>
      </w:r>
      <w:r>
        <w:t xml:space="preserve">(1961) (dissenting opinion);</w:t>
      </w:r>
      <w:r>
        <w:t xml:space="preserve"> </w:t>
      </w:r>
      <w:r>
        <w:rPr>
          <w:iCs/>
          <w:i/>
        </w:rPr>
        <w:t xml:space="preserve">infra,</w:t>
      </w:r>
      <w:r>
        <w:t xml:space="preserve"> </w:t>
      </w:r>
      <w:r>
        <w:t xml:space="preserve">at 2772 - 2773.</w:t>
      </w:r>
    </w:p>
    <w:p>
      <w:pPr>
        <w:pStyle w:val="CaseFootnoteText"/>
      </w:pPr>
      <w:r>
        <w:rPr>
          <w:rStyle w:val="FootnoteReference"/>
        </w:rPr>
        <w:t xml:space="preserve">22.</w:t>
      </w:r>
      <w:r>
        <w:t xml:space="preserve">It is revealing that the principal dissent cannot even bring itself to acknowledge that</w:t>
      </w:r>
      <w:r>
        <w:t xml:space="preserve"> </w:t>
      </w:r>
      <w:r>
        <w:rPr>
          <w:iCs/>
          <w:i/>
        </w:rPr>
        <w:t xml:space="preserve">Braunfeld</w:t>
      </w:r>
      <w:r>
        <w:t xml:space="preserve"> </w:t>
      </w:r>
      <w:r>
        <w:t xml:space="preserve">was correct in entertaining the merchants' claims. See</w:t>
      </w:r>
      <w:r>
        <w:t xml:space="preserve"> </w:t>
      </w:r>
      <w:r>
        <w:rPr>
          <w:iCs/>
          <w:i/>
        </w:rPr>
        <w:t xml:space="preserve">post,</w:t>
      </w:r>
      <w:r>
        <w:t xml:space="preserve"> </w:t>
      </w:r>
      <w:r>
        <w:t xml:space="preserve">at 2797 (dismissing the relevance of</w:t>
      </w:r>
      <w:r>
        <w:t xml:space="preserve"> </w:t>
      </w:r>
      <w:r>
        <w:rPr>
          <w:iCs/>
          <w:i/>
        </w:rPr>
        <w:t xml:space="preserve">Braunfeld</w:t>
      </w:r>
      <w:r>
        <w:t xml:space="preserve"> </w:t>
      </w:r>
      <w:r>
        <w:t xml:space="preserve">in part because "[t]he free exercise claim asserted there was promptly rejected on the merits").</w:t>
      </w:r>
    </w:p>
    <w:p>
      <w:pPr>
        <w:pStyle w:val="CaseFootnoteText"/>
      </w:pPr>
      <w:r>
        <w:rPr>
          <w:rStyle w:val="FootnoteReference"/>
        </w:rPr>
        <w:t xml:space="preserve">23.</w:t>
      </w:r>
      <w:r>
        <w:t xml:space="preserve">See,</w:t>
      </w:r>
      <w:r>
        <w:t xml:space="preserve"> </w:t>
      </w:r>
      <w:r>
        <w:rPr>
          <w:iCs/>
          <w:i/>
        </w:rPr>
        <w:t xml:space="preserve">e.g</w:t>
      </w:r>
      <w:r>
        <w:t xml:space="preserve">.,</w:t>
      </w:r>
      <w:r>
        <w:t xml:space="preserve"> </w:t>
      </w:r>
      <w:r>
        <w:t xml:space="preserve">724 F.3d, at 385</w:t>
      </w:r>
      <w:r>
        <w:t xml:space="preserve"> </w:t>
      </w:r>
      <w:r>
        <w:t xml:space="preserve">("We do not see how a for-profit, 'artificial being,' ... that was created to make money" could exercise religion);</w:t>
      </w:r>
      <w:r>
        <w:t xml:space="preserve"> </w:t>
      </w:r>
      <w:r>
        <w:rPr>
          <w:iCs/>
          <w:i/>
        </w:rPr>
        <w:t xml:space="preserve">Grote v. Sebelius,</w:t>
      </w:r>
      <w:r>
        <w:t xml:space="preserve"> </w:t>
      </w:r>
      <w:r>
        <w:t xml:space="preserve">708 F.3d 850</w:t>
      </w:r>
      <w:r>
        <w:t xml:space="preserve">, 857 (C.A.7 2013) (Rovner, J. dissenting) ("So far as it appears, the mission of Grote Industries, like that of any other for-profit, secular business, is to make money in the commercial sphere");</w:t>
      </w:r>
      <w:r>
        <w:t xml:space="preserve"> </w:t>
      </w:r>
      <w:r>
        <w:rPr>
          <w:iCs/>
          <w:i/>
        </w:rPr>
        <w:t xml:space="preserve">Autocam Corp. v. Sebelius,</w:t>
      </w:r>
      <w:r>
        <w:t xml:space="preserve"> </w:t>
      </w:r>
      <w:r>
        <w:t xml:space="preserve">730 F.3d 618</w:t>
      </w:r>
      <w:r>
        <w:t xml:space="preserve">, 626 (C.A.7 2013) ("Congress did not intend to include corporations primarily organized for secular, profit-seeking purposes as 'persons' under RFRA"); see also</w:t>
      </w:r>
      <w:r>
        <w:t xml:space="preserve"> </w:t>
      </w:r>
      <w:r>
        <w:t xml:space="preserve">723 F.3d, at 1171-1172</w:t>
      </w:r>
      <w:r>
        <w:t xml:space="preserve"> </w:t>
      </w:r>
      <w:r>
        <w:t xml:space="preserve">(Briscoe, C.J., dissenting) ("[T]he specific purpose for which [a corporation] is created matters greatly to how it will be categorized and treated under the law" and "it is undisputed that Hobby Lobby and Mardel are for-profit corporations focused on selling merchandise to consumers").</w:t>
      </w:r>
    </w:p>
    <w:p>
      <w:pPr>
        <w:pStyle w:val="CaseFootnoteText"/>
      </w:pPr>
      <w:r>
        <w:t xml:space="preserve">The principal dissent makes a similar point, stating that "[f]or-profit corporations are different from religious nonprofits in that they use labor to make a profit, rather than to perpetuate the religious values shared by a community of believers."</w:t>
      </w:r>
      <w:r>
        <w:t xml:space="preserve"> </w:t>
      </w:r>
      <w:r>
        <w:rPr>
          <w:iCs/>
          <w:i/>
        </w:rPr>
        <w:t xml:space="preserve">Post,</w:t>
      </w:r>
      <w:r>
        <w:t xml:space="preserve"> </w:t>
      </w:r>
      <w:r>
        <w:t xml:space="preserve">at 2797 (internal quotation marks omitted). The first half of this statement is a tautology; for-profit corporations do indeed differ from nonprofits insofar as they seek to make a profit for their owners, but the second part is factually untrue. As the activities of the for-profit corporations involved in these cases show, some for-profit corporations do seek "to perpetuate the religious values shared," in these cases, by their owners. Conestoga's Vision and Values Statement declares that the company is dedicated to operating "in [a] manner that reflects our Christian heritage and the highest ethical and moral principles of business." App. in No. 13-356, p. 94. Similarly, Hobby Lobby's statement of purpose proclaims that the company "is committed to ... Honoring the Lord in all we do by operating ... in a manner consistent with Biblical principles." App. in No. 13-354, p. 135. The dissent also believes that history is not on our side because even Blackstone recognized the distinction between "ecclesiastical and lay" corporations.</w:t>
      </w:r>
      <w:r>
        <w:t xml:space="preserve"> </w:t>
      </w:r>
      <w:r>
        <w:rPr>
          <w:iCs/>
          <w:i/>
        </w:rPr>
        <w:t xml:space="preserve">Post,</w:t>
      </w:r>
      <w:r>
        <w:t xml:space="preserve"> </w:t>
      </w:r>
      <w:r>
        <w:t xml:space="preserve">at 2796. What Blackstone illustrates, however, is that dating back to 1765, there was no sharp divide among corporations in their capacity to exercise religion; Blackstone recognized that even what he termed "lay" corporations might serve "the promotion of piety." 1 W. Blackstone, Commentaries on the Law of England 458-459 (1765). And whatever may have been the case at the time of Blackstone, modern corporate law (and the law of the States in which these three companies are incorporated) allows for-profit corporations to "perpetuat[e] religious values."</w:t>
      </w:r>
    </w:p>
    <w:p>
      <w:pPr>
        <w:pStyle w:val="CaseFootnoteText"/>
      </w:pPr>
      <w:r>
        <w:rPr>
          <w:rStyle w:val="FootnoteReference"/>
        </w:rPr>
        <w:t xml:space="preserve">24.</w:t>
      </w:r>
      <w:r>
        <w:t xml:space="preserve">See,</w:t>
      </w:r>
      <w:r>
        <w:t xml:space="preserve"> </w:t>
      </w:r>
      <w:r>
        <w:rPr>
          <w:iCs/>
          <w:i/>
        </w:rPr>
        <w:t xml:space="preserve">e.g.,</w:t>
      </w:r>
      <w:r>
        <w:t xml:space="preserve"> </w:t>
      </w:r>
      <w:r>
        <w:t xml:space="preserve">M. Sanders, Joint Ventures Involving Tax-Exempt Organizations 555 (4th ed. 2013) (describing Google.org, which "advance[s] its charitable goals" while operating as a for-profit corporation to be able to "invest in for-profit endeavors, lobby for policies that support its philanthropic goals, and tap Google's innovative technology and workforce" (internal quotation marks and alterations omitted)); cf.</w:t>
      </w:r>
      <w:r>
        <w:t xml:space="preserve"> </w:t>
      </w:r>
      <w:r>
        <w:t xml:space="preserve">26 CFR § 1.501</w:t>
      </w:r>
      <w:r>
        <w:t xml:space="preserve">(c)(3)-1(c)(3).</w:t>
      </w:r>
    </w:p>
    <w:p>
      <w:pPr>
        <w:pStyle w:val="CaseFootnoteText"/>
      </w:pPr>
      <w:r>
        <w:rPr>
          <w:rStyle w:val="FootnoteReference"/>
        </w:rPr>
        <w:t xml:space="preserve">25.</w:t>
      </w:r>
      <w:r>
        <w:t xml:space="preserve">See Benefit Corp Information Center, online at http:// www. benefitcorp. net/ state- by- state- legislative- status;</w:t>
      </w:r>
      <w:r>
        <w:t xml:space="preserve"> </w:t>
      </w:r>
      <w:r>
        <w:rPr>
          <w:iCs/>
          <w:i/>
        </w:rPr>
        <w:t xml:space="preserve">e.g.,</w:t>
      </w:r>
      <w:r>
        <w:t xml:space="preserve">Va.Code Ann. §§ 13.1-787, 13.1-626, 13.1-782 (Lexis 2011) ("A benefit corporation shall have as one of its purposes the purpose of creating a general public benefit," and "may identify one or more specific public benefits that it is the purpose of the benefit corporation to create.... This purpose is in addition to [the purpose of engaging in any lawful business]." " 'Specific public benefit' means a benefit that serves one or more public welfare, religious, charitable, scientific, literary, or educational purposes, or other purpose or benefit beyond the strict interest of the shareholders of the benefit corporation....");</w:t>
      </w:r>
      <w:r>
        <w:t xml:space="preserve"> </w:t>
      </w:r>
      <w:r>
        <w:t xml:space="preserve">S.C. Code Ann. §§ 33-38-300</w:t>
      </w:r>
      <w:r>
        <w:t xml:space="preserve"> </w:t>
      </w:r>
      <w:r>
        <w:t xml:space="preserve">(2012 Cum. Supp.), 33-3-101 (2006), 33-38-130 (2012 Cum. Supp.) (similar).</w:t>
      </w:r>
    </w:p>
    <w:p>
      <w:pPr>
        <w:pStyle w:val="CaseFootnoteText"/>
      </w:pPr>
      <w:r>
        <w:rPr>
          <w:rStyle w:val="FootnoteReference"/>
        </w:rPr>
        <w:t xml:space="preserve">26.</w:t>
      </w:r>
      <w:r>
        <w:t xml:space="preserve">See Brief for Appellants in</w:t>
      </w:r>
      <w:r>
        <w:t xml:space="preserve"> </w:t>
      </w:r>
      <w:r>
        <w:rPr>
          <w:iCs/>
          <w:i/>
        </w:rPr>
        <w:t xml:space="preserve">Gallagher,</w:t>
      </w:r>
      <w:r>
        <w:t xml:space="preserve"> </w:t>
      </w:r>
      <w:r>
        <w:t xml:space="preserve">O.T. 1960 No. 11, pp. 16, 28-31 (arguing that corporation "has no 'religious belief' or 'religious liberty,' and had no standing in court to assert that its free exercise of religion was impaired").</w:t>
      </w:r>
    </w:p>
    <w:p>
      <w:pPr>
        <w:pStyle w:val="CaseFootnoteText"/>
      </w:pPr>
      <w:r>
        <w:rPr>
          <w:rStyle w:val="FootnoteReference"/>
        </w:rPr>
        <w:t xml:space="preserve">27.</w:t>
      </w:r>
      <w:r>
        <w:t xml:space="preserve">The principal dissent points out that "the exemption codified in § 238n(a) was not enacted until three years after RFRA's passage."</w:t>
      </w:r>
      <w:r>
        <w:t xml:space="preserve"> </w:t>
      </w:r>
      <w:r>
        <w:rPr>
          <w:iCs/>
          <w:i/>
        </w:rPr>
        <w:t xml:space="preserve">Post,</w:t>
      </w:r>
      <w:r>
        <w:t xml:space="preserve"> </w:t>
      </w:r>
      <w:r>
        <w:t xml:space="preserve">at 2795, n. 15. The dissent takes this to mean that RFRA did not, in fact, "ope[n] all statutory schemes to religion-based challenges by for-profit corporations" because if it had "there would be no need for a statute-specific, post-RFRA exemption of this sort."</w:t>
      </w:r>
      <w:r>
        <w:t xml:space="preserve"> </w:t>
      </w:r>
      <w:r>
        <w:rPr>
          <w:iCs/>
          <w:i/>
        </w:rPr>
        <w:t xml:space="preserve">Ibid</w:t>
      </w:r>
      <w:r>
        <w:t xml:space="preserve">.</w:t>
      </w:r>
    </w:p>
    <w:p>
      <w:pPr>
        <w:pStyle w:val="CaseFootnoteText"/>
      </w:pPr>
      <w:r>
        <w:t xml:space="preserve">This argument fails to recognize that the protection provided by § 238n(a) differs significantly from the protection provided by RFRA. Section 238n(a) flatly prohibits discrimination against a covered healthcare facility for refusing to engage in certain activities related to abortion. If a covered healthcare facility challenged such discrimination under RFRA, by contrast, the discrimination would be unlawful only if a court concluded, among other things, that there was a less restrictive means of achieving any compelling government interest.</w:t>
      </w:r>
    </w:p>
    <w:p>
      <w:pPr>
        <w:pStyle w:val="CaseFootnoteText"/>
      </w:pPr>
      <w:r>
        <w:t xml:space="preserve">In addition, the dissent's argument proves too much. Section 238n(a) applies evenly to "any health care entity"-whether it is a religious nonprofit entity or a for-profit entity. There is no dispute that RFRA protects religious nonprofit corporations, so if § 238n(a) were redundant as applied to for-profit corporations, it would be equally redundant as applied to nonprofits.</w:t>
      </w:r>
    </w:p>
    <w:p>
      <w:pPr>
        <w:pStyle w:val="CaseFootnoteText"/>
      </w:pPr>
      <w:r>
        <w:rPr>
          <w:rStyle w:val="FootnoteReference"/>
        </w:rPr>
        <w:t xml:space="preserve">28.</w:t>
      </w:r>
      <w:r>
        <w:t xml:space="preserve">To qualify for RFRA's protection, an asserted belief must be "sincere"; a corporation's pretextual assertion of a religious belief in order to obtain an exemption for financial reasons would fail. Cf.,</w:t>
      </w:r>
      <w:r>
        <w:t xml:space="preserve"> </w:t>
      </w:r>
      <w:r>
        <w:rPr>
          <w:iCs/>
          <w:i/>
        </w:rPr>
        <w:t xml:space="preserve">e.g</w:t>
      </w:r>
      <w:r>
        <w:t xml:space="preserve">.,</w:t>
      </w:r>
      <w:r>
        <w:t xml:space="preserve"> </w:t>
      </w:r>
      <w:r>
        <w:rPr>
          <w:iCs/>
          <w:i/>
        </w:rPr>
        <w:t xml:space="preserve">United States v. Quaintance,</w:t>
      </w:r>
      <w:r>
        <w:t xml:space="preserve"> </w:t>
      </w:r>
      <w:r>
        <w:t xml:space="preserve">608 F.3d 717</w:t>
      </w:r>
      <w:r>
        <w:t xml:space="preserve">, 718-719 (C.A.10 2010).</w:t>
      </w:r>
    </w:p>
    <w:p>
      <w:pPr>
        <w:pStyle w:val="CaseFootnoteText"/>
      </w:pPr>
      <w:r>
        <w:rPr>
          <w:rStyle w:val="FootnoteReference"/>
        </w:rPr>
        <w:t xml:space="preserve">29.</w:t>
      </w:r>
      <w:r>
        <w:t xml:space="preserve">See,</w:t>
      </w:r>
      <w:r>
        <w:t xml:space="preserve"> </w:t>
      </w:r>
      <w:r>
        <w:rPr>
          <w:iCs/>
          <w:i/>
        </w:rPr>
        <w:t xml:space="preserve">e.g.,Ochs v. Thalacker,</w:t>
      </w:r>
      <w:r>
        <w:t xml:space="preserve"> </w:t>
      </w:r>
      <w:r>
        <w:t xml:space="preserve">90 F.3d 293</w:t>
      </w:r>
      <w:r>
        <w:t xml:space="preserve">, 296 (C.A.8 1996);</w:t>
      </w:r>
      <w:r>
        <w:t xml:space="preserve"> </w:t>
      </w:r>
      <w:r>
        <w:rPr>
          <w:iCs/>
          <w:i/>
        </w:rPr>
        <w:t xml:space="preserve">Green v. White,</w:t>
      </w:r>
      <w:r>
        <w:t xml:space="preserve"> </w:t>
      </w:r>
      <w:r>
        <w:t xml:space="preserve">525 F.Supp. 81</w:t>
      </w:r>
      <w:r>
        <w:t xml:space="preserve">, 83-84 (E.D.Mo.1981);</w:t>
      </w:r>
      <w:r>
        <w:t xml:space="preserve"> </w:t>
      </w:r>
      <w:r>
        <w:rPr>
          <w:iCs/>
          <w:i/>
        </w:rPr>
        <w:t xml:space="preserve">Abate v. Walton,</w:t>
      </w:r>
      <w:r>
        <w:t xml:space="preserve"> </w:t>
      </w:r>
      <w:r>
        <w:t xml:space="preserve">1996 WL 5320</w:t>
      </w:r>
      <w:r>
        <w:t xml:space="preserve">, *5 (C.A.9, Jan. 5, 1996);</w:t>
      </w:r>
      <w:r>
        <w:t xml:space="preserve"> </w:t>
      </w:r>
      <w:r>
        <w:rPr>
          <w:iCs/>
          <w:i/>
        </w:rPr>
        <w:t xml:space="preserve">Winters v. State,</w:t>
      </w:r>
      <w:r>
        <w:t xml:space="preserve"> </w:t>
      </w:r>
      <w:r>
        <w:t xml:space="preserve">549 N.W.2d 819</w:t>
      </w:r>
      <w:r>
        <w:t xml:space="preserve">-820 (Iowa 1996).</w:t>
      </w:r>
    </w:p>
    <w:p>
      <w:pPr>
        <w:pStyle w:val="CaseFootnoteText"/>
      </w:pPr>
      <w:r>
        <w:rPr>
          <w:rStyle w:val="FootnoteReference"/>
        </w:rPr>
        <w:t xml:space="preserve">30.</w:t>
      </w:r>
      <w:r>
        <w:t xml:space="preserve">The principal dissent attaches significance to the fact that the "Senate voted down [a] so-called 'conscience amendment,' which would have enabled any employer or insurance provider to deny coverage based on its asserted religious beliefs or moral convictions."</w:t>
      </w:r>
      <w:r>
        <w:t xml:space="preserve"> </w:t>
      </w:r>
      <w:r>
        <w:rPr>
          <w:iCs/>
          <w:i/>
        </w:rPr>
        <w:t xml:space="preserve">Post,</w:t>
      </w:r>
      <w:r>
        <w:t xml:space="preserve"> </w:t>
      </w:r>
      <w:r>
        <w:t xml:space="preserve">at 2789. The dissent would evidently glean from that vote an intent by the Senate to prohibit for-profit corporate employers from refusing to offer contraceptive coverage for religious reasons, regardless of whether the contraceptive mandate could pass muster under RFRA's standards. But that is not the only plausible inference from the failed amendment-or even the most likely. For one thing, the text of the amendment was "written so broadly that it would allow any employer to deny any health service to any American for virtually any reason-</w:t>
      </w:r>
      <w:r>
        <w:t xml:space="preserve"> </w:t>
      </w:r>
      <w:r>
        <w:rPr>
          <w:iCs/>
          <w:i/>
        </w:rPr>
        <w:t xml:space="preserve">not just for religious objections</w:t>
      </w:r>
      <w:r>
        <w:t xml:space="preserve">." 158 Cong. Rec. S1165 (Mar. 1, 2012) (emphasis added). Moreover, the amendment would have authorized a blanket exemption for religious or moral objectors; it would not have subjected religious-based objections to the judicial scrutiny called for by RFRA, in which a court must consider not only the burden of a requirement on religious adherents, but also the government's interest and how narrowly tailored the requirement is. It is thus perfectly reasonable to believe that the amendment was voted down because it extended more broadly than the pre-existing protections of RFRA. And in any event, even if a rejected amendment to a bill could be relevant in other contexts, it surely cannot be relevant here, because any "Federal statutory law adopted after November 16, 1993 is subject to [RFRA] unless such law</w:t>
      </w:r>
      <w:r>
        <w:t xml:space="preserve"> </w:t>
      </w:r>
      <w:r>
        <w:rPr>
          <w:iCs/>
          <w:i/>
        </w:rPr>
        <w:t xml:space="preserve">explicitly excludes</w:t>
      </w:r>
      <w:r>
        <w:t xml:space="preserve"> </w:t>
      </w:r>
      <w:r>
        <w:t xml:space="preserve">such application by reference to [RFRA]." 42 U.S.C. § 2000bb-3(b) (emphasis added). It is not plausible to find such an explicit reference in the meager legislative history on which the dissent relies.</w:t>
      </w:r>
    </w:p>
    <w:p>
      <w:pPr>
        <w:pStyle w:val="CaseFootnoteText"/>
      </w:pPr>
      <w:r>
        <w:rPr>
          <w:rStyle w:val="FootnoteReference"/>
        </w:rPr>
        <w:t xml:space="preserve">31.</w:t>
      </w:r>
      <w:r>
        <w:t xml:space="preserve">Indeed, one of HHS's stated reasons for establishing the religious accommodation was to "encourag[e] eligible organizations to</w:t>
      </w:r>
      <w:r>
        <w:t xml:space="preserve"> </w:t>
      </w:r>
      <w:r>
        <w:rPr>
          <w:iCs/>
          <w:i/>
        </w:rPr>
        <w:t xml:space="preserve">continue</w:t>
      </w:r>
      <w:r>
        <w:t xml:space="preserve"> </w:t>
      </w:r>
      <w:r>
        <w:t xml:space="preserve">to offer health coverage." 78 Fed.Reg. 39882 (2013) (emphasis added).</w:t>
      </w:r>
    </w:p>
    <w:p>
      <w:pPr>
        <w:pStyle w:val="CaseFootnoteText"/>
      </w:pPr>
      <w:r>
        <w:rPr>
          <w:rStyle w:val="FootnoteReference"/>
        </w:rPr>
        <w:t xml:space="preserve">32.</w:t>
      </w:r>
      <w:r>
        <w:t xml:space="preserve">Attempting to compensate for dropped insurance by raising wages would also present administrative difficulties. In order to provide full compensation for employees, the companies would have to calculate the value to employees of the convenience of retaining their employer-provided coverage and thus being spared the task of attempting to find and sign up for a comparable plan on an exchange. And because some but not all of the companies' employees may qualify for subsidies on an exchange, it would be nearly impossible to calculate a salary increase that would accurately restore the status quo ante for all employees.</w:t>
      </w:r>
    </w:p>
    <w:p>
      <w:pPr>
        <w:pStyle w:val="CaseFootnoteText"/>
      </w:pPr>
      <w:r>
        <w:rPr>
          <w:rStyle w:val="FootnoteReference"/>
        </w:rPr>
        <w:t xml:space="preserve">33.</w:t>
      </w:r>
      <w:r>
        <w:t xml:space="preserve">This argument is not easy to square with the position taken by HHS in providing exemptions from the contraceptive mandate for religious employers, such as churches, that have the very same religious objections as the Hahns and Greens and their companies. The connection between what these religious employers would be required to do if not exempted (provide insurance coverage for particular contraceptives) and the ultimate event that they find morally wrong (destruction of an embryo) is exactly the same. Nevertheless, as discussed, HHS and the Labor and Treasury Departments authorized the exemption from the contraceptive mandate of group health plans of certain religious employers, and later expanded the exemption to include certain nonprofit organizations with religious objections to contraceptive coverage. 78 Fed.Reg. 39871. When this was done, the Government made clear that its objective was to "protec[t]" these religious objectors "from having to contract, arrange, pay, or refer for such coverage."</w:t>
      </w:r>
      <w:r>
        <w:t xml:space="preserve"> </w:t>
      </w:r>
      <w:r>
        <w:rPr>
          <w:iCs/>
          <w:i/>
        </w:rPr>
        <w:t xml:space="preserve">Ibid</w:t>
      </w:r>
      <w:r>
        <w:t xml:space="preserve">.</w:t>
      </w:r>
      <w:r>
        <w:t xml:space="preserve"> </w:t>
      </w:r>
      <w:r>
        <w:t xml:space="preserve">Those exemptions would be hard to understand if the plaintiffs' objections here were not substantial.</w:t>
      </w:r>
    </w:p>
    <w:p>
      <w:pPr>
        <w:pStyle w:val="CaseFootnoteText"/>
      </w:pPr>
      <w:r>
        <w:rPr>
          <w:rStyle w:val="FootnoteReference"/>
        </w:rPr>
        <w:t xml:space="preserve">34.</w:t>
      </w:r>
      <w:r>
        <w:t xml:space="preserve">See,</w:t>
      </w:r>
      <w:r>
        <w:t xml:space="preserve"> </w:t>
      </w:r>
      <w:r>
        <w:rPr>
          <w:iCs/>
          <w:i/>
        </w:rPr>
        <w:t xml:space="preserve">e.g</w:t>
      </w:r>
      <w:r>
        <w:t xml:space="preserve">., Oderberg, The Ethics of Co-operation in Wrongdoing, in Modern Moral Philosophy 203-228 (A. O'Hear ed. 2004); T. Higgins, Man as Man: The Science and Art of Ethics 353, 355 (1949) ("The general principles governing cooperation" in wrongdoing-</w:t>
      </w:r>
      <w:r>
        <w:t xml:space="preserve"> </w:t>
      </w:r>
      <w:r>
        <w:rPr>
          <w:iCs/>
          <w:i/>
        </w:rPr>
        <w:t xml:space="preserve">i.e</w:t>
      </w:r>
      <w:r>
        <w:t xml:space="preserve">., "physical activity (or its omission) by which a person assists in the evil act of another who is the principal agent"-"present troublesome difficulties in application"); 1 H. Davis, Moral and Pastoral Theology 341 (1935) (Cooperation occurs "when A helps B to accomplish an external act by an act that is not sinful, and without approving of what B does").</w:t>
      </w:r>
    </w:p>
    <w:p>
      <w:pPr>
        <w:pStyle w:val="CaseFootnoteText"/>
      </w:pPr>
      <w:r>
        <w:rPr>
          <w:rStyle w:val="FootnoteReference"/>
        </w:rPr>
        <w:t xml:space="preserve">35.</w:t>
      </w:r>
      <w:r>
        <w:t xml:space="preserve">The principal dissent makes no effort to reconcile its view about the substantial-burden requirement with our decision in</w:t>
      </w:r>
      <w:r>
        <w:t xml:space="preserve"> </w:t>
      </w:r>
      <w:r>
        <w:rPr>
          <w:iCs/>
          <w:i/>
        </w:rPr>
        <w:t xml:space="preserve">Thomas</w:t>
      </w:r>
      <w:r>
        <w:t xml:space="preserve">.</w:t>
      </w:r>
    </w:p>
    <w:p>
      <w:pPr>
        <w:pStyle w:val="CaseFootnoteText"/>
      </w:pPr>
      <w:r>
        <w:rPr>
          <w:rStyle w:val="FootnoteReference"/>
        </w:rPr>
        <w:t xml:space="preserve">36.</w:t>
      </w:r>
      <w:r>
        <w:t xml:space="preserve">Online at http:// cbo. gov/ publication/ 45231.</w:t>
      </w:r>
    </w:p>
    <w:p>
      <w:pPr>
        <w:pStyle w:val="CaseFootnoteText"/>
      </w:pPr>
      <w:r>
        <w:rPr>
          <w:rStyle w:val="FootnoteReference"/>
        </w:rPr>
        <w:t xml:space="preserve">37.</w:t>
      </w:r>
      <w:r>
        <w:t xml:space="preserve">In a related argument, HHS appears to maintain that a plaintiff cannot prevail on a RFRA claim that seeks an exemption from a legal obligation requiring the plaintiff to confer benefits on third parties. Nothing in the text of RFRA or its basic purposes supports giving the Government an entirely free hand to impose burdens on religious exercise so long as those burdens confer a benefit on other individuals. It is certainly true that in applying RFRA "courts must take adequate account of the burdens a requested accommodation may impose on nonbeneficiaries."</w:t>
      </w:r>
      <w:r>
        <w:t xml:space="preserve"> </w:t>
      </w:r>
      <w:r>
        <w:rPr>
          <w:iCs/>
          <w:i/>
        </w:rPr>
        <w:t xml:space="preserve">Cutter v. Wilkinson,</w:t>
      </w:r>
      <w:r>
        <w:t xml:space="preserve"> </w:t>
      </w:r>
      <w:r>
        <w:t xml:space="preserve">544 U.S. 709</w:t>
      </w:r>
      <w:r>
        <w:t xml:space="preserve">, 720,</w:t>
      </w:r>
      <w:r>
        <w:t xml:space="preserve"> </w:t>
      </w:r>
      <w:r>
        <w:t xml:space="preserve">125 S.Ct. 2113</w:t>
      </w:r>
      <w:r>
        <w:t xml:space="preserve">,</w:t>
      </w:r>
      <w:r>
        <w:t xml:space="preserve"> </w:t>
      </w:r>
      <w:r>
        <w:t xml:space="preserve">161 L.Ed.2d 1020</w:t>
      </w:r>
      <w:r>
        <w:t xml:space="preserve"> </w:t>
      </w:r>
      <w:r>
        <w:t xml:space="preserve">(2005) (applying RLUIPA). That consideration will often inform the analysis of the Government's compelling interest and the availability of a less restrictive means of advancing that interest. But it could not reasonably be maintained that any burden on religious exercise, no matter how onerous and no matter how readily the government interest could be achieved through alternative means, is permissible under RFRA so long as the relevant legal obligation requires the religious adherent to confer a benefit on third parties. Otherwise, for example, the Government could decide that all supermarkets must sell alcohol for the convenience of customers (and thereby exclude Muslims with religious objections from owning supermarkets), or it could decide that all restaurants must remain open on Saturdays to give employees an opportunity to earn tips (and thereby exclude Jews with religious objections from owning restaurants). By framing any Government regulation as benefiting a third party, the Government could turn all regulations into entitlements to which nobody could object on religious grounds, rendering RFRA meaningless. In any event, our decision in these cases need not result in any detrimental effect on any third party. As we explain, see</w:t>
      </w:r>
      <w:r>
        <w:t xml:space="preserve"> </w:t>
      </w:r>
      <w:r>
        <w:rPr>
          <w:iCs/>
          <w:i/>
        </w:rPr>
        <w:t xml:space="preserve">infra,</w:t>
      </w:r>
      <w:r>
        <w:t xml:space="preserve"> </w:t>
      </w:r>
      <w:r>
        <w:t xml:space="preserve">at 2781 - 2782, the Government can readily arrange for other methods of providing contraceptives, without cost sharing, to employees who are unable to obtain them under their health-insurance plans due to their employers' religious objections.</w:t>
      </w:r>
    </w:p>
    <w:p>
      <w:pPr>
        <w:pStyle w:val="CaseFootnoteText"/>
      </w:pPr>
      <w:r>
        <w:rPr>
          <w:rStyle w:val="FootnoteReference"/>
        </w:rPr>
        <w:t xml:space="preserve">38.</w:t>
      </w:r>
      <w:r>
        <w:t xml:space="preserve">HHS has concluded that insurers that insure eligible employers opting out of the contraceptive mandate and that are required to pay for contraceptive coverage under the accommodation will not experience an increase in costs because the "costs of providing contraceptive coverage are balanced by cost savings from lower pregnancy-related costs and from improvements in women's health." 78 Fed.Reg. 39877. With respect to self-insured plans, the regulations establish a mechanism for the eligible employers' third-party administrators to obtain a compensating reduction in the fee paid by insurers to participate in the federally facilitated exchanges. HHS believes that this system will not have a material effect on the funding of the exchanges because the "payments for contraceptive services will represent only a small portion of total [federally facilitated exchange] user fees."</w:t>
      </w:r>
      <w:r>
        <w:t xml:space="preserve"> </w:t>
      </w:r>
      <w:r>
        <w:rPr>
          <w:iCs/>
          <w:i/>
        </w:rPr>
        <w:t xml:space="preserve">Id.,</w:t>
      </w:r>
      <w:r>
        <w:t xml:space="preserve"> </w:t>
      </w:r>
      <w:r>
        <w:t xml:space="preserve">at 39882; see</w:t>
      </w:r>
      <w:r>
        <w:t xml:space="preserve"> </w:t>
      </w:r>
      <w:r>
        <w:t xml:space="preserve">26 CFR § 54.9815</w:t>
      </w:r>
      <w:r>
        <w:t xml:space="preserve">-2713A(b)(3).</w:t>
      </w:r>
    </w:p>
    <w:p>
      <w:pPr>
        <w:pStyle w:val="CaseFootnoteText"/>
      </w:pPr>
      <w:r>
        <w:rPr>
          <w:rStyle w:val="FootnoteReference"/>
        </w:rPr>
        <w:t xml:space="preserve">39.</w:t>
      </w:r>
      <w:r>
        <w:t xml:space="preserve">See n. 9,</w:t>
      </w:r>
      <w:r>
        <w:t xml:space="preserve"> </w:t>
      </w:r>
      <w:r>
        <w:rPr>
          <w:iCs/>
          <w:i/>
        </w:rPr>
        <w:t xml:space="preserve">supra</w:t>
      </w:r>
      <w:r>
        <w:t xml:space="preserve">.</w:t>
      </w:r>
    </w:p>
    <w:p>
      <w:pPr>
        <w:pStyle w:val="CaseFootnoteText"/>
      </w:pPr>
      <w:r>
        <w:rPr>
          <w:rStyle w:val="FootnoteReference"/>
        </w:rPr>
        <w:t xml:space="preserve">40.</w:t>
      </w:r>
      <w:r>
        <w:t xml:space="preserve">The principal dissent faults us for being "noncommital" in refusing to decide a case that is not before us here.</w:t>
      </w:r>
      <w:r>
        <w:t xml:space="preserve"> </w:t>
      </w:r>
      <w:r>
        <w:rPr>
          <w:iCs/>
          <w:i/>
        </w:rPr>
        <w:t xml:space="preserve">Post,</w:t>
      </w:r>
      <w:r>
        <w:t xml:space="preserve"> </w:t>
      </w:r>
      <w:r>
        <w:t xml:space="preserve">at 2803. The less restrictive approach we describe accommodates the religious beliefs asserted in these cases, and that is the only question we are permitted to address.</w:t>
      </w:r>
    </w:p>
    <w:p>
      <w:pPr>
        <w:pStyle w:val="CaseFootnoteText"/>
      </w:pPr>
      <w:r>
        <w:rPr>
          <w:rStyle w:val="FootnoteReference"/>
        </w:rPr>
        <w:t xml:space="preserve">41.</w:t>
      </w:r>
      <w:r>
        <w:t xml:space="preserve">In the principal dissent's view, the Government has not had a fair opportunity to address this accommodation,</w:t>
      </w:r>
      <w:r>
        <w:t xml:space="preserve"> </w:t>
      </w:r>
      <w:r>
        <w:rPr>
          <w:iCs/>
          <w:i/>
        </w:rPr>
        <w:t xml:space="preserve">post,</w:t>
      </w:r>
      <w:r>
        <w:t xml:space="preserve"> </w:t>
      </w:r>
      <w:r>
        <w:t xml:space="preserve">at 2803, n. 27, but the Government itself apparently believes that when it "provides an exception to a general rule for secular reasons (or for only certain religious reasons), [it] must explain why extending a comparable exception to a specific plaintiff for religious reasons would undermine its compelling interests." Brief for the United States as</w:t>
      </w:r>
      <w:r>
        <w:t xml:space="preserve"> </w:t>
      </w:r>
      <w:r>
        <w:rPr>
          <w:iCs/>
          <w:i/>
        </w:rPr>
        <w:t xml:space="preserve">Amicus Curiae</w:t>
      </w:r>
      <w:r>
        <w:t xml:space="preserve"> </w:t>
      </w:r>
      <w:r>
        <w:t xml:space="preserve">in</w:t>
      </w:r>
      <w:r>
        <w:t xml:space="preserve"> </w:t>
      </w:r>
      <w:r>
        <w:rPr>
          <w:iCs/>
          <w:i/>
        </w:rPr>
        <w:t xml:space="preserve">Holt v. Hobbs,</w:t>
      </w:r>
      <w:r>
        <w:t xml:space="preserve"> </w:t>
      </w:r>
      <w:r>
        <w:t xml:space="preserve">No. 13-6827, p. 10, now pending before the Court.</w:t>
      </w:r>
    </w:p>
    <w:p>
      <w:pPr>
        <w:pStyle w:val="CaseFootnoteText"/>
      </w:pPr>
      <w:r>
        <w:rPr>
          <w:rStyle w:val="FootnoteReference"/>
        </w:rPr>
        <w:t xml:space="preserve">42.</w:t>
      </w:r>
      <w:r>
        <w:t xml:space="preserve">Cf. 42 U.S.C. § 1396s (Federal "program for distribution of pediatric vaccines" for some uninsured and underinsured children).</w:t>
      </w:r>
    </w:p>
    <w:p>
      <w:pPr>
        <w:pStyle w:val="CaseFootnoteText"/>
      </w:pPr>
      <w:r>
        <w:rPr>
          <w:rStyle w:val="FootnoteReference"/>
        </w:rPr>
        <w:t xml:space="preserve">43.</w:t>
      </w:r>
      <w:r>
        <w:t xml:space="preserve">HHS highlights certain statements in the opinion in</w:t>
      </w:r>
      <w:r>
        <w:t xml:space="preserve"> </w:t>
      </w:r>
      <w:r>
        <w:rPr>
          <w:iCs/>
          <w:i/>
        </w:rPr>
        <w:t xml:space="preserve">Lee</w:t>
      </w:r>
      <w:r>
        <w:t xml:space="preserve"> </w:t>
      </w:r>
      <w:r>
        <w:t xml:space="preserve">that it regards as supporting its position in these cases. In particular, HHS notes the statement that "[w]hen followers of a particular sect enter into commercial activity as a matter of choice, the limits they accept on their own conduct as a matter of conscience and faith are not to be superimposed on the statutory schemes which are binding on others in that activity."</w:t>
      </w:r>
      <w:r>
        <w:t xml:space="preserve"> </w:t>
      </w:r>
      <w:r>
        <w:t xml:space="preserve">455 U.S., at 261</w:t>
      </w:r>
      <w:r>
        <w:t xml:space="preserve">,</w:t>
      </w:r>
      <w:r>
        <w:t xml:space="preserve"> </w:t>
      </w:r>
      <w:r>
        <w:t xml:space="preserve">102 S.Ct. 1051</w:t>
      </w:r>
      <w:r>
        <w:t xml:space="preserve">.</w:t>
      </w:r>
      <w:r>
        <w:rPr>
          <w:iCs/>
          <w:i/>
        </w:rPr>
        <w:t xml:space="preserve">Lee</w:t>
      </w:r>
      <w:r>
        <w:t xml:space="preserve"> </w:t>
      </w:r>
      <w:r>
        <w:t xml:space="preserve">was a free exercise, not a RFRA, case, and the statement to which HHS points, if taken at face value, is squarely inconsistent with the plain meaning of RFRA. Under RFRA, when followers of a particular religion choose to enter into commercial activity, the Government does not have a free hand in imposing obligations that substantially burden their exercise of religion. Rather, the Government can impose such a burden only if the strict RFRA test is met.</w:t>
      </w:r>
    </w:p>
    <w:p>
      <w:pPr>
        <w:pStyle w:val="CaseFootnoteText"/>
      </w:pPr>
      <w:r>
        <w:rPr>
          <w:rStyle w:val="FootnoteReference"/>
        </w:rPr>
        <w:t xml:space="preserve">1.</w:t>
      </w:r>
      <w:r>
        <w:t xml:space="preserve">The Court insists it has held none of these things, for another less restrictive alternative is at hand: extending an existing accommodation, currently limited to religious nonprofit organizations, to encompass commercial enterprises. See</w:t>
      </w:r>
      <w:r>
        <w:t xml:space="preserve"> </w:t>
      </w:r>
      <w:r>
        <w:rPr>
          <w:iCs/>
          <w:i/>
        </w:rPr>
        <w:t xml:space="preserve">ante,</w:t>
      </w:r>
      <w:r>
        <w:t xml:space="preserve"> </w:t>
      </w:r>
      <w:r>
        <w:t xml:space="preserve">at 2759 - 2760. With that accommodation extended, the Court asserts, "women would still be entitled to all [Food and Drug Administration]-approved contraceptives without cost sharing."</w:t>
      </w:r>
      <w:r>
        <w:t xml:space="preserve"> </w:t>
      </w:r>
      <w:r>
        <w:rPr>
          <w:iCs/>
          <w:i/>
        </w:rPr>
        <w:t xml:space="preserve">Ante,</w:t>
      </w:r>
      <w:r>
        <w:t xml:space="preserve"> </w:t>
      </w:r>
      <w:r>
        <w:t xml:space="preserve">at 2760. In the end, however, the Court is not so sure. In stark contrast to the Court's initial emphasis on this accommodation, it ultimately declines to decide whether the highlighted accommodation is even lawful. See</w:t>
      </w:r>
      <w:r>
        <w:t xml:space="preserve"> </w:t>
      </w:r>
      <w:r>
        <w:rPr>
          <w:iCs/>
          <w:i/>
        </w:rPr>
        <w:t xml:space="preserve">ante,</w:t>
      </w:r>
      <w:r>
        <w:t xml:space="preserve"> </w:t>
      </w:r>
      <w:r>
        <w:t xml:space="preserve">at 2782 ("We do not decide today whether an approach of this type complies with RFRA....").</w:t>
      </w:r>
    </w:p>
    <w:p>
      <w:pPr>
        <w:pStyle w:val="CaseFootnoteText"/>
      </w:pPr>
      <w:r>
        <w:rPr>
          <w:rStyle w:val="FootnoteReference"/>
        </w:rPr>
        <w:t xml:space="preserve">2.</w:t>
      </w:r>
      <w:r>
        <w:t xml:space="preserve">See 42 U.S.C. § 300gg-13(a)(1)-(3) (group health plans must provide coverage, without cost sharing, for (1) certain "evidence-based items or services" recommended by the U.S. Preventive Services Task Force; (2) immunizations recommended by an advisory committee of the Centers for Disease Control and Prevention; and (3) "with respect to infants, children, and adolescents, evidence-informed preventive care and screenings provided for in the comprehensive guidelines supported by the Health Resources and Services Administration").</w:t>
      </w:r>
    </w:p>
    <w:p>
      <w:pPr>
        <w:pStyle w:val="CaseFootnoteText"/>
      </w:pPr>
      <w:r>
        <w:rPr>
          <w:rStyle w:val="FootnoteReference"/>
        </w:rPr>
        <w:t xml:space="preserve">3.</w:t>
      </w:r>
      <w:r>
        <w:t xml:space="preserve">The IOM is an arm of the National Academy of Sciences, an organization Congress established "for the explicit purpose of furnishing advice to the Government."</w:t>
      </w:r>
      <w:r>
        <w:t xml:space="preserve"> </w:t>
      </w:r>
      <w:r>
        <w:rPr>
          <w:iCs/>
          <w:i/>
        </w:rPr>
        <w:t xml:space="preserve">Public Citizen v. Department of Justice,</w:t>
      </w:r>
      <w:r>
        <w:t xml:space="preserve"> </w:t>
      </w:r>
      <w:r>
        <w:t xml:space="preserve">491 U.S. 440</w:t>
      </w:r>
      <w:r>
        <w:t xml:space="preserve">, 460, n. 11,</w:t>
      </w:r>
      <w:r>
        <w:t xml:space="preserve"> </w:t>
      </w:r>
      <w:r>
        <w:t xml:space="preserve">109 S.Ct. 2558</w:t>
      </w:r>
      <w:r>
        <w:t xml:space="preserve">,</w:t>
      </w:r>
      <w:r>
        <w:t xml:space="preserve"> </w:t>
      </w:r>
      <w:r>
        <w:t xml:space="preserve">105 L.Ed.2d 377</w:t>
      </w:r>
      <w:r>
        <w:t xml:space="preserve"> </w:t>
      </w:r>
      <w:r>
        <w:t xml:space="preserve">(1989) (internal quotation marks omitted).</w:t>
      </w:r>
    </w:p>
    <w:p>
      <w:pPr>
        <w:pStyle w:val="CaseFootnoteText"/>
      </w:pPr>
      <w:r>
        <w:rPr>
          <w:rStyle w:val="FootnoteReference"/>
        </w:rPr>
        <w:t xml:space="preserve">4.</w:t>
      </w:r>
      <w:r>
        <w:t xml:space="preserve">HRSA, HHS, Women's Preventive Services Guidelines, available at http:// www. hrsa. gov/ womens guidelines/ (all Internet materials as visited June 27, 2014, and available in Clerk of Court's case file), reprinted in App. to Brief for Petitioners in No. 13-354, pp. 43-44a. See also 77 Fed.Reg. 8725-8726 (2012).</w:t>
      </w:r>
    </w:p>
    <w:p>
      <w:pPr>
        <w:pStyle w:val="CaseFootnoteText"/>
      </w:pPr>
      <w:r>
        <w:rPr>
          <w:rStyle w:val="FootnoteReference"/>
        </w:rPr>
        <w:t xml:space="preserve">6.</w:t>
      </w:r>
      <w:r>
        <w:t xml:space="preserve">Separating moral convictions from religious beliefs would be of questionable legitimacy. See</w:t>
      </w:r>
      <w:r>
        <w:t xml:space="preserve"> </w:t>
      </w:r>
      <w:r>
        <w:rPr>
          <w:iCs/>
          <w:i/>
        </w:rPr>
        <w:t xml:space="preserve">Welsh v. United States,</w:t>
      </w:r>
      <w:r>
        <w:t xml:space="preserve"> </w:t>
      </w:r>
      <w:r>
        <w:t xml:space="preserve">398 U.S. 333</w:t>
      </w:r>
      <w:r>
        <w:t xml:space="preserve">, 357-358,</w:t>
      </w:r>
      <w:r>
        <w:t xml:space="preserve"> </w:t>
      </w:r>
      <w:r>
        <w:t xml:space="preserve">90 S.Ct. 1792</w:t>
      </w:r>
      <w:r>
        <w:t xml:space="preserve">,</w:t>
      </w:r>
      <w:r>
        <w:t xml:space="preserve"> </w:t>
      </w:r>
      <w:r>
        <w:t xml:space="preserve">26 L.Ed.2d 308</w:t>
      </w:r>
      <w:r>
        <w:t xml:space="preserve"> </w:t>
      </w:r>
      <w:r>
        <w:t xml:space="preserve">(1970) (Harlan, J., concurring in result).</w:t>
      </w:r>
    </w:p>
    <w:p>
      <w:pPr>
        <w:pStyle w:val="CaseFootnoteText"/>
      </w:pPr>
      <w:r>
        <w:rPr>
          <w:rStyle w:val="FootnoteReference"/>
        </w:rPr>
        <w:t xml:space="preserve">7.</w:t>
      </w:r>
      <w:r>
        <w:t xml:space="preserve">As the Court explains, see</w:t>
      </w:r>
      <w:r>
        <w:t xml:space="preserve"> </w:t>
      </w:r>
      <w:r>
        <w:rPr>
          <w:iCs/>
          <w:i/>
        </w:rPr>
        <w:t xml:space="preserve">ante,</w:t>
      </w:r>
      <w:r>
        <w:t xml:space="preserve"> </w:t>
      </w:r>
      <w:r>
        <w:t xml:space="preserve">at 2764 - 2767, these cases arise from two separate lawsuits, one filed by Hobby Lobby, its affiliated business (Mardel), and the family that operates these businesses (the Greens); the other filed by Conestoga and the family that owns and controls that business (the Hahns). Unless otherwise specified, this opinion refers to the respective groups of plaintiffs as Hobby Lobby and Conestoga.</w:t>
      </w:r>
    </w:p>
    <w:p>
      <w:pPr>
        <w:pStyle w:val="CaseFootnoteText"/>
      </w:pPr>
      <w:r>
        <w:rPr>
          <w:rStyle w:val="FootnoteReference"/>
        </w:rPr>
        <w:t xml:space="preserve">8.</w:t>
      </w:r>
      <w:r>
        <w:t xml:space="preserve">See</w:t>
      </w:r>
      <w:r>
        <w:t xml:space="preserve"> </w:t>
      </w:r>
      <w:r>
        <w:rPr>
          <w:iCs/>
          <w:i/>
        </w:rPr>
        <w:t xml:space="preserve">Wisconsin v. Yoder,</w:t>
      </w:r>
      <w:r>
        <w:t xml:space="preserve"> </w:t>
      </w:r>
      <w:r>
        <w:t xml:space="preserve">406 U.S. 205</w:t>
      </w:r>
      <w:r>
        <w:t xml:space="preserve">, 230,</w:t>
      </w:r>
      <w:r>
        <w:t xml:space="preserve"> </w:t>
      </w:r>
      <w:r>
        <w:t xml:space="preserve">92 S.Ct. 1526</w:t>
      </w:r>
      <w:r>
        <w:t xml:space="preserve">,</w:t>
      </w:r>
      <w:r>
        <w:t xml:space="preserve"> </w:t>
      </w:r>
      <w:r>
        <w:t xml:space="preserve">32 L.Ed.2d 15</w:t>
      </w:r>
      <w:r>
        <w:t xml:space="preserve"> </w:t>
      </w:r>
      <w:r>
        <w:t xml:space="preserve">(1972) ("This case, of course, is not one in which any harm to the physical or mental health of the child or to the public safety, peace, order, or welfare has been demonstrated or may be properly inferred.");</w:t>
      </w:r>
      <w:r>
        <w:t xml:space="preserve"> </w:t>
      </w:r>
      <w:r>
        <w:rPr>
          <w:iCs/>
          <w:i/>
        </w:rPr>
        <w:t xml:space="preserve">Estate of Thornton v. Caldor, Inc.,</w:t>
      </w:r>
      <w:r>
        <w:t xml:space="preserve"> </w:t>
      </w:r>
      <w:r>
        <w:t xml:space="preserve">472 U.S. 703</w:t>
      </w:r>
      <w:r>
        <w:t xml:space="preserve">,</w:t>
      </w:r>
      <w:r>
        <w:t xml:space="preserve"> </w:t>
      </w:r>
      <w:r>
        <w:t xml:space="preserve">105 S.Ct. 2914</w:t>
      </w:r>
      <w:r>
        <w:t xml:space="preserve">,</w:t>
      </w:r>
      <w:r>
        <w:t xml:space="preserve"> </w:t>
      </w:r>
      <w:r>
        <w:t xml:space="preserve">86 L.Ed.2d 557</w:t>
      </w:r>
      <w:r>
        <w:t xml:space="preserve"> </w:t>
      </w:r>
      <w:r>
        <w:t xml:space="preserve">(1985) (invalidating state statute requiring employers to accommodate an employee's Sabbath observance where that statute failed to take into account the burden such an accommodation would impose on the employer or other employees). Notably, in construing the Religious Land Use and Institutionalized Persons Act of 2000 (RLUIPA), 42 U.S.C. § 2000cc</w:t>
      </w:r>
      <w:r>
        <w:t xml:space="preserve"> </w:t>
      </w:r>
      <w:r>
        <w:rPr>
          <w:iCs/>
          <w:i/>
        </w:rPr>
        <w:t xml:space="preserve">et seq.,</w:t>
      </w:r>
      <w:r>
        <w:t xml:space="preserve">the Court has cautioned that "adequate account" must be taken of "the burdens a requested accommodation may impose on nonbeneficiaries."</w:t>
      </w:r>
      <w:r>
        <w:t xml:space="preserve"> </w:t>
      </w:r>
      <w:r>
        <w:rPr>
          <w:iCs/>
          <w:i/>
        </w:rPr>
        <w:t xml:space="preserve">Cutter v. Wilkinson,</w:t>
      </w:r>
      <w:r>
        <w:t xml:space="preserve"> </w:t>
      </w:r>
      <w:r>
        <w:t xml:space="preserve">544 U.S. 709</w:t>
      </w:r>
      <w:r>
        <w:t xml:space="preserve">, 720,</w:t>
      </w:r>
      <w:r>
        <w:t xml:space="preserve"> </w:t>
      </w:r>
      <w:r>
        <w:t xml:space="preserve">125 S.Ct. 2113</w:t>
      </w:r>
      <w:r>
        <w:t xml:space="preserve">,</w:t>
      </w:r>
      <w:r>
        <w:t xml:space="preserve"> </w:t>
      </w:r>
      <w:r>
        <w:t xml:space="preserve">161 L.Ed.2d 1020</w:t>
      </w:r>
      <w:r>
        <w:t xml:space="preserve"> </w:t>
      </w:r>
      <w:r>
        <w:t xml:space="preserve">(2005); see</w:t>
      </w:r>
      <w:r>
        <w:t xml:space="preserve"> </w:t>
      </w:r>
      <w:r>
        <w:rPr>
          <w:iCs/>
          <w:i/>
        </w:rPr>
        <w:t xml:space="preserve">id.,</w:t>
      </w:r>
      <w:r>
        <w:t xml:space="preserve"> </w:t>
      </w:r>
      <w:r>
        <w:t xml:space="preserve">at 722</w:t>
      </w:r>
      <w:r>
        <w:t xml:space="preserve">,</w:t>
      </w:r>
      <w:r>
        <w:t xml:space="preserve"> </w:t>
      </w:r>
      <w:r>
        <w:t xml:space="preserve">125 S.Ct. 2113</w:t>
      </w:r>
      <w:r>
        <w:t xml:space="preserve"> </w:t>
      </w:r>
      <w:r>
        <w:t xml:space="preserve">("an accommodation must be measured so that it does not override other significant interests"). A balanced approach is all the more in order when the Free Exercise Clause itself is at stake, not a statute designed to promote accommodation to religious beliefs and practices.</w:t>
      </w:r>
    </w:p>
    <w:p>
      <w:pPr>
        <w:pStyle w:val="CaseFootnoteText"/>
      </w:pPr>
      <w:r>
        <w:rPr>
          <w:rStyle w:val="FootnoteReference"/>
        </w:rPr>
        <w:t xml:space="preserve">9.</w:t>
      </w:r>
      <w:r>
        <w:t xml:space="preserve">Under</w:t>
      </w:r>
      <w:r>
        <w:t xml:space="preserve"> </w:t>
      </w:r>
      <w:r>
        <w:rPr>
          <w:iCs/>
          <w:i/>
        </w:rPr>
        <w:t xml:space="preserve">Sherbert</w:t>
      </w:r>
      <w:r>
        <w:t xml:space="preserve"> </w:t>
      </w:r>
      <w:r>
        <w:t xml:space="preserve">and</w:t>
      </w:r>
      <w:r>
        <w:t xml:space="preserve"> </w:t>
      </w:r>
      <w:r>
        <w:rPr>
          <w:iCs/>
          <w:i/>
        </w:rPr>
        <w:t xml:space="preserve">Yoder,</w:t>
      </w:r>
      <w:r>
        <w:t xml:space="preserve"> </w:t>
      </w:r>
      <w:r>
        <w:t xml:space="preserve">the Court "requir[ed] the government to justify any substantial burden on religiously motivated conduct by a compelling state interest and by means narrowly tailored to achieve that interest."</w:t>
      </w:r>
      <w:r>
        <w:t xml:space="preserve"> </w:t>
      </w:r>
      <w:r>
        <w:rPr>
          <w:iCs/>
          <w:i/>
        </w:rPr>
        <w:t xml:space="preserve">Employment Div., Dept. of Human Resources of Ore. v. Smith,</w:t>
      </w:r>
      <w:r>
        <w:t xml:space="preserve"> </w:t>
      </w:r>
      <w:r>
        <w:t xml:space="preserve">494 U.S. 872</w:t>
      </w:r>
      <w:r>
        <w:t xml:space="preserve">, 894,</w:t>
      </w:r>
      <w:r>
        <w:t xml:space="preserve"> </w:t>
      </w:r>
      <w:r>
        <w:t xml:space="preserve">110 S.Ct. 1595</w:t>
      </w:r>
      <w:r>
        <w:t xml:space="preserve">,</w:t>
      </w:r>
      <w:r>
        <w:t xml:space="preserve"> </w:t>
      </w:r>
      <w:r>
        <w:t xml:space="preserve">108 L.Ed.2d 876</w:t>
      </w:r>
      <w:r>
        <w:t xml:space="preserve"> </w:t>
      </w:r>
      <w:r>
        <w:t xml:space="preserve">(1990) (O'Connor, J., concurring in judgment).</w:t>
      </w:r>
    </w:p>
    <w:p>
      <w:pPr>
        <w:pStyle w:val="CaseFootnoteText"/>
      </w:pPr>
      <w:r>
        <w:rPr>
          <w:rStyle w:val="FootnoteReference"/>
        </w:rPr>
        <w:t xml:space="preserve">10.</w:t>
      </w:r>
      <w:r>
        <w:t xml:space="preserve">RLUIPA, the Court notes, includes a provision directing that "[t]his chapter [</w:t>
      </w:r>
      <w:r>
        <w:t xml:space="preserve"> </w:t>
      </w:r>
      <w:r>
        <w:rPr>
          <w:iCs/>
          <w:i/>
        </w:rPr>
        <w:t xml:space="preserve">i.e.,</w:t>
      </w:r>
      <w:r>
        <w:t xml:space="preserve"> </w:t>
      </w:r>
      <w:r>
        <w:t xml:space="preserve">RLUIPA] shall be construed in favor of a broad protection of religious exercise, to the maximum extent permitted by the terms of [the Act] and the Constitution." 42 U.S.C. § 2000cc-3(g); see</w:t>
      </w:r>
      <w:r>
        <w:t xml:space="preserve"> </w:t>
      </w:r>
      <w:r>
        <w:rPr>
          <w:iCs/>
          <w:i/>
        </w:rPr>
        <w:t xml:space="preserve">ante,</w:t>
      </w:r>
      <w:r>
        <w:t xml:space="preserve"> </w:t>
      </w:r>
      <w:r>
        <w:t xml:space="preserve">at 2761 - 2762, 2772. RFRA incorporates RLUIPA's definition of "exercise of religion," as RLUIPA does, but contains no omnibus rule of construction governing the statute in its entirety.</w:t>
      </w:r>
    </w:p>
    <w:p>
      <w:pPr>
        <w:pStyle w:val="CaseFootnoteText"/>
      </w:pPr>
      <w:r>
        <w:rPr>
          <w:rStyle w:val="FootnoteReference"/>
        </w:rPr>
        <w:t xml:space="preserve">11.</w:t>
      </w:r>
      <w:r>
        <w:t xml:space="preserve">The Court points out that I joined the majority opinion in</w:t>
      </w:r>
      <w:r>
        <w:t xml:space="preserve"> </w:t>
      </w:r>
      <w:r>
        <w:rPr>
          <w:iCs/>
          <w:i/>
        </w:rPr>
        <w:t xml:space="preserve">City of Boerne</w:t>
      </w:r>
      <w:r>
        <w:t xml:space="preserve"> </w:t>
      </w:r>
      <w:r>
        <w:t xml:space="preserve">and did not then question the statement that "least restrictive means ... was not used [pre-</w:t>
      </w:r>
      <w:r>
        <w:t xml:space="preserve"> </w:t>
      </w:r>
      <w:r>
        <w:rPr>
          <w:iCs/>
          <w:i/>
        </w:rPr>
        <w:t xml:space="preserve">Smith</w:t>
      </w:r>
      <w:r>
        <w:t xml:space="preserve"> </w:t>
      </w:r>
      <w:r>
        <w:t xml:space="preserve">]."</w:t>
      </w:r>
      <w:r>
        <w:t xml:space="preserve"> </w:t>
      </w:r>
      <w:r>
        <w:rPr>
          <w:iCs/>
          <w:i/>
        </w:rPr>
        <w:t xml:space="preserve">Ante,</w:t>
      </w:r>
      <w:r>
        <w:t xml:space="preserve"> </w:t>
      </w:r>
      <w:r>
        <w:t xml:space="preserve">at 2767, n. 18. Concerning that observation, I remind my colleagues of Justice Jackson's sage comment: "I see no reason why I should be consciously wrong today because I was unconsciously wrong yesterday."</w:t>
      </w:r>
      <w:r>
        <w:t xml:space="preserve"> </w:t>
      </w:r>
      <w:r>
        <w:rPr>
          <w:iCs/>
          <w:i/>
        </w:rPr>
        <w:t xml:space="preserve">Massachusetts v. United States,</w:t>
      </w:r>
      <w:r>
        <w:t xml:space="preserve"> </w:t>
      </w:r>
      <w:r>
        <w:t xml:space="preserve">333 U.S. 611</w:t>
      </w:r>
      <w:r>
        <w:t xml:space="preserve">, 639-640,</w:t>
      </w:r>
      <w:r>
        <w:t xml:space="preserve"> </w:t>
      </w:r>
      <w:r>
        <w:t xml:space="preserve">68 S.Ct. 747</w:t>
      </w:r>
      <w:r>
        <w:t xml:space="preserve">,</w:t>
      </w:r>
      <w:r>
        <w:t xml:space="preserve"> </w:t>
      </w:r>
      <w:r>
        <w:t xml:space="preserve">92 L.Ed. 968</w:t>
      </w:r>
      <w:r>
        <w:t xml:space="preserve"> </w:t>
      </w:r>
      <w:r>
        <w:t xml:space="preserve">(1948) (dissenting opinion).</w:t>
      </w:r>
    </w:p>
    <w:p>
      <w:pPr>
        <w:pStyle w:val="CaseFootnoteText"/>
      </w:pPr>
      <w:r>
        <w:rPr>
          <w:rStyle w:val="FootnoteReference"/>
        </w:rPr>
        <w:t xml:space="preserve">12.</w:t>
      </w:r>
      <w:r>
        <w:t xml:space="preserve">As earlier explained, see</w:t>
      </w:r>
      <w:r>
        <w:t xml:space="preserve"> </w:t>
      </w:r>
      <w:r>
        <w:rPr>
          <w:iCs/>
          <w:i/>
        </w:rPr>
        <w:t xml:space="preserve">supra,</w:t>
      </w:r>
      <w:r>
        <w:t xml:space="preserve"> </w:t>
      </w:r>
      <w:r>
        <w:t xml:space="preserve">at 2791 - 2792, RLUIPA's amendment of the definition of "exercise of religion" does not bear the weight the Court places on it. Moreover, it is passing strange to attribute to RLUIPA any purpose to cover entities other than "religious assembl[ies] or institution[s]." 42 U.S.C. § 2000cc(a)(1). But cf.</w:t>
      </w:r>
      <w:r>
        <w:t xml:space="preserve"> </w:t>
      </w:r>
      <w:r>
        <w:rPr>
          <w:iCs/>
          <w:i/>
        </w:rPr>
        <w:t xml:space="preserve">ante,</w:t>
      </w:r>
      <w:r>
        <w:t xml:space="preserve"> </w:t>
      </w:r>
      <w:r>
        <w:t xml:space="preserve">at 2772. That law applies to land-use regulation. § 2000cc(a)(1). To permit commercial enterprises to challenge zoning and other land-use regulations under RLUIPA would "dramatically expand the statute's reach" and deeply intrude on local prerogatives, contrary to Congress' intent. Brief for National League of Cities et al. as</w:t>
      </w:r>
      <w:r>
        <w:t xml:space="preserve"> </w:t>
      </w:r>
      <w:r>
        <w:rPr>
          <w:iCs/>
          <w:i/>
        </w:rPr>
        <w:t xml:space="preserve">Amici Curiae</w:t>
      </w:r>
      <w:r>
        <w:t xml:space="preserve"> </w:t>
      </w:r>
      <w:r>
        <w:t xml:space="preserve">26.</w:t>
      </w:r>
    </w:p>
    <w:p>
      <w:pPr>
        <w:pStyle w:val="CaseFootnoteText"/>
      </w:pPr>
      <w:r>
        <w:rPr>
          <w:rStyle w:val="FootnoteReference"/>
        </w:rPr>
        <w:t xml:space="preserve">13.</w:t>
      </w:r>
      <w:r>
        <w:t xml:space="preserve">The Court regards</w:t>
      </w:r>
      <w:r>
        <w:t xml:space="preserve"> </w:t>
      </w:r>
      <w:r>
        <w:rPr>
          <w:iCs/>
          <w:i/>
        </w:rPr>
        <w:t xml:space="preserve">Gallagher v. Crown Kosher Super Market of Mass., Inc.,</w:t>
      </w:r>
      <w:r>
        <w:t xml:space="preserve"> </w:t>
      </w:r>
      <w:r>
        <w:t xml:space="preserve">366 U.S. 617</w:t>
      </w:r>
      <w:r>
        <w:t xml:space="preserve">,</w:t>
      </w:r>
      <w:r>
        <w:t xml:space="preserve"> </w:t>
      </w:r>
      <w:r>
        <w:t xml:space="preserve">81 S.Ct. 1122</w:t>
      </w:r>
      <w:r>
        <w:t xml:space="preserve">,</w:t>
      </w:r>
      <w:r>
        <w:t xml:space="preserve"> </w:t>
      </w:r>
      <w:r>
        <w:t xml:space="preserve">6 L.Ed.2d 536</w:t>
      </w:r>
      <w:r>
        <w:t xml:space="preserve"> </w:t>
      </w:r>
      <w:r>
        <w:t xml:space="preserve">(1961), as "suggest [ing] ... that for-profit corporations possess [free-exercise] rights."</w:t>
      </w:r>
      <w:r>
        <w:t xml:space="preserve"> </w:t>
      </w:r>
      <w:r>
        <w:rPr>
          <w:iCs/>
          <w:i/>
        </w:rPr>
        <w:t xml:space="preserve">Ante,</w:t>
      </w:r>
      <w:r>
        <w:t xml:space="preserve"> </w:t>
      </w:r>
      <w:r>
        <w:t xml:space="preserve">at 2772 - 2773. See also</w:t>
      </w:r>
      <w:r>
        <w:t xml:space="preserve"> </w:t>
      </w:r>
      <w:r>
        <w:rPr>
          <w:iCs/>
          <w:i/>
        </w:rPr>
        <w:t xml:space="preserve">ante,</w:t>
      </w:r>
      <w:r>
        <w:t xml:space="preserve"> </w:t>
      </w:r>
      <w:r>
        <w:t xml:space="preserve">at 2769, n. 21. The suggestion is barely there. True, one of the five challengers to the Sunday closing law assailed in</w:t>
      </w:r>
      <w:r>
        <w:t xml:space="preserve"> </w:t>
      </w:r>
      <w:r>
        <w:rPr>
          <w:iCs/>
          <w:i/>
        </w:rPr>
        <w:t xml:space="preserve">Gallagher</w:t>
      </w:r>
      <w:r>
        <w:t xml:space="preserve"> </w:t>
      </w:r>
      <w:r>
        <w:t xml:space="preserve">was a corporation owned by four Orthodox Jews. The other challengers were human individuals, not artificial, law-created entities, so there was no need to determine whether the corporation could institute the litigation. Accordingly, the plurality stated it could pretermit the question "whether appellees ha[d] standing" because</w:t>
      </w:r>
      <w:r>
        <w:t xml:space="preserve"> </w:t>
      </w:r>
      <w:r>
        <w:rPr>
          <w:iCs/>
          <w:i/>
        </w:rPr>
        <w:t xml:space="preserve">Braunfeld v. Brown,</w:t>
      </w:r>
      <w:r>
        <w:t xml:space="preserve"> </w:t>
      </w:r>
      <w:r>
        <w:t xml:space="preserve">366 U.S. 599</w:t>
      </w:r>
      <w:r>
        <w:t xml:space="preserve">,</w:t>
      </w:r>
      <w:r>
        <w:t xml:space="preserve"> </w:t>
      </w:r>
      <w:r>
        <w:t xml:space="preserve">81 S.Ct. 1144</w:t>
      </w:r>
      <w:r>
        <w:t xml:space="preserve">,</w:t>
      </w:r>
      <w:r>
        <w:t xml:space="preserve"> </w:t>
      </w:r>
      <w:r>
        <w:t xml:space="preserve">6 L.Ed.2d 563</w:t>
      </w:r>
      <w:r>
        <w:t xml:space="preserve"> </w:t>
      </w:r>
      <w:r>
        <w:t xml:space="preserve">(1961), which upheld a similar closing law, was fatal to their claim on the merits. 366 U.S., at 631,</w:t>
      </w:r>
      <w:r>
        <w:t xml:space="preserve"> </w:t>
      </w:r>
      <w:r>
        <w:t xml:space="preserve">81 S.Ct. 1122</w:t>
      </w:r>
      <w:r>
        <w:t xml:space="preserve">.</w:t>
      </w:r>
    </w:p>
    <w:p>
      <w:pPr>
        <w:pStyle w:val="CaseFootnoteText"/>
      </w:pPr>
      <w:r>
        <w:rPr>
          <w:rStyle w:val="FootnoteReference"/>
        </w:rPr>
        <w:t xml:space="preserve">14.</w:t>
      </w:r>
      <w:r>
        <w:t xml:space="preserve">See,</w:t>
      </w:r>
      <w:r>
        <w:t xml:space="preserve"> </w:t>
      </w:r>
      <w:r>
        <w:rPr>
          <w:iCs/>
          <w:i/>
        </w:rPr>
        <w:t xml:space="preserve">e.g.,Hosanna-Tabor Evangelical Lutheran Church and School v. EEOC,</w:t>
      </w:r>
      <w:r>
        <w:t xml:space="preserve"> </w:t>
      </w:r>
      <w:r>
        <w:t xml:space="preserve">565 U.S. ----,</w:t>
      </w:r>
      <w:r>
        <w:t xml:space="preserve"> </w:t>
      </w:r>
      <w:r>
        <w:t xml:space="preserve">132 S.Ct. 694</w:t>
      </w:r>
      <w:r>
        <w:t xml:space="preserve">,</w:t>
      </w:r>
      <w:r>
        <w:t xml:space="preserve"> </w:t>
      </w:r>
      <w:r>
        <w:t xml:space="preserve">181 L.Ed.2d 650</w:t>
      </w:r>
      <w:r>
        <w:t xml:space="preserve"> </w:t>
      </w:r>
      <w:r>
        <w:t xml:space="preserve">(2012);</w:t>
      </w:r>
      <w:r>
        <w:t xml:space="preserve"> </w:t>
      </w:r>
      <w:r>
        <w:rPr>
          <w:iCs/>
          <w:i/>
        </w:rPr>
        <w:t xml:space="preserve">Gonzales v. O Centro Espírita Beneficente Uniao do Vegetal,</w:t>
      </w:r>
      <w:r>
        <w:t xml:space="preserve"> </w:t>
      </w:r>
      <w:r>
        <w:t xml:space="preserve">546 U.S. 418</w:t>
      </w:r>
      <w:r>
        <w:t xml:space="preserve">,</w:t>
      </w:r>
      <w:r>
        <w:t xml:space="preserve"> </w:t>
      </w:r>
      <w:r>
        <w:t xml:space="preserve">126 S.Ct. 1211</w:t>
      </w:r>
      <w:r>
        <w:t xml:space="preserve">,</w:t>
      </w:r>
      <w:r>
        <w:t xml:space="preserve"> </w:t>
      </w:r>
      <w:r>
        <w:t xml:space="preserve">163 L.Ed.2d 1017</w:t>
      </w:r>
      <w:r>
        <w:t xml:space="preserve"> </w:t>
      </w:r>
      <w:r>
        <w:t xml:space="preserve">(2006);</w:t>
      </w:r>
      <w:r>
        <w:t xml:space="preserve"> </w:t>
      </w:r>
      <w:r>
        <w:rPr>
          <w:iCs/>
          <w:i/>
        </w:rPr>
        <w:t xml:space="preserve">Church of Lukumi Babalu Aye, Inc. v. Hialeah,</w:t>
      </w:r>
      <w:r>
        <w:t xml:space="preserve"> </w:t>
      </w:r>
      <w:r>
        <w:t xml:space="preserve">508 U.S. 520</w:t>
      </w:r>
      <w:r>
        <w:t xml:space="preserve">,</w:t>
      </w:r>
      <w:r>
        <w:t xml:space="preserve"> </w:t>
      </w:r>
      <w:r>
        <w:t xml:space="preserve">113 S.Ct. 2217</w:t>
      </w:r>
      <w:r>
        <w:t xml:space="preserve">,</w:t>
      </w:r>
      <w:r>
        <w:t xml:space="preserve"> </w:t>
      </w:r>
      <w:r>
        <w:t xml:space="preserve">124 L.Ed.2d 472</w:t>
      </w:r>
      <w:r>
        <w:t xml:space="preserve"> </w:t>
      </w:r>
      <w:r>
        <w:t xml:space="preserve">(1993);</w:t>
      </w:r>
      <w:r>
        <w:t xml:space="preserve"> </w:t>
      </w:r>
      <w:r>
        <w:rPr>
          <w:iCs/>
          <w:i/>
        </w:rPr>
        <w:t xml:space="preserve">Jimmy Swaggart Ministries v. Board of Equalization of Cal.,</w:t>
      </w:r>
      <w:r>
        <w:t xml:space="preserve"> </w:t>
      </w:r>
      <w:r>
        <w:t xml:space="preserve">493 U.S. 378</w:t>
      </w:r>
      <w:r>
        <w:t xml:space="preserve">,</w:t>
      </w:r>
      <w:r>
        <w:t xml:space="preserve"> </w:t>
      </w:r>
      <w:r>
        <w:t xml:space="preserve">110 S.Ct. 688</w:t>
      </w:r>
      <w:r>
        <w:t xml:space="preserve">,</w:t>
      </w:r>
      <w:r>
        <w:t xml:space="preserve"> </w:t>
      </w:r>
      <w:r>
        <w:t xml:space="preserve">107 L.Ed.2d 796</w:t>
      </w:r>
      <w:r>
        <w:t xml:space="preserve"> </w:t>
      </w:r>
      <w:r>
        <w:t xml:space="preserve">(1990).</w:t>
      </w:r>
    </w:p>
    <w:p>
      <w:pPr>
        <w:pStyle w:val="CaseFootnoteText"/>
      </w:pPr>
      <w:r>
        <w:rPr>
          <w:rStyle w:val="FootnoteReference"/>
        </w:rPr>
        <w:t xml:space="preserve">15.</w:t>
      </w:r>
      <w:r>
        <w:t xml:space="preserve">Typically, Congress has accorded to organizations religious in character religion-based exemptions from statutes of general application.</w:t>
      </w:r>
      <w:r>
        <w:t xml:space="preserve"> </w:t>
      </w:r>
      <w:r>
        <w:rPr>
          <w:iCs/>
          <w:i/>
        </w:rPr>
        <w:t xml:space="preserve">E.g.,</w:t>
      </w:r>
      <w:r>
        <w:t xml:space="preserve"> </w:t>
      </w:r>
      <w:r>
        <w:t xml:space="preserve">42 U.S.C. § 2000e-1(a) (Title VII exemption from prohibition against employment discrimination based on religion for "a religious corporation, association, educational institution, or society with respect to the employment of individuals of a particular religion to perform work connected with the carrying on ... of its activities");</w:t>
      </w:r>
      <w:r>
        <w:t xml:space="preserve"> </w:t>
      </w:r>
      <w:r>
        <w:t xml:space="preserve">42 U.S.C. § 12113</w:t>
      </w:r>
      <w:r>
        <w:t xml:space="preserve">(d)(1) (parallel exemption in Americans With Disabilities Act of 1990). It can scarcely be maintained that RFRA enlarges these exemptions to allow Hobby Lobby and Conestoga to hire only persons who share the religious beliefs of the Greens or Hahns. Nor does the Court suggest otherwise. Cf.</w:t>
      </w:r>
      <w:r>
        <w:t xml:space="preserve"> </w:t>
      </w:r>
      <w:r>
        <w:rPr>
          <w:iCs/>
          <w:i/>
        </w:rPr>
        <w:t xml:space="preserve">ante,</w:t>
      </w:r>
      <w:r>
        <w:t xml:space="preserve"> </w:t>
      </w:r>
      <w:r>
        <w:t xml:space="preserve">at 2773.</w:t>
      </w:r>
    </w:p>
    <w:p>
      <w:pPr>
        <w:pStyle w:val="CaseFootnoteText"/>
      </w:pPr>
      <w:r>
        <w:t xml:space="preserve">The Court does identify two statutory exemptions it reads to cover for-profit corporations, 42 U.S.C. §§ 300a-7(b)(2) and 238n(a), and infers from them that "Congress speaks with specificity when it intends a religious accommodation not to extend to for-profit corporations,"</w:t>
      </w:r>
      <w:r>
        <w:t xml:space="preserve"> </w:t>
      </w:r>
      <w:r>
        <w:rPr>
          <w:iCs/>
          <w:i/>
        </w:rPr>
        <w:t xml:space="preserve">ante,</w:t>
      </w:r>
      <w:r>
        <w:t xml:space="preserve"> </w:t>
      </w:r>
      <w:r>
        <w:t xml:space="preserve">at 2774. The Court's inference is unwarranted. The exemptions the Court cites cover certain medical personnel who object to performing or assisting with abortions. Cf.</w:t>
      </w:r>
      <w:r>
        <w:t xml:space="preserve"> </w:t>
      </w:r>
      <w:r>
        <w:rPr>
          <w:iCs/>
          <w:i/>
        </w:rPr>
        <w:t xml:space="preserve">ante,</w:t>
      </w:r>
      <w:r>
        <w:t xml:space="preserve"> </w:t>
      </w:r>
      <w:r>
        <w:t xml:space="preserve">at 2773, n. 27 ("the protection provided by § 238n(a) differs significantly from the protection provided by RFRA"). Notably, the Court does not assert that these exemptions have in fact been afforded to for-profit corporations. See § 238n(c) ("health care entity" covered by exemption is a term defined to include "an individual physician, a postgraduate physician training program, and a participant in a program of training in the health professions"); Tozzi, Whither Free Exercise:</w:t>
      </w:r>
      <w:r>
        <w:t xml:space="preserve"> </w:t>
      </w:r>
      <w:r>
        <w:rPr>
          <w:iCs/>
          <w:i/>
        </w:rPr>
        <w:t xml:space="preserve">Employment Division v. Smith</w:t>
      </w:r>
      <w:r>
        <w:t xml:space="preserve"> </w:t>
      </w:r>
      <w:r>
        <w:t xml:space="preserve">and the Rebirth of State Constitutional Free Exercise Clause Jurisprudence?, 48 J. Catholic Legal Studies 269, 296, n. 133 (2009) ("Catholic physicians, but not necessarily hospitals, ... may be able to invoke [§ 238n(a) ]...."); cf. S. 137, 113th Cong., 1st Sess. (2013) (as introduced) (Abortion Non-Discrimination Act of 2013, which would amend the definition of "health care entity" in § 238n to include "hospital[s]," "health insurance plan[s]," and other health care facilities). These provisions are revealing in a way that detracts from one of the Court's main arguments. They show that Congress is not content to rest on the Dictionary Act when it wishes to ensure that particular entities are among those eligible for a religious accommodation.</w:t>
      </w:r>
    </w:p>
    <w:p>
      <w:pPr>
        <w:pStyle w:val="CaseFootnoteText"/>
      </w:pPr>
      <w:r>
        <w:t xml:space="preserve">Moreover, the exemption codified in § 238n(a) was not enacted until three years after RFRA's passage. See Omnibus Consolidated Rescissions and Appropriations Act of 1996, § 515,</w:t>
      </w:r>
      <w:r>
        <w:t xml:space="preserve"> </w:t>
      </w:r>
      <w:r>
        <w:t xml:space="preserve">110 Stat. 1321</w:t>
      </w:r>
      <w:r>
        <w:t xml:space="preserve">-245. If, as the Court believes, RFRA opened all statutory schemes to religion-based challenges by for-profit corporations, there would be no need for a statute-specific, post-RFRA exemption of this sort.</w:t>
      </w:r>
    </w:p>
    <w:p>
      <w:pPr>
        <w:pStyle w:val="CaseFootnoteText"/>
      </w:pPr>
      <w:r>
        <w:rPr>
          <w:rStyle w:val="FootnoteReference"/>
        </w:rPr>
        <w:t xml:space="preserve">16.</w:t>
      </w:r>
      <w:r>
        <w:t xml:space="preserve">That is not to say that a category of plaintiffs, such as resident aliens, may bring RFRA claims only if this Court expressly "addressed their [free-exercise] rights before</w:t>
      </w:r>
      <w:r>
        <w:t xml:space="preserve"> </w:t>
      </w:r>
      <w:r>
        <w:rPr>
          <w:iCs/>
          <w:i/>
        </w:rPr>
        <w:t xml:space="preserve">Smith</w:t>
      </w:r>
      <w:r>
        <w:t xml:space="preserve">."</w:t>
      </w:r>
      <w:r>
        <w:t xml:space="preserve"> </w:t>
      </w:r>
      <w:r>
        <w:rPr>
          <w:iCs/>
          <w:i/>
        </w:rPr>
        <w:t xml:space="preserve">Ante,</w:t>
      </w:r>
      <w:r>
        <w:t xml:space="preserve"> </w:t>
      </w:r>
      <w:r>
        <w:t xml:space="preserve">at 2773. Continuing with the Court's example, resident aliens, unlike corporations, are flesh-and-blood individuals who plainly count as persons sheltered by the First Amendment, see</w:t>
      </w:r>
      <w:r>
        <w:t xml:space="preserve"> </w:t>
      </w:r>
      <w:r>
        <w:rPr>
          <w:iCs/>
          <w:i/>
        </w:rPr>
        <w:t xml:space="preserve">United States v. Verdugo-Urquidez,</w:t>
      </w:r>
      <w:r>
        <w:t xml:space="preserve"> </w:t>
      </w:r>
      <w:r>
        <w:t xml:space="preserve">494 U.S. 259</w:t>
      </w:r>
      <w:r>
        <w:t xml:space="preserve">, 271,</w:t>
      </w:r>
      <w:r>
        <w:t xml:space="preserve"> </w:t>
      </w:r>
      <w:r>
        <w:t xml:space="preserve">110 S.Ct. 1056</w:t>
      </w:r>
      <w:r>
        <w:t xml:space="preserve">,</w:t>
      </w:r>
      <w:r>
        <w:t xml:space="preserve"> </w:t>
      </w:r>
      <w:r>
        <w:t xml:space="preserve">108 L.Ed.2d 222</w:t>
      </w:r>
      <w:r>
        <w:t xml:space="preserve"> </w:t>
      </w:r>
      <w:r>
        <w:t xml:space="preserve">(1990) (citing</w:t>
      </w:r>
      <w:r>
        <w:t xml:space="preserve"> </w:t>
      </w:r>
      <w:r>
        <w:rPr>
          <w:iCs/>
          <w:i/>
        </w:rPr>
        <w:t xml:space="preserve">Bridges v. Wixon,</w:t>
      </w:r>
      <w:r>
        <w:t xml:space="preserve"> </w:t>
      </w:r>
      <w:r>
        <w:t xml:space="preserve">326 U.S. 135</w:t>
      </w:r>
      <w:r>
        <w:t xml:space="preserve">, 148,</w:t>
      </w:r>
      <w:r>
        <w:t xml:space="preserve"> </w:t>
      </w:r>
      <w:r>
        <w:t xml:space="preserve">65 S.Ct. 1443</w:t>
      </w:r>
      <w:r>
        <w:t xml:space="preserve">,</w:t>
      </w:r>
      <w:r>
        <w:t xml:space="preserve"> </w:t>
      </w:r>
      <w:r>
        <w:t xml:space="preserve">89 L.Ed. 2103</w:t>
      </w:r>
      <w:r>
        <w:t xml:space="preserve"> </w:t>
      </w:r>
      <w:r>
        <w:t xml:space="preserve">(1945)), and</w:t>
      </w:r>
      <w:r>
        <w:t xml:space="preserve"> </w:t>
      </w:r>
      <w:r>
        <w:rPr>
          <w:iCs/>
          <w:i/>
        </w:rPr>
        <w:t xml:space="preserve">a fortiori,</w:t>
      </w:r>
      <w:r>
        <w:t xml:space="preserve"> </w:t>
      </w:r>
      <w:r>
        <w:t xml:space="preserve">RFRA.</w:t>
      </w:r>
    </w:p>
    <w:p>
      <w:pPr>
        <w:pStyle w:val="CaseFootnoteText"/>
      </w:pPr>
      <w:r>
        <w:rPr>
          <w:rStyle w:val="FootnoteReference"/>
        </w:rPr>
        <w:t xml:space="preserve">17.</w:t>
      </w:r>
      <w:r>
        <w:t xml:space="preserve">I part ways with Justice KENNEDY on the context relevant here. He sees it as the employers' "exercise [of] their religious beliefs within the context of their own closely held, for-profit corporations."</w:t>
      </w:r>
      <w:r>
        <w:t xml:space="preserve"> </w:t>
      </w:r>
      <w:r>
        <w:rPr>
          <w:iCs/>
          <w:i/>
        </w:rPr>
        <w:t xml:space="preserve">Ante,</w:t>
      </w:r>
      <w:r>
        <w:t xml:space="preserve"> </w:t>
      </w:r>
      <w:r>
        <w:t xml:space="preserve">at 2785 (concurring opinion). See also</w:t>
      </w:r>
      <w:r>
        <w:t xml:space="preserve"> </w:t>
      </w:r>
      <w:r>
        <w:rPr>
          <w:iCs/>
          <w:i/>
        </w:rPr>
        <w:t xml:space="preserve">ante,</w:t>
      </w:r>
      <w:r>
        <w:t xml:space="preserve"> </w:t>
      </w:r>
      <w:r>
        <w:t xml:space="preserve">at 2782 - 2783 (opinion of the Court) (similarly concentrating on religious faith of employers without reference to the different beliefs and liberty interests of employees). I see as the relevant context the employers' asserted right to exercise religion within a nationwide program designed to protect against health hazards employees who do not subscribe to their employers' religious beliefs.</w:t>
      </w:r>
    </w:p>
    <w:p>
      <w:pPr>
        <w:pStyle w:val="CaseFootnoteText"/>
      </w:pPr>
      <w:r>
        <w:rPr>
          <w:rStyle w:val="FootnoteReference"/>
        </w:rPr>
        <w:t xml:space="preserve">18.</w:t>
      </w:r>
      <w:r>
        <w:t xml:space="preserve">According to the Court, the Government "concedes" that "nonprofit corporation[s]" are protected by RFRA.</w:t>
      </w:r>
      <w:r>
        <w:t xml:space="preserve"> </w:t>
      </w:r>
      <w:r>
        <w:rPr>
          <w:iCs/>
          <w:i/>
        </w:rPr>
        <w:t xml:space="preserve">Ante,</w:t>
      </w:r>
      <w:r>
        <w:t xml:space="preserve"> </w:t>
      </w:r>
      <w:r>
        <w:t xml:space="preserve">at 2768. See also</w:t>
      </w:r>
      <w:r>
        <w:t xml:space="preserve"> </w:t>
      </w:r>
      <w:r>
        <w:rPr>
          <w:iCs/>
          <w:i/>
        </w:rPr>
        <w:t xml:space="preserve">ante,</w:t>
      </w:r>
      <w:r>
        <w:t xml:space="preserve"> </w:t>
      </w:r>
      <w:r>
        <w:t xml:space="preserve">at 2769, 2771, 2774. That is not an accurate description of the Government's position, which encompasses only "churches," "</w:t>
      </w:r>
      <w:r>
        <w:t xml:space="preserve"> </w:t>
      </w:r>
      <w:r>
        <w:rPr>
          <w:iCs/>
          <w:i/>
        </w:rPr>
        <w:t xml:space="preserve">religious</w:t>
      </w:r>
      <w:r>
        <w:t xml:space="preserve"> </w:t>
      </w:r>
      <w:r>
        <w:t xml:space="preserve">institutions," and "</w:t>
      </w:r>
      <w:r>
        <w:t xml:space="preserve"> </w:t>
      </w:r>
      <w:r>
        <w:rPr>
          <w:iCs/>
          <w:i/>
        </w:rPr>
        <w:t xml:space="preserve">religious</w:t>
      </w:r>
      <w:r>
        <w:t xml:space="preserve"> </w:t>
      </w:r>
      <w:r>
        <w:t xml:space="preserve">non-profits." Brief for Respondents in No. 13-356, p. 28 (emphasis added). See also Reply Brief in No. 13-354, p. 8 ("RFRA incorporates the longstanding and common-sense distinction between religious organizations, which sometimes have been accorded accommodations under generally applicable laws in recognition of their accepted religious character, and for-profit corporations organized to do business in the commercial world.").</w:t>
      </w:r>
    </w:p>
    <w:p>
      <w:pPr>
        <w:pStyle w:val="CaseFootnoteText"/>
      </w:pPr>
      <w:r>
        <w:rPr>
          <w:rStyle w:val="FootnoteReference"/>
        </w:rPr>
        <w:t xml:space="preserve">19.</w:t>
      </w:r>
      <w:r>
        <w:t xml:space="preserve">The Court does not even begin to explain how one might go about ascertaining the religious scruples of a corporation where shares are sold to the public. No need to speculate on that, the Court says, for "it seems unlikely" that large corporations "will often assert RFRA claims."</w:t>
      </w:r>
      <w:r>
        <w:t xml:space="preserve"> </w:t>
      </w:r>
      <w:r>
        <w:rPr>
          <w:iCs/>
          <w:i/>
        </w:rPr>
        <w:t xml:space="preserve">Ante,</w:t>
      </w:r>
      <w:r>
        <w:t xml:space="preserve"> </w:t>
      </w:r>
      <w:r>
        <w:t xml:space="preserve">at 2774. Perhaps so, but as Hobby Lobby's case demonstrates, such claims are indeed pursued by large corporations, employing thousands of persons of different faiths, whose ownership is not diffuse. "Closely held" is not synonymous with "small." Hobby Lobby is hardly the only enterprise of sizable scale that is family owned or closely held. For example, the family-owned candy giant Mars, Inc., takes in $33 billion in revenues and has some 72,000 employees, and closely held Cargill, Inc., takes in more than $136 billion in revenues and employs some 140,000 persons. See Forbes, America's Largest Private Companies 2013, available at http:// www. forbes. com/ largest- private- companies/.</w:t>
      </w:r>
    </w:p>
    <w:p>
      <w:pPr>
        <w:pStyle w:val="CaseFootnoteText"/>
      </w:pPr>
      <w:r>
        <w:t xml:space="preserve">Nor does the Court offer any instruction on how to resolve the disputes that may crop up among corporate owners over religious values and accommodations. The Court is satisfied that "[s]tate corporate law provides a ready means for resolving any conflicts,"</w:t>
      </w:r>
      <w:r>
        <w:t xml:space="preserve"> </w:t>
      </w:r>
      <w:r>
        <w:rPr>
          <w:iCs/>
          <w:i/>
        </w:rPr>
        <w:t xml:space="preserve">ante,</w:t>
      </w:r>
      <w:r>
        <w:t xml:space="preserve"> </w:t>
      </w:r>
      <w:r>
        <w:t xml:space="preserve">at 2775, but the authorities cited in support of that proposition are hardly helpful. See Del.Code Ann., Tit. 8, § 351 (2011) (certificates of incorporation may specify how the business is managed); 1 J. Cox &amp; T. Hazen, Treatise on the Law of Corporations § 3:2 (3d ed. 2010) (section entitled "Selecting the state of incorporation");</w:t>
      </w:r>
      <w:r>
        <w:t xml:space="preserve"> </w:t>
      </w:r>
      <w:r>
        <w:rPr>
          <w:iCs/>
          <w:i/>
        </w:rPr>
        <w:t xml:space="preserve">id.,</w:t>
      </w:r>
      <w:r>
        <w:t xml:space="preserve"> </w:t>
      </w:r>
      <w:r>
        <w:t xml:space="preserve">§ 14:11 (observing that "[d]espite the frequency of dissension and deadlock in close corporations, in some states neither legislatures nor courts have provided satisfactory solutions"). And even if a dispute settlement mechanism is in place, how is the arbiter of a religion-based intracorporate controversy to resolve the disagreement, given this Court's instruction that "courts have no business addressing [whether an asserted religious belief] is substantial,"</w:t>
      </w:r>
      <w:r>
        <w:t xml:space="preserve"> </w:t>
      </w:r>
      <w:r>
        <w:rPr>
          <w:iCs/>
          <w:i/>
        </w:rPr>
        <w:t xml:space="preserve">ante,</w:t>
      </w:r>
      <w:r>
        <w:t xml:space="preserve"> </w:t>
      </w:r>
      <w:r>
        <w:t xml:space="preserve">at 2778?</w:t>
      </w:r>
    </w:p>
    <w:p>
      <w:pPr>
        <w:pStyle w:val="CaseFootnoteText"/>
      </w:pPr>
      <w:r>
        <w:rPr>
          <w:rStyle w:val="FootnoteReference"/>
        </w:rPr>
        <w:t xml:space="preserve">20.</w:t>
      </w:r>
      <w:r>
        <w:t xml:space="preserve">The Court dismisses the argument, advanced by some</w:t>
      </w:r>
      <w:r>
        <w:t xml:space="preserve"> </w:t>
      </w:r>
      <w:r>
        <w:rPr>
          <w:iCs/>
          <w:i/>
        </w:rPr>
        <w:t xml:space="preserve">amici,</w:t>
      </w:r>
      <w:r>
        <w:t xml:space="preserve"> </w:t>
      </w:r>
      <w:r>
        <w:t xml:space="preserve">that the $2,000-per-employee tax charged to certain employers that fail to provide health insurance is less than the average cost of offering health insurance, noting that the Government has not provided the statistics that could support such an argument. See</w:t>
      </w:r>
      <w:r>
        <w:t xml:space="preserve"> </w:t>
      </w:r>
      <w:r>
        <w:rPr>
          <w:iCs/>
          <w:i/>
        </w:rPr>
        <w:t xml:space="preserve">ante,</w:t>
      </w:r>
      <w:r>
        <w:t xml:space="preserve"> </w:t>
      </w:r>
      <w:r>
        <w:t xml:space="preserve">at 2775 - 2777. The Court overlooks, however, that it is not the Government's obligation to prove that an asserted burden is</w:t>
      </w:r>
      <w:r>
        <w:t xml:space="preserve"> </w:t>
      </w:r>
      <w:r>
        <w:rPr>
          <w:iCs/>
          <w:i/>
        </w:rPr>
        <w:t xml:space="preserve">in</w:t>
      </w:r>
      <w:r>
        <w:t xml:space="preserve">substantial. Instead, it is incumbent upon plaintiffs to demonstrate, in support of a RFRA claim, the substantiality of the alleged burden.</w:t>
      </w:r>
    </w:p>
    <w:p>
      <w:pPr>
        <w:pStyle w:val="CaseFootnoteText"/>
      </w:pPr>
      <w:r>
        <w:rPr>
          <w:rStyle w:val="FootnoteReference"/>
        </w:rPr>
        <w:t xml:space="preserve">21.</w:t>
      </w:r>
      <w:r>
        <w:t xml:space="preserve">The Court levels a criticism that is as wrongheaded as can be. In no way does the dissent "tell the plaintiffs that their beliefs are flawed."</w:t>
      </w:r>
      <w:r>
        <w:t xml:space="preserve"> </w:t>
      </w:r>
      <w:r>
        <w:rPr>
          <w:iCs/>
          <w:i/>
        </w:rPr>
        <w:t xml:space="preserve">Ante,</w:t>
      </w:r>
      <w:r>
        <w:t xml:space="preserve"> </w:t>
      </w:r>
      <w:r>
        <w:t xml:space="preserve">at 2778. Right or wrong in this domain is a judgment no Member of this Court, or any civil court, is authorized or equipped to make. What the Court must decide is not "the plausibility of a religious claim,"</w:t>
      </w:r>
      <w:r>
        <w:t xml:space="preserve"> </w:t>
      </w:r>
      <w:r>
        <w:rPr>
          <w:iCs/>
          <w:i/>
        </w:rPr>
        <w:t xml:space="preserve">ante,</w:t>
      </w:r>
      <w:r>
        <w:t xml:space="preserve"> </w:t>
      </w:r>
      <w:r>
        <w:t xml:space="preserve">at 2778 (internal quotation marks omitted), but whether accommodating that claim risks depriving others of rights accorded them by the laws of the United States. See</w:t>
      </w:r>
      <w:r>
        <w:t xml:space="preserve"> </w:t>
      </w:r>
      <w:r>
        <w:rPr>
          <w:iCs/>
          <w:i/>
        </w:rPr>
        <w:t xml:space="preserve">supra,</w:t>
      </w:r>
      <w:r>
        <w:t xml:space="preserve"> </w:t>
      </w:r>
      <w:r>
        <w:t xml:space="preserve">at 2790 - 2791;</w:t>
      </w:r>
      <w:r>
        <w:t xml:space="preserve"> </w:t>
      </w:r>
      <w:r>
        <w:rPr>
          <w:iCs/>
          <w:i/>
        </w:rPr>
        <w:t xml:space="preserve">infra,</w:t>
      </w:r>
      <w:r>
        <w:t xml:space="preserve"> </w:t>
      </w:r>
      <w:r>
        <w:t xml:space="preserve">at 2801.</w:t>
      </w:r>
    </w:p>
    <w:p>
      <w:pPr>
        <w:pStyle w:val="CaseFootnoteText"/>
      </w:pPr>
      <w:r>
        <w:rPr>
          <w:rStyle w:val="FootnoteReference"/>
        </w:rPr>
        <w:t xml:space="preserve">22.</w:t>
      </w:r>
      <w:r>
        <w:t xml:space="preserve">IUDs, which are among the most reliable forms of contraception, generally cost women more than $1,000 when the expenses of the office visit and insertion procedure are taken into account. See Eisenberg, McNicholas, &amp; Peipert, Cost as a Barrier to Long-Acting Reversible Contraceptive (LARC) Use in Adolescents, 52 J. Adolescent Health S59, S60 (2013). See also Winner et al., Effectiveness of Long-Acting Reversible Contraception, 366 New Eng. J. Medicine 1998, 1999 (2012).</w:t>
      </w:r>
    </w:p>
    <w:p>
      <w:pPr>
        <w:pStyle w:val="CaseFootnoteText"/>
      </w:pPr>
      <w:r>
        <w:rPr>
          <w:rStyle w:val="FootnoteReference"/>
        </w:rPr>
        <w:t xml:space="preserve">23.</w:t>
      </w:r>
      <w:r>
        <w:t xml:space="preserve">Although the Court's opinion makes this assumption grudgingly, see</w:t>
      </w:r>
      <w:r>
        <w:t xml:space="preserve"> </w:t>
      </w:r>
      <w:r>
        <w:rPr>
          <w:iCs/>
          <w:i/>
        </w:rPr>
        <w:t xml:space="preserve">ante,</w:t>
      </w:r>
      <w:r>
        <w:t xml:space="preserve"> </w:t>
      </w:r>
      <w:r>
        <w:t xml:space="preserve">at 2779 - 2780, one Member of the majority recognizes, without reservation, that "the [contraceptive coverage] mandate serves the Government's compelling interest in providing insurance coverage that is necessary to protect the health of female employees."</w:t>
      </w:r>
      <w:r>
        <w:t xml:space="preserve"> </w:t>
      </w:r>
      <w:r>
        <w:rPr>
          <w:iCs/>
          <w:i/>
        </w:rPr>
        <w:t xml:space="preserve">Ante,</w:t>
      </w:r>
      <w:r>
        <w:t xml:space="preserve"> </w:t>
      </w:r>
      <w:r>
        <w:t xml:space="preserve">at 2785 - 2786 (opinion of KENNEDY, J.).</w:t>
      </w:r>
    </w:p>
    <w:p>
      <w:pPr>
        <w:pStyle w:val="CaseFootnoteText"/>
      </w:pPr>
      <w:r>
        <w:rPr>
          <w:rStyle w:val="FootnoteReference"/>
        </w:rPr>
        <w:t xml:space="preserve">24.</w:t>
      </w:r>
      <w:r>
        <w:t xml:space="preserve">Hobby Lobby's</w:t>
      </w:r>
      <w:r>
        <w:t xml:space="preserve"> </w:t>
      </w:r>
      <w:r>
        <w:rPr>
          <w:iCs/>
          <w:i/>
        </w:rPr>
        <w:t xml:space="preserve">amicus</w:t>
      </w:r>
      <w:r>
        <w:t xml:space="preserve"> </w:t>
      </w:r>
      <w:r>
        <w:t xml:space="preserve">National Religious Broadcasters similarly states that, "[g]iven the nature of employers' needs to meet changing economic and staffing circumstances, and to adjust insurance coverage accordingly, the actual benefit of the 'grandfather' exclusion is</w:t>
      </w:r>
      <w:r>
        <w:t xml:space="preserve"> </w:t>
      </w:r>
      <w:r>
        <w:rPr>
          <w:iCs/>
          <w:i/>
        </w:rPr>
        <w:t xml:space="preserve">de minimis</w:t>
      </w:r>
      <w:r>
        <w:t xml:space="preserve"> </w:t>
      </w:r>
      <w:r>
        <w:t xml:space="preserve">and transitory at best." Brief for National Religious Broadcasters as</w:t>
      </w:r>
      <w:r>
        <w:t xml:space="preserve"> </w:t>
      </w:r>
      <w:r>
        <w:rPr>
          <w:iCs/>
          <w:i/>
        </w:rPr>
        <w:t xml:space="preserve">Amicus Curiae</w:t>
      </w:r>
      <w:r>
        <w:t xml:space="preserve"> </w:t>
      </w:r>
      <w:r>
        <w:t xml:space="preserve">in No. 13-354, p. 28.</w:t>
      </w:r>
    </w:p>
    <w:p>
      <w:pPr>
        <w:pStyle w:val="CaseFootnoteText"/>
      </w:pPr>
      <w:r>
        <w:rPr>
          <w:rStyle w:val="FootnoteReference"/>
        </w:rPr>
        <w:t xml:space="preserve">25.</w:t>
      </w:r>
      <w:r>
        <w:t xml:space="preserve">As the Court made clear in</w:t>
      </w:r>
      <w:r>
        <w:t xml:space="preserve"> </w:t>
      </w:r>
      <w:r>
        <w:rPr>
          <w:iCs/>
          <w:i/>
        </w:rPr>
        <w:t xml:space="preserve">Cutter,</w:t>
      </w:r>
      <w:r>
        <w:t xml:space="preserve"> </w:t>
      </w:r>
      <w:r>
        <w:t xml:space="preserve">the government's license to grant religion-based exemptions from generally applicable laws is constrained by the Establishment Clause.</w:t>
      </w:r>
      <w:r>
        <w:t xml:space="preserve"> </w:t>
      </w:r>
      <w:r>
        <w:t xml:space="preserve">544 U.S., at 720-722</w:t>
      </w:r>
      <w:r>
        <w:t xml:space="preserve">,</w:t>
      </w:r>
      <w:r>
        <w:t xml:space="preserve"> </w:t>
      </w:r>
      <w:r>
        <w:t xml:space="preserve">125 S.Ct. 2113</w:t>
      </w:r>
      <w:r>
        <w:t xml:space="preserve">. "[W]e are a cosmopolitan nation made up of people of almost every conceivable religious preference,"</w:t>
      </w:r>
      <w:r>
        <w:t xml:space="preserve"> </w:t>
      </w:r>
      <w:r>
        <w:rPr>
          <w:iCs/>
          <w:i/>
        </w:rPr>
        <w:t xml:space="preserve">Braunfeld,</w:t>
      </w:r>
      <w:r>
        <w:t xml:space="preserve"> </w:t>
      </w:r>
      <w:r>
        <w:t xml:space="preserve">366 U.S., at 606</w:t>
      </w:r>
      <w:r>
        <w:t xml:space="preserve">,</w:t>
      </w:r>
      <w:r>
        <w:t xml:space="preserve"> </w:t>
      </w:r>
      <w:r>
        <w:t xml:space="preserve">81 S.Ct. 1144</w:t>
      </w:r>
      <w:r>
        <w:t xml:space="preserve">, a "rich mosaic of religious faiths,"</w:t>
      </w:r>
      <w:r>
        <w:t xml:space="preserve"> </w:t>
      </w:r>
      <w:r>
        <w:rPr>
          <w:iCs/>
          <w:i/>
        </w:rPr>
        <w:t xml:space="preserve">Town of Greece v. Galloway,</w:t>
      </w:r>
      <w:r>
        <w:t xml:space="preserve"> </w:t>
      </w:r>
      <w:r>
        <w:t xml:space="preserve">572 U.S. ----, ----,</w:t>
      </w:r>
      <w:r>
        <w:t xml:space="preserve"> </w:t>
      </w:r>
      <w:r>
        <w:t xml:space="preserve">134 S.Ct. 1811</w:t>
      </w:r>
      <w:r>
        <w:t xml:space="preserve">, 1849,</w:t>
      </w:r>
      <w:r>
        <w:t xml:space="preserve"> </w:t>
      </w:r>
      <w:r>
        <w:t xml:space="preserve">188 L.Ed.2d 835</w:t>
      </w:r>
      <w:r>
        <w:t xml:space="preserve"> </w:t>
      </w:r>
      <w:r>
        <w:t xml:space="preserve">(2014) (KAGAN, J., dissenting). Consequently, one person's right to free exercise must be kept in harmony with the rights of her fellow citizens, and "some religious practices [must] yield to the common good."</w:t>
      </w:r>
      <w:r>
        <w:t xml:space="preserve"> </w:t>
      </w:r>
      <w:r>
        <w:rPr>
          <w:iCs/>
          <w:i/>
        </w:rPr>
        <w:t xml:space="preserve">United States v. Lee,</w:t>
      </w:r>
      <w:r>
        <w:t xml:space="preserve"> </w:t>
      </w:r>
      <w:r>
        <w:t xml:space="preserve">455 U.S. 252</w:t>
      </w:r>
      <w:r>
        <w:t xml:space="preserve">, 259,</w:t>
      </w:r>
      <w:r>
        <w:t xml:space="preserve"> </w:t>
      </w:r>
      <w:r>
        <w:t xml:space="preserve">102 S.Ct. 1051</w:t>
      </w:r>
      <w:r>
        <w:t xml:space="preserve">,</w:t>
      </w:r>
      <w:r>
        <w:t xml:space="preserve"> </w:t>
      </w:r>
      <w:r>
        <w:t xml:space="preserve">71 L.Ed.2d 127</w:t>
      </w:r>
      <w:r>
        <w:t xml:space="preserve"> </w:t>
      </w:r>
      <w:r>
        <w:t xml:space="preserve">(1982).</w:t>
      </w:r>
    </w:p>
    <w:p>
      <w:pPr>
        <w:pStyle w:val="CaseFootnoteText"/>
      </w:pPr>
      <w:r>
        <w:rPr>
          <w:rStyle w:val="FootnoteReference"/>
        </w:rPr>
        <w:t xml:space="preserve">26.</w:t>
      </w:r>
      <w:r>
        <w:t xml:space="preserve">Cf.</w:t>
      </w:r>
      <w:r>
        <w:t xml:space="preserve"> </w:t>
      </w:r>
      <w:r>
        <w:rPr>
          <w:iCs/>
          <w:i/>
        </w:rPr>
        <w:t xml:space="preserve">Ashcroft v. American Civil Liberties Union,</w:t>
      </w:r>
      <w:r>
        <w:t xml:space="preserve"> </w:t>
      </w:r>
      <w:r>
        <w:t xml:space="preserve">542 U.S. 656</w:t>
      </w:r>
      <w:r>
        <w:t xml:space="preserve">, 666,</w:t>
      </w:r>
      <w:r>
        <w:t xml:space="preserve"> </w:t>
      </w:r>
      <w:r>
        <w:t xml:space="preserve">124 S.Ct. 2783</w:t>
      </w:r>
      <w:r>
        <w:t xml:space="preserve">,</w:t>
      </w:r>
      <w:r>
        <w:t xml:space="preserve"> </w:t>
      </w:r>
      <w:r>
        <w:t xml:space="preserve">159 L.Ed.2d 690</w:t>
      </w:r>
      <w:r>
        <w:t xml:space="preserve"> </w:t>
      </w:r>
      <w:r>
        <w:t xml:space="preserve">(2004) (in context of First Amendment Speech Clause challenge to a content-based speech restriction, courts must determine "whether the challenged regulation is the least restrictive means among</w:t>
      </w:r>
      <w:r>
        <w:t xml:space="preserve"> </w:t>
      </w:r>
      <w:r>
        <w:rPr>
          <w:iCs/>
          <w:i/>
        </w:rPr>
        <w:t xml:space="preserve">available,</w:t>
      </w:r>
      <w:r>
        <w:t xml:space="preserve"> </w:t>
      </w:r>
      <w:r>
        <w:t xml:space="preserve">effective alternatives" (emphasis added)).</w:t>
      </w:r>
    </w:p>
    <w:p>
      <w:pPr>
        <w:pStyle w:val="CaseFootnoteText"/>
      </w:pPr>
      <w:r>
        <w:rPr>
          <w:rStyle w:val="FootnoteReference"/>
        </w:rPr>
        <w:t xml:space="preserve">27.</w:t>
      </w:r>
      <w:r>
        <w:t xml:space="preserve">On brief, Hobby Lobby and Conestoga barely addressed the extension solution, which would bracket commercial enterprises with nonprofit religion-based organizations for religious accommodations purposes. The hesitation is understandable, for challenges to the adequacy of the accommodation accorded religious nonprofit organizations are currently</w:t>
      </w:r>
      <w:r>
        <w:t xml:space="preserve"> </w:t>
      </w:r>
      <w:r>
        <w:rPr>
          <w:iCs/>
          <w:i/>
        </w:rPr>
        <w:t xml:space="preserve">sub judice</w:t>
      </w:r>
      <w:r>
        <w:t xml:space="preserve">. See,</w:t>
      </w:r>
      <w:r>
        <w:t xml:space="preserve"> </w:t>
      </w:r>
      <w:r>
        <w:rPr>
          <w:iCs/>
          <w:i/>
        </w:rPr>
        <w:t xml:space="preserve">e.g.,</w:t>
      </w:r>
      <w:r>
        <w:t xml:space="preserve"> </w:t>
      </w:r>
      <w:r>
        <w:rPr>
          <w:iCs/>
          <w:i/>
        </w:rPr>
        <w:t xml:space="preserve">Little Sisters of the Poor Home for the Aged v. Sebelius,</w:t>
      </w:r>
      <w:r>
        <w:t xml:space="preserve"> </w:t>
      </w:r>
      <w:r>
        <w:t xml:space="preserve">--- F.Supp.2d ----,</w:t>
      </w:r>
      <w:r>
        <w:t xml:space="preserve"> </w:t>
      </w:r>
      <w:r>
        <w:t xml:space="preserve">2013 WL 6839900</w:t>
      </w:r>
      <w:r>
        <w:t xml:space="preserve"> </w:t>
      </w:r>
      <w:r>
        <w:t xml:space="preserve">(D.Colo., Dec. 27, 2013), injunction pending appeal granted, 571 U.S. ----,</w:t>
      </w:r>
      <w:r>
        <w:t xml:space="preserve"> </w:t>
      </w:r>
      <w:r>
        <w:t xml:space="preserve">134 S.Ct. 1022</w:t>
      </w:r>
      <w:r>
        <w:t xml:space="preserve">,</w:t>
      </w:r>
      <w:r>
        <w:t xml:space="preserve"> </w:t>
      </w:r>
      <w:r>
        <w:t xml:space="preserve">187 L.Ed.2d 867</w:t>
      </w:r>
      <w:r>
        <w:t xml:space="preserve"> </w:t>
      </w:r>
      <w:r>
        <w:t xml:space="preserve">(2014). At another point in today's decision, the Court refuses to consider an argument neither "raised below [nor] advanced in this Court by any party," giving Hobby Lobby and Conestoga "[no] opportunity to respond to [that] novel claim."</w:t>
      </w:r>
      <w:r>
        <w:t xml:space="preserve"> </w:t>
      </w:r>
      <w:r>
        <w:rPr>
          <w:iCs/>
          <w:i/>
        </w:rPr>
        <w:t xml:space="preserve">Ante,</w:t>
      </w:r>
      <w:r>
        <w:t xml:space="preserve"> </w:t>
      </w:r>
      <w:r>
        <w:t xml:space="preserve">at 2776. Yet the Court is content to decide this case (and this case only) on the ground that HHS could make an accommodation never suggested in the parties' presentations. RFRA cannot sensibly be read to "requir[e] the government to ... refute each and every conceivable alternative regulation,"</w:t>
      </w:r>
      <w:r>
        <w:t xml:space="preserve"> </w:t>
      </w:r>
      <w:r>
        <w:rPr>
          <w:iCs/>
          <w:i/>
        </w:rPr>
        <w:t xml:space="preserve">United States v. Wilgus,</w:t>
      </w:r>
      <w:r>
        <w:t xml:space="preserve"> </w:t>
      </w:r>
      <w:r>
        <w:t xml:space="preserve">638 F.3d 1274</w:t>
      </w:r>
      <w:r>
        <w:t xml:space="preserve">, 1289 (C.A.10 2011), especially where the alternative on which the Court seizes was not pressed by any challenger.</w:t>
      </w:r>
    </w:p>
    <w:p>
      <w:pPr>
        <w:pStyle w:val="CaseFootnoteText"/>
      </w:pPr>
      <w:r>
        <w:rPr>
          <w:rStyle w:val="FootnoteReference"/>
        </w:rPr>
        <w:t xml:space="preserve">28.</w:t>
      </w:r>
      <w:r>
        <w:t xml:space="preserve">As a sole proprietor, Lee was subject to personal liability for violating the law of general application he opposed. His claim to a religion-based exemption would have been even thinner had he conducted his business as a corporation, thus avoiding personal liability.</w:t>
      </w:r>
    </w:p>
    <w:p>
      <w:pPr>
        <w:pStyle w:val="CaseFootnoteText"/>
      </w:pPr>
      <w:r>
        <w:rPr>
          <w:rStyle w:val="FootnoteReference"/>
        </w:rPr>
        <w:t xml:space="preserve">29.</w:t>
      </w:r>
      <w:r>
        <w:t xml:space="preserve">Congress amended the Social Security Act in response to</w:t>
      </w:r>
      <w:r>
        <w:t xml:space="preserve"> </w:t>
      </w:r>
      <w:r>
        <w:rPr>
          <w:iCs/>
          <w:i/>
        </w:rPr>
        <w:t xml:space="preserve">Lee</w:t>
      </w:r>
      <w:r>
        <w:t xml:space="preserve">. The amended statute permits Amish sole proprietors and partnerships (but not Amish-owned corporations) to obtain an exemption from the obligation to pay Social Security taxes only for employees who are co-religionists and who likewise seek an exemption and agree to give up their Social Security benefits. See</w:t>
      </w:r>
      <w:r>
        <w:t xml:space="preserve"> </w:t>
      </w:r>
      <w:r>
        <w:t xml:space="preserve">26 U.S.C. § 3127</w:t>
      </w:r>
      <w:r>
        <w:t xml:space="preserve">(a)(2), (b)(1). Thus, employers with sincere religious beliefs have no right to a religion-based exemption that would deprive employees of Social Security benefits without the employee's consent-an exemption analogous to the one Hobby Lobby and Conestoga seek here.</w:t>
      </w:r>
    </w:p>
    <w:p>
      <w:pPr>
        <w:pStyle w:val="CaseFootnoteText"/>
      </w:pPr>
      <w:r>
        <w:rPr>
          <w:rStyle w:val="FootnoteReference"/>
        </w:rPr>
        <w:t xml:space="preserve">30.</w:t>
      </w:r>
      <w:r>
        <w:t xml:space="preserve">Cf.</w:t>
      </w:r>
      <w:r>
        <w:t xml:space="preserve"> </w:t>
      </w:r>
      <w:r>
        <w:rPr>
          <w:iCs/>
          <w:i/>
        </w:rPr>
        <w:t xml:space="preserve">Tony and Susan Alamo Foundation v. Secretary of Labor,</w:t>
      </w:r>
      <w:r>
        <w:t xml:space="preserve"> </w:t>
      </w:r>
      <w:r>
        <w:t xml:space="preserve">471 U.S. 290</w:t>
      </w:r>
      <w:r>
        <w:t xml:space="preserve">, 299,</w:t>
      </w:r>
      <w:r>
        <w:t xml:space="preserve"> </w:t>
      </w:r>
      <w:r>
        <w:t xml:space="preserve">105 S.Ct. 1953</w:t>
      </w:r>
      <w:r>
        <w:t xml:space="preserve">,</w:t>
      </w:r>
      <w:r>
        <w:t xml:space="preserve"> </w:t>
      </w:r>
      <w:r>
        <w:t xml:space="preserve">85 L.Ed.2d 278</w:t>
      </w:r>
      <w:r>
        <w:t xml:space="preserve"> </w:t>
      </w:r>
      <w:r>
        <w:t xml:space="preserve">(1985) (disallowing religion-based exemption that "would undoubtedly give [the commercial enterprise seeking the exemption] and similar organizations an advantage over their competitors").</w:t>
      </w:r>
    </w:p>
    <w:p>
      <w:pPr>
        <w:pStyle w:val="NodeEnd"/>
      </w:pPr>
      <w:r>
        <w:t xml:space="preserve"> </w:t>
      </w:r>
    </w:p>
    <w:p>
      <w:pPr>
        <w:pStyle w:val="NodeStart"/>
      </w:pPr>
      <w:r>
        <w:t xml:space="preserve"> </w:t>
      </w:r>
    </w:p>
    <w:p>
      <w:pPr>
        <w:pStyle w:val="HeadSeparator"/>
      </w:pPr>
      <w:r>
        <w:t xml:space="preserve"> </w:t>
      </w:r>
    </w:p>
    <w:bookmarkStart w:id="37" w:name="_auto_toc_37"/>
    <w:bookmarkEnd w:id="37"/>
    <w:p>
      <w:pPr>
        <w:pStyle w:val="SectionNumber"/>
      </w:pPr>
      <w:r>
        <w:t xml:space="preserve">3.2</w:t>
      </w:r>
    </w:p>
    <w:p>
      <w:pPr>
        <w:pStyle w:val="SectionTitle"/>
      </w:pPr>
      <w:r>
        <w:t xml:space="preserve">Core "rules" for the course</w:t>
      </w:r>
    </w:p>
    <w:p>
      <w:pPr>
        <w:pStyle w:val="HeadFieldSeparator"/>
      </w:pPr>
      <w:r>
        <w:t xml:space="preserve"> </w:t>
      </w:r>
    </w:p>
    <w:p>
      <w:pPr>
        <w:pStyle w:val="SectionHeadnote"/>
      </w:pPr>
      <w:r>
        <w:t xml:space="preserve">"Rules" are sometimes thought of as "bright-line rules." Many of the components of the statutes linked here do not consist of "bright-lines." Rather, think of these "rules" as the basic statutes applicable to corporations in the U.S.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38" w:name="_auto_toc_38"/>
    <w:bookmarkEnd w:id="38"/>
    <w:p>
      <w:pPr>
        <w:pStyle w:val="ResourceNumber"/>
      </w:pPr>
      <w:r>
        <w:t xml:space="preserve">3.2.1</w:t>
      </w:r>
    </w:p>
    <w:p>
      <w:pPr>
        <w:pStyle w:val="ResourceTitle"/>
      </w:pPr>
      <w:r>
        <w:t xml:space="preserve">Delaware General Corporation Law</w:t>
      </w:r>
    </w:p>
    <w:p>
      <w:pPr>
        <w:pStyle w:val="HeadFieldSeparator"/>
      </w:pPr>
      <w:r>
        <w:t xml:space="preserve"> </w:t>
      </w:r>
    </w:p>
    <w:p>
      <w:pPr>
        <w:pStyle w:val="ResourceLink"/>
      </w:pPr>
      <w:hyperlink r:id="rId29">
        <w:r>
          <w:rPr>
            <w:rStyle w:val="Hyperlink"/>
          </w:rPr>
          <w:t xml:space="preserve">https://delcode.delaware.gov/title8/c001/index.html</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39" w:name="_auto_toc_39"/>
    <w:bookmarkEnd w:id="39"/>
    <w:p>
      <w:pPr>
        <w:pStyle w:val="ResourceNumber"/>
      </w:pPr>
      <w:r>
        <w:t xml:space="preserve">3.2.2</w:t>
      </w:r>
    </w:p>
    <w:p>
      <w:pPr>
        <w:pStyle w:val="ResourceTitle"/>
      </w:pPr>
      <w:r>
        <w:t xml:space="preserve">Securities Exchange Act of 1934</w:t>
      </w:r>
    </w:p>
    <w:p>
      <w:pPr>
        <w:pStyle w:val="HeadFieldSeparator"/>
      </w:pPr>
      <w:r>
        <w:t xml:space="preserve"> </w:t>
      </w:r>
    </w:p>
    <w:p>
      <w:pPr>
        <w:pStyle w:val="ResourceLink"/>
      </w:pPr>
      <w:hyperlink r:id="rId30">
        <w:r>
          <w:rPr>
            <w:rStyle w:val="Hyperlink"/>
          </w:rPr>
          <w:t xml:space="preserve">https://www.govinfo.gov/content/pkg/COMPS-1885/pdf/COMPS-1885.pdf</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40" w:name="_auto_toc_40"/>
    <w:bookmarkEnd w:id="40"/>
    <w:p>
      <w:pPr>
        <w:pStyle w:val="ResourceNumber"/>
      </w:pPr>
      <w:r>
        <w:t xml:space="preserve">3.2.3</w:t>
      </w:r>
    </w:p>
    <w:p>
      <w:pPr>
        <w:pStyle w:val="ResourceTitle"/>
      </w:pPr>
      <w:r>
        <w:t xml:space="preserve">NYSE Listed Company Manual - Corporate Responsibility</w:t>
      </w:r>
    </w:p>
    <w:p>
      <w:pPr>
        <w:pStyle w:val="HeadFieldSeparator"/>
      </w:pPr>
      <w:r>
        <w:t xml:space="preserve"> </w:t>
      </w:r>
    </w:p>
    <w:p>
      <w:pPr>
        <w:pStyle w:val="ResourceLink"/>
      </w:pPr>
      <w:hyperlink r:id="rId31">
        <w:r>
          <w:rPr>
            <w:rStyle w:val="Hyperlink"/>
          </w:rPr>
          <w:t xml:space="preserve">https://nyseguide.srorules.com/listed-company-manual/document?treeNodeId=csh-da-filter!WKUS-TAL-DOCS-PHC-%7B0588BF4A-D3B5-4B91-94EA-BE9F17057DF0%7D--WKUS_TAL_5667%23teid-66</w:t>
        </w:r>
      </w:hyperlink>
    </w:p>
    <w:p>
      <w:pPr>
        <w:pStyle w:val="HeadFieldSeparator"/>
      </w:pPr>
      <w:r>
        <w:t xml:space="preserve"> </w:t>
      </w:r>
    </w:p>
    <w:p>
      <w:pPr>
        <w:pStyle w:val="ResourceHeadnote"/>
      </w:pPr>
      <w:r>
        <w:t xml:space="preserve">Perhaps needless to say, the NYSE listed company manual applies to NYSE-listed companies only. The Nasdaq exchange has similar standards for companies listed there. Because listed companies also must register with the SEC under the Securities Exchange Act of 1934, these listing requirements should be considered in combination with the requirements of that law. Many of the elements of "corporate governance" that non-lawyers assume are in securities law, or in the Sarbanes-Oxley Act (which will cover later), are in fact only set out in the NYSE or Nasdaq listing standards. For example, it is the listing standards that require independent compensation committees. The "only" sanction for violating listing standards is delisting -- not fines or penalties or the other kinds of ways that the securities laws are enforced -- so keeping clear what the source of corporate governance requirements can be important in practice.</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41" w:name="_auto_toc_41"/>
    <w:bookmarkEnd w:id="41"/>
    <w:p>
      <w:pPr>
        <w:pStyle w:val="ResourceNumber"/>
      </w:pPr>
      <w:r>
        <w:t xml:space="preserve">3.3</w:t>
      </w:r>
    </w:p>
    <w:p>
      <w:pPr>
        <w:pStyle w:val="ResourceTitle"/>
      </w:pPr>
      <w:r>
        <w:t xml:space="preserve">Some basics of corporate finance</w:t>
      </w:r>
    </w:p>
    <w:p>
      <w:pPr>
        <w:pStyle w:val="HeadFieldSeparator"/>
      </w:pPr>
      <w:r>
        <w:t xml:space="preserve"> </w:t>
      </w:r>
    </w:p>
    <w:p>
      <w:pPr>
        <w:pStyle w:val="ResourceSubtitle"/>
      </w:pPr>
      <w:r>
        <w:t xml:space="preserve">Author: Holger Spamann (modestly edited by John Coates as of October 2022)</w:t>
      </w:r>
    </w:p>
    <w:p>
      <w:pPr>
        <w:pStyle w:val="HeadEnd"/>
      </w:pPr>
      <w:r>
        <w:t xml:space="preserve"> </w:t>
      </w:r>
    </w:p>
    <w:p>
      <w:pPr>
        <w:pStyle w:val="BlockText"/>
      </w:pPr>
      <w:r>
        <w:rPr>
          <w:bCs/>
          <w:b/>
        </w:rPr>
        <w:t xml:space="preserve">Note:</w:t>
      </w:r>
      <w:r>
        <w:t xml:space="preserve"> </w:t>
      </w:r>
      <w:r>
        <w:t xml:space="preserve">This section matters as much for terminology as for substance. If you have no background in business and finance, you should read it</w:t>
      </w:r>
      <w:r>
        <w:t xml:space="preserve"> </w:t>
      </w:r>
      <w:r>
        <w:rPr>
          <w:rStyle w:val="Elision"/>
        </w:rPr>
        <w:t xml:space="preserve">[ … ]</w:t>
      </w:r>
      <w:r>
        <w:t xml:space="preserve">carefully and look up any terms that you do not understand</w:t>
      </w:r>
      <w:r>
        <w:rPr>
          <w:rStyle w:val="Elision"/>
        </w:rPr>
        <w:t xml:space="preserve">[ … ]</w:t>
      </w:r>
      <w:r>
        <w:t xml:space="preserve">.</w:t>
      </w:r>
    </w:p>
    <w:p>
      <w:pPr>
        <w:pStyle w:val="FirstParagraph"/>
      </w:pPr>
      <w:r>
        <w:rPr>
          <w:rStyle w:val="Elision"/>
        </w:rPr>
        <w:t xml:space="preserve">[ … ]</w:t>
      </w:r>
      <w:r>
        <w:t xml:space="preserve">the corporation is the vehicle of choice for pooling the resources of many investors. Before studying this vehicle in detail, it is worth zooming out for a moment to appreciate why these details matter—a lot!</w:t>
      </w:r>
    </w:p>
    <w:p>
      <w:pPr>
        <w:pStyle w:val="BodyText"/>
      </w:pPr>
      <w:r>
        <w:rPr>
          <w:bCs/>
          <w:b/>
        </w:rPr>
        <w:t xml:space="preserve">The basic corporate investment relationship</w:t>
      </w:r>
    </w:p>
    <w:p>
      <w:pPr>
        <w:pStyle w:val="BodyText"/>
      </w:pPr>
      <w:r>
        <w:t xml:space="preserve">The corporation is at the center of an elaborate system that matches cash-rich investors to cash-poor firms, and thereby enables life as we know it. On one side are</w:t>
      </w:r>
      <w:r>
        <w:t xml:space="preserve"> </w:t>
      </w:r>
      <w:r>
        <w:rPr>
          <w:bCs/>
          <w:b/>
        </w:rPr>
        <w:t xml:space="preserve">savers</w:t>
      </w:r>
      <w:r>
        <w:t xml:space="preserve"> </w:t>
      </w:r>
      <w:r>
        <w:t xml:space="preserve">who invest. For the time being, you can think of such savers as yourself when you start saving for retirement, usually through a tax-deferred plan like a 401(k). Savers invest</w:t>
      </w:r>
      <w:r>
        <w:t xml:space="preserve"> </w:t>
      </w:r>
      <w:r>
        <w:rPr>
          <w:rStyle w:val="Elision"/>
        </w:rPr>
        <w:t xml:space="preserve">[ … ]</w:t>
      </w:r>
      <w:r>
        <w:t xml:space="preserve"> </w:t>
      </w:r>
      <w:r>
        <w:t xml:space="preserve">to</w:t>
      </w:r>
      <w:r>
        <w:t xml:space="preserve"> </w:t>
      </w:r>
      <w:r>
        <w:rPr>
          <w:bCs/>
          <w:b/>
        </w:rPr>
        <w:t xml:space="preserve">transfer value through time</w:t>
      </w:r>
      <w:r>
        <w:t xml:space="preserve">, from today to the future: you put money into your 401(k) today and get it out when you retire in 40 years or so. On the other side are</w:t>
      </w:r>
      <w:r>
        <w:t xml:space="preserve"> </w:t>
      </w:r>
      <w:r>
        <w:rPr>
          <w:bCs/>
          <w:b/>
        </w:rPr>
        <w:t xml:space="preserve">firms</w:t>
      </w:r>
      <w:r>
        <w:t xml:space="preserve"> </w:t>
      </w:r>
      <w:r>
        <w:t xml:space="preserve">(or, in the beginning, a simple entrepreneur). Firms also wish to transfer value through time, but</w:t>
      </w:r>
      <w:r>
        <w:t xml:space="preserve"> </w:t>
      </w:r>
      <w:r>
        <w:rPr>
          <w:rStyle w:val="ReplacementText"/>
        </w:rPr>
        <w:t xml:space="preserve">usually in</w:t>
      </w:r>
      <w:r>
        <w:t xml:space="preserve"> </w:t>
      </w:r>
      <w:r>
        <w:t xml:space="preserve">the opposite direction, i.e., from the future to today: the firm expects to generate lots of cash in the future and offers to share it in return for financing today, without which it would not be able to generate the future cash in the first place (“Have idea, need money!”).</w:t>
      </w:r>
    </w:p>
    <w:p>
      <w:pPr>
        <w:pStyle w:val="BodyText"/>
      </w:pPr>
      <w:r>
        <w:t xml:space="preserve">To be sure, individual savers and entrepreneurs could decide to go it alone and put</w:t>
      </w:r>
      <w:r>
        <w:t xml:space="preserve"> </w:t>
      </w:r>
      <w:r>
        <w:rPr>
          <w:rStyle w:val="Elision"/>
        </w:rPr>
        <w:t xml:space="preserve">[ … ]</w:t>
      </w:r>
      <w:r>
        <w:t xml:space="preserve">their own money</w:t>
      </w:r>
      <w:r>
        <w:t xml:space="preserve"> </w:t>
      </w:r>
      <w:r>
        <w:rPr>
          <w:rStyle w:val="ReplacementText"/>
        </w:rPr>
        <w:t xml:space="preserve">directly into</w:t>
      </w:r>
      <w:r>
        <w:t xml:space="preserve"> </w:t>
      </w:r>
      <w:r>
        <w:t xml:space="preserve">a small-scale self-financed business. But in most industries, the investment required for efficient production far exceeds the wealth of individuals and thus requires</w:t>
      </w:r>
      <w:r>
        <w:t xml:space="preserve"> </w:t>
      </w:r>
      <w:r>
        <w:rPr>
          <w:bCs/>
          <w:b/>
        </w:rPr>
        <w:t xml:space="preserve">pooling resources</w:t>
      </w:r>
      <w:r>
        <w:t xml:space="preserve">. For example, Apple has in excess of $300 billion in assets, financed by countless investors. Even if an individual could afford to finance an entire firm, it is generally preferable to spread the individual’s wealth over many firms so as not to put all eggs into one basket, i.e., to reduce risk through</w:t>
      </w:r>
      <w:r>
        <w:t xml:space="preserve"> </w:t>
      </w:r>
      <w:r>
        <w:rPr>
          <w:bCs/>
          <w:b/>
        </w:rPr>
        <w:t xml:space="preserve">diversification</w:t>
      </w:r>
      <w:r>
        <w:t xml:space="preserve">.</w:t>
      </w:r>
    </w:p>
    <w:p>
      <w:pPr>
        <w:pStyle w:val="BodyText"/>
      </w:pPr>
      <w:r>
        <w:t xml:space="preserve">The importance of large-scale matching of savers and firms cannot be overstated. Without it, life as we know it would be impossible. There would be no personal computers, no smart phones, no cars (electric or not), and no electric skateboards. Nor should we take this matching for granted. In the U.S. and some other developed economies, the system matches savers and firms without much friction (cost): many firms can finance themselves on a grand scale at reasonable rates, and a great number of savers can expect returns not much below the rates paid by the firms. Elsewhere in the world, the spread between what savers get and what firms must pay is large, firms often find it hard to impossible to obtain funding at all, and saving is a treacherous affair. Given the enormous temptations for the recipients of financing not to pay it back, it is easy to see why the system might not work (“Tens of trillions of dollars entrusted to money-driven, focused people by naïve and absent-minded savers – what could go wrong?”). The astonishing thing is that it works so well in some parts of the world – and corporate law has a large part in that.</w:t>
      </w:r>
    </w:p>
    <w:p>
      <w:pPr>
        <w:pStyle w:val="BodyText"/>
      </w:pPr>
      <w:r>
        <w:rPr>
          <w:bCs/>
          <w:b/>
        </w:rPr>
        <w:t xml:space="preserve">Investors, intermediaries, and the lifecycle of firms</w:t>
      </w:r>
    </w:p>
    <w:p>
      <w:pPr>
        <w:pStyle w:val="BodyText"/>
      </w:pPr>
      <w:r>
        <w:t xml:space="preserve">In fact, the system achieves nothing short of a miracle once you consider that the typical retirement plan saver invests the money for decades and never looks closely at what firms do with the money or even which firms have the money (more on this below). Firms, on the other hand, come and go and mutate all the time, as new ideas are born and old ones adapt or disappear. Throughout this lifecycle of firms, investors have to make important decisions or risk wasting their money on bad firms or being taken to the cleaners by the firms’ managers or other investors. Fortunately, most of these decisions are made by professional investment managers—intermediaries—to whom the ultimate investors like us have entrusted their savings, relying on a well-functioning legal system and other institutions to ensure that we will eventually get our money back, and more.</w:t>
      </w:r>
    </w:p>
    <w:p>
      <w:pPr>
        <w:pStyle w:val="BodyText"/>
      </w:pPr>
      <w:r>
        <w:t xml:space="preserve">A thumbnail sketch of a firm’s lifecycle might be: In the beginning, an entrepreneur solicits financing from so-called</w:t>
      </w:r>
      <w:r>
        <w:t xml:space="preserve"> </w:t>
      </w:r>
      <w:r>
        <w:rPr>
          <w:bCs/>
          <w:b/>
        </w:rPr>
        <w:t xml:space="preserve">venture capital funds (VCs)</w:t>
      </w:r>
      <w:r>
        <w:t xml:space="preserve"> </w:t>
      </w:r>
      <w:r>
        <w:t xml:space="preserve">that specialize in early-stage financing. 90% of early stage companies fail. The VCs make their money off of the 10% that do not and reach the next stage:</w:t>
      </w:r>
    </w:p>
    <w:p>
      <w:pPr>
        <w:numPr>
          <w:ilvl w:val="0"/>
          <w:numId w:val="1032"/>
        </w:numPr>
      </w:pPr>
      <w:r>
        <w:t xml:space="preserve">a “trade sale” to another company, or</w:t>
      </w:r>
    </w:p>
    <w:p>
      <w:pPr>
        <w:numPr>
          <w:ilvl w:val="0"/>
          <w:numId w:val="1032"/>
        </w:numPr>
      </w:pPr>
      <w:r>
        <w:t xml:space="preserve">an</w:t>
      </w:r>
      <w:r>
        <w:t xml:space="preserve"> </w:t>
      </w:r>
      <w:r>
        <w:rPr>
          <w:bCs/>
          <w:b/>
        </w:rPr>
        <w:t xml:space="preserve">initial public offering (IPO)</w:t>
      </w:r>
      <w:r>
        <w:t xml:space="preserve"> </w:t>
      </w:r>
      <w:r>
        <w:t xml:space="preserve">of the corporation’s stock to investors at large by means of registration with the S.E.C. and listing on a stock exchange.</w:t>
      </w:r>
    </w:p>
    <w:p>
      <w:pPr>
        <w:pStyle w:val="FirstParagraph"/>
      </w:pPr>
      <w:r>
        <w:t xml:space="preserve">Depending on how the business develops, the corporation might later</w:t>
      </w:r>
    </w:p>
    <w:p>
      <w:pPr>
        <w:numPr>
          <w:ilvl w:val="0"/>
          <w:numId w:val="1033"/>
        </w:numPr>
      </w:pPr>
      <w:r>
        <w:t xml:space="preserve">offer more stock to the public in a so-called</w:t>
      </w:r>
      <w:r>
        <w:t xml:space="preserve"> </w:t>
      </w:r>
      <w:r>
        <w:rPr>
          <w:bCs/>
          <w:b/>
        </w:rPr>
        <w:t xml:space="preserve">secondary equity offering (SEO)</w:t>
      </w:r>
      <w:r>
        <w:t xml:space="preserve">,</w:t>
      </w:r>
    </w:p>
    <w:p>
      <w:pPr>
        <w:numPr>
          <w:ilvl w:val="0"/>
          <w:numId w:val="1033"/>
        </w:numPr>
      </w:pPr>
      <w:r>
        <w:t xml:space="preserve">be acquired by another company, acquire other companies, or</w:t>
      </w:r>
    </w:p>
    <w:p>
      <w:pPr>
        <w:numPr>
          <w:ilvl w:val="0"/>
          <w:numId w:val="1033"/>
        </w:numPr>
      </w:pPr>
      <w:r>
        <w:t xml:space="preserve">go bankrupt – or</w:t>
      </w:r>
    </w:p>
    <w:p>
      <w:pPr>
        <w:numPr>
          <w:ilvl w:val="0"/>
          <w:numId w:val="1033"/>
        </w:numPr>
      </w:pPr>
      <w:r>
        <w:t xml:space="preserve">all of the above in various permutations.</w:t>
      </w:r>
      <w:hyperlink w:anchor="X1e91703197e7f9fc06343ec335951d3c1aa82f9">
        <w:r>
          <w:rPr>
            <w:rStyle w:val="Hyperlink"/>
          </w:rPr>
          <w:t xml:space="preserve">[1]</w:t>
        </w:r>
      </w:hyperlink>
    </w:p>
    <w:p>
      <w:pPr>
        <w:pStyle w:val="FirstParagraph"/>
      </w:pPr>
      <w:r>
        <w:t xml:space="preserve">Along the way, the corporation holds numerous shareholder meetings (with shareholders voting) and investor calls, engages in all sorts of financing transactions, and, last but decidedly not least, runs its business. This happens at tens of thousands of firms. Meanwhile, all that the ultimate investors are doing is to put their money into a bank account, annuity contract, retirement plan, etc., wait a couple decades, and leave the rest to financial intermediaries.</w:t>
      </w:r>
    </w:p>
    <w:p>
      <w:pPr>
        <w:pStyle w:val="BodyText"/>
      </w:pPr>
      <w:r>
        <w:t xml:space="preserve">Such intermediaries include</w:t>
      </w:r>
      <w:r>
        <w:t xml:space="preserve"> </w:t>
      </w:r>
      <w:r>
        <w:rPr>
          <w:bCs/>
          <w:b/>
        </w:rPr>
        <w:t xml:space="preserve">banks and insurance companies</w:t>
      </w:r>
      <w:r>
        <w:t xml:space="preserve">. Banks use funds received as deposits or savings to make loans. Insurance companies offer annuity products by taking savers’ premia and investing them in firms; they also invest premia received from other insurance clients. Prudential regulation in the U.S.prohibits banks and insurance companies from investing in stocks, however, and thus they will feature less prominently in this course.</w:t>
      </w:r>
    </w:p>
    <w:p>
      <w:pPr>
        <w:pStyle w:val="BodyText"/>
      </w:pPr>
      <w:r>
        <w:t xml:space="preserve">Retail investors’ main way to invest in stocks and bonds (= tradeable debt) is through</w:t>
      </w:r>
      <w:r>
        <w:t xml:space="preserve"> </w:t>
      </w:r>
      <w:r>
        <w:rPr>
          <w:bCs/>
          <w:b/>
        </w:rPr>
        <w:t xml:space="preserve">mutual funds</w:t>
      </w:r>
      <w:r>
        <w:t xml:space="preserve">. As the name suggests, mutual funds pool individual investor’ funds and invest them in a pre-specified type of assets (e.g., S&amp;P 500 stocks); each individual investor owns a share of the fund. By size, mutual funds are the big dog among intermediaries, especially in stocks: as of 2017, U.S. mutual funds had almost 20 trillion U.S. dollars under management.</w:t>
      </w:r>
    </w:p>
    <w:p>
      <w:pPr>
        <w:pStyle w:val="BodyText"/>
      </w:pPr>
      <w:r>
        <w:t xml:space="preserve">However, traditionally, mutual funds have not been the most active participants in corporate governance,</w:t>
      </w:r>
      <w:r>
        <w:t xml:space="preserve"> </w:t>
      </w:r>
      <w:r>
        <w:rPr>
          <w:rStyle w:val="Elision"/>
        </w:rPr>
        <w:t xml:space="preserve">[ … ]</w:t>
      </w:r>
      <w:r>
        <w:t xml:space="preserve">. The Investment Company Act and the Investment Advisers Act, respectively, impose considerable restrictions on mutual funds and their management companies (like Fidelity or Vanguard). In particular, mutual funds must offer daily redemption at the fund’s then-current net asset value (NAV), which makes it difficult</w:t>
      </w:r>
      <w:r>
        <w:t xml:space="preserve"> </w:t>
      </w:r>
      <w:r>
        <w:rPr>
          <w:rStyle w:val="Elision"/>
        </w:rPr>
        <w:t xml:space="preserve">[ … ]</w:t>
      </w:r>
      <w:r>
        <w:t xml:space="preserve"> </w:t>
      </w:r>
      <w:r>
        <w:t xml:space="preserve">for mutual funds to invest in illiquid assets, i.e., assets that do not trade in thick markets and hence cannot be sold quickly except at a major discount. Mutual funds therefore mostly invest in public securities, i.e., securities that are registered with the S.E.C. and, usually, admitted to trading on</w:t>
      </w:r>
      <w:r>
        <w:t xml:space="preserve"> </w:t>
      </w:r>
      <w:r>
        <w:rPr>
          <w:rStyle w:val="Elision"/>
        </w:rPr>
        <w:t xml:space="preserve">[ … ]</w:t>
      </w:r>
      <w:r>
        <w:t xml:space="preserve">a stock exchange.</w:t>
      </w:r>
    </w:p>
    <w:p>
      <w:pPr>
        <w:pStyle w:val="BodyText"/>
      </w:pPr>
      <w:r>
        <w:t xml:space="preserve">Moreover, mutual funds’ diversification requirement and prohibition of performance fees makes it less likely for mutual fund managers to expend significant resources on effecting change at individual firms in the fund’s portfolio.</w:t>
      </w:r>
    </w:p>
    <w:p>
      <w:pPr>
        <w:pStyle w:val="BodyText"/>
      </w:pPr>
      <w:r>
        <w:rPr>
          <w:bCs/>
          <w:b/>
        </w:rPr>
        <w:t xml:space="preserve">Private funds</w:t>
      </w:r>
      <w:r>
        <w:t xml:space="preserve">—funds open only to wealthy individuals and institutions—are not subject to these restrictions and are thus present in all asset classes. They provide high-powered incentives to their managers for active management, and</w:t>
      </w:r>
      <w:r>
        <w:t xml:space="preserve"> </w:t>
      </w:r>
      <w:r>
        <w:rPr>
          <w:rStyle w:val="Elision"/>
        </w:rPr>
        <w:t xml:space="preserve">[ … ]</w:t>
      </w:r>
      <w:r>
        <w:t xml:space="preserve">generate a disproportionate amount of trading and engagement. One small but important group of private funds are the aforementioned VCs. A larger group of private funds called</w:t>
      </w:r>
      <w:r>
        <w:t xml:space="preserve"> </w:t>
      </w:r>
      <w:r>
        <w:rPr>
          <w:bCs/>
          <w:b/>
        </w:rPr>
        <w:t xml:space="preserve">private equity (PE)</w:t>
      </w:r>
      <w:r>
        <w:t xml:space="preserve"> </w:t>
      </w:r>
      <w:r>
        <w:t xml:space="preserve">buys mature companies (usually using new debt financing), holds and reshapes them for a couple years, and then resells them. Both VCs and PE funds have investment horizons of at least several years up to a decade and require their own investors to commit their capital for similar periods. Other private funds go by the catch-all name</w:t>
      </w:r>
      <w:r>
        <w:t xml:space="preserve"> </w:t>
      </w:r>
      <w:r>
        <w:rPr>
          <w:bCs/>
          <w:b/>
        </w:rPr>
        <w:t xml:space="preserve">hedge funds</w:t>
      </w:r>
      <w:r>
        <w:t xml:space="preserve">. Their investment strategies and horizons differ greatly.So-called</w:t>
      </w:r>
      <w:r>
        <w:t xml:space="preserve"> </w:t>
      </w:r>
      <w:r>
        <w:rPr>
          <w:bCs/>
          <w:b/>
        </w:rPr>
        <w:t xml:space="preserve">activist</w:t>
      </w:r>
      <w:r>
        <w:t xml:space="preserve"> </w:t>
      </w:r>
      <w:r>
        <w:t xml:space="preserve">hedge funds seek to profit from changing the way a public company conducts its business, having taken a sizeable equity stake in the company that will increase in value if the company improves.</w:t>
      </w:r>
      <w:r>
        <w:t xml:space="preserve"> </w:t>
      </w:r>
      <w:r>
        <w:rPr>
          <w:bCs/>
          <w:b/>
        </w:rPr>
        <w:t xml:space="preserve">Merger arbitrage</w:t>
      </w:r>
      <w:r>
        <w:t xml:space="preserve"> </w:t>
      </w:r>
      <w:r>
        <w:t xml:space="preserve">hedge funds specialize in buying the equity of corporations that have announced to merge.</w:t>
      </w:r>
    </w:p>
    <w:p>
      <w:pPr>
        <w:pStyle w:val="BodyText"/>
      </w:pPr>
      <w:r>
        <w:rPr>
          <w:bCs/>
          <w:b/>
        </w:rPr>
        <w:t xml:space="preserve">Investors</w:t>
      </w:r>
      <w:r>
        <w:t xml:space="preserve"> </w:t>
      </w:r>
      <w:r>
        <w:t xml:space="preserve">in private funds include institutional investors such as public and private pension funds (e.g., CalPERS), endowments (e.g., Harvard’s), and sovereign wealth funds (e.g., Saudi Arabia’s). (The teams managing institutional investors are themselves intermediaries for the ultimate beneficiaries, such as employees and retirees.) Other investors in private funds are wealthy individuals, particularly ultra wealthy individuals who often have their own wealth management teams (“family offices”). In this connection, it is worth pointing out that the “savers” that invest their money in firms are not the average Joe: in the U.S., the top 1% own one third of all equity in public firms, and the top 10% own four fifths (these numbers include indirect ownership through pension funds etc.).</w:t>
      </w:r>
    </w:p>
    <w:p>
      <w:pPr>
        <w:pStyle w:val="BodyText"/>
      </w:pPr>
      <w:r>
        <w:rPr>
          <w:bCs/>
          <w:b/>
        </w:rPr>
        <w:t xml:space="preserve">Capital structure and corporate governance</w:t>
      </w:r>
    </w:p>
    <w:p>
      <w:pPr>
        <w:pStyle w:val="BodyText"/>
      </w:pPr>
      <w:r>
        <w:t xml:space="preserve">As hinted above, there are two broad categories of financial claims that investors acquire in firms, in return for their investment: debt and equity.</w:t>
      </w:r>
      <w:r>
        <w:t xml:space="preserve"> </w:t>
      </w:r>
      <w:r>
        <w:rPr>
          <w:bCs/>
          <w:b/>
        </w:rPr>
        <w:t xml:space="preserve">Debt</w:t>
      </w:r>
      <w:r>
        <w:t xml:space="preserve"> </w:t>
      </w:r>
      <w:r>
        <w:t xml:space="preserve">is an IOU—a fixed claim. It includes loans from banks and others, as well as publicly traded debt securities called</w:t>
      </w:r>
      <w:r>
        <w:t xml:space="preserve"> </w:t>
      </w:r>
      <w:r>
        <w:rPr>
          <w:iCs/>
          <w:i/>
        </w:rPr>
        <w:t xml:space="preserve">bonds</w:t>
      </w:r>
      <w:r>
        <w:t xml:space="preserve">. These payment claims can be enforced in court: creditors can sue for payment, and seize the corporation’s assets if payment is not forthcoming.</w:t>
      </w:r>
      <w:r>
        <w:t xml:space="preserve"> </w:t>
      </w:r>
      <w:r>
        <w:rPr>
          <w:bCs/>
          <w:b/>
        </w:rPr>
        <w:t xml:space="preserve">Equity</w:t>
      </w:r>
      <w:r>
        <w:t xml:space="preserve"> </w:t>
      </w:r>
      <w:r>
        <w:t xml:space="preserve">(a/k/a shares, stock), on the other hand, provides no right to payment but usually provides voting rights to elect the corporation’s board, which</w:t>
      </w:r>
      <w:r>
        <w:t xml:space="preserve"> </w:t>
      </w:r>
      <w:r>
        <w:rPr>
          <w:iCs/>
          <w:i/>
        </w:rPr>
        <w:t xml:space="preserve">may</w:t>
      </w:r>
      <w:r>
        <w:t xml:space="preserve"> </w:t>
      </w:r>
      <w:r>
        <w:t xml:space="preserve">determine to pay money to equity holders as a dividend or to buy back their stock.</w:t>
      </w:r>
    </w:p>
    <w:p>
      <w:pPr>
        <w:pStyle w:val="BodyText"/>
      </w:pPr>
      <w:r>
        <w:t xml:space="preserve">If the corporation cannot pay its creditors—i.e., if it is</w:t>
      </w:r>
      <w:r>
        <w:t xml:space="preserve"> </w:t>
      </w:r>
      <w:r>
        <w:rPr>
          <w:iCs/>
          <w:i/>
        </w:rPr>
        <w:t xml:space="preserve">insolvent</w:t>
      </w:r>
      <w:r>
        <w:t xml:space="preserve">—, unpaid creditors or the corporation itself may petition the bankruptcy court to open a</w:t>
      </w:r>
      <w:r>
        <w:t xml:space="preserve"> </w:t>
      </w:r>
      <w:r>
        <w:rPr>
          <w:bCs/>
          <w:b/>
        </w:rPr>
        <w:t xml:space="preserve">bankruptcy</w:t>
      </w:r>
      <w:r>
        <w:t xml:space="preserve"> </w:t>
      </w:r>
      <w:r>
        <w:t xml:space="preserve">procedure. Bankruptcy does not mean that the business of the corporation is liquidated. Rather, bankruptcy is a collective proceeding to settle various investors’ claims, while preserving the business’s going concern value, if any (potentially simply by selling the business, and then dividing the sale price between existing claimants). The most important tool of bankruptcy law is its</w:t>
      </w:r>
      <w:r>
        <w:t xml:space="preserve"> </w:t>
      </w:r>
      <w:r>
        <w:rPr>
          <w:iCs/>
          <w:i/>
        </w:rPr>
        <w:t xml:space="preserve">automatic stay</w:t>
      </w:r>
      <w:r>
        <w:t xml:space="preserve"> </w:t>
      </w:r>
      <w:r>
        <w:t xml:space="preserve">of individual proceedings, which prevents inefficient liquidation by individual creditors racing to grab the corporation’s assets and explains the expression “filing for bankruptcy</w:t>
      </w:r>
      <w:r>
        <w:t xml:space="preserve"> </w:t>
      </w:r>
      <w:r>
        <w:rPr>
          <w:iCs/>
          <w:i/>
        </w:rPr>
        <w:t xml:space="preserve">protection</w:t>
      </w:r>
      <w:r>
        <w:t xml:space="preserve">.” In bankruptcy, claimants are supposed to be paid in order of their seniority (see below). In particular, equity holders are supposed to get paid only after all creditors have been paid in full. Hence equity holders are often referred to as the corporation’s</w:t>
      </w:r>
      <w:r>
        <w:t xml:space="preserve"> </w:t>
      </w:r>
      <w:r>
        <w:rPr>
          <w:iCs/>
          <w:i/>
        </w:rPr>
        <w:t xml:space="preserve">residual claimants</w:t>
      </w:r>
      <w:r>
        <w:t xml:space="preserve">.</w:t>
      </w:r>
    </w:p>
    <w:p>
      <w:pPr>
        <w:pStyle w:val="BodyText"/>
      </w:pPr>
      <w:r>
        <w:t xml:space="preserve">Debt and equity come in various flavors, including hybrids. This is especially true for debt. Not only do debt claims come in different maturities and with different ancillary rights, such as creditor undertakings to do or not to do something (</w:t>
      </w:r>
      <w:r>
        <w:rPr>
          <w:bCs/>
          <w:b/>
        </w:rPr>
        <w:t xml:space="preserve">covenants</w:t>
      </w:r>
      <w:r>
        <w:t xml:space="preserve">). Importantly, debt claims also differ in their</w:t>
      </w:r>
      <w:r>
        <w:t xml:space="preserve"> </w:t>
      </w:r>
      <w:r>
        <w:rPr>
          <w:bCs/>
          <w:b/>
        </w:rPr>
        <w:t xml:space="preserve">seniority</w:t>
      </w:r>
      <w:r>
        <w:t xml:space="preserve">. Some creditors—so-called juniors—may contractually agree to subordination to certain other creditors—so-called seniors—in bankruptcy, i.e., to receive payment only after the latter have been paid in full. (Bankruptcy law itself also contains some seniority rules for special groups of creditors.) The debtor may grant a</w:t>
      </w:r>
      <w:r>
        <w:t xml:space="preserve"> </w:t>
      </w:r>
      <w:r>
        <w:rPr>
          <w:bCs/>
          <w:b/>
        </w:rPr>
        <w:t xml:space="preserve">security interest</w:t>
      </w:r>
      <w:r>
        <w:t xml:space="preserve"> </w:t>
      </w:r>
      <w:r>
        <w:t xml:space="preserve">in particular assets (e.g., a mortgage) to so-called secured creditors, which enables the secured creditors to obtain satisfaction of their claim from the sale of the asset prior to any other creditors, provided certain formalities, usually including a filing, have been complied with. (Security interests are also called collateral.) The debt contract may provide that the debt is</w:t>
      </w:r>
      <w:r>
        <w:t xml:space="preserve"> </w:t>
      </w:r>
      <w:r>
        <w:rPr>
          <w:bCs/>
          <w:b/>
        </w:rPr>
        <w:t xml:space="preserve">convertible</w:t>
      </w:r>
      <w:r>
        <w:t xml:space="preserve"> </w:t>
      </w:r>
      <w:r>
        <w:t xml:space="preserve">into equity at the election of the creditor and/or the corporation. The debt may also be issued together with</w:t>
      </w:r>
      <w:r>
        <w:t xml:space="preserve"> </w:t>
      </w:r>
      <w:r>
        <w:rPr>
          <w:bCs/>
          <w:b/>
        </w:rPr>
        <w:t xml:space="preserve">options</w:t>
      </w:r>
      <w:r>
        <w:t xml:space="preserve">—known as</w:t>
      </w:r>
      <w:r>
        <w:t xml:space="preserve"> </w:t>
      </w:r>
      <w:r>
        <w:rPr>
          <w:bCs/>
          <w:b/>
        </w:rPr>
        <w:t xml:space="preserve">warrants</w:t>
      </w:r>
      <w:r>
        <w:t xml:space="preserve"> </w:t>
      </w:r>
      <w:r>
        <w:t xml:space="preserve">when issued by the corporation—, i.e., rights to purchase stock of the corporation at a pre-specified price (cf. DGCL 157).</w:t>
      </w:r>
    </w:p>
    <w:p>
      <w:pPr>
        <w:pStyle w:val="BodyText"/>
      </w:pPr>
      <w:r>
        <w:t xml:space="preserve">Equity tends to be less varied, and most corporations only have one class of common stock. Of late, however, many prominent tech corporations such as Google, Facebook, or Snap have gone public with two or more different classes of stock (“</w:t>
      </w:r>
      <w:r>
        <w:rPr>
          <w:bCs/>
          <w:b/>
        </w:rPr>
        <w:t xml:space="preserve">dual class</w:t>
      </w:r>
      <w:r>
        <w:t xml:space="preserve">”) to preserve the founders’ control: one high-voting class reserved to the founders, and one low- or even non-voting class for outside investors. Many corporations also issue so-called</w:t>
      </w:r>
      <w:r>
        <w:t xml:space="preserve"> </w:t>
      </w:r>
      <w:r>
        <w:rPr>
          <w:bCs/>
          <w:b/>
        </w:rPr>
        <w:t xml:space="preserve">preferred stock</w:t>
      </w:r>
      <w:r>
        <w:t xml:space="preserve">, which tends to have no voting rights but a dividend preference, i.e., the right to receive some specified minimum amount of dividends before any dividends can be paid to common stockholders (cf. DGCL 151(c)/(d)). Anything goes under Delaware corporate law: DGCL 151(a)). Voting and other rights may even be extended to creditors (DGCL 221).</w:t>
      </w:r>
    </w:p>
    <w:p>
      <w:pPr>
        <w:pStyle w:val="BodyText"/>
      </w:pPr>
      <w:r>
        <w:t xml:space="preserve">A very important point is that the so-called capital structure formed by the combination of different claims on the corporation is just that: a structure to raise capital and ultimately to divide the returns, if any.</w:t>
      </w:r>
      <w:r>
        <w:rPr>
          <w:rStyle w:val="Elision"/>
        </w:rPr>
        <w:t xml:space="preserve">[ … ]</w:t>
      </w:r>
      <w:r>
        <w:t xml:space="preserve"> </w:t>
      </w:r>
      <w:r>
        <w:t xml:space="preserve">The same investors often hold different parts of the capital structure, such as debt and equity, simultaneously or at different points in time. Investors may trade in an out of the corporations’ claims at any time (at least if they are traded in a liquid market). The corporation frequently extinguishes some claims by paying or buying them back and creates others by selling them in return for new investment. For example, the corporation may borrow money to buy back stock (“leveraged recapitalization”), issue stock to pay off debt, repay one loan by taking on another (“refinancing”), or offer to exchange one type of stock for another. (However, sensibly enough, shares owned by the corporation itself—"treasury shares"—do not have voting rights etc., see DGCL 160(c).)</w:t>
      </w:r>
    </w:p>
    <w:p>
      <w:pPr>
        <w:pStyle w:val="BodyText"/>
      </w:pPr>
      <w:r>
        <w:t xml:space="preserve">Does capital structure matter? It obviously matters for the pricing of individual claims, as investors only pay for what they get. But what the corporation gives to holders of one claim it cannot give to another, and in light of the previous paragraph, the value of individual claims is hardly of deep interest (except, of course, to those buying or holding those claims!). A more fundamental question is whether the total value of all claims that the corporation can sell, and hence the total amount of financing it can raise, depends on the way the claims are delineated by contract, charter, and law? Specifically, does it matter which part of the dollars taken in by the firm (cash flows) go to which investors under which circumstances (</w:t>
      </w:r>
      <w:r>
        <w:rPr>
          <w:bCs/>
          <w:b/>
        </w:rPr>
        <w:t xml:space="preserve">cash flow rights</w:t>
      </w:r>
      <w:r>
        <w:t xml:space="preserve">), and what rights do those investors have to influence the decisions taken by the firm (</w:t>
      </w:r>
      <w:r>
        <w:rPr>
          <w:bCs/>
          <w:b/>
        </w:rPr>
        <w:t xml:space="preserve">control rights</w:t>
      </w:r>
      <w:r>
        <w:t xml:space="preserve">)?</w:t>
      </w:r>
    </w:p>
    <w:p>
      <w:pPr>
        <w:pStyle w:val="BodyText"/>
      </w:pPr>
      <w:r>
        <w:t xml:space="preserve">Modigliani and Miller’s famous</w:t>
      </w:r>
      <w:r>
        <w:t xml:space="preserve"> </w:t>
      </w:r>
      <w:r>
        <w:rPr>
          <w:rStyle w:val="Elision"/>
        </w:rPr>
        <w:t xml:space="preserve">[ … ]</w:t>
      </w:r>
      <w:r>
        <w:t xml:space="preserve">result in corporate finance is that</w:t>
      </w:r>
      <w:r>
        <w:t xml:space="preserve"> </w:t>
      </w:r>
      <w:r>
        <w:rPr>
          <w:iCs/>
          <w:i/>
        </w:rPr>
        <w:t xml:space="preserve">if</w:t>
      </w:r>
      <w:r>
        <w:t xml:space="preserve"> </w:t>
      </w:r>
      <w:r>
        <w:t xml:space="preserve">the firm’s cash flows were fixed and some other conditions held, it would not matter what sort of financial claims the firm issued – the total value of the claims would always be the same. As Miller once explained this proposition, it does not matter how you slice a pizza – it will always be the same amount of pizza. A corporation, however, is not a pizza: its cash flows depend crucially on how it is managed, which in turn depends on how it is governed, i.e., who has which control rights and how they exercise them. Cash flow rights provide incentives to exercise control rights in a certain manner. These incentives can be more or less aligned with increasing the value of the pie (or size of the pizza, if you will). The division and bundling of cash flow and control rights thus matters a great deal.</w:t>
      </w:r>
    </w:p>
    <w:p>
      <w:pPr>
        <w:pStyle w:val="BodyText"/>
      </w:pPr>
      <w:r>
        <w:t xml:space="preserve">Corporate and bankruptcy law have some role in the division and bundling of rights, but most of it is done by a notional "contract"writ large, including the corporate charter. The charter is not literally a contract governed by contract law, but it can thought metaphorically of a contract among the company, its shareholders, directors, managers and possibly others.  The need for the kind of variation permitted by "contract"is inevitable because businesses differ and hence need different governance terms adjusted to the business. In particular, businesses differ in the amount of debt they can service. Debt offers important advantages. First,up to a point, debtis tax advantaged: interest is tax deductible, while dividends paid on stock arenot. Second, debt is less information-sensitive: creditors only need to assess the corporation's ability to repay the loan rather than the corporation’s full potential. Last but not least, creditors' return expectations are backed up by a hard legal claim and its threat of judicial enforcement and bankruptcy, whereas shareholders are at the mercy of the board as to whether they are paid dividends or how the company is governed, subject to their typical ability to vote out the board if they do not like what the board is doing. This last feature, however, also makes debt inflexible: it will lead to costly litigation, bankruptcy, or even liquidation whenever the actual cash flows fall short of projected cash flows, or at least give creditors the ability to extract concessions in renegotiating the debt. That is why only stable businesses with predictable cash flows tend to use a lot of debt, while more volatile businesses, particularly startups, rely mostly or exclusively on equity financing, and even large mature businesses rely mostly on retained earnings to finance themselves. Muchof this course will be concerned with the ways in which corporate law seeks to ensure that shareholders will get a return even though they lack a hard claim to repayment.</w:t>
      </w:r>
    </w:p>
    <w:p>
      <w:pPr>
        <w:pStyle w:val="BodyText"/>
      </w:pPr>
      <w:r>
        <w:t xml:space="preserve">A final note on capital structure and corporate governance is that every possible arrangement is a compromise, and perfection is impossible. Ex ante, every participant in the business would agree that the goal is to maximize the size of the total pie (or pizza, if you prefer) because that will enable everyone to get a bigger slice (the division can be adjusted by side payments). Once the business gets under way, however, whoever has control over a decision will be tempted to use that control to get a bigger slice, even if doing so reduces the size of the total pie. For example, managers may favor growing the business beyond the efficient size if they enjoy the greater power and prestige that comes from running a bigger firm. Creditors may favor inefficient liquidation if continuation, while profitable in expectation, is also risky, such that creditors stand to lose but not much to gain from continuation (remember that creditors' claims are fixed!). Inversely, shareholders may favor inefficient continuation if continuation, while unprofitable in expectation, presents at least the possibility of a positive outcome whereas the liquidation proceeds would go fully or mostly to creditors. The point is that as soon as people pool resources, conflicts of interest are unavoidable. The goal is to mitigate such conflicts; they cannot be eliminated.</w:t>
      </w:r>
    </w:p>
    <w:p>
      <w:pPr>
        <w:pStyle w:val="BodyText"/>
      </w:pPr>
      <w:r>
        <w:rPr>
          <w:bCs/>
          <w:b/>
        </w:rPr>
        <w:t xml:space="preserve">Valuation</w:t>
      </w:r>
    </w:p>
    <w:p>
      <w:pPr>
        <w:pStyle w:val="BlockText"/>
      </w:pPr>
      <w:r>
        <w:rPr>
          <w:bCs/>
          <w:b/>
        </w:rPr>
        <w:t xml:space="preserve">Reassuring note:</w:t>
      </w:r>
      <w:r>
        <w:t xml:space="preserve"> </w:t>
      </w:r>
      <w:r>
        <w:t xml:space="preserve">This subsection is conceptually denser and more algebraic than anything else in this course. You may find it challenging on first reading.</w:t>
      </w:r>
    </w:p>
    <w:p>
      <w:pPr>
        <w:pStyle w:val="FirstParagraph"/>
      </w:pPr>
      <w:r>
        <w:t xml:space="preserve">Above, I said tongue-in-cheek that the value of individual claims does not matter in the big scheme of things. Of course, to individual investors, the value of their claim is all that matters. And because of that, understanding how different actions affect the value of individual claims is crucial to understand the incentives of those holding those claims.</w:t>
      </w:r>
    </w:p>
    <w:p>
      <w:pPr>
        <w:pStyle w:val="BodyText"/>
      </w:pPr>
      <w:r>
        <w:t xml:space="preserve">To value a claim, one usually starts with the claim’s</w:t>
      </w:r>
      <w:r>
        <w:t xml:space="preserve"> </w:t>
      </w:r>
      <w:r>
        <w:rPr>
          <w:bCs/>
          <w:b/>
        </w:rPr>
        <w:t xml:space="preserve">expected future cash flows</w:t>
      </w:r>
      <w:r>
        <w:t xml:space="preserve">. Expected cash flows are the probability-weighted average of the cash flows that the investor will receive in all the conceivable scenarios. For example, if the investment will return either $2 million or nothing with equal probability, the expected cash flows are 50% × $2 million + 50% × 0 = $1 million. In the real world, estimating expected cash flows requires understanding the business and the capital structure, particularly—for debt—the seniority structure and security interests. Usually, such estimates are fraught with very considerable uncertainty, especially for equity (cf. discussion of information-sensitivity above).</w:t>
      </w:r>
    </w:p>
    <w:p>
      <w:pPr>
        <w:pStyle w:val="BodyText"/>
      </w:pPr>
      <w:r>
        <w:t xml:space="preserve">The next step is to</w:t>
      </w:r>
      <w:r>
        <w:t xml:space="preserve"> </w:t>
      </w:r>
      <w:r>
        <w:rPr>
          <w:bCs/>
          <w:b/>
        </w:rPr>
        <w:t xml:space="preserve">discount</w:t>
      </w:r>
      <w:r>
        <w:t xml:space="preserve"> </w:t>
      </w:r>
      <w:r>
        <w:t xml:space="preserve">the future cash flows</w:t>
      </w:r>
      <w:r>
        <w:t xml:space="preserve"> </w:t>
      </w:r>
      <w:r>
        <w:rPr>
          <w:bCs/>
          <w:b/>
        </w:rPr>
        <w:t xml:space="preserve">to present value</w:t>
      </w:r>
      <w:r>
        <w:t xml:space="preserve"> </w:t>
      </w:r>
      <w:r>
        <w:t xml:space="preserve">for the time value of money and a risk premium, to name only the most important ones. The</w:t>
      </w:r>
      <w:r>
        <w:t xml:space="preserve"> </w:t>
      </w:r>
      <w:r>
        <w:rPr>
          <w:bCs/>
          <w:b/>
        </w:rPr>
        <w:t xml:space="preserve">time value of money</w:t>
      </w:r>
      <w:r>
        <w:t xml:space="preserve"> </w:t>
      </w:r>
      <w:r>
        <w:t xml:space="preserve">arises from the simple fact that in the world we live in, all investors have the alternative to put their money into other investments that are expected to pay back the same amount of money</w:t>
      </w:r>
      <w:r>
        <w:t xml:space="preserve"> </w:t>
      </w:r>
      <w:r>
        <w:rPr>
          <w:iCs/>
          <w:i/>
        </w:rPr>
        <w:t xml:space="preserve">plus a positive return</w:t>
      </w:r>
      <w:r>
        <w:t xml:space="preserve"> </w:t>
      </w:r>
      <w:r>
        <w:t xml:space="preserve">in the future. In particular, investors have the alternative to invest in U.S. government bonds that will pay back the same amount of money plus interest with near certainty. Thus, to persuade investors to give their money to the corporation, the corporation has to offer more than the interest paid by the government. How much more? That depends on the risk of the corporation’s claim. Risk in this context does not mean the probability of non-payment per se: that is already accounted for in the calculation of</w:t>
      </w:r>
      <w:r>
        <w:t xml:space="preserve"> </w:t>
      </w:r>
      <w:r>
        <w:rPr>
          <w:iCs/>
          <w:i/>
        </w:rPr>
        <w:t xml:space="preserve">expected</w:t>
      </w:r>
      <w:r>
        <w:t xml:space="preserve"> </w:t>
      </w:r>
      <w:r>
        <w:t xml:space="preserve">future cash flows. Rather, risk here means the variance or volatility of the expected cash flows. For example, for their retirement, most people would rather have $1 million for sure rather than a 50/50 chance of $2 million or nothing (note that the expected cash flows are the same, namely 50% × $2 million + 50% × 0 = 100% × $1 million). That said, investors can diversify away most risk by investing small amounts in many different assets rather than everything in one asset. By and large, investors thus receive a</w:t>
      </w:r>
      <w:r>
        <w:t xml:space="preserve"> </w:t>
      </w:r>
      <w:r>
        <w:rPr>
          <w:bCs/>
          <w:b/>
        </w:rPr>
        <w:t xml:space="preserve">risk premium</w:t>
      </w:r>
      <w:r>
        <w:t xml:space="preserve"> </w:t>
      </w:r>
      <w:r>
        <w:t xml:space="preserve">only for</w:t>
      </w:r>
      <w:r>
        <w:t xml:space="preserve"> </w:t>
      </w:r>
      <w:r>
        <w:rPr>
          <w:bCs/>
          <w:b/>
        </w:rPr>
        <w:t xml:space="preserve">systematic risk</w:t>
      </w:r>
      <w:r>
        <w:t xml:space="preserve">, i.e., risk that is undiversifiable because it is likely to hit all assets at the same time, such as a global recession. (Of course, individual investors would prefer to receive premia for all sorts of things, but in a competitive financial market, investors compete away most other premia – ultimately, the</w:t>
      </w:r>
      <w:r>
        <w:t xml:space="preserve"> </w:t>
      </w:r>
      <w:r>
        <w:rPr>
          <w:bCs/>
          <w:b/>
        </w:rPr>
        <w:t xml:space="preserve">expected return</w:t>
      </w:r>
      <w:r>
        <w:t xml:space="preserve"> </w:t>
      </w:r>
      <w:r>
        <w:t xml:space="preserve">on an investment is set by the supply and demand for capital.)</w:t>
      </w:r>
    </w:p>
    <w:p>
      <w:pPr>
        <w:pStyle w:val="BodyText"/>
      </w:pPr>
      <w:r>
        <w:t xml:space="preserve">Let us consider an extremely stylized example. Imagine we knew for certain that a firm will be in operation for only one year, after which it will liquidate all its assets and distribute them to its investors. Imagine further that we magically know that there are only three possible outcomes, all equally likely: after liquidation but before distribution, the firm will hold (1) $0, (2) $100, or (3) $200. What is this firm worth? Start with the expected future cash flows: ⅓×$0+⅓×$100+⅓×$200=$100. To discount those future cash flows to present value, we need to know the time value of money and the firm-specific risk premium. As mentioned above, the time value of money is what you could earn on a government bond of the same duration.</w:t>
      </w:r>
      <w:hyperlink w:anchor="X80b98285b05e5e0c491d14655e353c3c2d9f37c">
        <w:r>
          <w:rPr>
            <w:rStyle w:val="Hyperlink"/>
          </w:rPr>
          <w:t xml:space="preserve">[2]</w:t>
        </w:r>
      </w:hyperlink>
      <w:r>
        <w:t xml:space="preserve"> </w:t>
      </w:r>
      <w:r>
        <w:t xml:space="preserve">Let’s assume the government currently offers 1% on a one year bond. What is the right risk premium? It depends on the firm! The more the success of the firm is correlated with the health of the economy, the higher the risk premium. How high? It depends on what financial markets demand—or equivalently, what investors can get elsewhere—, which in practice we would estimate by looking at similar firms. Imagine we found the right premium to be 10%. In that case, our firm would be worth $100/(1+1%+10%)=$90.09.</w:t>
      </w:r>
      <w:hyperlink w:anchor="Xca91f832ea5ba03223311962999fbf208c1aa50">
        <w:r>
          <w:rPr>
            <w:rStyle w:val="Hyperlink"/>
          </w:rPr>
          <w:t xml:space="preserve">[3]</w:t>
        </w:r>
      </w:hyperlink>
    </w:p>
    <w:p>
      <w:pPr>
        <w:pStyle w:val="BodyText"/>
      </w:pPr>
      <w:r>
        <w:t xml:space="preserve">Having valued the firm as a whole, let us value individual claims on it. Imagine the firm is organized as a corporation and only has two claimants: a creditor owed $100, and a shareholder.</w:t>
      </w:r>
    </w:p>
    <w:p>
      <w:pPr>
        <w:pStyle w:val="BodyText"/>
      </w:pPr>
      <w:r>
        <w:t xml:space="preserve">Let us start with the creditor and observe that the creditor’s claim is not necessarily worth $100—the corporation has promised $100, but whether it will pay that much is an entirely different question, and how to value those payments yet another.</w:t>
      </w:r>
      <w:hyperlink w:anchor="Xddb497076e23872ba2dd97e18347af18298fe00">
        <w:r>
          <w:rPr>
            <w:rStyle w:val="Hyperlink"/>
          </w:rPr>
          <w:t xml:space="preserve">[4]</w:t>
        </w:r>
      </w:hyperlink>
      <w:r>
        <w:t xml:space="preserve"> </w:t>
      </w:r>
      <w:r>
        <w:t xml:space="preserve">Concretely, the corporation will not be able to pay anything to the creditor in case 1 where it ends up holding $0 (perhaps the shareholder would be able to pay, but, because of limited liability, the shareholder will not need to pay and presumably won’t). In the other two cases 2 and 3, the corporation will be able to pay $100 but will not pay more than that (in case 3, it</w:t>
      </w:r>
      <w:r>
        <w:t xml:space="preserve"> </w:t>
      </w:r>
      <w:r>
        <w:rPr>
          <w:iCs/>
          <w:i/>
        </w:rPr>
        <w:t xml:space="preserve">could</w:t>
      </w:r>
      <w:r>
        <w:t xml:space="preserve"> </w:t>
      </w:r>
      <w:r>
        <w:t xml:space="preserve">pay more but it won’t because the creditor only has a fixed claim $100). Thus, the expected cash flows to the creditor are ⅓×$0+⅓×$100+⅓×$100=$66.67. As to the appropriate discount rate, observe that the creditor’s claim is less volatile than the firm as a whole: in two out of three states, the creditor gets the same amount of money. The appropriate risk premium will thus be lower than for the firm as a whole (which was 10%); assume it is 7%. The time value of money is still 1%. Thus, the creditor’s claim is worth $66.67/(1+1%+7%)=$61.73.</w:t>
      </w:r>
    </w:p>
    <w:p>
      <w:pPr>
        <w:pStyle w:val="BodyText"/>
      </w:pPr>
      <w:r>
        <w:t xml:space="preserve">Meanwhile, the shareholder as residual claimant gets whatever is left over after paying the creditor, which is nothing in cases 1 and 2 and $100 in case 3, for an expected cash flow of ⅓×$0+⅓×$0+⅓×$100=$33.33 (alternatively, we could have found this number by subtracting the creditor’s expected cash flows from those of the corporation as a whole). The shareholder’s claim is riskier than the firm as a whole because the shareholder will only be paid in the best possible case; let us assume the appropriate risk premium is 16.5%. Then, the shareholder’s claim is worth $33.33/(1+1%+16.5%)=$28.37.</w:t>
      </w:r>
      <w:hyperlink w:anchor="X757fdd18d803f2ada8ed44064822fe9a1b7fd73">
        <w:r>
          <w:rPr>
            <w:rStyle w:val="Hyperlink"/>
          </w:rPr>
          <w:t xml:space="preserve">[5]</w:t>
        </w:r>
      </w:hyperlink>
    </w:p>
    <w:p>
      <w:pPr>
        <w:pStyle w:val="BodyText"/>
      </w:pPr>
      <w:r>
        <w:t xml:space="preserve">For obvious reasons, the valuation approach exposited above is called</w:t>
      </w:r>
      <w:r>
        <w:t xml:space="preserve"> </w:t>
      </w:r>
      <w:r>
        <w:rPr>
          <w:bCs/>
          <w:b/>
        </w:rPr>
        <w:t xml:space="preserve">discounted cash-flow analysis</w:t>
      </w:r>
      <w:r>
        <w:t xml:space="preserve"> </w:t>
      </w:r>
      <w:r>
        <w:rPr>
          <w:bCs/>
          <w:b/>
        </w:rPr>
        <w:t xml:space="preserve">(DCF)</w:t>
      </w:r>
      <w:r>
        <w:t xml:space="preserve">. An alternative to DCF is to use</w:t>
      </w:r>
      <w:r>
        <w:t xml:space="preserve"> </w:t>
      </w:r>
      <w:r>
        <w:rPr>
          <w:bCs/>
          <w:b/>
        </w:rPr>
        <w:t xml:space="preserve">comparables</w:t>
      </w:r>
      <w:r>
        <w:t xml:space="preserve">: one calculates some valuation ratio (or “multiple”) for comparable claims, and then assumes that the same ratio will hold for the claim under examination. For example, to value the shares of company A (say, Pepsi), one might look at comparable company B (say, Coca-Cola), calculate the ratio of company B’s stock price to B’s current earnings per share (EPS; roughly, firm profits divided by number of shares outstanding), and then calculate company A’s share value as A’s EPS times B’s share value divided by B’s EPS. (Thus, if Coca-Cola’s share is worth $150, Coca-Cola’s EPS is $10 per share, and Pepsi’s EPS is $8 per share, then Pepsi’s share is worth $8 × $150/$10 = $120, as valued by EPS multiple.) The advantage of the comparables approach to valuation is that it avoids the difficult task of estimating company A’s expected cash flows. The disadvantage is that one must not only assume that company B is already correctly valued, but also that both companies will develop in parallel from their current starting point. The latter assumption is never exactly true and even the approximation may be very bad. In practice, most valuations triangulate from a combination of DCF and multiple comparable firms.</w:t>
      </w:r>
    </w:p>
    <w:p>
      <w:pPr>
        <w:pStyle w:val="BodyText"/>
      </w:pPr>
      <w:r>
        <w:t xml:space="preserve">Finally, knowing a claim’s present value, or PV, is not enough to make an investment decision. At the risk of stating the obvious, the price of the claim also matters. The investment is appealing only if the</w:t>
      </w:r>
      <w:r>
        <w:t xml:space="preserve"> </w:t>
      </w:r>
      <w:r>
        <w:rPr>
          <w:iCs/>
          <w:i/>
          <w:bCs/>
          <w:b/>
        </w:rPr>
        <w:t xml:space="preserve">net</w:t>
      </w:r>
      <w:r>
        <w:rPr>
          <w:bCs/>
          <w:b/>
        </w:rPr>
        <w:t xml:space="preserve"> </w:t>
      </w:r>
      <w:r>
        <w:rPr>
          <w:bCs/>
          <w:b/>
        </w:rPr>
        <w:t xml:space="preserve">present value (NPV)</w:t>
      </w:r>
      <w:r>
        <w:t xml:space="preserve">, i.e., PV minus price, is positive.</w:t>
      </w:r>
    </w:p>
    <w:p>
      <w:pPr>
        <w:pStyle w:val="BodyText"/>
      </w:pPr>
      <w:r>
        <w:t xml:space="preserve"> </w:t>
      </w:r>
    </w:p>
    <w:p>
      <w:pPr>
        <w:pStyle w:val="BodyText"/>
      </w:pPr>
      <w:hyperlink w:anchor="X62072062479c9f27d1f464eb540742f813aad5a">
        <w:r>
          <w:rPr>
            <w:rStyle w:val="Hyperlink"/>
          </w:rPr>
          <w:t xml:space="preserve">[1]</w:t>
        </w:r>
      </w:hyperlink>
      <w:r>
        <w:t xml:space="preserve"> </w:t>
      </w:r>
      <w:r>
        <w:t xml:space="preserve">Note in this regard that bankruptcy usually means restructuring or sale rather than liquidation, and firms not only buy but also sell a/k/a “spin off” subsidiaries and other parts of their business. For example, United Airlines was founded as Boeing Air Transport by William Boeing in 1927, merged with his Boeing Airplane Company in 1929, and spun out as United Airlines in 1934; it filed for bankruptcy in 2002, emerged from bankruptcy in 2006, and merged with Continental Airlines in 2013.</w:t>
      </w:r>
    </w:p>
    <w:p>
      <w:pPr>
        <w:pStyle w:val="BodyText"/>
      </w:pPr>
      <w:hyperlink w:anchor="Xdfff9ff2127b7448c942a143bafb36fceffd073">
        <w:r>
          <w:rPr>
            <w:rStyle w:val="Hyperlink"/>
          </w:rPr>
          <w:t xml:space="preserve">[2]</w:t>
        </w:r>
      </w:hyperlink>
      <w:r>
        <w:t xml:space="preserve"> </w:t>
      </w:r>
      <w:r>
        <w:t xml:space="preserve">Well, actually, the government bond also pays you a compensation for expected inflation. But we’ll assume our business’s outcomes are measured in nominal terms, so including an inflation premium is appropriate.</w:t>
      </w:r>
    </w:p>
    <w:p>
      <w:pPr>
        <w:pStyle w:val="BodyText"/>
      </w:pPr>
      <w:hyperlink w:anchor="X9551f9c42c032d577e3900cb876f78d4a6b4347">
        <w:r>
          <w:rPr>
            <w:rStyle w:val="Hyperlink"/>
          </w:rPr>
          <w:t xml:space="preserve">[3]</w:t>
        </w:r>
      </w:hyperlink>
      <w:r>
        <w:t xml:space="preserve"> </w:t>
      </w:r>
      <w:r>
        <w:t xml:space="preserve">At the limit, if the success of the firm were purely idiosyncratic—e.g., it depends on whether or not a patent will be upheld in court—, then the appropriate risk premium would be zero, and our firm would be worth $100/(1+1%+0%)=$99.01.</w:t>
      </w:r>
    </w:p>
    <w:p>
      <w:pPr>
        <w:pStyle w:val="BodyText"/>
      </w:pPr>
      <w:hyperlink w:anchor="Xbe6c82468123d3ecc405a38af8c18eb5a2b5f0b">
        <w:r>
          <w:rPr>
            <w:rStyle w:val="Hyperlink"/>
          </w:rPr>
          <w:t xml:space="preserve">[4]</w:t>
        </w:r>
      </w:hyperlink>
      <w:r>
        <w:t xml:space="preserve"> </w:t>
      </w:r>
      <w:r>
        <w:t xml:space="preserve">Nor did the creditor necessarily invest $100 – that is merely the</w:t>
      </w:r>
      <w:r>
        <w:t xml:space="preserve"> </w:t>
      </w:r>
      <w:r>
        <w:rPr>
          <w:bCs/>
          <w:b/>
        </w:rPr>
        <w:t xml:space="preserve">face value</w:t>
      </w:r>
      <w:r>
        <w:t xml:space="preserve"> </w:t>
      </w:r>
      <w:r>
        <w:t xml:space="preserve">of the claim, i.e., the promised amount. In fact, given the time value of money, the investor presumably invested less than $100!</w:t>
      </w:r>
    </w:p>
    <w:p>
      <w:pPr>
        <w:pStyle w:val="BodyText"/>
      </w:pPr>
      <w:hyperlink w:anchor="Xe23e63f086725e6a7c238331f57b7fb2a1d8522">
        <w:r>
          <w:rPr>
            <w:rStyle w:val="Hyperlink"/>
          </w:rPr>
          <w:t xml:space="preserve">[5]</w:t>
        </w:r>
      </w:hyperlink>
      <w:r>
        <w:t xml:space="preserve"> </w:t>
      </w:r>
      <w:r>
        <w:t xml:space="preserve">In this example, the value of the creditor’s claim and the value of the shareholder’s claim add up to the value of the firm as a whole. This might appear unsurprising because the two claims are the only claims on the firm, and value cannot evaporate or appear from out of nowhere. Notice, however, that the algebraic equivalence depended on the risk premia: it would not hold with different risk premia (e.g., a lower risk premium for equity). Modigliani and Miller, mentioned above, are famous for showing that, under certain conditions, risk premia must be such that the equivalence does hold. As also mentioned above, however, Modigliani-Miller is merely a benchmark result. In reality, risk premia may not obey the equivalence exactly. More importantly, Modigliani-Miller applies to fixed cash flows; if capital structure influences cash flows, then all bets are off. In the example above, an important omission was taxes: the mix of debt and equity generally influences tax burdens, and it would not even make sense to value “the firm” without taking into account its financing and associated expected taxes.</w:t>
      </w:r>
    </w:p>
    <w:p>
      <w:pPr>
        <w:pStyle w:val="NodeEnd"/>
      </w:pPr>
      <w:r>
        <w:t xml:space="preserve"> </w:t>
      </w:r>
    </w:p>
    <w:p>
      <w:pPr>
        <w:pStyle w:val="NodeStart"/>
      </w:pPr>
      <w:r>
        <w:t xml:space="preserve"> </w:t>
      </w:r>
    </w:p>
    <w:p>
      <w:pPr>
        <w:pStyle w:val="HeadSeparator"/>
      </w:pPr>
      <w:r>
        <w:t xml:space="preserve"> </w:t>
      </w:r>
    </w:p>
    <w:bookmarkStart w:id="42" w:name="_auto_toc_42"/>
    <w:bookmarkEnd w:id="42"/>
    <w:p>
      <w:pPr>
        <w:pStyle w:val="ResourceNumber"/>
      </w:pPr>
      <w:r>
        <w:t xml:space="preserve">3.4</w:t>
      </w:r>
    </w:p>
    <w:p>
      <w:pPr>
        <w:pStyle w:val="ResourceTitle"/>
      </w:pPr>
      <w:r>
        <w:t xml:space="preserve">A note on entity choice</w:t>
      </w:r>
    </w:p>
    <w:p>
      <w:pPr>
        <w:pStyle w:val="HeadEnd"/>
      </w:pPr>
      <w:r>
        <w:t xml:space="preserve"> </w:t>
      </w:r>
    </w:p>
    <w:p>
      <w:pPr>
        <w:pStyle w:val="BodyText"/>
      </w:pPr>
      <w:r>
        <w:rPr>
          <w:bCs/>
          <w:b/>
        </w:rPr>
        <w:t xml:space="preserve">History</w:t>
      </w:r>
    </w:p>
    <w:p>
      <w:pPr>
        <w:pStyle w:val="BodyText"/>
      </w:pPr>
      <w:r>
        <w:t xml:space="preserve">Once upon a time, all property and businesses were owned by individuals.  Even today, most businesses are "</w:t>
      </w:r>
      <w:r>
        <w:rPr>
          <w:bCs/>
          <w:b/>
        </w:rPr>
        <w:t xml:space="preserve">sole proprietorships</w:t>
      </w:r>
      <w:r>
        <w:t xml:space="preserve">," as they are called when owned by an individual.  This is true even for businesses of significant size, with many employees. </w:t>
      </w:r>
    </w:p>
    <w:p>
      <w:pPr>
        <w:pStyle w:val="BodyText"/>
      </w:pPr>
      <w:r>
        <w:t xml:space="preserve">Throughout history, too, families have gone into business together, resulting inevitably in disputes between members of these jointly owned firms.  Courts developed the law of</w:t>
      </w:r>
      <w:r>
        <w:t xml:space="preserve"> </w:t>
      </w:r>
      <w:r>
        <w:rPr>
          <w:bCs/>
          <w:b/>
        </w:rPr>
        <w:t xml:space="preserve">(general) partnerships</w:t>
      </w:r>
      <w:r>
        <w:t xml:space="preserve"> </w:t>
      </w:r>
      <w:r>
        <w:t xml:space="preserve">to cope with jointly owned and operated businesses.  Some aspects of that case law have been codified in the Uniform Partnership Act (1914) and more modern (Revised) Uniform Partnership Act (1997).</w:t>
      </w:r>
    </w:p>
    <w:p>
      <w:pPr>
        <w:pStyle w:val="BodyText"/>
      </w:pPr>
      <w:r>
        <w:t xml:space="preserve">From the Middle Ages, kings found it useful to delegate authority and ownership of property to select subjects.  In England, early</w:t>
      </w:r>
      <w:r>
        <w:t xml:space="preserve"> </w:t>
      </w:r>
      <w:r>
        <w:rPr>
          <w:bCs/>
          <w:b/>
        </w:rPr>
        <w:t xml:space="preserve">corporations</w:t>
      </w:r>
      <w:r>
        <w:t xml:space="preserve"> </w:t>
      </w:r>
      <w:r>
        <w:t xml:space="preserve">included cities, universities, religious organizations, guilds, and colonies, often with regulatory authority over their members or residents -- see, for example, the Massachusetts Bay Colony</w:t>
      </w:r>
      <w:r>
        <w:t xml:space="preserve"> </w:t>
      </w:r>
      <w:hyperlink r:id="rId32">
        <w:r>
          <w:rPr>
            <w:rStyle w:val="Hyperlink"/>
          </w:rPr>
          <w:t xml:space="preserve">Charter</w:t>
        </w:r>
      </w:hyperlink>
      <w:r>
        <w:t xml:space="preserve"> </w:t>
      </w:r>
      <w:r>
        <w:t xml:space="preserve">of 1629.  In Civil Law countries, rulers revived conceptions of legal entities --</w:t>
      </w:r>
      <w:r>
        <w:t xml:space="preserve"> </w:t>
      </w:r>
      <w:r>
        <w:rPr>
          <w:iCs/>
          <w:i/>
        </w:rPr>
        <w:t xml:space="preserve">Universitas</w:t>
      </w:r>
      <w:r>
        <w:t xml:space="preserve">, </w:t>
      </w:r>
      <w:r>
        <w:rPr>
          <w:iCs/>
          <w:i/>
        </w:rPr>
        <w:t xml:space="preserve">corpus</w:t>
      </w:r>
      <w:r>
        <w:t xml:space="preserve"> or </w:t>
      </w:r>
      <w:r>
        <w:rPr>
          <w:iCs/>
          <w:i/>
        </w:rPr>
        <w:t xml:space="preserve">collegium</w:t>
      </w:r>
      <w:r>
        <w:t xml:space="preserve">, for example</w:t>
      </w:r>
      <w:r>
        <w:t xml:space="preserve"> </w:t>
      </w:r>
      <w:r>
        <w:rPr>
          <w:iCs/>
          <w:i/>
        </w:rPr>
        <w:t xml:space="preserve">--</w:t>
      </w:r>
      <w:r>
        <w:t xml:space="preserve"> </w:t>
      </w:r>
      <w:r>
        <w:t xml:space="preserve">that can be traced to Roman Law.  </w:t>
      </w:r>
    </w:p>
    <w:p>
      <w:pPr>
        <w:pStyle w:val="BodyText"/>
      </w:pPr>
      <w:r>
        <w:t xml:space="preserve">These organizations followed a broadly similar model of a "legal person” with distinct property, centralized governance, and judicial standing to sue and be sued.  Collectively, they created a template for business activity.  As early as the Tudors, sovereign-chartered companies pursued charitable goals, as well as what modernly would be for-profit businesses, often with exclusive rights to pursue a designated line of business, sometimes based on what today we would view as a patent of an invention or innovation, but sometimes based solely on sovereign power to control or promote agriculture, trade or manufacturing activities.  Examples ranged from soap (then a novel product) to new techniques of weaving.</w:t>
      </w:r>
    </w:p>
    <w:p>
      <w:pPr>
        <w:pStyle w:val="BodyText"/>
      </w:pPr>
      <w:r>
        <w:t xml:space="preserve">As legislatures displaced kings, they took over this function, chartering companies by statute.  Harvard University is a “corporation” resembling early corporations, with its own special</w:t>
      </w:r>
      <w:r>
        <w:t xml:space="preserve"> </w:t>
      </w:r>
      <w:hyperlink r:id="rId33">
        <w:r>
          <w:rPr>
            <w:rStyle w:val="Hyperlink"/>
          </w:rPr>
          <w:t xml:space="preserve">charter</w:t>
        </w:r>
      </w:hyperlink>
      <w:r>
        <w:t xml:space="preserve"> </w:t>
      </w:r>
      <w:r>
        <w:t xml:space="preserve">from the Massachusetts General Assembly (or "General Court" as it was known in 1636).</w:t>
      </w:r>
    </w:p>
    <w:p>
      <w:pPr>
        <w:pStyle w:val="BodyText"/>
      </w:pPr>
      <w:r>
        <w:t xml:space="preserve">In the age of exploration, long-distance overseas trade required large “capital” ships and investment by many individuals.  The discrete and long-term nature of a ship’s journey between the Netherlands or England to Indonesia, and the merchant exchange it enabled, joined the conception of “companies,” with assets that were co-owned by separate from their owners’ individual assets.  Most famous was the East India Company, which exploited sovereign authority, monopoly power and violence for private profit-seeking over many centuries.  Such companies became so large and influential they became entangled with public finance, rivaling another type of corporation -- banks -- such as the Bank of England.  Sovereign-chartered corporations and trading companies effectively combined limited liability for investors, indefinite legal existence that could outlast any one owner, judicial standing, and a standard centralized management structure. </w:t>
      </w:r>
    </w:p>
    <w:p>
      <w:pPr>
        <w:pStyle w:val="BodyText"/>
      </w:pPr>
      <w:r>
        <w:t xml:space="preserve">In early America, these models of incorporation created fears of (and sometimes actual) corruption by financial-political elites.  While a select number of “national” corporations were chartered, such as the First and Second Banks of the United States, political rivalries and fears meant that most corporations were created by states by local elites to pursue local business.  Early examples included fire insurance companies and banks chartered in many states; later companies developed canals and railroads. </w:t>
      </w:r>
    </w:p>
    <w:p>
      <w:pPr>
        <w:pStyle w:val="BodyText"/>
      </w:pPr>
      <w:r>
        <w:rPr>
          <w:bCs/>
          <w:b/>
        </w:rPr>
        <w:t xml:space="preserve">Emergence of modern corporations, limited partnerships, trusts, and antitrust</w:t>
      </w:r>
    </w:p>
    <w:p>
      <w:pPr>
        <w:pStyle w:val="BodyText"/>
      </w:pPr>
      <w:r>
        <w:t xml:space="preserve">Still more “democratic” mechanisms were state “general incorporation” statutes that were widely adopted in the middle of the nineteenth century.  Such statutes authorized and required creation of any corporation anyone enfranchised sought to create, for any lawful stated purpose, following observance of basic formalities, such as the filing of a certificate of incorporation with a state. </w:t>
      </w:r>
    </w:p>
    <w:p>
      <w:pPr>
        <w:pStyle w:val="BodyText"/>
      </w:pPr>
      <w:r>
        <w:t xml:space="preserve">Shortly after New York adopted the first “general incorporation” statute (1811), New York also became the first state to authorize a “limited partnership” (LP) by statute (1822).  LPs allowed partners the ability to obtain equity investment without requiring the investor to also take on unlimited liability.  As with corporations, they required formalities to create – which among other things put creditors on notice about the limited nature of the liability of the limited partners.</w:t>
      </w:r>
    </w:p>
    <w:p>
      <w:pPr>
        <w:pStyle w:val="BodyText"/>
      </w:pPr>
      <w:r>
        <w:t xml:space="preserve">These state statutes remain the legal basis for modern for-profit business corporations and LPs. Unlike earlier corporations, these general corporations were not typically given special powers or monopolies, and increasingly were not limited by their charters in what businesses they could pursue.  As illustrated by the YouTube linked</w:t>
      </w:r>
      <w:r>
        <w:t xml:space="preserve"> </w:t>
      </w:r>
      <w:hyperlink r:id="rId34">
        <w:r>
          <w:rPr>
            <w:rStyle w:val="Hyperlink"/>
          </w:rPr>
          <w:t xml:space="preserve">here</w:t>
        </w:r>
      </w:hyperlink>
      <w:r>
        <w:t xml:space="preserve">, anyone can set up a company quickly and fairly cheaply.</w:t>
      </w:r>
    </w:p>
    <w:p>
      <w:pPr>
        <w:pStyle w:val="BodyText"/>
      </w:pPr>
      <w:r>
        <w:t xml:space="preserve">The challenge of corruption and economic dominance by elites persisted, however.  Businesses such as railroads and canals often continued to require further authorizations of public power and/or monopolies, to make them viable and give them the ability to “take” property needed to create transportation networks.  Later, trusts were used to concentrate private control over whole industries, by pooling ownership of multiple corporations in one trust.  This form of economic dominance and monopoly power generated a reactive “antitrust” movement, and modern federal antitrust law.</w:t>
      </w:r>
    </w:p>
    <w:p>
      <w:pPr>
        <w:pStyle w:val="BodyText"/>
      </w:pPr>
      <w:r>
        <w:t xml:space="preserve">So things stood for a century.  Individuals could create and operate businesses in several forms:</w:t>
      </w:r>
    </w:p>
    <w:p>
      <w:pPr>
        <w:pStyle w:val="BodyText"/>
      </w:pPr>
      <w:r>
        <w:t xml:space="preserve">(a) sole proprietorships,</w:t>
      </w:r>
    </w:p>
    <w:p>
      <w:pPr>
        <w:pStyle w:val="BodyText"/>
      </w:pPr>
      <w:r>
        <w:t xml:space="preserve">(b) general partnerships,</w:t>
      </w:r>
    </w:p>
    <w:p>
      <w:pPr>
        <w:pStyle w:val="BodyText"/>
      </w:pPr>
      <w:r>
        <w:t xml:space="preserve">(c) limited partnerships or</w:t>
      </w:r>
    </w:p>
    <w:p>
      <w:pPr>
        <w:pStyle w:val="BodyText"/>
      </w:pPr>
      <w:r>
        <w:t xml:space="preserve">(d) corporations. </w:t>
      </w:r>
    </w:p>
    <w:p>
      <w:pPr>
        <w:pStyle w:val="BodyText"/>
      </w:pPr>
      <w:r>
        <w:rPr>
          <w:bCs/>
          <w:b/>
        </w:rPr>
        <w:t xml:space="preserve">The impact of corporate tax</w:t>
      </w:r>
    </w:p>
    <w:p>
      <w:pPr>
        <w:pStyle w:val="BodyText"/>
      </w:pPr>
      <w:r>
        <w:t xml:space="preserve">Once the U.S. adopted a corporate income tax</w:t>
      </w:r>
      <w:hyperlink w:anchor="Xf41cbda106df86a575195067c24142edb5428d9">
        <w:r>
          <w:rPr>
            <w:rStyle w:val="Hyperlink"/>
          </w:rPr>
          <w:t xml:space="preserve">[1]</w:t>
        </w:r>
      </w:hyperlink>
      <w:r>
        <w:t xml:space="preserve"> </w:t>
      </w:r>
      <w:r>
        <w:t xml:space="preserve">(in the early twentieth century), the result was (and still is) often “double” taxation on business income of entities.  That is, the entity is taxed on its own (entity-level) income, and its investors are taxed again at individual income tax rates when income is distributed to them by the entity.  Meanwhile, businesses held as sole proprietorships and general partnerships were taxed only once.  In the case of partnerships, income was (and is) taxed on each partner as if they had received it (pro rata based on their ownership) as it was generated, even if the income was still held in the business. </w:t>
      </w:r>
    </w:p>
    <w:p>
      <w:pPr>
        <w:pStyle w:val="BodyText"/>
      </w:pPr>
      <w:r>
        <w:t xml:space="preserve">Not surprisingly, owners of limited partnerships sought (and still seek) to obtain the same “partnership” or pass-through taxation as general partnerships.  Up through the 1980s, Internal Revenue Code (IRC) and Internal Revenue Service (IRS) regulations provided an entity like a limited partnership would be taxed like a corporation if it possessed three or more “corporate” characteristics:</w:t>
      </w:r>
    </w:p>
    <w:p>
      <w:pPr>
        <w:pStyle w:val="BodyText"/>
      </w:pPr>
      <w:r>
        <w:t xml:space="preserve">(1) limited liability for owners,</w:t>
      </w:r>
    </w:p>
    <w:p>
      <w:pPr>
        <w:pStyle w:val="BodyText"/>
      </w:pPr>
      <w:r>
        <w:t xml:space="preserve">(2) centralized management,</w:t>
      </w:r>
    </w:p>
    <w:p>
      <w:pPr>
        <w:pStyle w:val="BodyText"/>
      </w:pPr>
      <w:r>
        <w:t xml:space="preserve">(3) freely transferable ownership interests, and</w:t>
      </w:r>
    </w:p>
    <w:p>
      <w:pPr>
        <w:pStyle w:val="BodyText"/>
      </w:pPr>
      <w:r>
        <w:t xml:space="preserve">(4) continuity of life.</w:t>
      </w:r>
    </w:p>
    <w:p>
      <w:pPr>
        <w:pStyle w:val="BodyText"/>
      </w:pPr>
      <w:r>
        <w:t xml:space="preserve">Limited partnerships (LPs) were able to meet this test because (1) they required a general partner with unlimited liability (but today LP general partners are commonly corporations with limited capital), (2) partnerships are automatically dissolved by partnership withdrawal (but today partners can re-partner into an ongoing partnership), and (3) because LP interests cannot be freely transferred (but continuing partners could contract to approving transfers).   LPs thus were an attractive vehicle for multiple owner businesses, combining the attributes of corporate status with pass-through tax treatment. </w:t>
      </w:r>
    </w:p>
    <w:p>
      <w:pPr>
        <w:pStyle w:val="BodyText"/>
      </w:pPr>
      <w:r>
        <w:t xml:space="preserve">During the Eisenhower presidency, U.S. corporate tax rates reached 50%, and individual rates 92%.  Public resistance to such high taxation led Congress to authorize (for tax purposes) the “S” (for “shareholder”) corporation. </w:t>
      </w:r>
      <w:r>
        <w:t xml:space="preserve"> </w:t>
      </w:r>
      <w:r>
        <w:rPr>
          <w:bCs/>
          <w:b/>
        </w:rPr>
        <w:t xml:space="preserve">S corps</w:t>
      </w:r>
      <w:r>
        <w:t xml:space="preserve"> </w:t>
      </w:r>
      <w:r>
        <w:t xml:space="preserve">would be taxed only once, like partnerships, if they kept their number of shareholders small.  Today, S corps can have no more than 100 shareholders, only one class of stock, and only U.S. individuals and specified trusts as shareholders. </w:t>
      </w:r>
    </w:p>
    <w:p>
      <w:pPr>
        <w:pStyle w:val="BodyText"/>
      </w:pPr>
      <w:r>
        <w:t xml:space="preserve">For other corporations, the IRC today still imposes two tiers of tax.  Double tax is also imposed on LPs, or any other business entity if they have ownership interests listed on a stock exchange or have shares traded on a secondary market.</w:t>
      </w:r>
      <w:hyperlink w:anchor="Xee6bf7950b491c4315be65ac9247003a37511e0">
        <w:r>
          <w:rPr>
            <w:rStyle w:val="Hyperlink"/>
          </w:rPr>
          <w:t xml:space="preserve">[2]</w:t>
        </w:r>
      </w:hyperlink>
      <w:r>
        <w:t xml:space="preserve">  Corporations thus remained the vehicle of choice for widely owned businesses, and LPs were typically owned by a small number of investors.</w:t>
      </w:r>
    </w:p>
    <w:p>
      <w:pPr>
        <w:pStyle w:val="BodyText"/>
      </w:pPr>
      <w:r>
        <w:rPr>
          <w:bCs/>
          <w:b/>
        </w:rPr>
        <w:t xml:space="preserve">Enter the LLC</w:t>
      </w:r>
    </w:p>
    <w:p>
      <w:pPr>
        <w:pStyle w:val="BodyText"/>
      </w:pPr>
      <w:r>
        <w:t xml:space="preserve">Complicating this picture, in 1997, after intense lobbying, the IRS adopted new rules -- known as “check the box” regulations -- that scrapped the four-factor test. The new rules allow all unincorporated business entities not listed on a stock exchange or publicly traded to choose whether to be taxed as partnerships or corporations.</w:t>
      </w:r>
      <w:hyperlink w:anchor="X4c8dee2b2d3bffac166e6b2df42e7c85b7c19f4">
        <w:r>
          <w:rPr>
            <w:rStyle w:val="Hyperlink"/>
          </w:rPr>
          <w:t xml:space="preserve">[3]</w:t>
        </w:r>
      </w:hyperlink>
      <w:r>
        <w:t xml:space="preserve">  Since 1997, LLCs have provided most of the benefits of LPs, and need not involve any general partners. In addition, LLC statutes generally offer complete flexibility in terms – more so than corporate statutes or even partnerships, which are also said to be “creatures of contract.”  Unlike the other forms, most LLC statutes authorize near-complete freedom to “opt out” of default statutory rules on governance, and the ability to disclaim all fiduciary duties. </w:t>
      </w:r>
    </w:p>
    <w:p>
      <w:pPr>
        <w:pStyle w:val="BodyText"/>
      </w:pPr>
      <w:r>
        <w:t xml:space="preserve">LLCs have now displaced all other forms for ordinary, actively managed, closely held businesses operating in a single state.</w:t>
      </w:r>
      <w:hyperlink w:anchor="X8525bde00517019b67056360f26b34c43a3a6d3">
        <w:r>
          <w:rPr>
            <w:rStyle w:val="Hyperlink"/>
          </w:rPr>
          <w:t xml:space="preserve">[4]</w:t>
        </w:r>
      </w:hyperlink>
      <w:r>
        <w:t xml:space="preserve">  Put differently, wealthy actors have increasingly chosen contracts negotiated up-front over reliance on after-the-fact duties developed by courts. Sometimes the parties even build in alternative dispute resolution, as in other kinds of contracts, shifting all disputes outside the traditional forum for business organization litigation.</w:t>
      </w:r>
    </w:p>
    <w:p>
      <w:pPr>
        <w:pStyle w:val="BodyText"/>
      </w:pPr>
      <w:r>
        <w:t xml:space="preserve">Does this trend show suggest a rejection of Cardozo’s view of judicially enforceable personal loyalty as essential in jointly owned businesses?  Increasingly, this seems to be the case.  LLC “operating agreements” have increasingly excluded all fiduciary duties.  Lobbying led Delaware, New York and other states to take the contracting parties at their word, and limit courts to enforcing the contract, plus the bare minimum of situations where fraud or the implied covenant of good faith and fair dealing can be invoked, based on a true contractual gap.  The result may be surprise and opportunism when the formal terms of the contract permit such behavior.  Well informed parties should be and are careful about who they invest with through such an LLC.</w:t>
      </w:r>
    </w:p>
    <w:p>
      <w:pPr>
        <w:pStyle w:val="BodyText"/>
      </w:pPr>
      <w:r>
        <w:t xml:space="preserve">They should also be prepared to either pay lawyers significant sums to analyze and negotiate an LLC contract at the outset of an investment, or simply take on faith that a proposed contract is fair.  Highly lawyered LLC operating agreements are often hundreds of pages in length and are treated as proprietary information of the parties involved. They are not filed with certificates of formation, which give limited information beyond formal notice of the name and good standing of the registered entity. Delaware practitioners prefer the confidentiality permitted by the Delaware LLC statute.  In some states, a list of initial managers or members appear in a LLC’s public certificate, but not in Delaware.</w:t>
      </w:r>
    </w:p>
    <w:p>
      <w:pPr>
        <w:pStyle w:val="BodyText"/>
      </w:pPr>
      <w:r>
        <w:t xml:space="preserve">LLCs also set limited liability as the default term for creditors.</w:t>
      </w:r>
      <w:hyperlink w:anchor="X1af8072707f59316d6bf019f791e773540425dd">
        <w:r>
          <w:rPr>
            <w:rStyle w:val="Hyperlink"/>
          </w:rPr>
          <w:t xml:space="preserve">[5]</w:t>
        </w:r>
      </w:hyperlink>
      <w:r>
        <w:t xml:space="preserve"> </w:t>
      </w:r>
      <w:r>
        <w:t xml:space="preserve">Credit terms for sophisticated lenders presumably adjust – increasing the interest rate or including contract protections, or personal guarantees from limited liability investors. Unsophisticated unsecured creditors, and tort creditors, of insolvent entities are consigned to suing the bankruptcy estate of the entity and collecting pennies on the dollar, if anything.</w:t>
      </w:r>
    </w:p>
    <w:p>
      <w:pPr>
        <w:pStyle w:val="BodyText"/>
      </w:pPr>
      <w:r>
        <w:rPr>
          <w:bCs/>
          <w:b/>
        </w:rPr>
        <w:t xml:space="preserve">Continuing role for limited partnerships</w:t>
      </w:r>
    </w:p>
    <w:p>
      <w:pPr>
        <w:pStyle w:val="BodyText"/>
      </w:pPr>
      <w:r>
        <w:t xml:space="preserve">Llimited partnerships do still exist.  Indeed, they dominate some sectors.  They remain most popular for hedge funds, private equity firms, venture capital firms, and oil and gas firms. The norms for these industries formed before tax treatment of LLCs was on par with LPs. Inertia (costs of learning and drafting) plus lack of any clear advantage of LLCs over LPs has given LPs staying power in those industries.</w:t>
      </w:r>
    </w:p>
    <w:p>
      <w:pPr>
        <w:pStyle w:val="BodyText"/>
      </w:pPr>
      <w:r>
        <w:t xml:space="preserve">Publicly traded LPs also have long existed in special industries where investors can be passive, such as oil and gas, where LPs have a special exemption from double tax and are known as “master limited partnerships.”[2]  Familiarity on Wall Street gives them a modest marketing advantage over LLCs when it comes time to go public.  Private equity firms – even those operating as LLCs while private – have reorganized into LPs before going public.  LPs are also fairly well recognized outside the U.S., making it easier to sell shares to foreign investors. </w:t>
      </w:r>
    </w:p>
    <w:p>
      <w:pPr>
        <w:pStyle w:val="BodyText"/>
      </w:pPr>
      <w:r>
        <w:t xml:space="preserve">In addition to inertia, a number of federal, state and international tax law differences continue to favor LPs, particularly those that operate nationally or internationally.  Particularly for penny-conscious investment managers, even small tax advantages matter.  For example:[6]</w:t>
      </w:r>
    </w:p>
    <w:p>
      <w:pPr>
        <w:numPr>
          <w:ilvl w:val="0"/>
          <w:numId w:val="1034"/>
        </w:numPr>
      </w:pPr>
      <w:r>
        <w:t xml:space="preserve">While the IRC now provides equivalent pass-through (single) federal income taxation for both LPs and LLCs (and general partnerships), federal</w:t>
      </w:r>
      <w:r>
        <w:t xml:space="preserve"> </w:t>
      </w:r>
      <w:r>
        <w:rPr>
          <w:bCs/>
          <w:b/>
        </w:rPr>
        <w:t xml:space="preserve">self-employment tax</w:t>
      </w:r>
      <w:r>
        <w:t xml:space="preserve"> </w:t>
      </w:r>
      <w:r>
        <w:t xml:space="preserve">often imposes non-trivial tax on LLC members but not on LP limited partners. </w:t>
      </w:r>
    </w:p>
    <w:p>
      <w:pPr>
        <w:numPr>
          <w:ilvl w:val="0"/>
          <w:numId w:val="1034"/>
        </w:numPr>
      </w:pPr>
      <w:r>
        <w:t xml:space="preserve">Some states impose greater effective taxes (e.g., franchise) taxes on LLCs than they do on LPs.  For example, LPs (but not LLCs) can qualify as "passive" entities exempt from the Texas franchise tax, which is non-trivial in size. </w:t>
      </w:r>
    </w:p>
    <w:p>
      <w:pPr>
        <w:numPr>
          <w:ilvl w:val="0"/>
          <w:numId w:val="1034"/>
        </w:numPr>
      </w:pPr>
      <w:r>
        <w:t xml:space="preserve">Some states also impose special property taxes on LLCs but not LPs, such as Florida's tax on intangible personal property taxes.</w:t>
      </w:r>
    </w:p>
    <w:p>
      <w:pPr>
        <w:numPr>
          <w:ilvl w:val="0"/>
          <w:numId w:val="1034"/>
        </w:numPr>
      </w:pPr>
      <w:r>
        <w:t xml:space="preserve">For businesses based in the U.S. but operating in other countries, many "tax treaties" more clearly address LPs than they do LLCs. </w:t>
      </w:r>
    </w:p>
    <w:p>
      <w:pPr>
        <w:numPr>
          <w:ilvl w:val="0"/>
          <w:numId w:val="1034"/>
        </w:numPr>
      </w:pPr>
      <w:r>
        <w:t xml:space="preserve">Non-profits that wish to invest through limited liability entities often prefer LPs because (a) they may lose their non-profit status if deemed to be actively involved in an entity's business and (b) IRS regulations more clearly provide safe harbor protection for limited partners of LPs than they do for inactive members of LLCs.</w:t>
      </w:r>
    </w:p>
    <w:p>
      <w:pPr>
        <w:pStyle w:val="FirstParagraph"/>
      </w:pPr>
      <w:r>
        <w:rPr>
          <w:bCs/>
          <w:b/>
        </w:rPr>
        <w:t xml:space="preserve">The value of tax flexibility favors LLCs and LPs over S corps</w:t>
      </w:r>
    </w:p>
    <w:p>
      <w:pPr>
        <w:pStyle w:val="BodyText"/>
      </w:pPr>
      <w:r>
        <w:t xml:space="preserve">While LLCs, LPs and S-corps all have the tax benefit of eliminating double federal income taxation, LLCs and LPs have an important advantage over S corporations from a tax perspective, for any large, well-financed business.  That is because those entities have flexibility in how they allocate taxes among their owners.[7]  Partners of LPs and members of LLCs may:</w:t>
      </w:r>
    </w:p>
    <w:p>
      <w:pPr>
        <w:numPr>
          <w:ilvl w:val="0"/>
          <w:numId w:val="1035"/>
        </w:numPr>
      </w:pPr>
      <w:r>
        <w:t xml:space="preserve">agree to split items of income and loss differently than ownership shares,</w:t>
      </w:r>
    </w:p>
    <w:p>
      <w:pPr>
        <w:numPr>
          <w:ilvl w:val="0"/>
          <w:numId w:val="1035"/>
        </w:numPr>
      </w:pPr>
      <w:r>
        <w:t xml:space="preserve">modify their agreement throughout the tax year, and</w:t>
      </w:r>
    </w:p>
    <w:p>
      <w:pPr>
        <w:numPr>
          <w:ilvl w:val="0"/>
          <w:numId w:val="1035"/>
        </w:numPr>
      </w:pPr>
      <w:r>
        <w:t xml:space="preserve">make 'special allocations' to partners that deviate from general patterns in the agreement.</w:t>
      </w:r>
    </w:p>
    <w:p>
      <w:pPr>
        <w:pStyle w:val="FirstParagraph"/>
      </w:pPr>
      <w:r>
        <w:t xml:space="preserve">These advantages can be important because some investors in LPs or LLCs may not be taxable -- they may be non-profits or pension plans.  Other investors may have variable tax losses than can be used to offset allocated LLC or LP taxes opportunistically over time.  S-corps offer no such flexibility.  Tax allocations must be made to shareholders pro-rata.  An estimate of these benefits is roughly 15-20% of income tax per year. [8]</w:t>
      </w:r>
    </w:p>
    <w:p>
      <w:pPr>
        <w:pStyle w:val="BodyText"/>
      </w:pPr>
      <w:r>
        <w:rPr>
          <w:bCs/>
          <w:b/>
        </w:rPr>
        <w:t xml:space="preserve">Delaware's dominance of all types of multistate business entities</w:t>
      </w:r>
    </w:p>
    <w:p>
      <w:pPr>
        <w:pStyle w:val="BodyText"/>
      </w:pPr>
      <w:r>
        <w:t xml:space="preserve">Delaware dominates the market in out-of-state business organizations.  While most small businesses organize in their primary place of business to save legal costs, larger businesses, particularly those operating across state lines, commonly choose Delaware.  Of firms with 5,000 or more employees, most are organized outside their home state, whether as LLCs or corporations.  Of those, nearly all are organized in Delaware, for reasons discussed and debated at great length in numerous books and law review articles.  Delaware now derives a large and growing portion of its tax revenue from franchise taxes on LLCs, augmenting its already large flow of income from franchise taxes on corporations. </w:t>
      </w:r>
    </w:p>
    <w:p>
      <w:pPr>
        <w:pStyle w:val="BodyText"/>
      </w:pPr>
      <w:r>
        <w:t xml:space="preserve">In a kind of virtuous circle, the very success of Delaware in deriving profit from chartering businesses is part of why businesses trust Delaware -- they know that Delaware is unlikely to change law in ways that would disrupt its dominance.  There is also a natural "winner take all" element to the competition among states -- it is cheaper for any given lawyer based in any other state to learn and keep up with the law of one other state (Delaware) than it would be to do the same with multiple states.  Finally, Delaware is unusual in having a specialized set of courts (Chancery) dedicated primarily to business disputes, and in not using juries in those courts.  Delaware Chancellors and Vice-Chancellors are widely believed to have business savvy and knowledge, and to be committed to rapid resolution of disputes, arranging their calendars in response to legitimate needs for rapid dispute resolution.  </w:t>
      </w:r>
    </w:p>
    <w:p>
      <w:pPr>
        <w:pStyle w:val="BodyText"/>
      </w:pPr>
      <w:r>
        <w:t xml:space="preserve"> </w:t>
      </w:r>
    </w:p>
    <w:p>
      <w:pPr>
        <w:pStyle w:val="BodyText"/>
      </w:pPr>
      <w:hyperlink w:anchor="Xbba6c9681d352ace89af3eb89080094225f38e0">
        <w:r>
          <w:rPr>
            <w:rStyle w:val="Hyperlink"/>
          </w:rPr>
          <w:t xml:space="preserve">[1]</w:t>
        </w:r>
      </w:hyperlink>
      <w:r>
        <w:t xml:space="preserve"> </w:t>
      </w:r>
      <w:r>
        <w:t xml:space="preserve">A corporate income tax enacted in 1894 was held unconstitutional a year later in Pollock v. Farmers' Loan &amp; Trust Co., 157 U.S. 429 (1895). After ratification of the Sixteenth Amendment to the U.S. Constitution, which established the legality of progressive income tax generally, Congress transformed a corporate excise tax imposed in return for limited liability and indefinite duration, adopted in 1909, into the modern corporate income tax.</w:t>
      </w:r>
    </w:p>
    <w:p>
      <w:pPr>
        <w:pStyle w:val="BodyText"/>
      </w:pPr>
      <w:hyperlink w:anchor="X1803b4d5b9a5eb51b081130f3137bcb3e7077bf">
        <w:r>
          <w:rPr>
            <w:rStyle w:val="Hyperlink"/>
          </w:rPr>
          <w:t xml:space="preserve">[2]</w:t>
        </w:r>
      </w:hyperlink>
      <w:r>
        <w:t xml:space="preserve"> </w:t>
      </w:r>
      <w:r>
        <w:t xml:space="preserve">There are exceptions for a limited set of specialized industries designated in the IRC, such as mutual funds, real estate investment companies, and oil and gas companies.  E.g.,</w:t>
      </w:r>
      <w:r>
        <w:t xml:space="preserve"> </w:t>
      </w:r>
      <w:r>
        <w:t xml:space="preserve">IRC §7704(c).</w:t>
      </w:r>
    </w:p>
    <w:p>
      <w:pPr>
        <w:pStyle w:val="BodyText"/>
      </w:pPr>
      <w:hyperlink w:anchor="Xd91b481b63bf4609aa9176fbbde26dff6b7273e">
        <w:r>
          <w:rPr>
            <w:rStyle w:val="Hyperlink"/>
          </w:rPr>
          <w:t xml:space="preserve">[3]</w:t>
        </w:r>
      </w:hyperlink>
      <w:r>
        <w:t xml:space="preserve"> </w:t>
      </w:r>
      <w:r>
        <w:t xml:space="preserve">IRS Reg. §§7701-1 through 7701-3; IRS Notice 95-14, 1995-14 IRB 7.</w:t>
      </w:r>
    </w:p>
    <w:p>
      <w:pPr>
        <w:pStyle w:val="BodyText"/>
      </w:pPr>
      <w:hyperlink w:anchor="X6701a166aba046d120eca25026380de24e44699">
        <w:r>
          <w:rPr>
            <w:rStyle w:val="Hyperlink"/>
          </w:rPr>
          <w:t xml:space="preserve">[4]</w:t>
        </w:r>
      </w:hyperlink>
      <w:r>
        <w:t xml:space="preserve"> </w:t>
      </w:r>
      <w:r>
        <w:t xml:space="preserve">Other forms, such as the limited liability partnership (LLP), the professional corporation (PC) and the professional limited liability company (PLLC), are confined to professional practices—law firms, accounting firms, medical practices—where corporate ownership is barred or limited by professional ethics or regulation.   As of 2020, New York had ~53000 PCs, ~30000 PLLCs, and ~5000 LLPs.</w:t>
      </w:r>
    </w:p>
    <w:p>
      <w:pPr>
        <w:pStyle w:val="BodyText"/>
      </w:pPr>
      <w:hyperlink w:anchor="Xf9b629aaef097ea30a5df7c7f810ea0fb466e9a">
        <w:r>
          <w:rPr>
            <w:rStyle w:val="Hyperlink"/>
          </w:rPr>
          <w:t xml:space="preserve">[5]</w:t>
        </w:r>
      </w:hyperlink>
      <w:r>
        <w:t xml:space="preserve"> </w:t>
      </w:r>
      <w:r>
        <w:t xml:space="preserve">In the case of LPs, creditors once could look to assets of the general partner of the limited partnership, but from the 1970s on, those general partners were conventionally corporations with limited or nearly no assets.  Case law that once imposed liability on limited partners who exerted “control” over the LP has withered.  Limited liability is thus the norm for LPs, no less than LLCs.</w:t>
      </w:r>
    </w:p>
    <w:p>
      <w:pPr>
        <w:pStyle w:val="BodyText"/>
      </w:pPr>
      <w:r>
        <w:t xml:space="preserve">[6] Thanks to Katherine Ko for research on these specialized tax topics.</w:t>
      </w:r>
    </w:p>
    <w:p>
      <w:pPr>
        <w:pStyle w:val="BodyText"/>
      </w:pPr>
      <w:r>
        <w:t xml:space="preserve">[7] Michael Love, Who Benefits from Partnership Flexibility?, Working Paper (Oct. 27, 2022).</w:t>
      </w:r>
    </w:p>
    <w:p>
      <w:pPr>
        <w:pStyle w:val="BodyText"/>
      </w:pPr>
      <w:r>
        <w:t xml:space="preserve">[8] Id.</w:t>
      </w:r>
    </w:p>
    <w:p>
      <w:pPr>
        <w:pStyle w:val="NodeEnd"/>
      </w:pPr>
      <w:r>
        <w:t xml:space="preserve"> </w:t>
      </w:r>
    </w:p>
    <w:p>
      <w:pPr>
        <w:pStyle w:val="NodeStart"/>
      </w:pPr>
      <w:r>
        <w:t xml:space="preserve"> </w:t>
      </w:r>
    </w:p>
    <w:p>
      <w:pPr>
        <w:pStyle w:val="HeadSeparator"/>
      </w:pPr>
      <w:r>
        <w:t xml:space="preserve"> </w:t>
      </w:r>
    </w:p>
    <w:bookmarkStart w:id="43" w:name="_auto_toc_43"/>
    <w:bookmarkEnd w:id="43"/>
    <w:p>
      <w:pPr>
        <w:pStyle w:val="ResourceNumber"/>
      </w:pPr>
      <w:r>
        <w:t xml:space="preserve">3.5</w:t>
      </w:r>
    </w:p>
    <w:p>
      <w:pPr>
        <w:pStyle w:val="ResourceTitle"/>
      </w:pPr>
      <w:r>
        <w:t xml:space="preserve">A note on purpose, profits, non-profits and B corps</w:t>
      </w:r>
    </w:p>
    <w:p>
      <w:pPr>
        <w:pStyle w:val="HeadEnd"/>
      </w:pPr>
      <w:r>
        <w:t xml:space="preserve"> </w:t>
      </w:r>
    </w:p>
    <w:p>
      <w:pPr>
        <w:pStyle w:val="BodyText"/>
      </w:pPr>
      <w:r>
        <w:t xml:space="preserve">What are corporations (and other legal entities), what purposes do they serve, and what purposes should corporate law serve?  Answers to the question of what corporations are have long fallen into three general categories: </w:t>
      </w:r>
    </w:p>
    <w:p>
      <w:pPr>
        <w:numPr>
          <w:ilvl w:val="0"/>
          <w:numId w:val="1036"/>
        </w:numPr>
      </w:pPr>
      <w:r>
        <w:t xml:space="preserve">“</w:t>
      </w:r>
      <w:r>
        <w:rPr>
          <w:bCs/>
          <w:b/>
        </w:rPr>
        <w:t xml:space="preserve">aggregate</w:t>
      </w:r>
      <w:r>
        <w:t xml:space="preserve">” (or, sometimes, “</w:t>
      </w:r>
      <w:r>
        <w:rPr>
          <w:bCs/>
          <w:b/>
        </w:rPr>
        <w:t xml:space="preserve">contractarian</w:t>
      </w:r>
      <w:r>
        <w:t xml:space="preserve">”) views of corporations as serving the purpose of their shareholders, who aggregate their capital in one legal form (a type of collective contract, in this view) to pursue shareholder interests, usually presumed to be profit, and for a company listed on a stock exchange, the value of its stock, although (especially in closely held companies) also potentially other non-wealth-denominated shareholder goals that might conflict with pure wealth maximization (such as religious or political goals);</w:t>
      </w:r>
    </w:p>
    <w:p>
      <w:pPr>
        <w:numPr>
          <w:ilvl w:val="0"/>
          <w:numId w:val="1036"/>
        </w:numPr>
      </w:pPr>
      <w:r>
        <w:t xml:space="preserve">“</w:t>
      </w:r>
      <w:r>
        <w:rPr>
          <w:bCs/>
          <w:b/>
        </w:rPr>
        <w:t xml:space="preserve">artificial entity</w:t>
      </w:r>
      <w:r>
        <w:t xml:space="preserve">” views of corporations as creatures of the state, reflecting the continued fact that corporations obtain special legal privileges (limited liability, indefinite duration, juridical standing) by virtue of legislative grants of authority, are governed by directors who have “fiduciary duties” beyond any written contract, and operate conditional on compliance with law generally (not simply corporate law), as well as (more contestably) the need to serve broader social goals to justify those privileges; and</w:t>
      </w:r>
    </w:p>
    <w:p>
      <w:pPr>
        <w:numPr>
          <w:ilvl w:val="0"/>
          <w:numId w:val="1036"/>
        </w:numPr>
      </w:pPr>
      <w:r>
        <w:t xml:space="preserve">“</w:t>
      </w:r>
      <w:r>
        <w:rPr>
          <w:bCs/>
          <w:b/>
        </w:rPr>
        <w:t xml:space="preserve">natural entity</w:t>
      </w:r>
      <w:r>
        <w:t xml:space="preserve">” views of corporations as “real” organizations of people arising naturally from their pursuit of collective goals and interests, which include shareholder wealth but also include organizational survival and growth, and an arguably more realistic sense of the complexities and nuances of “governance” of collective action of any kind, all of which can be potentially in conflict (at least over some time frame) with a strictly shareholder-oriented perspective.</w:t>
      </w:r>
    </w:p>
    <w:p>
      <w:pPr>
        <w:pStyle w:val="FirstParagraph"/>
      </w:pPr>
      <w:r>
        <w:t xml:space="preserve">Complicating each of these views is the fact companies vary in their practical reality, quite significantly, by size, ownership, formal goals (for-profit or not-for-profit), and industry or type of activity, even as corporate law typically speaks more generally, with law applying to a wide range of different kinds of companies. </w:t>
      </w:r>
    </w:p>
    <w:p>
      <w:pPr>
        <w:pStyle w:val="BodyText"/>
      </w:pPr>
      <w:r>
        <w:t xml:space="preserve">For those who view U.S. corporate law through the lens of shareholder primacy -- believing that the role of corporate law is to channel corporate behavior towards the service of shareholder interests – they can point to single-shareholder corporations, where the founder and sole owner of shares determines the identity of the board and the chief executive officer (and often plays many other roles besides), and where the company tends to have relatively small amounts of assets and relatively small impacts on anyone other than the single owner.  Even relations with creditors are relatively simple for such companies, not very different from those with individual owners, although the corporate form does provide some opportunities for mischief in itself. In such companies, it is hard to see how or why corporate law could or should do anything much more than facilitate shareholder interests, subject to non-corporate legal compliance, with nuances to protect creditors.</w:t>
      </w:r>
    </w:p>
    <w:p>
      <w:pPr>
        <w:pStyle w:val="BodyText"/>
      </w:pPr>
      <w:r>
        <w:t xml:space="preserve">For large public companies any narrow shareholder framework is less tenable.  Such companies usually have fully dispersed owners, no one of which owns more than a small fraction of shares.  This makes the idea that the company expresses virtues or values of shareholders per se implausible.  They also have significant assets and operations with important effects on creditors, employees, communities, consumers.  By virtue of being important social institutions, they can affect public debates on topics such as diversity, and can have political influence through lobbying, contributions to candidates or parties, and issue ads.  Large companies can through pollution or other externalities change the environment – as with climate change, for example.  These effects make corporate governance of interest to groups other than shareholders or even creditors.  Many companies are in between these extremes – small public companies, or large private ones – further complicating any simple picture of how best to think about what companies are, or what their purposes should be.</w:t>
      </w:r>
    </w:p>
    <w:p>
      <w:pPr>
        <w:pStyle w:val="BodyText"/>
      </w:pPr>
      <w:r>
        <w:t xml:space="preserve">Reflecting these disparate perspectives and facts about corporations, the best understanding of “corporate purpose” has also been contested since at least the Great Depression.  (Anyone who tells you the answer ever was settled is likely “talking their book,” as the saying goes on Wall Street.)  During that era, U.S. voters actively considered socialism as a potential alternative way to organize its economy, lending real force to visions of corporations solely focused on shareholder wealth as hostile to social interests.  Broader understandings of corporate purpose were reinforced by World War II and the Cold War, when corporate entanglement with government and broader social movements was substantial. </w:t>
      </w:r>
    </w:p>
    <w:p>
      <w:pPr>
        <w:pStyle w:val="BodyText"/>
      </w:pPr>
      <w:r>
        <w:t xml:space="preserve">“Corporate social responsibility” (</w:t>
      </w:r>
      <w:r>
        <w:rPr>
          <w:bCs/>
          <w:b/>
        </w:rPr>
        <w:t xml:space="preserve">CSR</w:t>
      </w:r>
      <w:r>
        <w:t xml:space="preserve">) as a way of broadening understandings of what corporations were for was conceptually developed by corporate managers themselves, partly as a public relations move (to address skepticism of their size and power, as well as their loss of legitimacy in the Great Depression).  CSR, however, was also borne in partial recognition of an ongoing need to articulate to the broader public the reasons that corporate power and wealth might be viewed as beneficial overall.  Companies began to donate directly to charities (as opposed to wealth derived from corporate ownership being contributed by shareholders), a tendency reinforced by high income tax rates on both individuals and corporations in the 1950s.  From the late 1960s onwards, corporations organized politically, dedicating significant resources to reshaping public debates on monetary policy, trade, labor, tax, and regulatory policy.</w:t>
      </w:r>
    </w:p>
    <w:p>
      <w:pPr>
        <w:pStyle w:val="BodyText"/>
      </w:pPr>
      <w:r>
        <w:t xml:space="preserve">One product of that early embrace of an active role for companies beyond generating wealth for shareholders was the Business Roundtable, whose members include the CEOs of most of America’s largest corporations.  In the face of rising anti-capitalist and anti-corporate sentiment coming out of the 2007-08 financial crisis, the Business Roundtable in 2019 asserted that every large public corporation has a broad social purpose to enhance the welfare of all of its stakeholders.</w:t>
      </w:r>
      <w:hyperlink r:id="rId35">
        <w:r>
          <w:rPr>
            <w:rStyle w:val="Hyperlink"/>
          </w:rPr>
          <w:t xml:space="preserve">[1]</w:t>
        </w:r>
      </w:hyperlink>
      <w:r>
        <w:t xml:space="preserve"> </w:t>
      </w:r>
      <w:r>
        <w:t xml:space="preserve"> Corporate managers’ realization that they need to convince the public to believe in their broader mission has only been reinforced by subsequent challenges to globalization, including pandemics, trade wars, real wars, geopolitics, populist politics, Brexit, etc.</w:t>
      </w:r>
    </w:p>
    <w:p>
      <w:pPr>
        <w:pStyle w:val="BodyText"/>
      </w:pPr>
      <w:r>
        <w:t xml:space="preserve">Since 2000, CSR has been reinforced, complemented and complicated by the fact that individuals have turned ever-greater amounts of wealth has been turned over to mutual funds dedicated to “socially responsible investing” (</w:t>
      </w:r>
      <w:r>
        <w:rPr>
          <w:bCs/>
          <w:b/>
        </w:rPr>
        <w:t xml:space="preserve">SRI</w:t>
      </w:r>
      <w:r>
        <w:t xml:space="preserve">), to “environmental social and governance” (</w:t>
      </w:r>
      <w:r>
        <w:rPr>
          <w:bCs/>
          <w:b/>
        </w:rPr>
        <w:t xml:space="preserve">ESG</w:t>
      </w:r>
      <w:r>
        <w:t xml:space="preserve">) focused funds, and to index funds, which have increasingly taken (or been pressed to take) positions on various corporate political questions that affect how large public companies are governed.</w:t>
      </w:r>
      <w:hyperlink r:id="rId36">
        <w:r>
          <w:rPr>
            <w:rStyle w:val="Hyperlink"/>
          </w:rPr>
          <w:t xml:space="preserve">[2]</w:t>
        </w:r>
      </w:hyperlink>
      <w:r>
        <w:t xml:space="preserve"> </w:t>
      </w:r>
      <w:r>
        <w:t xml:space="preserve"> The result has been to continually pressure large public companies to embrace different versions of something similar to CSR as a way to serve shareholders.  This can be seen as a way to reconcile shareholder and social purpose.  If shareholders want companies to sacrifice shareholder wealth for broader purposes, then it still serves shareholder ends.  But it can also be seen as further complicating the picture painted above, since not all shareholders of a large public company will typically agree on any particular non-shareholder purpose, any more than they agree in the political sphere.</w:t>
      </w:r>
    </w:p>
    <w:p>
      <w:pPr>
        <w:pStyle w:val="BodyText"/>
      </w:pPr>
      <w:r>
        <w:rPr>
          <w:bCs/>
          <w:b/>
        </w:rPr>
        <w:t xml:space="preserve">Might shareholder and stakeholder value align?</w:t>
      </w:r>
    </w:p>
    <w:p>
      <w:pPr>
        <w:pStyle w:val="BodyText"/>
      </w:pPr>
      <w:r>
        <w:t xml:space="preserve">Many who take a broader vision of corporate purpose view it as fully or mostly aligned with the creation of</w:t>
      </w:r>
      <w:r>
        <w:t xml:space="preserve"> </w:t>
      </w:r>
      <w:r>
        <w:rPr>
          <w:bCs/>
          <w:b/>
        </w:rPr>
        <w:t xml:space="preserve">long-term</w:t>
      </w:r>
      <w:r>
        <w:t xml:space="preserve"> </w:t>
      </w:r>
      <w:r>
        <w:t xml:space="preserve">shareholder value, as opposed to short-term profits or stock prices.  Indeed, many argue that companies that pursue a larger vision of stakeholder welfare and societal well-being also maximize long-term shareholder value.  A famous cartoon illustrates the point:</w:t>
      </w:r>
    </w:p>
    <w:p>
      <w:pPr>
        <w:pStyle w:val="BodyText"/>
      </w:pPr>
      <w:r>
        <w:t xml:space="preserve">Credit:  Tom Toro,</w:t>
      </w:r>
      <w:r>
        <w:t xml:space="preserve"> </w:t>
      </w:r>
      <w:hyperlink r:id="rId37">
        <w:r>
          <w:rPr>
            <w:rStyle w:val="Hyperlink"/>
          </w:rPr>
          <w:t xml:space="preserve">http://tomtoro.com/cartoons/</w:t>
        </w:r>
      </w:hyperlink>
      <w:r>
        <w:rPr>
          <w:rStyle w:val="FootnoteReference"/>
        </w:rPr>
        <w:footnoteReference w:customMarkFollows="1" w:id="2"/>
        <w:t xml:space="preserve">*</w:t>
      </w:r>
    </w:p>
    <w:p>
      <w:pPr>
        <w:pStyle w:val="BodyText"/>
      </w:pPr>
      <w:r>
        <w:t xml:space="preserve">Viewed over the long term, issues arising within corporate law often do not create a large conflict between shareholder and social interests.  For example:</w:t>
      </w:r>
    </w:p>
    <w:p>
      <w:pPr>
        <w:numPr>
          <w:ilvl w:val="0"/>
          <w:numId w:val="1037"/>
        </w:numPr>
      </w:pPr>
      <w:r>
        <w:t xml:space="preserve">both shareholders and society need for economic principals to be able to control their agents, because if they cannot, joint activity of all kinds will be less likely to occur, reducing social and shareholder welfare alike,</w:t>
      </w:r>
    </w:p>
    <w:p>
      <w:pPr>
        <w:numPr>
          <w:ilvl w:val="0"/>
          <w:numId w:val="1037"/>
        </w:numPr>
      </w:pPr>
      <w:r>
        <w:t xml:space="preserve">partners need to trust one another, because without that trust, less joint investment will occur, reducing social and shareholder welfare alike,</w:t>
      </w:r>
    </w:p>
    <w:p>
      <w:pPr>
        <w:numPr>
          <w:ilvl w:val="0"/>
          <w:numId w:val="1037"/>
        </w:numPr>
      </w:pPr>
      <w:r>
        <w:t xml:space="preserve">everyone needs clarity about who controls corporate decision-making, because without it, more conflicts and expensive litigation will arise, reducing social and shareholder welfare alike, and</w:t>
      </w:r>
    </w:p>
    <w:p>
      <w:pPr>
        <w:numPr>
          <w:ilvl w:val="0"/>
          <w:numId w:val="1037"/>
        </w:numPr>
      </w:pPr>
      <w:r>
        <w:t xml:space="preserve">improved disclosure and less wealth diversion tends to enhance the extent of trade and increase the perceived legitimacy of the institutions making disclosure, benefiting society and shareholders alike.</w:t>
      </w:r>
    </w:p>
    <w:p>
      <w:pPr>
        <w:pStyle w:val="FirstParagraph"/>
      </w:pPr>
      <w:r>
        <w:t xml:space="preserve">One could say similar things about many other – but not all -- recurrent issues in corporate law. </w:t>
      </w:r>
    </w:p>
    <w:p>
      <w:pPr>
        <w:pStyle w:val="BodyText"/>
      </w:pPr>
      <w:r>
        <w:t xml:space="preserve">Others take the view that shareholders should be privileged within corporate law because as equity holders are the “residual claimants” of corporations — that is, shareholders get paid only after everyone else is paid, including business creditors, employees, and suppliers.  This, the reasoning goes, justifies maximizing shareholder wealth as a corporate goal, particular in settings where a company is being wound up or sold.  This syllogism requires that corporations are forced, by some mechanism other than corporate law – environmental law, for example -- to internalize all of their effects on society generally.  Where this is true, choices of the details of corporate law that increase shareholder value is “efficient,” i.e., will maximize social welfare.  Where it is not true, pursuit of shareholder wealth may not increase social welfare, leaving room for efforts to bend corporate law away from shareholder primacy, at least in some settings.</w:t>
      </w:r>
    </w:p>
    <w:p>
      <w:pPr>
        <w:pStyle w:val="BodyText"/>
      </w:pPr>
      <w:r>
        <w:rPr>
          <w:bCs/>
          <w:b/>
        </w:rPr>
        <w:t xml:space="preserve">How might corporate law increase wealth or welfare?</w:t>
      </w:r>
    </w:p>
    <w:p>
      <w:pPr>
        <w:pStyle w:val="BodyText"/>
      </w:pPr>
      <w:r>
        <w:t xml:space="preserve">Putting aside whether shareholder wealth, shareholder welfare, and social welfare align, how can corporate law increase any of them?  First, corporate law can function as a standard “form” (some liken it to a contract), like an “off the rack” suit, reducing the</w:t>
      </w:r>
      <w:r>
        <w:t xml:space="preserve"> </w:t>
      </w:r>
      <w:r>
        <w:rPr>
          <w:bCs/>
          <w:b/>
        </w:rPr>
        <w:t xml:space="preserve">transaction costs</w:t>
      </w:r>
      <w:r>
        <w:t xml:space="preserve"> </w:t>
      </w:r>
      <w:r>
        <w:t xml:space="preserve">of new investment through the corporate form. Standard forms save time and effort, without needing to reinvent the corporate wheel. Particularly if conditions under which corporations are created are simple, and all involved in formation are able to negotiate and adjust in light of background law, corporate law may do best by setting “default terms” that are open to modification from company to company.  Where third-party rights are at stake, particularly if they are unaware that a company may affect them, terms may need to be mandatory.  </w:t>
      </w:r>
    </w:p>
    <w:p>
      <w:pPr>
        <w:pStyle w:val="BodyText"/>
      </w:pPr>
      <w:r>
        <w:t xml:space="preserve">Second, corporate law can add value by permitting business actors to modify property rights in circumstances or in ways when ordinary contract and contract law make this complex or difficult.  Corporate law, for example, permits investors to “partition” assets into different buckets that can serve as collateral for different groups of creditors, with different priorities among them.  This is arguably difficult to achieve through contract alone, and in any event is more expensive when creditors are numerous and dispersed.</w:t>
      </w:r>
    </w:p>
    <w:p>
      <w:pPr>
        <w:pStyle w:val="BodyText"/>
      </w:pPr>
      <w:r>
        <w:t xml:space="preserve">Finally, corporate law has evolved a mix of rules and standards that control the least socially defensible forms of self-interested opportunism arising from joint activity.</w:t>
      </w:r>
    </w:p>
    <w:p>
      <w:pPr>
        <w:numPr>
          <w:ilvl w:val="0"/>
          <w:numId w:val="1038"/>
        </w:numPr>
      </w:pPr>
      <w:r>
        <w:t xml:space="preserve">Agents who subordinate principals’ interests in negotiating contracts in return for kickbacks are example.</w:t>
      </w:r>
    </w:p>
    <w:p>
      <w:pPr>
        <w:numPr>
          <w:ilvl w:val="0"/>
          <w:numId w:val="1038"/>
        </w:numPr>
      </w:pPr>
      <w:r>
        <w:t xml:space="preserve">Partners who secretly divert wealth from their partners are another.</w:t>
      </w:r>
    </w:p>
    <w:p>
      <w:pPr>
        <w:numPr>
          <w:ilvl w:val="0"/>
          <w:numId w:val="1038"/>
        </w:numPr>
      </w:pPr>
      <w:r>
        <w:t xml:space="preserve">Boards who sell themselves corporate assets at a below-market price are another.</w:t>
      </w:r>
    </w:p>
    <w:p>
      <w:pPr>
        <w:pStyle w:val="FirstParagraph"/>
      </w:pPr>
      <w:r>
        <w:t xml:space="preserve">More debatably, agents, partners and boards and executives may simply fail to take adequate care in their activities, knowing that others (principals, other partners, or shareholders) will bear the downside of their inattention or excessive risk-taking.  In the academic literature, these types of problems are generically called the “</w:t>
      </w:r>
      <w:r>
        <w:rPr>
          <w:bCs/>
          <w:b/>
        </w:rPr>
        <w:t xml:space="preserve">agency problem</w:t>
      </w:r>
      <w:r>
        <w:t xml:space="preserve">” and the costs arising from them are called “</w:t>
      </w:r>
      <w:r>
        <w:rPr>
          <w:bCs/>
          <w:b/>
        </w:rPr>
        <w:t xml:space="preserve">agency costs</w:t>
      </w:r>
      <w:r>
        <w:t xml:space="preserve">.” Other aspects of corporate law are said to address “</w:t>
      </w:r>
      <w:r>
        <w:rPr>
          <w:bCs/>
          <w:b/>
        </w:rPr>
        <w:t xml:space="preserve">collective action problems</w:t>
      </w:r>
      <w:r>
        <w:t xml:space="preserve">,” where the joint interests of a group are challenged by difficulties of communication and coordination.  Arguably (although this is debated), corporate law efficiently minimizes agency and collective action costs by combining explicit up-front contract-like rules with standard governance terms (such as quorums and majority voting by shareholders) with after-the-fact court-enforced standards in the form of fiduciary duties. </w:t>
      </w:r>
    </w:p>
    <w:p>
      <w:pPr>
        <w:pStyle w:val="BodyText"/>
      </w:pPr>
      <w:r>
        <w:rPr>
          <w:bCs/>
          <w:b/>
        </w:rPr>
        <w:t xml:space="preserve">Corporate law by its express terms</w:t>
      </w:r>
    </w:p>
    <w:p>
      <w:pPr>
        <w:pStyle w:val="BodyText"/>
      </w:pPr>
      <w:r>
        <w:t xml:space="preserve">Still, corporate law as it is actually constituted rarely reads as if efficiency or minimization of transaction or agency or collective action costs were its main drivers.  Corporate statutes and decisions by the leading court – the Delaware Court of Chancery – rarely refer explicitly to those concepts.  Instead, as with contract law, courts more often use the language of morality or appeals to legal norms such as precedents than appeals to efficiency or economic or political concepts to justify their decisions.  Attention to policy concerns is submerged, even if powerful in some moments, such as when the words of a statute, prior cases, and abstract principles of corporate law fail to address a new fact pattern.  Delaware judges are commonly analogized to “high priests” of a religious-like faith in past doctrine and the ability of “equity” to produce justice (and efficiency!) on an ongoing basis.  They write very long fact-based opinions, and engage in very long common law reasoning, with only passing references of academic research in economics, finance, psychology, and law. </w:t>
      </w:r>
    </w:p>
    <w:p>
      <w:pPr>
        <w:pStyle w:val="BodyText"/>
      </w:pPr>
      <w:r>
        <w:t xml:space="preserve">Broad debates about corporate personhood or corporate purpose more often occur in public forums such as newspapers, legislatures, political campaigns, or inside board rooms, than in corporate legal materials, such as legal briefs or corporate contracts.  It is a fair question as to how often they have any observable influence on corporate law disputes.  You might reflect as we go through the course how often answers to the questions that arise would change based on which of the three conceptions of what a corporation is, or what the purpose of a corporation or corporate law should be.</w:t>
      </w:r>
    </w:p>
    <w:p>
      <w:pPr>
        <w:pStyle w:val="BodyText"/>
      </w:pPr>
      <w:r>
        <w:rPr>
          <w:bCs/>
          <w:b/>
        </w:rPr>
        <w:t xml:space="preserve">Non-profits and hybrids</w:t>
      </w:r>
    </w:p>
    <w:p>
      <w:pPr>
        <w:pStyle w:val="BodyText"/>
      </w:pPr>
      <w:r>
        <w:t xml:space="preserve">In addition to the standard for-profit corporation that we study in this course, all states permit the creation of dedicated non-profits (or "not-for-profits").  Such corporations lack shareholders and retain all net revenues (what would normally be called "profits") for use to pursue their missions.  Harvard University is such a non-profit.  Non-profits by definition pursue something other than profits for their "owners," since they have no owners as such.  Usually, they pursue specific social benefits, such as charitable giving -- non-profits, for example, may raise funds from big-dollar donors turn those into in-kind or small-dollar donations to others, and may be more efficient at that than the donors would be if they tried to individually donate to dispersed beneficiaries.  Other kinds of non-profits (such as universities) sell services of a kind that for-profits do not seem to be able to deliver in a sustainable, high-quality way.  More important to the operation of non-profits than corporate law is tax law, since most non-profits seek to qualify as tax-free organizations under Section 501 of the Internal Revenue Code and equivalent local and state tax laws.  The details of those requirements are beyond the scope of this course.</w:t>
      </w:r>
    </w:p>
    <w:p>
      <w:pPr>
        <w:pStyle w:val="BodyText"/>
      </w:pPr>
      <w:r>
        <w:t xml:space="preserve">Some non-profits are "membership" organizations in which dispersed individuals may pursue their collective self-interest through a corporation.  Members may have voting rights and participate in governance, similar to shareholders.  In some such member non-profits, members have access to free or low-cost goods or services, as in co-ops (e.g., grocery stores), sometimes in return for providing in-kind services or goods.  Such organizations are sometimes important in settings where for whatever reason ordinary for-profit businesses fail to produce "complete markets," leaving significant gains from exchange or trade unsatisfied by ordinary economic activity.  Again, however, the members are not ordinarily viewed as "residual claimants" and usually have no rights to dividends of retained earnings or distributions in the event of a liquidation.  </w:t>
      </w:r>
    </w:p>
    <w:p>
      <w:pPr>
        <w:pStyle w:val="BodyText"/>
      </w:pPr>
      <w:r>
        <w:t xml:space="preserve">In recent years, new types of hybrid corporations have emerged.  The most prominent are "benefit" corporations, a/k/a "public benefit corporations," or "B-corps" for short.  B-corps are expressly permitted by special subsections of corporate statutes in many states in the US and in many countries around the world.  Like ordinary for-profits, they have shareholders, pursue profits, and pay dividends.  But more like non-profits, they have stated social goals, and are expressly directed and authorized to subordinate shareholder interests and profit to pursue those goals.  Examples include Moodle and</w:t>
      </w:r>
      <w:r>
        <w:t xml:space="preserve"> </w:t>
      </w:r>
      <w:hyperlink r:id="rId38">
        <w:r>
          <w:rPr>
            <w:rStyle w:val="Hyperlink"/>
          </w:rPr>
          <w:t xml:space="preserve">Coursera</w:t>
        </w:r>
      </w:hyperlink>
      <w:r>
        <w:t xml:space="preserve"> </w:t>
      </w:r>
      <w:r>
        <w:t xml:space="preserve">(online education providers) and</w:t>
      </w:r>
      <w:r>
        <w:t xml:space="preserve"> </w:t>
      </w:r>
      <w:hyperlink r:id="rId39">
        <w:r>
          <w:rPr>
            <w:rStyle w:val="Hyperlink"/>
          </w:rPr>
          <w:t xml:space="preserve">Warby Parker</w:t>
        </w:r>
      </w:hyperlink>
      <w:r>
        <w:t xml:space="preserve"> </w:t>
      </w:r>
      <w:r>
        <w:t xml:space="preserve">(eyeglasses).  Some B Corps are publicly traded themselves (e.g., Coursera and Warby Parker, as well as</w:t>
      </w:r>
      <w:r>
        <w:t xml:space="preserve"> </w:t>
      </w:r>
      <w:hyperlink r:id="rId40">
        <w:r>
          <w:rPr>
            <w:rStyle w:val="Hyperlink"/>
          </w:rPr>
          <w:t xml:space="preserve">Vital Farms</w:t>
        </w:r>
      </w:hyperlink>
      <w:r>
        <w:t xml:space="preserve">, Inc., a seller of "pasture-raised eggs" and as of this writing bills itself as having "</w:t>
      </w:r>
      <w:r>
        <w:t xml:space="preserve">the second largest U.S. egg brand by retail dollar sales"</w:t>
      </w:r>
      <w:r>
        <w:t xml:space="preserve">).  Others are subsidiaries of publicly traded for-profits (e.g.</w:t>
      </w:r>
      <w:r>
        <w:t xml:space="preserve"> </w:t>
      </w:r>
      <w:r>
        <w:t xml:space="preserve">Plum Organics, owned by Campbell Soup Co.).  </w:t>
      </w:r>
      <w:r>
        <w:t xml:space="preserve"> </w:t>
      </w:r>
      <w:r>
        <w:t xml:space="preserve">Social missions can appeal to consumers, and (as with for-profits) may allow B corps to generate more profit than if they did not have their explicit social missions.  </w:t>
      </w:r>
    </w:p>
    <w:p>
      <w:pPr>
        <w:pStyle w:val="BodyText"/>
      </w:pPr>
      <w:r>
        <w:t xml:space="preserve">Yet another hybrid is the so-called "capped profit" structure implemented by OpenAI, developer of the ChatGPT chatbot that made headlines in 2022.  Originally established as a non-profit to pursue artificial intelligence research in a way that was transparent to the public, OpenAI created a for-profit subsidiary, in the form of a limited partnership, to raise additional capital from venture capital firms and, eventually, Microsoft, the large publicly held for-profit software company.</w:t>
      </w:r>
      <w:hyperlink r:id="rId41">
        <w:r>
          <w:rPr>
            <w:rStyle w:val="Hyperlink"/>
          </w:rPr>
          <w:t xml:space="preserve">[3]</w:t>
        </w:r>
      </w:hyperlink>
      <w:r>
        <w:t xml:space="preserve"> </w:t>
      </w:r>
      <w:r>
        <w:t xml:space="preserve"> (From your review of the note on entity choice, consider why OpenAI used the LP form for its for-profit subsidiary.)  The new LP would pay profits to those investors, but profits would be capped at 100x their investment.  </w:t>
      </w:r>
    </w:p>
    <w:p>
      <w:pPr>
        <w:pStyle w:val="NodeEnd"/>
      </w:pPr>
      <w:r>
        <w:t xml:space="preserve"> </w:t>
      </w:r>
    </w:p>
    <w:p>
      <w:pPr>
        <w:pStyle w:val="NodeStart"/>
      </w:pPr>
      <w:r>
        <w:t xml:space="preserve"> </w:t>
      </w:r>
    </w:p>
    <w:p>
      <w:pPr>
        <w:pStyle w:val="HeadSeparator"/>
      </w:pPr>
      <w:r>
        <w:t xml:space="preserve"> </w:t>
      </w:r>
    </w:p>
    <w:bookmarkStart w:id="44" w:name="_auto_toc_44"/>
    <w:bookmarkEnd w:id="44"/>
    <w:p>
      <w:pPr>
        <w:pStyle w:val="ResourceNumber"/>
      </w:pPr>
      <w:r>
        <w:t xml:space="preserve">3.6</w:t>
      </w:r>
    </w:p>
    <w:p>
      <w:pPr>
        <w:pStyle w:val="ResourceTitle"/>
      </w:pPr>
      <w:r>
        <w:t xml:space="preserve">A note on the "internal affairs doctrine"</w:t>
      </w:r>
    </w:p>
    <w:p>
      <w:pPr>
        <w:pStyle w:val="HeadEnd"/>
      </w:pPr>
      <w:r>
        <w:t xml:space="preserve"> </w:t>
      </w:r>
    </w:p>
    <w:p>
      <w:pPr>
        <w:pStyle w:val="BodyText"/>
      </w:pPr>
      <w:r>
        <w:rPr>
          <w:bCs/>
          <w:b/>
        </w:rPr>
        <w:t xml:space="preserve">Note on the “internal affairs doctrine”</w:t>
      </w:r>
    </w:p>
    <w:p>
      <w:pPr>
        <w:pStyle w:val="BodyText"/>
      </w:pPr>
      <w:r>
        <w:t xml:space="preserve">Corporate law lawsuits can be filed in any court with personal and subject matter jurisdiction, including state courts other than the state in which a corporation is organized.  When a shareholder of an Ohio-incorporated company (for example) sues directors derivatively, claiming the directors breached their fiduciary duties, the shareholder may sue in Ohio, but also may sue in (for example) Kentucky if the company does business there and (for example) the directors and the shareholder live in Kentucky.  In such suits, a Kentucky court would have to decide what choice of law to use. </w:t>
      </w:r>
    </w:p>
    <w:p>
      <w:pPr>
        <w:pStyle w:val="BodyText"/>
      </w:pPr>
      <w:r>
        <w:t xml:space="preserve">The “internal affairs doctrine” (IAD) is a choice of law “rule” that generally provides that the law applicable to the “internal governance” of a business entity is that of the chartering jurisdiction.  “External” matters include torts and contract disputes, including collection of debts to creditors.  “Internal” matters include most of those we cover in Corporations:  fiduciary duties of directors, shareholder rights, board elections, inspection rights, dividends, and dissolution.</w:t>
      </w:r>
    </w:p>
    <w:p>
      <w:pPr>
        <w:pStyle w:val="BodyText"/>
      </w:pPr>
      <w:r>
        <w:t xml:space="preserve">Because of the IAD, courts hearing disputes about a corporation chartered in Ohio will generally apply Ohio’s corporate law with respect to disputes arising out of internal affairs -- even if the corporation’s operations, employees, headquarters, and all or nearly all of its shareholders, are located in other states.  Because of the dominance of Delaware as a state of incorporation, the IAD effectively gives Delaware a national role in setting the rules for corporate governance.</w:t>
      </w:r>
    </w:p>
    <w:p>
      <w:pPr>
        <w:pStyle w:val="BodyText"/>
      </w:pPr>
      <w:r>
        <w:t xml:space="preserve">For the majority of “corporate law” disputes, the foregoing is all that is needed to know what law to apply.  Yet because the IAD is a court-made self-imposed conflicts of law “rule,” state legislatures and even courts have the power, and on occasion, use that power, to deviate from the IAD.  For example, some state statutes give inspection rights of corporate books and records stockholders and even directors of foreign corporations located in the state.  The U.S. Supreme Court has upheld regulation of dividends of foreign corporations when necessary to protect the interest of creditors in the forum state.  See Int’l Harvester Co. v. Wisconsin Dept. of Taxation, 322 U.S. 435 (1944).</w:t>
      </w:r>
    </w:p>
    <w:p>
      <w:pPr>
        <w:pStyle w:val="BodyText"/>
      </w:pPr>
      <w:r>
        <w:t xml:space="preserve">But perhaps the most prominent deviation from the IAD is California’s statute designating corporations incorporated elsewhere as “pseudo-California corporations” if they meet specific tests demonstrating California’s interest in their governance.  Specifically, the statute applies if:</w:t>
      </w:r>
    </w:p>
    <w:p>
      <w:pPr>
        <w:numPr>
          <w:ilvl w:val="0"/>
          <w:numId w:val="1039"/>
        </w:numPr>
      </w:pPr>
      <w:r>
        <w:t xml:space="preserve">more than one-half of a corporation’s outstanding voting securities are owned by persons having addresses in California,</w:t>
      </w:r>
      <w:r>
        <w:t xml:space="preserve"> </w:t>
      </w:r>
      <w:r>
        <w:rPr>
          <w:bCs/>
          <w:b/>
        </w:rPr>
        <w:t xml:space="preserve">and</w:t>
      </w:r>
    </w:p>
    <w:p>
      <w:pPr>
        <w:numPr>
          <w:ilvl w:val="0"/>
          <w:numId w:val="1039"/>
        </w:numPr>
      </w:pPr>
      <w:r>
        <w:t xml:space="preserve">the average of its “property factor,” its “payroll factor,” and its “sales factor” is more than 50%,</w:t>
      </w:r>
    </w:p>
    <w:p>
      <w:pPr>
        <w:numPr>
          <w:ilvl w:val="0"/>
          <w:numId w:val="1039"/>
        </w:numPr>
      </w:pPr>
      <w:r>
        <w:t xml:space="preserve">unless it is listed on a stock exchange (including the Nasdaq), or is a wholly owned subsidiary of an exempt corporation.</w:t>
      </w:r>
    </w:p>
    <w:p>
      <w:pPr>
        <w:pStyle w:val="FirstParagraph"/>
      </w:pPr>
      <w:r>
        <w:t xml:space="preserve">The “factors” considered for the second part of the test measure, in general terms, how much of the item (property, etc.) is located in California. </w:t>
      </w:r>
    </w:p>
    <w:p>
      <w:pPr>
        <w:pStyle w:val="BodyText"/>
      </w:pPr>
      <w:r>
        <w:t xml:space="preserve">Differences between California’s corporate law and law elsewhere include:</w:t>
      </w:r>
    </w:p>
    <w:p>
      <w:pPr>
        <w:numPr>
          <w:ilvl w:val="0"/>
          <w:numId w:val="1040"/>
        </w:numPr>
      </w:pPr>
      <w:r>
        <w:rPr>
          <w:bCs/>
          <w:b/>
        </w:rPr>
        <w:t xml:space="preserve">annual elections</w:t>
      </w:r>
      <w:r>
        <w:t xml:space="preserve"> </w:t>
      </w:r>
      <w:r>
        <w:t xml:space="preserve">of directors and</w:t>
      </w:r>
      <w:r>
        <w:t xml:space="preserve"> </w:t>
      </w:r>
      <w:r>
        <w:rPr>
          <w:bCs/>
          <w:b/>
        </w:rPr>
        <w:t xml:space="preserve">removal without cause</w:t>
      </w:r>
      <w:r>
        <w:t xml:space="preserve"> </w:t>
      </w:r>
      <w:r>
        <w:t xml:space="preserve">by shareholders are mandatory, not optional as in Delaware and most other states (which generally permit “classified boards” where directors are up for election only every three years, in which case directors are removable only with cause);</w:t>
      </w:r>
    </w:p>
    <w:p>
      <w:pPr>
        <w:numPr>
          <w:ilvl w:val="0"/>
          <w:numId w:val="1040"/>
        </w:numPr>
      </w:pPr>
      <w:r>
        <w:t xml:space="preserve">shareholders are entitled to “</w:t>
      </w:r>
      <w:r>
        <w:rPr>
          <w:bCs/>
          <w:b/>
        </w:rPr>
        <w:t xml:space="preserve">cumulate</w:t>
      </w:r>
      <w:r>
        <w:t xml:space="preserve">” their shares in voting for directors (e.g., if three directors are up for election, shareholders can vote their shares three times in favor of one director, rather than once for each, making it more likely that a minority shareholder can elect at least one director); and</w:t>
      </w:r>
    </w:p>
    <w:p>
      <w:pPr>
        <w:numPr>
          <w:ilvl w:val="0"/>
          <w:numId w:val="1040"/>
        </w:numPr>
      </w:pPr>
      <w:r>
        <w:t xml:space="preserve">shares of different classes of voting stock have separate</w:t>
      </w:r>
      <w:r>
        <w:t xml:space="preserve"> </w:t>
      </w:r>
      <w:r>
        <w:rPr>
          <w:bCs/>
          <w:b/>
        </w:rPr>
        <w:t xml:space="preserve">“class” votes</w:t>
      </w:r>
      <w:r>
        <w:t xml:space="preserve"> </w:t>
      </w:r>
      <w:r>
        <w:t xml:space="preserve">on key topics, such as mergers.</w:t>
      </w:r>
    </w:p>
    <w:p>
      <w:pPr>
        <w:pStyle w:val="FirstParagraph"/>
      </w:pPr>
      <w:r>
        <w:t xml:space="preserve">Perhaps not surprisingly, Delaware courts have taken a dim view of this statute.  In 2005, the Delaware Supreme Court held that Section 2115 violated “Delaware’s well-established choice of law rules.”  But that holding would only bind if a case were already in a Delaware court.  Courts in other states might choose to apply Delaware’s choice of law as a matter of discretion under its own state’s choice of law “rules,” but since choice of law in most states is detailed, complex and somewhat unpredictable in application, the Delaware view as to its own choice of law rules might well be ignored.  </w:t>
      </w:r>
    </w:p>
    <w:p>
      <w:pPr>
        <w:pStyle w:val="BodyText"/>
      </w:pPr>
      <w:r>
        <w:t xml:space="preserve">The Delaware Supreme Court went further, venturing to offer dicta about the U.S. constitution, an interesting role for it to try to play:  a state court telling other state courts what the federal constitution says.  The IAD, said the Delaware Supreme Court, is required by the federal constitution.  VantagePoint Venture Partners 1996 v. Examen, Inc., 871 A.2d 1108 (Del. 2005).  One constitutional claim is that under the Due Process Clause, directors and officers have a “right” to know which state’s law applies.  The problem with that argument is that it assumes its conclusion – that it is the state of incorporation, rather than (say) where the company is headquartered and primarily based, that is the one state that directors and officers have a right to know will set relevant corporate law principles.  Needless to say, the text of the federal constitution does not answer the question.  The Constitution does not mention corporations at all.  There is also no “original” meaning that can easily be looked to, because in 1789 few companies operated across state lines. </w:t>
      </w:r>
    </w:p>
    <w:p>
      <w:pPr>
        <w:pStyle w:val="BodyText"/>
      </w:pPr>
      <w:r>
        <w:t xml:space="preserve">A second, better (but limited) constitutional claim is that the Commerce Clause of the U.S. Constitution implicitly bars states from regulating interstate commerce in ways that discriminate against corporations chartered by other states, such as by applying rules that are inconsistent with the chartering state’s law.  (Because this constitutional doctrine is implicit only, and not explicit in the text of the Constitution, it is called the “dormant” Commerce Clause doctrine, which purports to protect Congress’s ability to regulate interstate commerce.)  Yet Federal courts, when confronted with similar arguments (e.g., in the context of anti-takeover statutes), have not sweepingly required the IAD as Delaware would suggest, but have emphasized the burden that the laws impose on the interstate market in securities, in part because they applied to listed companies, and that the laws required only a minority (10%) of a company’s shareholders to be located in-state to be subject to the law.  E.g., Edgar v Mite Corp., 457 U.S. 624 (1982).</w:t>
      </w:r>
    </w:p>
    <w:p>
      <w:pPr>
        <w:pStyle w:val="BodyText"/>
      </w:pPr>
      <w:r>
        <w:t xml:space="preserve">California’s quasi-California corporation statute by design only applies to companies where its (economic and social) interest in a company was strong, where a majority of its shareholders were in California, and where (because it excludes listed companies) no or only a modest interstate market in its securities exists.  No one has succeeded in challenging Section 2155 under the federal constitution, and at least one court has upheld it against such a challenge.  See Wilson v. Louisiana–Pacific Resources, Inc. 138 Cal.App.3d 216, 187 Cal.Rptr. 852 (1982).  Delaware’s attempt at legal imperialism across the board under the IAD remains at best a contested claim.  Assertions by some to the contrary smack of ideology, and California’s Section 2115 remains on the books.  It remains for California courts to decide whether and to what extent to follow Delaware’s suggestion that California surrender even corporate law sovereignty over businesses primarily based in California to Delaware.  Most practitioners continue to recommend that, when possible, a quasi-California corporation comply with Section 2115.</w:t>
      </w:r>
    </w:p>
    <w:p>
      <w:pPr>
        <w:pStyle w:val="BodyText"/>
      </w:pPr>
      <w:r>
        <w:t xml:space="preserve">In addition to whether the IAD overrides other states’ corporate laws, the IAD is in reality a “standard” not a “rule,” and there are disputes in which the question of what counts as “internal affairs,” and what does not, itself is in dispute.  Borderline issues include (for example) disputes between corporations and their officers, who are also employees, e.g., Lidow v. Superior Court, 206 Cal.App.4</w:t>
      </w:r>
      <w:r>
        <w:rPr>
          <w:vertAlign w:val="superscript"/>
        </w:rPr>
        <w:t xml:space="preserve">th</w:t>
      </w:r>
      <w:r>
        <w:t xml:space="preserve"> </w:t>
      </w:r>
      <w:r>
        <w:t xml:space="preserve">351, 141 Cal.Rptr.3d 729 (2012), and stock purchases, which can raise questions sounding in tort, contract and corporate law.  State “blue sky” (i.e., securities) law, for example, applies where misconduct occurred and not the state of incorporation.  E.g., Friese v. Superior Court, 134 Cal. App. 4th 693, 36 Cal. Rptr. 3d 558 (4th Dist. 2005), as modified on denial of reh'g, (Dec. 29, 2005) and as modified, (Jan. 24, 2006).  Doctrines of “successor liability” and “alter ego” that can give rise to “veil-piercing” or its economic equivalent (which we will cover late) also can raise difficult questions under choice of law doctrines, including whether the IAD applies.</w:t>
      </w:r>
    </w:p>
    <w:p>
      <w:pPr>
        <w:pStyle w:val="BodyText"/>
      </w:pPr>
      <w:r>
        <w:t xml:space="preserve"> </w:t>
      </w:r>
    </w:p>
    <w:p>
      <w:pPr>
        <w:pStyle w:val="NodeEnd"/>
      </w:pPr>
      <w:r>
        <w:t xml:space="preserve"> </w:t>
      </w:r>
    </w:p>
    <w:p>
      <w:pPr>
        <w:pStyle w:val="NodeStart"/>
      </w:pPr>
      <w:r>
        <w:t xml:space="preserve"> </w:t>
      </w:r>
    </w:p>
    <w:p>
      <w:pPr>
        <w:pStyle w:val="HeadSeparator"/>
      </w:pPr>
      <w:r>
        <w:t xml:space="preserve"> </w:t>
      </w:r>
    </w:p>
    <w:bookmarkStart w:id="45" w:name="_auto_toc_45"/>
    <w:bookmarkEnd w:id="45"/>
    <w:p>
      <w:pPr>
        <w:pStyle w:val="ResourceNumber"/>
      </w:pPr>
      <w:r>
        <w:t xml:space="preserve">3.7</w:t>
      </w:r>
    </w:p>
    <w:p>
      <w:pPr>
        <w:pStyle w:val="ResourceTitle"/>
      </w:pPr>
      <w:r>
        <w:t xml:space="preserve">Creating a corporation -- one take on how to do it</w:t>
      </w:r>
    </w:p>
    <w:p>
      <w:pPr>
        <w:pStyle w:val="HeadFieldSeparator"/>
      </w:pPr>
      <w:r>
        <w:t xml:space="preserve"> </w:t>
      </w:r>
    </w:p>
    <w:p>
      <w:pPr>
        <w:pStyle w:val="ResourceSubtitle"/>
      </w:pPr>
      <w:r>
        <w:t xml:space="preserve">(Not an ad or recommended -- no reps or warranties about the service -- purely for education purposes!)</w:t>
      </w:r>
    </w:p>
    <w:p>
      <w:pPr>
        <w:pStyle w:val="HeadFieldSeparator"/>
      </w:pPr>
      <w:r>
        <w:t xml:space="preserve"> </w:t>
      </w:r>
    </w:p>
    <w:p>
      <w:pPr>
        <w:pStyle w:val="ResourceLink"/>
      </w:pPr>
      <w:hyperlink r:id="rId34">
        <w:r>
          <w:rPr>
            <w:rStyle w:val="Hyperlink"/>
          </w:rPr>
          <w:t xml:space="preserve">https://www.youtube.com/watch?v=lPUBC2EuLZs</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p>
      <w:pPr>
        <w:pStyle w:val="ChapterSpacer"/>
        <w:sectPr>
          <w:footerReference w:type="even" r:id="rId14"/>
          <w:footerReference w:type="default" r:id="rId14"/>
          <w:headerReference w:type="even" r:id="rId11"/>
          <w:headerReference w:type="default" r:id="rId12"/>
          <w:pgSz w:h="15840" w:w="12240"/>
          <w:pgMar w:bottom="1440" w:gutter="720" w:header="1440" w:left="1440" w:right="1440" w:top="1800"/>
          <w:pgNumType w:pgNumType="decimal"/>
        </w:sectPr>
      </w:pPr>
      <w:r>
        <w:t xml:space="preserve"> </w:t>
      </w:r>
    </w:p>
    <w:bookmarkStart w:id="46" w:name="_auto_toc_46"/>
    <w:bookmarkEnd w:id="46"/>
    <w:p>
      <w:pPr>
        <w:pStyle w:val="ChapterNumber"/>
      </w:pPr>
      <w:r>
        <w:t xml:space="preserve">4</w:t>
      </w:r>
    </w:p>
    <w:p>
      <w:pPr>
        <w:pStyle w:val="ChapterTitle"/>
      </w:pPr>
      <w:r>
        <w:t xml:space="preserve">Boards</w:t>
      </w:r>
    </w:p>
    <w:p>
      <w:pPr>
        <w:pStyle w:val="HeadEnd"/>
        <w:sectPr>
          <w:footerReference w:type="even" r:id="rId14"/>
          <w:footerReference w:type="default" r:id="rId14"/>
          <w:headerReference w:type="even" r:id="rId11"/>
          <w:headerReference w:type="default" r:id="rId12"/>
          <w:type w:val="oddPage"/>
          <w:pgSz w:h="15840" w:w="12240"/>
          <w:pgMar w:bottom="1440" w:gutter="720" w:header="1440" w:left="1440" w:right="1440" w:top="1800"/>
          <w:pgNumType w:pgNumType="decimal"/>
        </w:sectPr>
      </w:pPr>
      <w:r>
        <w:t xml:space="preserve"> </w:t>
      </w:r>
    </w:p>
    <w:p>
      <w:pPr>
        <w:pStyle w:val="NodeEnd"/>
      </w:pPr>
      <w:r>
        <w:t xml:space="preserve"> </w:t>
      </w:r>
    </w:p>
    <w:p>
      <w:pPr>
        <w:pStyle w:val="NodeStart"/>
      </w:pPr>
      <w:r>
        <w:t xml:space="preserve"> </w:t>
      </w:r>
    </w:p>
    <w:p>
      <w:pPr>
        <w:pStyle w:val="HeadSeparator"/>
      </w:pPr>
      <w:r>
        <w:t xml:space="preserve"> </w:t>
      </w:r>
    </w:p>
    <w:bookmarkStart w:id="47" w:name="_auto_toc_47"/>
    <w:bookmarkEnd w:id="47"/>
    <w:p>
      <w:pPr>
        <w:pStyle w:val="SectionNumber"/>
      </w:pPr>
      <w:r>
        <w:t xml:space="preserve">4.1</w:t>
      </w:r>
    </w:p>
    <w:p>
      <w:pPr>
        <w:pStyle w:val="SectionTitle"/>
      </w:pPr>
      <w:r>
        <w:t xml:space="preserve">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48" w:name="_auto_toc_48"/>
    <w:bookmarkEnd w:id="48"/>
    <w:p>
      <w:pPr>
        <w:pStyle w:val="ResourceNumber"/>
      </w:pPr>
      <w:r>
        <w:t xml:space="preserve">4.1.1</w:t>
      </w:r>
    </w:p>
    <w:p>
      <w:pPr>
        <w:pStyle w:val="ResourceTitle"/>
      </w:pPr>
      <w:r>
        <w:t xml:space="preserve">Automatic Self-Cleansing</w:t>
      </w:r>
    </w:p>
    <w:p>
      <w:pPr>
        <w:pStyle w:val="HeadEnd"/>
      </w:pPr>
      <w:r>
        <w:t xml:space="preserve"> </w:t>
      </w:r>
    </w:p>
    <w:p>
      <w:pPr>
        <w:pStyle w:val="BodyText"/>
      </w:pPr>
      <w:r>
        <w:t xml:space="preserve">AUTOMATIC SELF-CLEANSING FILTER SYNDICATE CO., LTD v. CUNINGHAME</w:t>
      </w:r>
    </w:p>
    <w:p>
      <w:pPr>
        <w:pStyle w:val="BodyText"/>
      </w:pPr>
      <w:r>
        <w:t xml:space="preserve"> </w:t>
      </w:r>
    </w:p>
    <w:p>
      <w:pPr>
        <w:pStyle w:val="BodyText"/>
      </w:pPr>
      <w:r>
        <w:t xml:space="preserve">2 Ch. 34 (Eng. C.A. 1906)</w:t>
      </w:r>
    </w:p>
    <w:p>
      <w:pPr>
        <w:pStyle w:val="BodyText"/>
      </w:pPr>
      <w:r>
        <w:t xml:space="preserve"> </w:t>
      </w:r>
    </w:p>
    <w:p>
      <w:pPr>
        <w:pStyle w:val="BodyText"/>
      </w:pPr>
      <w:r>
        <w:t xml:space="preserve">[Plaintiff held 55% of the shares of the Automatic Self-Cleansing Filter Syndicate Co., Ltd., and wished the company to sell its assets. The articles of the company provided “management of the business and the control of the company shall be vested in the directors, subject nevertheless ... to such regulations ... as may from time to time be made by extraordinary resolution” (i.e., vote of three-quarters of the shareholders). At a special shareholders’ meeting, a resolution to sell the company’s assets received a vote of 55% in favor, 45% opposed. Plaintiff asked the court to order the board to proceed with a sale of assets on specific terms.]</w:t>
      </w:r>
    </w:p>
    <w:p>
      <w:pPr>
        <w:pStyle w:val="BodyText"/>
      </w:pPr>
      <w:r>
        <w:t xml:space="preserve">Collins, M.R.</w:t>
      </w:r>
    </w:p>
    <w:p>
      <w:pPr>
        <w:pStyle w:val="BodyText"/>
      </w:pPr>
      <w:r>
        <w:t xml:space="preserve"> </w:t>
      </w:r>
    </w:p>
    <w:p>
      <w:pPr>
        <w:pStyle w:val="BodyText"/>
      </w:pPr>
      <w:r>
        <w:t xml:space="preserve">... At a meeting of the company a resolution was passed by a majority in favor of a sale [of the company’s assets] to a purchaser, and the directors, honestly believing, ... that it was most undesirable in the interests of the company that that agreement should be carried into effect, refused to affix the seal of the company to it, or to assist in carrying out a resolution which they disapproved of; and the question is whether under the memorandum and articles of association here the directors are bound to accept, in substitution of their own view, the views contained in the resolution of the company. . . . </w:t>
      </w:r>
    </w:p>
    <w:p>
      <w:pPr>
        <w:pStyle w:val="BodyText"/>
      </w:pPr>
      <w:r>
        <w:t xml:space="preserve"> </w:t>
      </w:r>
    </w:p>
    <w:p>
      <w:pPr>
        <w:pStyle w:val="BodyText"/>
      </w:pPr>
      <w:r>
        <w:t xml:space="preserve">[In the company law], the view of the directors as to the fitness of the matter is made the standard; and furthermore, … they are given in express terms the full powers which the company has, except so far as they “are not hereby or by statute expressly directed or required to be exercised or done by the company,” so that the directors have absolute power to do all things other than those that are expressly required to be done by the company, and then comes the limitation on their general authority—“subject to such regulations as may from time to time be made by extraordinary resolution.”</w:t>
      </w:r>
    </w:p>
    <w:p>
      <w:pPr>
        <w:pStyle w:val="BodyText"/>
      </w:pPr>
      <w:r>
        <w:t xml:space="preserve"> </w:t>
      </w:r>
    </w:p>
    <w:p>
      <w:pPr>
        <w:pStyle w:val="BodyText"/>
      </w:pPr>
      <w:r>
        <w:t xml:space="preserve">Therefore, if it is desired to alter the powers of the directors that must be done, not by a resolution carried by a majority at an ordinary meeting of the company, but by an extraordinary resolution. In these circumstances it seems to me that it is not competent for the majority of the shareholders at an ordinary meeting to affect or alter the mandate originally given to the directors, by the articles of association. It has been suggested that this is a mere question of principal and agent, and that it would be an absurd thing if a principal in appointing an agent should in effect appoint a dictator who is to manage him instead of his managing the agent.</w:t>
      </w:r>
    </w:p>
    <w:p>
      <w:pPr>
        <w:pStyle w:val="BodyText"/>
      </w:pPr>
      <w:r>
        <w:t xml:space="preserve"> </w:t>
      </w:r>
    </w:p>
    <w:p>
      <w:pPr>
        <w:pStyle w:val="BodyText"/>
      </w:pPr>
      <w:r>
        <w:t xml:space="preserve">I think that that analogy does not strictly apply to this case. No doubt for some purposes directors are agents. For whom are they agents? You have, no doubt, in theory and law one entity, the company, which might be a principal, but you have to go behind that when you look to the particular position of directors. It is by the consensus of all the individuals in the company that these directors become agents and hold their rights as agents. It is not fair to say that a majority at a meeting is for the purposes of this case the principal so as to alter the mandate of the agent. The minority also must be taken into account. There are provisions by which the minority may be over-borne, but that can only be done by special machinery in the shape of special resolutions. Short of that the mandate which must be obeyed is not that of the majority—it is that of the whole entity made up of all the shareholders. If the mandate of the directors is to be altered, it can only be under the machinery of the memorandum and articles themselves.</w:t>
      </w:r>
    </w:p>
    <w:p>
      <w:pPr>
        <w:pStyle w:val="NodeEnd"/>
      </w:pPr>
      <w:r>
        <w:t xml:space="preserve"> </w:t>
      </w:r>
    </w:p>
    <w:p>
      <w:pPr>
        <w:pStyle w:val="NodeStart"/>
      </w:pPr>
      <w:r>
        <w:t xml:space="preserve"> </w:t>
      </w:r>
    </w:p>
    <w:p>
      <w:pPr>
        <w:pStyle w:val="HeadSeparator"/>
      </w:pPr>
      <w:r>
        <w:t xml:space="preserve"> </w:t>
      </w:r>
    </w:p>
    <w:bookmarkStart w:id="49" w:name="_auto_toc_49"/>
    <w:bookmarkEnd w:id="49"/>
    <w:p>
      <w:pPr>
        <w:pStyle w:val="ResourceNumber"/>
      </w:pPr>
      <w:r>
        <w:t xml:space="preserve">4.1.2</w:t>
      </w:r>
    </w:p>
    <w:p>
      <w:pPr>
        <w:pStyle w:val="ResourceTitle"/>
      </w:pPr>
      <w:r>
        <w:t xml:space="preserve">Jennings v. Ptsbg. Mercantile Co., 414 Pa. 641</w:t>
      </w:r>
    </w:p>
    <w:p>
      <w:pPr>
        <w:pStyle w:val="HeadFieldSeparator"/>
      </w:pPr>
      <w:r>
        <w:t xml:space="preserve"> </w:t>
      </w:r>
    </w:p>
    <w:p>
      <w:pPr>
        <w:pStyle w:val="ResourceLink"/>
      </w:pPr>
      <w:hyperlink r:id="rId42">
        <w:r>
          <w:rPr>
            <w:rStyle w:val="Hyperlink"/>
          </w:rPr>
          <w:t xml:space="preserve">https://casetext.com/case/jennings-v-ptsbg-mercantile-co</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50" w:name="_auto_toc_50"/>
    <w:bookmarkEnd w:id="50"/>
    <w:p>
      <w:pPr>
        <w:pStyle w:val="ResourceNumber"/>
      </w:pPr>
      <w:r>
        <w:t xml:space="preserve">4.1.3</w:t>
      </w:r>
    </w:p>
    <w:p>
      <w:pPr>
        <w:pStyle w:val="ResourceTitle"/>
      </w:pPr>
      <w:r>
        <w:t xml:space="preserve">Kamin v. American Express Company</w:t>
      </w:r>
    </w:p>
    <w:p>
      <w:pPr>
        <w:pStyle w:val="HeadFieldSeparator"/>
      </w:pPr>
      <w:r>
        <w:t xml:space="preserve"> </w:t>
      </w:r>
    </w:p>
    <w:p>
      <w:pPr>
        <w:pStyle w:val="ResourceLink"/>
      </w:pPr>
      <w:hyperlink r:id="rId43">
        <w:r>
          <w:rPr>
            <w:rStyle w:val="Hyperlink"/>
          </w:rPr>
          <w:t xml:space="preserve">https://law.justia.com/cases/new-york/other-courts/1976/86-misc-2d-809-383-n-y-s-2d-807-1976.html</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51" w:name="_auto_toc_51"/>
    <w:bookmarkEnd w:id="51"/>
    <w:p>
      <w:pPr>
        <w:pStyle w:val="ResourceNumber"/>
      </w:pPr>
      <w:r>
        <w:t xml:space="preserve">4.1.4</w:t>
      </w:r>
    </w:p>
    <w:p>
      <w:pPr>
        <w:pStyle w:val="ResourceTitle"/>
      </w:pPr>
      <w:r>
        <w:t xml:space="preserve">In Re The Goldman Sachs Group, Inc. Shareholder Litigation</w:t>
      </w:r>
    </w:p>
    <w:p>
      <w:pPr>
        <w:pStyle w:val="HeadFieldSeparator"/>
      </w:pPr>
      <w:r>
        <w:t xml:space="preserve"> </w:t>
      </w:r>
    </w:p>
    <w:p>
      <w:pPr>
        <w:pStyle w:val="ResourceHeadnote"/>
      </w:pPr>
      <w:r>
        <w:t xml:space="preserve">In the case that follows, the Chancery Court considers the defendant's Rule 23.1 motion to dismiss. In a 23.1 motion, the defendant argues that the complaint should be dismissed for lack of standing. The defendant argues that the plaintiff lacks standing because it did not comply with the requirements of 23.1, typically failure to make demand when demand is not futile.</w:t>
      </w:r>
    </w:p>
    <w:p>
      <w:pPr>
        <w:pStyle w:val="ResourceHeadnote"/>
      </w:pPr>
      <w:r>
        <w:t xml:space="preserve">As is required in such cases, the court reviews the interestedness and independence of each director in order to determine whether demand was futile. Remember, in making a ruling on a 23.1 motion to dismiss, the court must go through the exercise of assessing each director's interestedness and independence purusant to either</w:t>
      </w:r>
      <w:r>
        <w:t xml:space="preserve"> </w:t>
      </w:r>
      <w:r>
        <w:rPr>
          <w:iCs/>
          <w:i/>
        </w:rPr>
        <w:t xml:space="preserve">Aronson</w:t>
      </w:r>
      <w:r>
        <w:t xml:space="preserve"> </w:t>
      </w:r>
      <w:r>
        <w:t xml:space="preserve">or</w:t>
      </w:r>
      <w:r>
        <w:t xml:space="preserve"> </w:t>
      </w:r>
      <w:r>
        <w:rPr>
          <w:iCs/>
          <w:i/>
        </w:rPr>
        <w:t xml:space="preserve">Rales</w:t>
      </w:r>
      <w:r>
        <w:t xml:space="preserve"> </w:t>
      </w:r>
      <w:r>
        <w:t xml:space="preserve">and not the underlying merits of the claim. In this particular case, the court applies both</w:t>
      </w:r>
      <w:r>
        <w:t xml:space="preserve"> </w:t>
      </w:r>
      <w:r>
        <w:rPr>
          <w:iCs/>
          <w:i/>
        </w:rPr>
        <w:t xml:space="preserve">Aronson</w:t>
      </w:r>
      <w:r>
        <w:t xml:space="preserve"> </w:t>
      </w:r>
      <w:r>
        <w:t xml:space="preserve">and</w:t>
      </w:r>
      <w:r>
        <w:t xml:space="preserve"> </w:t>
      </w:r>
      <w:r>
        <w:rPr>
          <w:iCs/>
          <w:i/>
        </w:rPr>
        <w:t xml:space="preserve">Rales</w:t>
      </w:r>
      <w:r>
        <w:t xml:space="preserve"> </w:t>
      </w:r>
      <w:r>
        <w:t xml:space="preserve">to each of the directors on the Goldman Sachs board.</w:t>
      </w:r>
    </w:p>
    <w:p>
      <w:pPr>
        <w:pStyle w:val="HeadEnd"/>
      </w:pPr>
      <w:r>
        <w:t xml:space="preserve"> </w:t>
      </w:r>
    </w:p>
    <w:bookmarkStart w:id="44" w:name="X9ecd62adb3aba0348dfd8a115657799e749c5a7"/>
    <w:p>
      <w:pPr>
        <w:pStyle w:val="Heading2"/>
      </w:pPr>
      <w:r>
        <w:t xml:space="preserve">IN RE THE GOLDMAN SACHS GROUP, INC. SHAREHOLDER LITIGATION.</w:t>
      </w:r>
    </w:p>
    <w:p>
      <w:pPr>
        <w:pStyle w:val="FirstParagraph"/>
      </w:pPr>
      <w:r>
        <w:rPr>
          <w:rStyle w:val="Elision"/>
        </w:rPr>
        <w:t xml:space="preserve">[ … ]</w:t>
      </w:r>
    </w:p>
    <w:bookmarkEnd w:id="44"/>
    <w:bookmarkStart w:id="45" w:name="memorandum-opinion"/>
    <w:p>
      <w:pPr>
        <w:pStyle w:val="Heading2"/>
      </w:pPr>
      <w:r>
        <w:t xml:space="preserve">MEMORANDUM OPINION</w:t>
      </w:r>
    </w:p>
    <w:bookmarkEnd w:id="45"/>
    <w:bookmarkStart w:id="46" w:name="glasscock-vice-chancellor."/>
    <w:p>
      <w:pPr>
        <w:pStyle w:val="Heading2"/>
      </w:pPr>
      <w:r>
        <w:t xml:space="preserve">GLASSCOCK, Vice Chancellor.</w:t>
      </w:r>
    </w:p>
    <w:p>
      <w:pPr>
        <w:pStyle w:val="FirstParagraph"/>
      </w:pPr>
      <w:r>
        <w:t xml:space="preserve">The Delaware General Corporation Law is, for the most part, enabling in nature. It provides corporate directors and officers with broad discretion to act as they find appropriate in the conduct of corporate affairs. It is therefore left to Delaware case law to set a boundary on that otherwise unconstrained realm of action. The restrictions imposed by Delaware case law set this boundary by requiring corporate officers and directors to act as faithful fiduciaries to the corporation and its stockholders. Should these corporate actors perform in such a way that they are violating their fiduciary obligations—their core duties of care or loyalty—their faithless acts properly become the subject of judicial action in vindication of the rights of the stockholders. Within the boundary of fiduciary duty, however, these corporate actors are free to pursue corporate opportunities in any way that, in the exercise of their business judgment on behalf of the corporation, they see fit. It is this broad freedom to pursue opportunity on behalf of the corporation, in the myriad ways that may be revealed to creative human minds, that has made the corporate structure a supremely effective engine for the production of wealth. Exercising that freedom is precisely what directors and officers are elected by their shareholders to do. So long as such individuals act within the boundaries of their fiduciary duties, judges are ill-suited by training (and should be disinclined by temperament) to second-guess the business decisions of those chosen by the stockholders to fulfill precisely that function. This case, as in so many corporate matters considered by this Court, involves whether actions taken by certain director defendants fall outside of the fiduciary boundaries existing under Delaware case law—and are therefore subject to judicial oversight—or whether the acts complained of are within those broad boundaries, where a law-trained judge should refrain from acting.</w:t>
      </w:r>
    </w:p>
    <w:p>
      <w:pPr>
        <w:pStyle w:val="BodyText"/>
      </w:pPr>
      <w:r>
        <w:t xml:space="preserve">This matter is before me on a motion to dismiss, pursuant to Court of Chancery Rule 23.1, for failure to make a pre-suit demand upon the board, and Court of Chancery Rule 12(b)(6) for failure to state a claim. The Plaintiffs contend that Goldman's compensation structure created a divergence of interest between Goldman's management and its stockholders. The Plaintiffs allege that because Goldman's directors have consistently based compensation for the firm's management on a percentage of net revenue, Goldman's employees had a motivation to grow net revenue at any cost and without regard to risk.</w:t>
      </w:r>
    </w:p>
    <w:p>
      <w:pPr>
        <w:pStyle w:val="BodyText"/>
      </w:pPr>
      <w:r>
        <w:t xml:space="preserve">The Plaintiffs allege that under this compensation structure, Goldman's employees would attempt to maximize short-term profits, thus increasing their bonuses at the expense of stockholders' interests. The Plaintiffs contend that Goldman's employees would do this by engaging in highly risky trading practices and by over-leveraging the company's assets. If these practices turned a profit, Goldman's employees would receive a windfall; however, losses would fall on the stockholders.</w:t>
      </w:r>
    </w:p>
    <w:p>
      <w:pPr>
        <w:pStyle w:val="BodyText"/>
      </w:pPr>
      <w:r>
        <w:t xml:space="preserve">The Plaintiffs allege that the Director Defendants breached their fiduciary duties by approving the compensation structure discussed above.</w:t>
      </w:r>
      <w:r>
        <w:t xml:space="preserve"> </w:t>
      </w:r>
      <w:r>
        <w:rPr>
          <w:rStyle w:val="Elision"/>
        </w:rPr>
        <w:t xml:space="preserve">[ … ]</w:t>
      </w:r>
    </w:p>
    <w:bookmarkEnd w:id="46"/>
    <w:bookmarkStart w:id="47" w:name="i.-facts"/>
    <w:p>
      <w:pPr>
        <w:pStyle w:val="Heading2"/>
      </w:pPr>
      <w:r>
        <w:t xml:space="preserve">I. FACTS</w:t>
      </w:r>
    </w:p>
    <w:p>
      <w:pPr>
        <w:pStyle w:val="FirstParagraph"/>
      </w:pPr>
      <w:r>
        <w:rPr>
          <w:rStyle w:val="Elision"/>
        </w:rPr>
        <w:t xml:space="preserve">[ … ]</w:t>
      </w:r>
    </w:p>
    <w:p>
      <w:pPr>
        <w:pStyle w:val="BodyText"/>
      </w:pPr>
      <w:r>
        <w:t xml:space="preserve">Defendant Goldman is a global financial services firm which provides investment banking, securities, and investment management services to consumers, businesses, and governments. Goldman is a Delaware corporation with its principal executive offices in New York, NY.</w:t>
      </w:r>
    </w:p>
    <w:p>
      <w:pPr>
        <w:pStyle w:val="BodyText"/>
      </w:pPr>
      <w:r>
        <w:t xml:space="preserve">The complaint also names fourteen individual current and former directors and officers of Goldman as defendants: Lloyd C. Blankfein, Gary D. Cohn, John H. Bryan, Claes Dahlback, Stephen Friedman, William W. George, Rajat K. Gupta, James A. Johnson, Lois D. Juliber, Lakshmi N. Mittal, James J. Schiro, Ruth J. Simmons, David A. Viniar, and J. Michael Evans (together with Goldman, "the Defendants").</w:t>
      </w:r>
    </w:p>
    <w:p>
      <w:pPr>
        <w:pStyle w:val="BodyText"/>
      </w:pPr>
      <w:r>
        <w:rPr>
          <w:rStyle w:val="Elision"/>
        </w:rPr>
        <w:t xml:space="preserve">[ … ]</w:t>
      </w:r>
    </w:p>
    <w:bookmarkEnd w:id="47"/>
    <w:bookmarkStart w:id="48" w:name="b.-background"/>
    <w:p>
      <w:pPr>
        <w:pStyle w:val="Heading2"/>
      </w:pPr>
      <w:r>
        <w:t xml:space="preserve">B. Background</w:t>
      </w:r>
    </w:p>
    <w:p>
      <w:pPr>
        <w:pStyle w:val="FirstParagraph"/>
      </w:pPr>
      <w:r>
        <w:t xml:space="preserve">Goldman engages in three principal business segments: investment banking, asset management and securities services, and trading and principal investments. The majority of Goldman's revenue comes from the trading and principal investment segment.</w:t>
      </w:r>
      <w:hyperlink w:anchor="Xdff4f447dfa1d6eb4fef11c68decb42c39f6f78">
        <w:r>
          <w:rPr>
            <w:rStyle w:val="Hyperlink"/>
            <w:vertAlign w:val="superscript"/>
          </w:rPr>
          <w:t xml:space="preserve">[2]</w:t>
        </w:r>
      </w:hyperlink>
      <w:r>
        <w:t xml:space="preserve"> </w:t>
      </w:r>
      <w:r>
        <w:t xml:space="preserve">In that segment Goldman engages in market making, structuring and entering into a variety of derivative transactions, and the proprietary trading of financial instruments.</w:t>
      </w:r>
      <w:hyperlink w:anchor="X20fff6bc5830be7a7564c914d84f51dfa33411d">
        <w:r>
          <w:rPr>
            <w:rStyle w:val="Elision"/>
            <w:vertAlign w:val="superscript"/>
          </w:rPr>
          <w:t xml:space="preserve">[ … ]</w:t>
        </w:r>
      </w:hyperlink>
    </w:p>
    <w:p>
      <w:pPr>
        <w:pStyle w:val="BodyText"/>
      </w:pPr>
      <w:r>
        <w:t xml:space="preserve">As the revenue generated by the trading and principal investment segment grew, so did the trading department's stature within Goldman. The traders "became wealthier and more powerful in the bank."</w:t>
      </w:r>
      <w:hyperlink w:anchor="X5e4360d94ddd0cce5fa7195b7ee9de57d6415c6">
        <w:r>
          <w:rPr>
            <w:rStyle w:val="Hyperlink"/>
            <w:vertAlign w:val="superscript"/>
          </w:rPr>
          <w:t xml:space="preserve">[9]</w:t>
        </w:r>
      </w:hyperlink>
      <w:r>
        <w:t xml:space="preserve"> </w:t>
      </w:r>
      <w:r>
        <w:t xml:space="preserve">The Plaintiffs allege that the compensation for these traders was not based on performance and was unjustifiable because Goldman was doing "nothing more than compensat[ing] employees for results produced by the vast amounts of shareholder equity that Goldman ha[d] available to be deployed."</w:t>
      </w:r>
      <w:hyperlink w:anchor="Xa0bf1cbfc50e14692086d8c91d963d65b4b933e">
        <w:r>
          <w:rPr>
            <w:rStyle w:val="Hyperlink"/>
            <w:vertAlign w:val="superscript"/>
          </w:rPr>
          <w:t xml:space="preserve">[10]</w:t>
        </w:r>
      </w:hyperlink>
    </w:p>
    <w:bookmarkEnd w:id="48"/>
    <w:bookmarkStart w:id="49" w:name="c.-compensation"/>
    <w:p>
      <w:pPr>
        <w:pStyle w:val="Heading2"/>
      </w:pPr>
      <w:r>
        <w:t xml:space="preserve">C. Compensation</w:t>
      </w:r>
    </w:p>
    <w:p>
      <w:pPr>
        <w:pStyle w:val="FirstParagraph"/>
      </w:pPr>
      <w:r>
        <w:t xml:space="preserve">Goldman employed a "pay for performance" philosophy linking the total compensation of its employees to the company's performance.</w:t>
      </w:r>
      <w:hyperlink w:anchor="Xaf6a571d15231b572cfdce95dad363d296a4d02">
        <w:r>
          <w:rPr>
            <w:rStyle w:val="Hyperlink"/>
            <w:vertAlign w:val="superscript"/>
          </w:rPr>
          <w:t xml:space="preserve">[11]</w:t>
        </w:r>
      </w:hyperlink>
      <w:r>
        <w:t xml:space="preserve"> </w:t>
      </w:r>
      <w:r>
        <w:t xml:space="preserve">Goldman has used a Compensation Committee since at least 2006 to oversee the development and implementation of its compensation scheme.</w:t>
      </w:r>
      <w:hyperlink w:anchor="X26ec2fe776da3373617acac500476b7ffa376bc">
        <w:r>
          <w:rPr>
            <w:rStyle w:val="Hyperlink"/>
            <w:vertAlign w:val="superscript"/>
          </w:rPr>
          <w:t xml:space="preserve">[12]</w:t>
        </w:r>
      </w:hyperlink>
      <w:r>
        <w:t xml:space="preserve"> </w:t>
      </w:r>
      <w:r>
        <w:t xml:space="preserve">The Compensation Committee was responsible for reviewing and approving the Goldman executives' annual compensation.</w:t>
      </w:r>
      <w:hyperlink w:anchor="X19d99128685140ee44b4cf145e903a92a5d3c91">
        <w:r>
          <w:rPr>
            <w:rStyle w:val="Hyperlink"/>
            <w:vertAlign w:val="superscript"/>
          </w:rPr>
          <w:t xml:space="preserve">[13]</w:t>
        </w:r>
      </w:hyperlink>
      <w:r>
        <w:t xml:space="preserve"> </w:t>
      </w:r>
      <w:r>
        <w:t xml:space="preserve">To fulfill their charge, the Compensation Committee consulted with senior management about management's projections of net revenues and the proper ratio of compensation and benefits expenses to net revenues (the "compensation ratio").</w:t>
      </w:r>
      <w:hyperlink w:anchor="X2e728cd54fbc3d29a7bf36ac7d17efe0e58498d">
        <w:r>
          <w:rPr>
            <w:rStyle w:val="Hyperlink"/>
            <w:vertAlign w:val="superscript"/>
          </w:rPr>
          <w:t xml:space="preserve">[14]</w:t>
        </w:r>
      </w:hyperlink>
      <w:r>
        <w:t xml:space="preserve"> </w:t>
      </w:r>
      <w:r>
        <w:t xml:space="preserve">Additionally, the Compensation Committee compared Goldman's compensation ratio to that of Goldman's competitors such as Bear Stearns, Lehman Brothers, Merrill Lynch, and Morgan Stanley. The Compensation Committee would then approve a ratio and structure that Goldman would use to govern Goldman's compensation to its employees.</w:t>
      </w:r>
      <w:hyperlink w:anchor="X1b5f010501a8aefd0fff138648808a22fc4f194">
        <w:r>
          <w:rPr>
            <w:rStyle w:val="Hyperlink"/>
            <w:vertAlign w:val="superscript"/>
          </w:rPr>
          <w:t xml:space="preserve">[15]</w:t>
        </w:r>
      </w:hyperlink>
    </w:p>
    <w:p>
      <w:pPr>
        <w:pStyle w:val="BodyText"/>
      </w:pPr>
      <w:r>
        <w:t xml:space="preserve">The Plaintiffs allege that from 2007 through 2009, the Director Defendants approved a management-proposed compensation structure that caused management's interests to diverge from those of the stockholders.</w:t>
      </w:r>
      <w:hyperlink w:anchor="X5f346824af5d00741a97791242765ab79fb834b">
        <w:r>
          <w:rPr>
            <w:rStyle w:val="Hyperlink"/>
            <w:vertAlign w:val="superscript"/>
          </w:rPr>
          <w:t xml:space="preserve">[16]</w:t>
        </w:r>
      </w:hyperlink>
      <w:r>
        <w:t xml:space="preserve"> </w:t>
      </w:r>
      <w:r>
        <w:t xml:space="preserve">According to the Plaintiffs, in each year since 2006 the Compensation Committee approved the management-determined compensation ratio, which governed "the total amount of funds available to compensate all employees including senior executives," without any analysis.</w:t>
      </w:r>
      <w:hyperlink w:anchor="X8cae8303f741c9af8c661a4aaab1bac98a0d01f">
        <w:r>
          <w:rPr>
            <w:rStyle w:val="Hyperlink"/>
            <w:vertAlign w:val="superscript"/>
          </w:rPr>
          <w:t xml:space="preserve">[17]</w:t>
        </w:r>
      </w:hyperlink>
      <w:r>
        <w:t xml:space="preserve"> </w:t>
      </w:r>
      <w:r>
        <w:t xml:space="preserve">Although the total compensation paid by Goldman varied significantly each year, total compensation as a percentage of net revenue remained relatively constant.</w:t>
      </w:r>
      <w:hyperlink w:anchor="Xad4c57862c78a746d9a628d9c33993736fa0f43">
        <w:r>
          <w:rPr>
            <w:rStyle w:val="Hyperlink"/>
            <w:vertAlign w:val="superscript"/>
          </w:rPr>
          <w:t xml:space="preserve">[18]</w:t>
        </w:r>
      </w:hyperlink>
      <w:r>
        <w:t xml:space="preserve"> </w:t>
      </w:r>
      <w:r>
        <w:t xml:space="preserve">Because management was awarded a relatively constant percentage of total revenue, management could maximize their compensation by increasing Goldman's total net revenue and total stockholder equity.</w:t>
      </w:r>
      <w:hyperlink w:anchor="Xc9bc75b8c2fcc84835560c9a32033e97ada7d59">
        <w:r>
          <w:rPr>
            <w:rStyle w:val="Hyperlink"/>
            <w:vertAlign w:val="superscript"/>
          </w:rPr>
          <w:t xml:space="preserve">[19]</w:t>
        </w:r>
      </w:hyperlink>
      <w:r>
        <w:t xml:space="preserve"> </w:t>
      </w:r>
      <w:r>
        <w:t xml:space="preserve">The Plaintiffs contend that this compensation structure led management to pursue a highly risky business strategy that emphasized short term profits in order to increase their yearly bonuses.</w:t>
      </w:r>
      <w:hyperlink w:anchor="Xf05c995e4d58b90e3f8f53a92536e912691d7ea">
        <w:r>
          <w:rPr>
            <w:rStyle w:val="Hyperlink"/>
            <w:vertAlign w:val="superscript"/>
          </w:rPr>
          <w:t xml:space="preserve">[20]</w:t>
        </w:r>
      </w:hyperlink>
    </w:p>
    <w:bookmarkEnd w:id="49"/>
    <w:bookmarkStart w:id="50" w:name="d.-business-risk"/>
    <w:p>
      <w:pPr>
        <w:pStyle w:val="Heading2"/>
      </w:pPr>
      <w:r>
        <w:t xml:space="preserve">D. Business Risk</w:t>
      </w:r>
    </w:p>
    <w:p>
      <w:pPr>
        <w:pStyle w:val="FirstParagraph"/>
      </w:pPr>
      <w:r>
        <w:t xml:space="preserve">The Plaintiffs allege that management achieved Goldman's growth "through extreme leverage and significant uncontrolled exposure to risky loans and credit risks."</w:t>
      </w:r>
      <w:hyperlink w:anchor="X70c57377c26ede6b93cb6c6bbf9468b040af0ea">
        <w:r>
          <w:rPr>
            <w:rStyle w:val="Hyperlink"/>
            <w:vertAlign w:val="superscript"/>
          </w:rPr>
          <w:t xml:space="preserve">[21]</w:t>
        </w:r>
      </w:hyperlink>
      <w:r>
        <w:t xml:space="preserve"> </w:t>
      </w:r>
      <w:r>
        <w:t xml:space="preserve">The trading and principal investment segment is the largest contributor to Goldman's total revenues; it is also the segment to which Goldman commits the largest amount of capital.</w:t>
      </w:r>
      <w:hyperlink w:anchor="X104838ce80cfffbcc6d40dff4e8d7db240f6751">
        <w:r>
          <w:rPr>
            <w:rStyle w:val="Hyperlink"/>
            <w:vertAlign w:val="superscript"/>
          </w:rPr>
          <w:t xml:space="preserve">[22]</w:t>
        </w:r>
      </w:hyperlink>
      <w:r>
        <w:t xml:space="preserve"> </w:t>
      </w:r>
      <w:r>
        <w:t xml:space="preserve">The Plaintiffs argue that this was a risky use of Goldman's assets, pointing out that Goldman's Value at Risk (VAR) increased between 2007 and 2009, and that in 2007 Goldman had a leverage ratio of 25 to 1, exceeding that of its peers.</w:t>
      </w:r>
      <w:hyperlink w:anchor="X3bce317eaff2c08e008afff236c833399fed6d0">
        <w:r>
          <w:rPr>
            <w:rStyle w:val="Hyperlink"/>
            <w:vertAlign w:val="superscript"/>
          </w:rPr>
          <w:t xml:space="preserve">[23]</w:t>
        </w:r>
      </w:hyperlink>
    </w:p>
    <w:p>
      <w:pPr>
        <w:pStyle w:val="BodyText"/>
      </w:pPr>
      <w:r>
        <w:t xml:space="preserve">The Plaintiffs charge that this business strategy was not in the best interest of the stockholders, in part, because the stockholders did not benefit to the same degree that management did. Stockholders received roughly 2% of the revenue generated in the form of dividends—but if the investment went south, it was the stockholders' equity at risk, not that of the traders.</w:t>
      </w:r>
    </w:p>
    <w:p>
      <w:pPr>
        <w:pStyle w:val="BodyText"/>
      </w:pPr>
      <w:r>
        <w:rPr>
          <w:rStyle w:val="Elision"/>
        </w:rPr>
        <w:t xml:space="preserve">[ … ]</w:t>
      </w:r>
    </w:p>
    <w:bookmarkEnd w:id="50"/>
    <w:bookmarkStart w:id="51" w:name="e.-the-plaintiffs-claims"/>
    <w:p>
      <w:pPr>
        <w:pStyle w:val="Heading2"/>
      </w:pPr>
      <w:r>
        <w:t xml:space="preserve">E. The Plaintiffs' Claims</w:t>
      </w:r>
    </w:p>
    <w:p>
      <w:pPr>
        <w:pStyle w:val="FirstParagraph"/>
      </w:pPr>
      <w:r>
        <w:t xml:space="preserve">The Plaintiffs allege that the Director Defendants breached their fiduciary duties by (1) failing to properly analyze and rationally set compensation levels for Goldman's employees and (2) committing waste by "approving a compensation ratio to Goldman employees in an amount so disproportionately large to the contribution of management, as opposed to capital as to be unconscionable."</w:t>
      </w:r>
      <w:hyperlink w:anchor="X715dc66f01706d496171a4379d8691c355c74ab">
        <w:r>
          <w:rPr>
            <w:rStyle w:val="Hyperlink"/>
            <w:vertAlign w:val="superscript"/>
          </w:rPr>
          <w:t xml:space="preserve">[50]</w:t>
        </w:r>
      </w:hyperlink>
    </w:p>
    <w:p>
      <w:pPr>
        <w:pStyle w:val="BodyText"/>
      </w:pPr>
      <w:r>
        <w:t xml:space="preserve">The Plaintiffs also allege that the Director Defendants violated their fiduciary duties by failing to adequately monitor Goldman's operations and by "allowing the Firm to manage and conduct the Firm's trading in a grossly unethical manner."</w:t>
      </w:r>
      <w:hyperlink w:anchor="Xd9d42228350d82213712386019673f722f159b9">
        <w:r>
          <w:rPr>
            <w:rStyle w:val="Hyperlink"/>
            <w:vertAlign w:val="superscript"/>
          </w:rPr>
          <w:t xml:space="preserve">[51]</w:t>
        </w:r>
      </w:hyperlink>
    </w:p>
    <w:bookmarkEnd w:id="51"/>
    <w:bookmarkStart w:id="52" w:name="ii.-legal-standards"/>
    <w:p>
      <w:pPr>
        <w:pStyle w:val="Heading2"/>
      </w:pPr>
      <w:r>
        <w:t xml:space="preserve">II. LEGAL STANDARDS</w:t>
      </w:r>
    </w:p>
    <w:p>
      <w:pPr>
        <w:pStyle w:val="FirstParagraph"/>
      </w:pPr>
      <w:r>
        <w:t xml:space="preserve">The Plaintiffs have brought this action derivatively on behalf of Goldman "to redress the breaches of fiduciary duty and other violations of law by [the] Defendants."</w:t>
      </w:r>
      <w:hyperlink w:anchor="Xc39da736d50145eca4f4442fd6c42134c550f2b">
        <w:r>
          <w:rPr>
            <w:rStyle w:val="Hyperlink"/>
            <w:vertAlign w:val="superscript"/>
          </w:rPr>
          <w:t xml:space="preserve">[52]</w:t>
        </w:r>
      </w:hyperlink>
      <w:r>
        <w:t xml:space="preserve"> </w:t>
      </w:r>
      <w:r>
        <w:t xml:space="preserve">The Defendants have moved to dismiss, pursuant to Court of Chancery Rule 23.1, for failure to make a pre-suit demand upon the board</w:t>
      </w:r>
      <w:r>
        <w:rPr>
          <w:rStyle w:val="Elision"/>
        </w:rPr>
        <w:t xml:space="preserve">[ … ]</w:t>
      </w:r>
      <w:r>
        <w:t xml:space="preserve">.</w:t>
      </w:r>
    </w:p>
    <w:bookmarkEnd w:id="52"/>
    <w:bookmarkStart w:id="53" w:name="section"/>
    <w:p>
      <w:pPr>
        <w:pStyle w:val="Heading2"/>
      </w:pPr>
      <w:r>
        <w:rPr>
          <w:rStyle w:val="Elision"/>
        </w:rPr>
        <w:t xml:space="preserve">[ … ]</w:t>
      </w:r>
    </w:p>
    <w:p>
      <w:pPr>
        <w:pStyle w:val="FirstParagraph"/>
      </w:pPr>
      <w:r>
        <w:t xml:space="preserve">"[T]he pleading burden imposed by Rule 23.1 . . . is more onerous than that demanded by Rule 12(b)(6)."</w:t>
      </w:r>
      <w:hyperlink w:anchor="Xfe15219d002b3623d76ede66d13be7dc096206f">
        <w:r>
          <w:rPr>
            <w:rStyle w:val="Hyperlink"/>
            <w:vertAlign w:val="superscript"/>
          </w:rPr>
          <w:t xml:space="preserve">[57]</w:t>
        </w:r>
      </w:hyperlink>
      <w:r>
        <w:t xml:space="preserve"> </w:t>
      </w:r>
      <w:r>
        <w:t xml:space="preserve">Though a complaint may plead a "conceivable" allegation that would survive a motion to dismiss under Rule 12(b)(6), "vague allegations are . . . insufficient to withstand a motion to dismiss pursuant to Rule 23.1."</w:t>
      </w:r>
      <w:hyperlink w:anchor="Xb5fd78e57e325e917091f17ff971edfbb88068b">
        <w:r>
          <w:rPr>
            <w:rStyle w:val="Hyperlink"/>
            <w:vertAlign w:val="superscript"/>
          </w:rPr>
          <w:t xml:space="preserve">[58]</w:t>
        </w:r>
      </w:hyperlink>
      <w:r>
        <w:t xml:space="preserve"> </w:t>
      </w:r>
      <w:r>
        <w:t xml:space="preserve">This difference reflects the divergent reasons for the two rules: Rule 12(b)(6) is designed to ensure a decision on the merits of any potentially valid claim, excluding only clearly meritless claims; Rule 23.1 is designed to vindicate the authority of the corporate board, except in those cases where the board will not or (because of conflicts) cannot exercise its judgment in the interest of the corporation. Rule 23.1 requires that "a plaintiff shareholder . . . make a demand upon the corporation's current board to pursue derivative claims owned by the corporation before a shareholder is permitted to pursue legal action on the corporation's behalf."</w:t>
      </w:r>
      <w:hyperlink w:anchor="Xbfbc581a31420e224f890e4881527790f9f057a">
        <w:r>
          <w:rPr>
            <w:rStyle w:val="Hyperlink"/>
            <w:vertAlign w:val="superscript"/>
          </w:rPr>
          <w:t xml:space="preserve">[59]</w:t>
        </w:r>
      </w:hyperlink>
      <w:r>
        <w:t xml:space="preserve"> </w:t>
      </w:r>
      <w:r>
        <w:t xml:space="preserve">Demand is required because "[t]he decision whether to initiate or pursue a lawsuit on behalf of the corporation is generally within the power and responsibility of the board of directors."</w:t>
      </w:r>
      <w:hyperlink w:anchor="Xc11fa7a4ffefe1c4edb9ec43bef63ce233b64e1">
        <w:r>
          <w:rPr>
            <w:rStyle w:val="Hyperlink"/>
            <w:vertAlign w:val="superscript"/>
          </w:rPr>
          <w:t xml:space="preserve">[60]</w:t>
        </w:r>
      </w:hyperlink>
      <w:r>
        <w:t xml:space="preserve"> </w:t>
      </w:r>
      <w:r>
        <w:t xml:space="preserve">Accordingly, the complaint must allege "with particularity the efforts, if any, made by the plaintiff to obtain the action the plaintiff desires from the directors or comparable authority and the reasons for the plaintiff's failure to obtain the action or for not making the effort."</w:t>
      </w:r>
      <w:hyperlink w:anchor="Xc372f8e7a2448551a10e58c2a0b308446678da0">
        <w:r>
          <w:rPr>
            <w:rStyle w:val="Hyperlink"/>
            <w:vertAlign w:val="superscript"/>
          </w:rPr>
          <w:t xml:space="preserve">[61]</w:t>
        </w:r>
      </w:hyperlink>
    </w:p>
    <w:bookmarkEnd w:id="53"/>
    <w:bookmarkStart w:id="54" w:name="c.-demand-futility"/>
    <w:p>
      <w:pPr>
        <w:pStyle w:val="Heading2"/>
      </w:pPr>
      <w:r>
        <w:t xml:space="preserve">C. Demand Futility</w:t>
      </w:r>
    </w:p>
    <w:p>
      <w:pPr>
        <w:pStyle w:val="FirstParagraph"/>
      </w:pPr>
      <w:r>
        <w:t xml:space="preserve">If, as here, a stockholder does not first demand that the directors pursue the alleged cause of action, he must establish that demand is excused by satisfying "stringent [pleading] requirements of factual particularity" by "set[ting] forth particularized factual statements that are essential to the claim" in order to demonstrate that making demand would be futile.</w:t>
      </w:r>
      <w:hyperlink w:anchor="X738bfbc306211af578c21149258d88f51bbac09">
        <w:r>
          <w:rPr>
            <w:rStyle w:val="Hyperlink"/>
            <w:vertAlign w:val="superscript"/>
          </w:rPr>
          <w:t xml:space="preserve">[62]</w:t>
        </w:r>
      </w:hyperlink>
      <w:r>
        <w:t xml:space="preserve"> </w:t>
      </w:r>
      <w:r>
        <w:t xml:space="preserve">Pre-suit demand is futile if a corporation's board is "deemed incapable of making an impartial decision regarding the pursuit of the litigation."</w:t>
      </w:r>
      <w:hyperlink w:anchor="X03db57dca9fedb159daf78c9a2de336188b4861">
        <w:r>
          <w:rPr>
            <w:rStyle w:val="Hyperlink"/>
            <w:vertAlign w:val="superscript"/>
          </w:rPr>
          <w:t xml:space="preserve">[63]</w:t>
        </w:r>
      </w:hyperlink>
    </w:p>
    <w:p>
      <w:pPr>
        <w:pStyle w:val="BodyText"/>
      </w:pPr>
      <w:r>
        <w:rPr>
          <w:rStyle w:val="HighlightedText"/>
        </w:rPr>
        <w:t xml:space="preserve">Under the two-pronged test, first explicated in</w:t>
      </w:r>
      <w:r>
        <w:rPr>
          <w:rStyle w:val="HighlightedText"/>
        </w:rPr>
        <w:t xml:space="preserve"> </w:t>
      </w:r>
      <w:r>
        <w:rPr>
          <w:rStyle w:val="HighlightedText"/>
          <w:iCs/>
          <w:i/>
        </w:rPr>
        <w:t xml:space="preserve">Aronson,</w:t>
      </w:r>
      <w:r>
        <w:rPr>
          <w:rStyle w:val="HighlightedText"/>
        </w:rPr>
        <w:t xml:space="preserve"> </w:t>
      </w:r>
      <w:r>
        <w:rPr>
          <w:rStyle w:val="HighlightedText"/>
        </w:rPr>
        <w:t xml:space="preserve">when a plaintiff challenges a conscious decision of the board, a plaintiff can show demand futility by alleging particularized facts that create a reasonable doubt that either (1) the directors are disinterested and independent or (2) "the challenged transaction was otherwise the product of a valid exercise of business judgment."</w:t>
      </w:r>
      <w:hyperlink w:anchor="Xbc6792565353a55c5da57d1563c5a536909b468">
        <w:r>
          <w:rPr>
            <w:rStyle w:val="HighlightedText"/>
            <w:vertAlign w:val="superscript"/>
          </w:rPr>
          <w:t xml:space="preserve">[64]</w:t>
        </w:r>
      </w:hyperlink>
    </w:p>
    <w:p>
      <w:pPr>
        <w:pStyle w:val="BodyText"/>
      </w:pPr>
      <w:r>
        <w:rPr>
          <w:rStyle w:val="HighlightedText"/>
        </w:rPr>
        <w:t xml:space="preserve">On the other hand, when a plaintiff complains of board</w:t>
      </w:r>
      <w:r>
        <w:rPr>
          <w:rStyle w:val="HighlightedText"/>
        </w:rPr>
        <w:t xml:space="preserve"> </w:t>
      </w:r>
      <w:r>
        <w:rPr>
          <w:rStyle w:val="HighlightedText"/>
          <w:iCs/>
          <w:i/>
        </w:rPr>
        <w:t xml:space="preserve">inaction,</w:t>
      </w:r>
      <w:r>
        <w:rPr>
          <w:rStyle w:val="HighlightedText"/>
        </w:rPr>
        <w:t xml:space="preserve"> </w:t>
      </w:r>
      <w:r>
        <w:rPr>
          <w:rStyle w:val="HighlightedText"/>
        </w:rPr>
        <w:t xml:space="preserve">"there is no `challenged transaction,' and the ordinary</w:t>
      </w:r>
      <w:r>
        <w:rPr>
          <w:rStyle w:val="HighlightedText"/>
        </w:rPr>
        <w:t xml:space="preserve"> </w:t>
      </w:r>
      <w:r>
        <w:rPr>
          <w:rStyle w:val="HighlightedText"/>
          <w:iCs/>
          <w:i/>
        </w:rPr>
        <w:t xml:space="preserve">Aronson</w:t>
      </w:r>
      <w:r>
        <w:rPr>
          <w:rStyle w:val="HighlightedText"/>
        </w:rPr>
        <w:t xml:space="preserve"> </w:t>
      </w:r>
      <w:r>
        <w:rPr>
          <w:rStyle w:val="HighlightedText"/>
        </w:rPr>
        <w:t xml:space="preserve">analysis does not apply."</w:t>
      </w:r>
      <w:hyperlink w:anchor="X61cdf0c947f5c56d9ed8f4802f8db609770969c">
        <w:r>
          <w:rPr>
            <w:rStyle w:val="HighlightedText"/>
            <w:vertAlign w:val="superscript"/>
          </w:rPr>
          <w:t xml:space="preserve">[65]</w:t>
        </w:r>
      </w:hyperlink>
      <w:r>
        <w:rPr>
          <w:rStyle w:val="HighlightedText"/>
        </w:rPr>
        <w:t xml:space="preserve"> </w:t>
      </w:r>
      <w:r>
        <w:rPr>
          <w:rStyle w:val="HighlightedText"/>
        </w:rPr>
        <w:t xml:space="preserve">Instead, the board's inaction is analyzed under</w:t>
      </w:r>
      <w:r>
        <w:rPr>
          <w:rStyle w:val="HighlightedText"/>
        </w:rPr>
        <w:t xml:space="preserve"> </w:t>
      </w:r>
      <w:r>
        <w:rPr>
          <w:rStyle w:val="HighlightedText"/>
          <w:iCs/>
          <w:i/>
        </w:rPr>
        <w:t xml:space="preserve">Rales v. Blasband.</w:t>
      </w:r>
      <w:hyperlink w:anchor="X20f75ffdd4ab16813cbde6f388b6894bc6d2b66">
        <w:r>
          <w:rPr>
            <w:rStyle w:val="HighlightedText"/>
            <w:vertAlign w:val="superscript"/>
          </w:rPr>
          <w:t xml:space="preserve">[66]</w:t>
        </w:r>
      </w:hyperlink>
      <w:r>
        <w:rPr>
          <w:rStyle w:val="HighlightedText"/>
        </w:rPr>
        <w:t xml:space="preserve"> </w:t>
      </w:r>
      <w:r>
        <w:rPr>
          <w:rStyle w:val="HighlightedText"/>
        </w:rPr>
        <w:t xml:space="preserve">Under the</w:t>
      </w:r>
      <w:r>
        <w:rPr>
          <w:rStyle w:val="HighlightedText"/>
        </w:rPr>
        <w:t xml:space="preserve"> </w:t>
      </w:r>
      <w:r>
        <w:rPr>
          <w:rStyle w:val="HighlightedText"/>
          <w:iCs/>
          <w:i/>
        </w:rPr>
        <w:t xml:space="preserve">Rales</w:t>
      </w:r>
      <w:r>
        <w:rPr>
          <w:rStyle w:val="HighlightedText"/>
        </w:rPr>
        <w:t xml:space="preserve"> </w:t>
      </w:r>
      <w:r>
        <w:rPr>
          <w:rStyle w:val="HighlightedText"/>
        </w:rPr>
        <w:t xml:space="preserve">test, a plaintiff must plead particularized facts that "create a reasonable doubt that, as of the time the complaint [was] filed, the board of directors could have properly exercised its independent and disinterested business judgment in responding to a demand.</w:t>
      </w:r>
      <w:r>
        <w:t xml:space="preserve">"</w:t>
      </w:r>
      <w:hyperlink w:anchor="X85faccf0a781e6709d82c49862c7c5bcf87470c">
        <w:r>
          <w:rPr>
            <w:rStyle w:val="Hyperlink"/>
            <w:vertAlign w:val="superscript"/>
          </w:rPr>
          <w:t xml:space="preserve">[67]</w:t>
        </w:r>
      </w:hyperlink>
    </w:p>
    <w:p>
      <w:pPr>
        <w:pStyle w:val="BodyText"/>
      </w:pPr>
      <w:r>
        <w:t xml:space="preserve">Here, the Plaintiffs concede that they have not made demand upon Goldman's board of directors, but they assert that such demand would be futile for numerous reasons.</w:t>
      </w:r>
      <w:r>
        <w:t xml:space="preserve"> </w:t>
      </w:r>
      <w:r>
        <w:rPr>
          <w:rStyle w:val="HighlightedText"/>
        </w:rPr>
        <w:t xml:space="preserve">First,</w:t>
      </w:r>
      <w:r>
        <w:rPr>
          <w:rStyle w:val="HighlightedText"/>
        </w:rPr>
        <w:t xml:space="preserve"> </w:t>
      </w:r>
      <w:r>
        <w:rPr>
          <w:rStyle w:val="HighlightedText"/>
        </w:rPr>
        <w:t xml:space="preserve">they argue</w:t>
      </w:r>
      <w:r>
        <w:rPr>
          <w:rStyle w:val="FootnoteReference"/>
        </w:rPr>
        <w:footnoteReference w:customMarkFollows="1" w:id="3"/>
        <w:t xml:space="preserve">*</w:t>
      </w:r>
      <w:r>
        <w:rPr>
          <w:rStyle w:val="HighlightedText"/>
        </w:rPr>
        <w:t xml:space="preserve"> </w:t>
      </w:r>
      <w:r>
        <w:rPr>
          <w:rStyle w:val="HighlightedText"/>
        </w:rPr>
        <w:t xml:space="preserve">that Goldman's board of directors is interested or lacks independence because of financial ties between the Director Defendants and Goldman</w:t>
      </w:r>
      <w:r>
        <w:t xml:space="preserve">.</w:t>
      </w:r>
      <w:hyperlink w:anchor="X11fb9c8338debeee0e0f3aad1f9411ac9bf8bfd">
        <w:r>
          <w:rPr>
            <w:rStyle w:val="Hyperlink"/>
            <w:vertAlign w:val="superscript"/>
          </w:rPr>
          <w:t xml:space="preserve">[68]</w:t>
        </w:r>
      </w:hyperlink>
      <w:r>
        <w:t xml:space="preserve"> </w:t>
      </w:r>
      <w:r>
        <w:t xml:space="preserve">N</w:t>
      </w:r>
      <w:r>
        <w:rPr>
          <w:rStyle w:val="HighlightedText"/>
        </w:rPr>
        <w:t xml:space="preserve">ext, they allege that there is a reasonable doubt as to whether the board's compensation structure was the product of a valid exercise of business judgment.</w:t>
      </w:r>
      <w:hyperlink w:anchor="X5baa5af763d1b6d60fadede0f108763296026fa">
        <w:r>
          <w:rPr>
            <w:rStyle w:val="HighlightedText"/>
            <w:vertAlign w:val="superscript"/>
          </w:rPr>
          <w:t xml:space="preserve">[69]</w:t>
        </w:r>
      </w:hyperlink>
      <w:r>
        <w:rPr>
          <w:rStyle w:val="HighlightedText"/>
        </w:rPr>
        <w:t xml:space="preserve"> </w:t>
      </w:r>
      <w:r>
        <w:rPr>
          <w:rStyle w:val="HighlightedText"/>
        </w:rPr>
        <w:t xml:space="preserve">The Plaintiffs further assert that there is a substantial likelihood that the Director Defendants will face personal liability for the dereliction of their duty to oversee Goldman's operations.</w:t>
      </w:r>
      <w:hyperlink w:anchor="Xdded0d6be6bc950c4b838d29e8f921178e5fb8b">
        <w:r>
          <w:rPr>
            <w:rStyle w:val="HighlightedText"/>
            <w:vertAlign w:val="superscript"/>
          </w:rPr>
          <w:t xml:space="preserve">[</w:t>
        </w:r>
        <w:r>
          <w:rPr>
            <w:rStyle w:val="Hyperlink"/>
            <w:vertAlign w:val="superscript"/>
          </w:rPr>
          <w:t xml:space="preserve">70]</w:t>
        </w:r>
      </w:hyperlink>
    </w:p>
    <w:p>
      <w:pPr>
        <w:pStyle w:val="BodyText"/>
      </w:pPr>
      <w:r>
        <w:t xml:space="preserve">I evaluate the Plaintiffs' claims involving active decisions by the board under</w:t>
      </w:r>
      <w:r>
        <w:t xml:space="preserve"> </w:t>
      </w:r>
      <w:r>
        <w:rPr>
          <w:iCs/>
          <w:i/>
        </w:rPr>
        <w:t xml:space="preserve">Aronson.</w:t>
      </w:r>
      <w:r>
        <w:t xml:space="preserve"> </w:t>
      </w:r>
      <w:r>
        <w:t xml:space="preserve">I evaluate the Plaintiffs' oversight claims against the Director Defendants for the failure to monitor Goldman's operations under</w:t>
      </w:r>
      <w:r>
        <w:t xml:space="preserve"> </w:t>
      </w:r>
      <w:r>
        <w:rPr>
          <w:iCs/>
          <w:i/>
        </w:rPr>
        <w:t xml:space="preserve">Rales.</w:t>
      </w:r>
    </w:p>
    <w:bookmarkEnd w:id="54"/>
    <w:bookmarkStart w:id="55" w:name="iii.-analysis"/>
    <w:p>
      <w:pPr>
        <w:pStyle w:val="Heading2"/>
      </w:pPr>
      <w:r>
        <w:t xml:space="preserve">III. ANALYSIS</w:t>
      </w:r>
    </w:p>
    <w:bookmarkEnd w:id="55"/>
    <w:bookmarkStart w:id="56" w:name="a.-approval-of-the-compensation-scheme"/>
    <w:p>
      <w:pPr>
        <w:pStyle w:val="Heading2"/>
      </w:pPr>
      <w:r>
        <w:t xml:space="preserve">A. Approval of the Compensation Scheme</w:t>
      </w:r>
    </w:p>
    <w:p>
      <w:pPr>
        <w:pStyle w:val="FirstParagraph"/>
      </w:pPr>
      <w:r>
        <w:t xml:space="preserve">The Plaintiffs challenge the Goldman board's approval of the company's compensation scheme on three grounds. They allege (1) that the majority of the board was interested or lacked independence when it approved the compensation scheme, (2) the board did not otherwise validly exercise its business judgment, and (3) the board's approval of the compensation scheme constituted waste. Because the approval of the compensation scheme was a conscious decision by the board, the Plaintiffs must satisfy the</w:t>
      </w:r>
      <w:r>
        <w:t xml:space="preserve"> </w:t>
      </w:r>
      <w:r>
        <w:rPr>
          <w:iCs/>
          <w:i/>
        </w:rPr>
        <w:t xml:space="preserve">Aronson</w:t>
      </w:r>
      <w:r>
        <w:t xml:space="preserve"> </w:t>
      </w:r>
      <w:r>
        <w:t xml:space="preserve">test to successfully plead demand futility. I find that under all three of their challenges to the board's approval of the compensation scheme, the Plaintiffs have failed to adequately plead demand futility.</w:t>
      </w:r>
    </w:p>
    <w:bookmarkEnd w:id="56"/>
    <w:bookmarkStart w:id="57" w:name="X29636a30c2ca27711ba6ffa5739349cd1556f5c"/>
    <w:p>
      <w:pPr>
        <w:pStyle w:val="Heading2"/>
      </w:pPr>
      <w:r>
        <w:t xml:space="preserve">1. Independence and Disinterestedness of the Board</w:t>
      </w:r>
    </w:p>
    <w:p>
      <w:pPr>
        <w:pStyle w:val="FirstParagraph"/>
      </w:pPr>
      <w:r>
        <w:rPr>
          <w:rStyle w:val="HighlightedText"/>
        </w:rPr>
        <w:t xml:space="preserve">A plaintiff successfully pleads demand futility under the first prong of</w:t>
      </w:r>
      <w:r>
        <w:rPr>
          <w:rStyle w:val="HighlightedText"/>
        </w:rPr>
        <w:t xml:space="preserve"> </w:t>
      </w:r>
      <w:r>
        <w:rPr>
          <w:rStyle w:val="HighlightedText"/>
          <w:iCs/>
          <w:i/>
        </w:rPr>
        <w:t xml:space="preserve">Aronson</w:t>
      </w:r>
      <w:r>
        <w:rPr>
          <w:rStyle w:val="HighlightedText"/>
        </w:rPr>
        <w:t xml:space="preserve"> </w:t>
      </w:r>
      <w:r>
        <w:rPr>
          <w:rStyle w:val="HighlightedText"/>
        </w:rPr>
        <w:t xml:space="preserve">when he alleges particularized facts that create a reasonable doubt that "a `majority' of the directors could [have] impartially consider[ed] a demand" either because they were interested or lacked independence, as of the time that suit was filed.</w:t>
      </w:r>
      <w:hyperlink w:anchor="X994d848a2ae34159e49b50f78e6b6aefe13ba2e">
        <w:r>
          <w:rPr>
            <w:rStyle w:val="HighlightedText"/>
            <w:vertAlign w:val="superscript"/>
          </w:rPr>
          <w:t xml:space="preserve">[71]</w:t>
        </w:r>
      </w:hyperlink>
      <w:r>
        <w:rPr>
          <w:rStyle w:val="HighlightedText"/>
        </w:rPr>
        <w:t xml:space="preserve"> </w:t>
      </w:r>
      <w:r>
        <w:rPr>
          <w:rStyle w:val="HighlightedText"/>
        </w:rPr>
        <w:t xml:space="preserve">Generally, "[a] director's interest may be shown by demonstrating a potential personal benefit or detriment to the director as a result of the decision."</w:t>
      </w:r>
      <w:hyperlink w:anchor="X4cda60f4ff3d9177e41580f00cb1e6e9eac66fd">
        <w:r>
          <w:rPr>
            <w:rStyle w:val="HighlightedText"/>
            <w:vertAlign w:val="superscript"/>
          </w:rPr>
          <w:t xml:space="preserve">[72]</w:t>
        </w:r>
      </w:hyperlink>
      <w:r>
        <w:rPr>
          <w:rStyle w:val="HighlightedText"/>
        </w:rPr>
        <w:t xml:space="preserve"> </w:t>
      </w:r>
      <w:r>
        <w:rPr>
          <w:rStyle w:val="HighlightedText"/>
        </w:rPr>
        <w:t xml:space="preserve">A director is independent if the "director's decision is based on the corporate merits of the subject before the board rather than extraneous considerations or influences."</w:t>
      </w:r>
      <w:hyperlink w:anchor="Xbdcfc05ec007067f91fc0e21563c0de47a38224">
        <w:r>
          <w:rPr>
            <w:rStyle w:val="Hyperlink"/>
            <w:vertAlign w:val="superscript"/>
          </w:rPr>
          <w:t xml:space="preserve">[73]</w:t>
        </w:r>
      </w:hyperlink>
    </w:p>
    <w:p>
      <w:pPr>
        <w:pStyle w:val="BodyText"/>
      </w:pPr>
      <w:r>
        <w:t xml:space="preserve">When the complaint was originally filed, Goldman's board had 12 directors: Blankfein, Cohn, Bryan, Dahlback, Friedman, George, Gupta, Johnson, Juliber, Mittal, Schiro, and Simmons.</w:t>
      </w:r>
      <w:hyperlink w:anchor="X5ebded6a21ed4051b4f8540fce13921ce286f75">
        <w:r>
          <w:rPr>
            <w:rStyle w:val="Hyperlink"/>
            <w:vertAlign w:val="superscript"/>
          </w:rPr>
          <w:t xml:space="preserve">[74]</w:t>
        </w:r>
      </w:hyperlink>
      <w:r>
        <w:t xml:space="preserve"> </w:t>
      </w:r>
      <w:r>
        <w:t xml:space="preserve">The Plaintiffs fail to allege that George and Schiro were interested or lacked independence. It can be assumed that Blankfein and Cohn, as officials of Goldman, would be found to be interested or lack independence. Therefore, the Plaintiffs must satisfy</w:t>
      </w:r>
      <w:r>
        <w:t xml:space="preserve"> </w:t>
      </w:r>
      <w:r>
        <w:rPr>
          <w:iCs/>
          <w:i/>
        </w:rPr>
        <w:t xml:space="preserve">Aronson</w:t>
      </w:r>
      <w:r>
        <w:t xml:space="preserve"> </w:t>
      </w:r>
      <w:r>
        <w:t xml:space="preserve">with respect to at least four of the remaining eight directors.</w:t>
      </w:r>
      <w:hyperlink w:anchor="X453f62a78986b6ee4b9e768d6a6605721ffec16">
        <w:r>
          <w:rPr>
            <w:rStyle w:val="Hyperlink"/>
            <w:vertAlign w:val="superscript"/>
          </w:rPr>
          <w:t xml:space="preserve">[75]</w:t>
        </w:r>
      </w:hyperlink>
    </w:p>
    <w:p>
      <w:pPr>
        <w:pStyle w:val="BodyText"/>
      </w:pPr>
      <w:r>
        <w:t xml:space="preserve">The Plaintiffs argue that demand is excused because a majority of the Director Defendants lacked independence or were interested as a result of significant financial relationships with Goldman. The Plaintiffs contend that directors Bryan, Friedman, Gupta, Johnson, Juliber, and Simmons were interested because the private Goldman Sachs Foundation ("the Goldman Foundation") has made contributions to charitable organizations that the directors were affiliated with.</w:t>
      </w:r>
      <w:hyperlink w:anchor="X32f78a4ef4dd6aa867f8cbf54f9a4452863c6f3">
        <w:r>
          <w:rPr>
            <w:rStyle w:val="Hyperlink"/>
            <w:vertAlign w:val="superscript"/>
          </w:rPr>
          <w:t xml:space="preserve">[76]</w:t>
        </w:r>
      </w:hyperlink>
      <w:r>
        <w:t xml:space="preserve"> </w:t>
      </w:r>
      <w:r>
        <w:t xml:space="preserve">The Plaintiffs assert that directors Dahlback, Friedman, and Mittal were interested because of financial interactions with Goldman.</w:t>
      </w:r>
    </w:p>
    <w:p>
      <w:pPr>
        <w:pStyle w:val="BodyText"/>
      </w:pPr>
      <w:r>
        <w:t xml:space="preserve">Below I provide the specific allegations found in the complaint about the Director Defendants. Since the Plaintiffs do not allege that the Director Defendants (aside from Blankfein and Cohn) were interested in the compensation decisions, I analyze whether the director lacks independence.</w:t>
      </w:r>
    </w:p>
    <w:bookmarkEnd w:id="57"/>
    <w:bookmarkStart w:id="58" w:name="Xa22cad2b3950e24b1f196b070cf8e3f0923454d"/>
    <w:p>
      <w:pPr>
        <w:pStyle w:val="Heading2"/>
      </w:pPr>
      <w:r>
        <w:t xml:space="preserve">a. Directors and Charitable Contributions.</w:t>
      </w:r>
    </w:p>
    <w:bookmarkEnd w:id="58"/>
    <w:bookmarkStart w:id="59" w:name="i.-john-h.-bryan"/>
    <w:p>
      <w:pPr>
        <w:pStyle w:val="Heading2"/>
      </w:pPr>
      <w:r>
        <w:t xml:space="preserve">i. John H. Bryan</w:t>
      </w:r>
    </w:p>
    <w:p>
      <w:pPr>
        <w:pStyle w:val="FirstParagraph"/>
      </w:pPr>
      <w:r>
        <w:t xml:space="preserve">Bryan has served as a Goldman director since 1999.</w:t>
      </w:r>
      <w:hyperlink w:anchor="Xe87673340897a6a3345aa6ba877d7823687cc20">
        <w:r>
          <w:rPr>
            <w:rStyle w:val="Hyperlink"/>
            <w:vertAlign w:val="superscript"/>
          </w:rPr>
          <w:t xml:space="preserve">[77]</w:t>
        </w:r>
      </w:hyperlink>
      <w:r>
        <w:t xml:space="preserve"> </w:t>
      </w:r>
      <w:r>
        <w:t xml:space="preserve">He was also a member of Goldman's Audit Committee and Goldman's Compensation Committee.</w:t>
      </w:r>
      <w:hyperlink w:anchor="X663aac00df82015c34299cd732345c203aaa978">
        <w:r>
          <w:rPr>
            <w:rStyle w:val="Hyperlink"/>
            <w:vertAlign w:val="superscript"/>
          </w:rPr>
          <w:t xml:space="preserve">[78]</w:t>
        </w:r>
      </w:hyperlink>
      <w:r>
        <w:t xml:space="preserve"> </w:t>
      </w:r>
      <w:r>
        <w:t xml:space="preserve">His charitable works included chairing a successful campaign to raise $100 million for the renovation of the Chicago Lyric Opera House and Orchestra Hall, and acting as a life trustee of the University of Chicago.</w:t>
      </w:r>
      <w:hyperlink w:anchor="X795acde01a7d51e6116b74e3d6df7a28020d60f">
        <w:r>
          <w:rPr>
            <w:rStyle w:val="Hyperlink"/>
            <w:vertAlign w:val="superscript"/>
          </w:rPr>
          <w:t xml:space="preserve">[79]</w:t>
        </w:r>
      </w:hyperlink>
      <w:r>
        <w:t xml:space="preserve"> </w:t>
      </w:r>
      <w:r>
        <w:t xml:space="preserve">The Plaintiffs state that part of Bryan's responsibility, as a trustee, was to raise money for the University. The Plaintiffs note that Goldman has made "substantial contributions"</w:t>
      </w:r>
      <w:hyperlink w:anchor="X267cedf5aa9c81b4f86257bfb24b011fd7d5040">
        <w:r>
          <w:rPr>
            <w:rStyle w:val="Hyperlink"/>
            <w:vertAlign w:val="superscript"/>
          </w:rPr>
          <w:t xml:space="preserve">[80]</w:t>
        </w:r>
      </w:hyperlink>
      <w:r>
        <w:t xml:space="preserve"> </w:t>
      </w:r>
      <w:r>
        <w:t xml:space="preserve">to the campaign to renovate the Chicago Lyric Opera House and Orchestra Hall and that the Goldman Foundation donated $200,000 to the University in 2006 and allocated an additional $200,000 in 2007.</w:t>
      </w:r>
      <w:hyperlink w:anchor="X14907b2fcffaae013fe65037075231a16746a00">
        <w:r>
          <w:rPr>
            <w:rStyle w:val="Hyperlink"/>
            <w:vertAlign w:val="superscript"/>
          </w:rPr>
          <w:t xml:space="preserve">[81]</w:t>
        </w:r>
      </w:hyperlink>
    </w:p>
    <w:p>
      <w:pPr>
        <w:pStyle w:val="BodyText"/>
      </w:pPr>
      <w:r>
        <w:t xml:space="preserve">The Plaintiffs allege that because Goldman and the Goldman Foundation have assisted Bryan in his fund raising responsibilities, Bryan lacks independence.</w:t>
      </w:r>
      <w:hyperlink w:anchor="Xe9e6a2d85ccaf25e5c21ccd5b23f1a7ae348f5e">
        <w:r>
          <w:rPr>
            <w:rStyle w:val="Hyperlink"/>
            <w:vertAlign w:val="superscript"/>
          </w:rPr>
          <w:t xml:space="preserve">[82]</w:t>
        </w:r>
      </w:hyperlink>
    </w:p>
    <w:p>
      <w:pPr>
        <w:pStyle w:val="BodyText"/>
      </w:pPr>
      <w:r>
        <w:t xml:space="preserve">This Court has previously addressed directorial independence and charitable contributions.</w:t>
      </w:r>
      <w:r>
        <w:t xml:space="preserve"> </w:t>
      </w:r>
      <w:r>
        <w:rPr>
          <w:iCs/>
          <w:i/>
        </w:rPr>
        <w:t xml:space="preserve">Hallmark</w:t>
      </w:r>
      <w:hyperlink w:anchor="X514b5999ee1775df54f3621063f5c159114ca9b">
        <w:r>
          <w:rPr>
            <w:rStyle w:val="Hyperlink"/>
            <w:vertAlign w:val="superscript"/>
          </w:rPr>
          <w:t xml:space="preserve">[83]</w:t>
        </w:r>
      </w:hyperlink>
      <w:r>
        <w:t xml:space="preserve"> </w:t>
      </w:r>
      <w:r>
        <w:t xml:space="preserve">involved a special committee member who served on a variety of charitable boards where the charity received donations from the defendant corporation. The</w:t>
      </w:r>
      <w:r>
        <w:t xml:space="preserve"> </w:t>
      </w:r>
      <w:r>
        <w:rPr>
          <w:iCs/>
          <w:i/>
        </w:rPr>
        <w:t xml:space="preserve">Hallmark</w:t>
      </w:r>
      <w:r>
        <w:t xml:space="preserve"> </w:t>
      </w:r>
      <w:r>
        <w:t xml:space="preserve">Court noted that, even though part of the member's role was to act as a fund raiser, the member did not receive a salary for his work and did not actively solicit donations from the defendant corporation; therefore, the plaintiff failed to sufficiently show that the member was incapable of "exercising independent judgment."</w:t>
      </w:r>
      <w:hyperlink w:anchor="X64dc48eadbd61678d4700f2314f454262aaf072">
        <w:r>
          <w:rPr>
            <w:rStyle w:val="Hyperlink"/>
            <w:vertAlign w:val="superscript"/>
          </w:rPr>
          <w:t xml:space="preserve">[84]</w:t>
        </w:r>
      </w:hyperlink>
    </w:p>
    <w:p>
      <w:pPr>
        <w:pStyle w:val="BodyText"/>
      </w:pPr>
      <w:r>
        <w:t xml:space="preserve">This Court also addressed charitable contributions in</w:t>
      </w:r>
      <w:r>
        <w:t xml:space="preserve"> </w:t>
      </w:r>
      <w:r>
        <w:rPr>
          <w:iCs/>
          <w:i/>
        </w:rPr>
        <w:t xml:space="preserve">J.P. Morgan.</w:t>
      </w:r>
      <w:hyperlink w:anchor="X490f295bc8f0704da68410774eac49c534367e4">
        <w:r>
          <w:rPr>
            <w:rStyle w:val="Hyperlink"/>
            <w:vertAlign w:val="superscript"/>
          </w:rPr>
          <w:t xml:space="preserve">[85]</w:t>
        </w:r>
      </w:hyperlink>
      <w:r>
        <w:t xml:space="preserve"> </w:t>
      </w:r>
      <w:r>
        <w:t xml:space="preserve">In that case, the plaintiff challenged the independence of a director who was the President and a trustee of the American Natural History Museum, another director who was a trustee of the American Natural History Museum, and a director who was the President and CEO of the United Negro College Fund.</w:t>
      </w:r>
      <w:hyperlink w:anchor="X1bb596e8401007d83969411adf749d9a23a7556">
        <w:r>
          <w:rPr>
            <w:rStyle w:val="Hyperlink"/>
            <w:vertAlign w:val="superscript"/>
          </w:rPr>
          <w:t xml:space="preserve">[86]</w:t>
        </w:r>
      </w:hyperlink>
      <w:r>
        <w:t xml:space="preserve"> </w:t>
      </w:r>
      <w:r>
        <w:t xml:space="preserve">The plaintiff alleged that because the defendant corporation made donations to these organizations and was a significant benefactor, the directors lacked independence.</w:t>
      </w:r>
      <w:hyperlink w:anchor="X917b7d5850dd0f8bde3cb972dcb01a5e27d9e7e">
        <w:r>
          <w:rPr>
            <w:rStyle w:val="Hyperlink"/>
            <w:vertAlign w:val="superscript"/>
          </w:rPr>
          <w:t xml:space="preserve">[87]</w:t>
        </w:r>
      </w:hyperlink>
      <w:r>
        <w:t xml:space="preserve"> </w:t>
      </w:r>
      <w:r>
        <w:t xml:space="preserve">The Court decided that without additional facts showing, for instance, how the donations would affect the decision making of the directors or what percentage of the overall contribution was represented by the corporation's donations, the plaintiff had failed to demonstrate that the directors were not independent.</w:t>
      </w:r>
      <w:hyperlink w:anchor="X1a5c9e0cd36f00e22a044f129d032360702d48d">
        <w:r>
          <w:rPr>
            <w:rStyle w:val="Hyperlink"/>
            <w:vertAlign w:val="superscript"/>
          </w:rPr>
          <w:t xml:space="preserve">[88]</w:t>
        </w:r>
      </w:hyperlink>
    </w:p>
    <w:p>
      <w:pPr>
        <w:pStyle w:val="BodyText"/>
      </w:pPr>
      <w:r>
        <w:t xml:space="preserve">In the case at bar, nothing more can be inferred from the complaint than the facts that the Goldman Foundation made donations to a charity that Bryan served as trustee, that part of Bryan's role as a trustee was to raise money, and that Goldman made donations to another charity where Bryan chaired a renovation campaign. The Plaintiffs do not allege that Bryan received a salary for either of his philanthropic roles, that the donations made by the Goldman Foundation or Goldman were the result of active solicitation by Bryan, or that Bryan had other substantial dealings with Goldman or the Goldman Foundation. The Plaintiffs do not provide the ratios of the amounts donated by Goldman, or the Goldman Foundation, to overall donations, or any other information demonstrating that the amount would be material to the charity. Crucially, the Plaintiffs fail to provide any information on how the amounts given influenced Bryan's decision-making process.</w:t>
      </w:r>
      <w:hyperlink w:anchor="X891056d332b8f9420852ba57715bbd0909a5105">
        <w:r>
          <w:rPr>
            <w:rStyle w:val="Hyperlink"/>
            <w:vertAlign w:val="superscript"/>
          </w:rPr>
          <w:t xml:space="preserve">[89]</w:t>
        </w:r>
      </w:hyperlink>
      <w:r>
        <w:t xml:space="preserve"> </w:t>
      </w:r>
      <w:r>
        <w:t xml:space="preserve">Because the complaint lacks such particularized details, the Plaintiffs have failed to create a reasonable doubt as to Bryan's independence.</w:t>
      </w:r>
    </w:p>
    <w:bookmarkEnd w:id="59"/>
    <w:bookmarkStart w:id="60" w:name="ii.-rajat-k.-gupta"/>
    <w:p>
      <w:pPr>
        <w:pStyle w:val="Heading2"/>
      </w:pPr>
      <w:r>
        <w:t xml:space="preserve">ii. Rajat K. Gupta</w:t>
      </w:r>
    </w:p>
    <w:p>
      <w:pPr>
        <w:pStyle w:val="FirstParagraph"/>
      </w:pPr>
      <w:r>
        <w:t xml:space="preserve">Gupta has served as a Goldman director since 2006.</w:t>
      </w:r>
      <w:hyperlink w:anchor="Xe188b8b12610ba71293299f8264b9acd27e9aa2">
        <w:r>
          <w:rPr>
            <w:rStyle w:val="Hyperlink"/>
            <w:vertAlign w:val="superscript"/>
          </w:rPr>
          <w:t xml:space="preserve">[90]</w:t>
        </w:r>
      </w:hyperlink>
      <w:r>
        <w:t xml:space="preserve"> </w:t>
      </w:r>
      <w:r>
        <w:t xml:space="preserve">He was also a member of Goldman's Audit Committee and Goldman's Compensation Committee.</w:t>
      </w:r>
      <w:hyperlink w:anchor="Xa1a991ece69a01f0aa63b07251991a87384f725">
        <w:r>
          <w:rPr>
            <w:rStyle w:val="Hyperlink"/>
            <w:vertAlign w:val="superscript"/>
          </w:rPr>
          <w:t xml:space="preserve">[91]</w:t>
        </w:r>
      </w:hyperlink>
      <w:r>
        <w:t xml:space="preserve"> </w:t>
      </w:r>
      <w:r>
        <w:t xml:space="preserve">Gupta is chairman of the board of the Indian School of Business, to which the Goldman Foundation has donated $1.6 million since 2002.</w:t>
      </w:r>
      <w:hyperlink w:anchor="Xd2929d882e093886f6094b39b3300cb7f34a756">
        <w:r>
          <w:rPr>
            <w:rStyle w:val="Hyperlink"/>
            <w:vertAlign w:val="superscript"/>
          </w:rPr>
          <w:t xml:space="preserve">[92]</w:t>
        </w:r>
      </w:hyperlink>
      <w:r>
        <w:t xml:space="preserve"> </w:t>
      </w:r>
      <w:r>
        <w:t xml:space="preserve">Gupta is also a member of the dean's advisory board of Tsinghua University School of Economics and Management, to which the Foundation has donated at least $3.5 million since 2002.</w:t>
      </w:r>
      <w:hyperlink w:anchor="X7b59b6aed6515e432bb45eab300b7010937d787">
        <w:r>
          <w:rPr>
            <w:rStyle w:val="Hyperlink"/>
            <w:vertAlign w:val="superscript"/>
          </w:rPr>
          <w:t xml:space="preserve">[93]</w:t>
        </w:r>
      </w:hyperlink>
      <w:r>
        <w:t xml:space="preserve"> </w:t>
      </w:r>
      <w:r>
        <w:t xml:space="preserve">Finally, Gupta is a member of the United Nations Commission on the Private Sector and Development and he is a special advisor to the UN Secretary General on UN Reform.</w:t>
      </w:r>
      <w:hyperlink w:anchor="X066774a885d0808c76287242c1f534527971cad">
        <w:r>
          <w:rPr>
            <w:rStyle w:val="Hyperlink"/>
            <w:vertAlign w:val="superscript"/>
          </w:rPr>
          <w:t xml:space="preserve">[94]</w:t>
        </w:r>
      </w:hyperlink>
      <w:r>
        <w:t xml:space="preserve"> </w:t>
      </w:r>
      <w:r>
        <w:t xml:space="preserve">Since 2002, the Foundation has donated around $1.6 million to the Model UN program.</w:t>
      </w:r>
      <w:hyperlink w:anchor="Xdc0d12535c2b9b56a02a40c8fff542ba92ae31f">
        <w:r>
          <w:rPr>
            <w:rStyle w:val="Hyperlink"/>
            <w:vertAlign w:val="superscript"/>
          </w:rPr>
          <w:t xml:space="preserve">[95]</w:t>
        </w:r>
      </w:hyperlink>
      <w:r>
        <w:t xml:space="preserve"> </w:t>
      </w:r>
      <w:r>
        <w:t xml:space="preserve">The Plaintiffs allege that as "a member of these boards and commission, it is part of Gupta's job to raise money."</w:t>
      </w:r>
      <w:hyperlink w:anchor="X10bef68854444feff9242289ff660f81b14bc49">
        <w:r>
          <w:rPr>
            <w:rStyle w:val="Hyperlink"/>
            <w:vertAlign w:val="superscript"/>
          </w:rPr>
          <w:t xml:space="preserve">[96]</w:t>
        </w:r>
      </w:hyperlink>
    </w:p>
    <w:p>
      <w:pPr>
        <w:pStyle w:val="BodyText"/>
      </w:pPr>
      <w:r>
        <w:t xml:space="preserve">The Plaintiffs challenge to Gupta's independence fails for reasons similar to Bryan's. The Plaintiffs allegations only provide information that shows that Gupta was engaged in philanthropic activities and that the Goldman foundation made donations to charities to which Gupta had ties. The Plaintiffs do not mention the materiality of the donations to the charities or any solicitation on the part of Gupta. The Plaintiffs do not state how Gupta's decision-making was altered by the donations. Without such particularized allegations, the Plaintiffs fail to raise a reasonable doubt that Gupta was independent.</w:t>
      </w:r>
    </w:p>
    <w:bookmarkEnd w:id="60"/>
    <w:bookmarkStart w:id="61" w:name="iii.-james-a.-johnson"/>
    <w:p>
      <w:pPr>
        <w:pStyle w:val="Heading2"/>
      </w:pPr>
      <w:r>
        <w:t xml:space="preserve">iii. James A. Johnson</w:t>
      </w:r>
    </w:p>
    <w:p>
      <w:pPr>
        <w:pStyle w:val="FirstParagraph"/>
      </w:pPr>
      <w:r>
        <w:rPr>
          <w:rStyle w:val="Elision"/>
        </w:rPr>
        <w:t xml:space="preserve">[ … ]</w:t>
      </w:r>
    </w:p>
    <w:p>
      <w:pPr>
        <w:pStyle w:val="BodyText"/>
      </w:pPr>
      <w:r>
        <w:t xml:space="preserve">Again the Plaintiffs fail to provide any information other than that a director was affiliated with a charity and the Goldman Foundation made a donation to that charity. Without more, the Plaintiffs fail to provide particularized factual allegations that create a reasonable doubt in regards to Johnson's independence.</w:t>
      </w:r>
    </w:p>
    <w:bookmarkEnd w:id="61"/>
    <w:bookmarkStart w:id="62" w:name="iv.-lois-d.-juliber"/>
    <w:p>
      <w:pPr>
        <w:pStyle w:val="Heading2"/>
      </w:pPr>
      <w:r>
        <w:t xml:space="preserve">iv. Lois D. Juliber</w:t>
      </w:r>
    </w:p>
    <w:p>
      <w:pPr>
        <w:pStyle w:val="FirstParagraph"/>
      </w:pPr>
      <w:r>
        <w:rPr>
          <w:rStyle w:val="Elision"/>
        </w:rPr>
        <w:t xml:space="preserve">[ … ]</w:t>
      </w:r>
    </w:p>
    <w:p>
      <w:pPr>
        <w:pStyle w:val="BodyText"/>
      </w:pPr>
      <w:r>
        <w:t xml:space="preserve">For the same reasons that the Plaintiffs' allegations fall short for directors Bryan, Gupta, and Johnson, the Plaintiffs' allegations fall short here. The Plaintiffs do not plead facts sufficient to create a reasonable doubt whether Juliber was independent.</w:t>
      </w:r>
    </w:p>
    <w:bookmarkEnd w:id="62"/>
    <w:bookmarkStart w:id="63" w:name="v.-ruth-j.-simmons"/>
    <w:p>
      <w:pPr>
        <w:pStyle w:val="Heading2"/>
      </w:pPr>
      <w:r>
        <w:t xml:space="preserve">v. Ruth J. Simmons</w:t>
      </w:r>
    </w:p>
    <w:p>
      <w:pPr>
        <w:pStyle w:val="FirstParagraph"/>
      </w:pPr>
      <w:r>
        <w:t xml:space="preserve">Simmons has served as a Goldman director since 2000.</w:t>
      </w:r>
      <w:hyperlink w:anchor="Xae3727df9e7bfddaf24b1ef296f4a7c759c0894">
        <w:r>
          <w:rPr>
            <w:rStyle w:val="Hyperlink"/>
            <w:vertAlign w:val="superscript"/>
          </w:rPr>
          <w:t xml:space="preserve">[105]</w:t>
        </w:r>
      </w:hyperlink>
      <w:r>
        <w:t xml:space="preserve"> </w:t>
      </w:r>
      <w:r>
        <w:t xml:space="preserve">She was also a member of Goldman's Compensation Committee.</w:t>
      </w:r>
      <w:hyperlink w:anchor="Xd3e16026208e224b702890f97d34a8f19cfa03e">
        <w:r>
          <w:rPr>
            <w:rStyle w:val="Hyperlink"/>
            <w:vertAlign w:val="superscript"/>
          </w:rPr>
          <w:t xml:space="preserve">[106]</w:t>
        </w:r>
      </w:hyperlink>
      <w:r>
        <w:t xml:space="preserve"> </w:t>
      </w:r>
      <w:r>
        <w:t xml:space="preserve">Simmons is President of Brown University, and the Plaintiffs allege that part of her job is to raise money for the University.</w:t>
      </w:r>
      <w:hyperlink w:anchor="Xacc95a0cfea9f2cfc21d235212532a93a7a3c6b">
        <w:r>
          <w:rPr>
            <w:rStyle w:val="Hyperlink"/>
            <w:vertAlign w:val="superscript"/>
          </w:rPr>
          <w:t xml:space="preserve">[107]</w:t>
        </w:r>
      </w:hyperlink>
      <w:r>
        <w:t xml:space="preserve"> </w:t>
      </w:r>
      <w:r>
        <w:t xml:space="preserve">The Plaintiffs note that "[t]he [Goldman] Foundation has pledged funding in an undisclosed amount to share in the support of a position of Program Director at The Swearer Center for Public Service at Brown University," and so far $200,000 has been allocated to this project.</w:t>
      </w:r>
      <w:hyperlink w:anchor="X7841aa5bc6ea85f35176a05620bb2aec472a8ff">
        <w:r>
          <w:rPr>
            <w:rStyle w:val="Hyperlink"/>
            <w:vertAlign w:val="superscript"/>
          </w:rPr>
          <w:t xml:space="preserve">[108]</w:t>
        </w:r>
      </w:hyperlink>
    </w:p>
    <w:p>
      <w:pPr>
        <w:pStyle w:val="BodyText"/>
      </w:pPr>
      <w:r>
        <w:t xml:space="preserve">Simmons differs from the other directors in that, rather than sitting on a charitable board, as the other defendants do, Simmons livelihood as President of Brown University does directly depend on her fundraising abilities;</w:t>
      </w:r>
      <w:hyperlink w:anchor="X3b276433292112e4db8aa0a24c501f8bbe8e7dd">
        <w:r>
          <w:rPr>
            <w:rStyle w:val="Hyperlink"/>
            <w:vertAlign w:val="superscript"/>
          </w:rPr>
          <w:t xml:space="preserve">[109]</w:t>
        </w:r>
      </w:hyperlink>
      <w:r>
        <w:t xml:space="preserve"> </w:t>
      </w:r>
      <w:r>
        <w:t xml:space="preserve">however, the Plaintiffs fail to allege particularized factual allegations that create a reasonable doubt that Simmons was independent.</w:t>
      </w:r>
    </w:p>
    <w:p>
      <w:pPr>
        <w:pStyle w:val="BodyText"/>
      </w:pPr>
      <w:r>
        <w:t xml:space="preserve">The Plaintiffs provide the amount donated to Brown University, but do not give any additional information showing the materiality of the donation to Brown University. The Plaintiffs do not provide the percentage this amount represented of the total amount raised by Brown, or even how this amount was material to the Swearer Center. Additionally, the Plaintiffs' allegations do not provide information that Simmons actively solicited this amount or how this or potential future donations would affect Simmons. The facts pled are insufficient to raise the inference that Simmons feels obligated to the foundation or Goldman management. Consequently, the factual allegations pled by the Plaintiffs fail to raise a reasonable doubt that, despite Simmons's position as President of Brown University, she remained independent.</w:t>
      </w:r>
    </w:p>
    <w:bookmarkEnd w:id="63"/>
    <w:bookmarkStart w:id="64" w:name="Xbc07d808b854a78dc5a22545e5ca555ebc913ff"/>
    <w:p>
      <w:pPr>
        <w:pStyle w:val="Heading2"/>
      </w:pPr>
      <w:r>
        <w:t xml:space="preserve">b. Directors with Other Alleged Interests.</w:t>
      </w:r>
    </w:p>
    <w:p>
      <w:pPr>
        <w:pStyle w:val="FirstParagraph"/>
      </w:pPr>
      <w:r>
        <w:t xml:space="preserve">The Plaintiffs allege that three directors have, in addition (in the case of Mr. Friedman) to charitable connections to Goldman or the Goldman Foundation, business dealings with Goldman that render them dependent for purposes of the first prong of the</w:t>
      </w:r>
      <w:r>
        <w:t xml:space="preserve"> </w:t>
      </w:r>
      <w:r>
        <w:rPr>
          <w:iCs/>
          <w:i/>
        </w:rPr>
        <w:t xml:space="preserve">Aronson</w:t>
      </w:r>
      <w:r>
        <w:t xml:space="preserve"> </w:t>
      </w:r>
      <w:r>
        <w:t xml:space="preserve">analysis. Having already found that a majority of the Goldman board was independent, I could simply omit analysis of the independence of these directors under</w:t>
      </w:r>
      <w:r>
        <w:t xml:space="preserve"> </w:t>
      </w:r>
      <w:r>
        <w:rPr>
          <w:iCs/>
          <w:i/>
        </w:rPr>
        <w:t xml:space="preserve">Aronson.</w:t>
      </w:r>
      <w:r>
        <w:t xml:space="preserve"> </w:t>
      </w:r>
      <w:r>
        <w:t xml:space="preserve">I will briefly address the Plaintiffs contentions with respect to the directors below.</w:t>
      </w:r>
    </w:p>
    <w:bookmarkEnd w:id="64"/>
    <w:bookmarkStart w:id="65" w:name="i.-stephen-friedman"/>
    <w:p>
      <w:pPr>
        <w:pStyle w:val="Heading2"/>
      </w:pPr>
      <w:r>
        <w:t xml:space="preserve">i. Stephen Friedman</w:t>
      </w:r>
    </w:p>
    <w:p>
      <w:pPr>
        <w:pStyle w:val="FirstParagraph"/>
      </w:pPr>
      <w:r>
        <w:rPr>
          <w:rStyle w:val="Elision"/>
        </w:rPr>
        <w:t xml:space="preserve">[ … ]</w:t>
      </w:r>
      <w:r>
        <w:t xml:space="preserve"> </w:t>
      </w:r>
      <w:r>
        <w:t xml:space="preserve">The Plaintiffs allege that Friedman lacks independence for two reasons. First, the Plaintiffs allege that Friedman is not independent because of his philanthropic work and Goldman's advancement thereof. Second, the Plaintiffs allege that Friedman is not independent due to his business dealings with Goldman.</w:t>
      </w:r>
    </w:p>
    <w:p>
      <w:pPr>
        <w:pStyle w:val="BodyText"/>
      </w:pPr>
      <w:r>
        <w:rPr>
          <w:rStyle w:val="Elision"/>
        </w:rPr>
        <w:t xml:space="preserve">[ … ]</w:t>
      </w:r>
    </w:p>
    <w:p>
      <w:pPr>
        <w:pStyle w:val="BodyText"/>
      </w:pPr>
      <w:r>
        <w:t xml:space="preserve">Taken by themselves, the facts pled, concerning Friedman's charitable connection to the Goldman Foundation, are insufficient to create a reasonable doubt that Friedman was independent.</w:t>
      </w:r>
      <w:r>
        <w:t xml:space="preserve"> </w:t>
      </w:r>
      <w:r>
        <w:rPr>
          <w:rStyle w:val="Elision"/>
        </w:rPr>
        <w:t xml:space="preserve">[ … ]</w:t>
      </w:r>
    </w:p>
    <w:p>
      <w:pPr>
        <w:pStyle w:val="BodyText"/>
      </w:pPr>
      <w:r>
        <w:t xml:space="preserve">Besides their allegations concerning Friedman's charitable endeavors, the Plaintiffs also allege that Goldman "</w:t>
      </w:r>
      <w:r>
        <w:rPr>
          <w:iCs/>
          <w:i/>
        </w:rPr>
        <w:t xml:space="preserve">has</w:t>
      </w:r>
      <w:r>
        <w:t xml:space="preserve"> </w:t>
      </w:r>
      <w:r>
        <w:t xml:space="preserve">invested at least $670 million in funds managed by Friedman."</w:t>
      </w:r>
      <w:hyperlink w:anchor="X155bd4fbe03d67fd2693ac77d2cda789b11e4b4">
        <w:r>
          <w:rPr>
            <w:rStyle w:val="Hyperlink"/>
            <w:vertAlign w:val="superscript"/>
          </w:rPr>
          <w:t xml:space="preserve">[114]</w:t>
        </w:r>
      </w:hyperlink>
      <w:r>
        <w:t xml:space="preserve"> </w:t>
      </w:r>
      <w:r>
        <w:t xml:space="preserve">This is the entirety of the pleadings regarding Friedman's business involvement with Goldman. Contrary to the contentions in the Plaintiffs' Answering Brief, the complaint does not allege that Friedman relies on the management of these funds for his livelihood; that contention, if buttressed by factual allegations in the complaint, might reasonably demonstrate lack of independence. The complaint is insufficient, as written, for that purpose.</w:t>
      </w:r>
    </w:p>
    <w:bookmarkEnd w:id="65"/>
    <w:bookmarkStart w:id="66" w:name="ii.-claes-dahlback"/>
    <w:p>
      <w:pPr>
        <w:pStyle w:val="Heading2"/>
      </w:pPr>
      <w:r>
        <w:t xml:space="preserve">ii. Claes Dahlback</w:t>
      </w:r>
    </w:p>
    <w:p>
      <w:pPr>
        <w:pStyle w:val="FirstParagraph"/>
      </w:pPr>
      <w:r>
        <w:rPr>
          <w:rStyle w:val="Elision"/>
        </w:rPr>
        <w:t xml:space="preserve">[ … ]</w:t>
      </w:r>
      <w:r>
        <w:t xml:space="preserve"> </w:t>
      </w:r>
      <w:r>
        <w:t xml:space="preserve">Besides serving on Goldman's board, Dahlback is a senior advisor to an entity described in the complaint as "Investor AB."</w:t>
      </w:r>
      <w:hyperlink w:anchor="X0e184974a4493d24f8d5307236fd443934557fb">
        <w:r>
          <w:rPr>
            <w:rStyle w:val="Hyperlink"/>
            <w:vertAlign w:val="superscript"/>
          </w:rPr>
          <w:t xml:space="preserve">[117]</w:t>
        </w:r>
      </w:hyperlink>
      <w:r>
        <w:t xml:space="preserve"> </w:t>
      </w:r>
      <w:r>
        <w:t xml:space="preserve">The Plaintiffs note that Goldman has invested more than $600 million in funds to which Dahlback is an adviser (presumably, but not explicitly, Investor AB).</w:t>
      </w:r>
      <w:hyperlink w:anchor="X5a8c2f16569ff074eaf57b2646f25b261efa97a">
        <w:r>
          <w:rPr>
            <w:rStyle w:val="Hyperlink"/>
            <w:vertAlign w:val="superscript"/>
          </w:rPr>
          <w:t xml:space="preserve">[118]</w:t>
        </w:r>
      </w:hyperlink>
      <w:r>
        <w:t xml:space="preserve"> </w:t>
      </w:r>
      <w:r>
        <w:t xml:space="preserve">The Plaintiffs contend that because Dahlback had substantial financial relationships with Goldman, he lacked independence.</w:t>
      </w:r>
    </w:p>
    <w:p>
      <w:pPr>
        <w:pStyle w:val="BodyText"/>
      </w:pPr>
      <w:r>
        <w:t xml:space="preserve">The Plaintiffs' allegations regarding Dahlback are sparse and tenuous. "[T]he complaint contains no allegations of fact tending to show that [any] fees paid were material to [Dahlback]."</w:t>
      </w:r>
      <w:hyperlink w:anchor="Xbecfe3829b0359f6410366c88e319364fb89b68">
        <w:r>
          <w:rPr>
            <w:rStyle w:val="Hyperlink"/>
            <w:vertAlign w:val="superscript"/>
          </w:rPr>
          <w:t xml:space="preserve">[119]</w:t>
        </w:r>
      </w:hyperlink>
      <w:r>
        <w:t xml:space="preserve"> </w:t>
      </w:r>
      <w:r>
        <w:t xml:space="preserve">The Plaintiffs only note that Dahlback is an advisor to Investor AB, and that Goldman has invested more than $600 million in funds with an entity to which Dahlback is an advisor. Contrary to the statements by the Plaintiffs in the answering brief, the complaint does not allege that Dahlback's "livelihood depends on his full-time job as an advisor." The Plaintiffs fail to allege that Dahlback derives a substantial benefit from being an advisor to Investor AB, that Dahlback solicited funds from Goldman, that Investor AB received funds because of Dahlback's involvement, or any other fact that would tend to raise a reasonable doubt that Dahlback's future employment with Investor AB is independent of Goldman's investment. As with defendant Friedman, the pleadings are insufficient to raise a reasonable doubt as to Dahlback's independence.</w:t>
      </w:r>
    </w:p>
    <w:bookmarkEnd w:id="66"/>
    <w:bookmarkStart w:id="67" w:name="iii.-lakshmi-n.-mittal"/>
    <w:p>
      <w:pPr>
        <w:pStyle w:val="Heading2"/>
      </w:pPr>
      <w:r>
        <w:t xml:space="preserve">iii. Lakshmi N. Mittal</w:t>
      </w:r>
    </w:p>
    <w:p>
      <w:pPr>
        <w:pStyle w:val="FirstParagraph"/>
      </w:pPr>
      <w:r>
        <w:rPr>
          <w:rStyle w:val="Elision"/>
        </w:rPr>
        <w:t xml:space="preserve">[ … ]</w:t>
      </w:r>
      <w:r>
        <w:t xml:space="preserve"> </w:t>
      </w:r>
      <w:r>
        <w:t xml:space="preserve">Mittal is the chairman and CEO of ArcelorMittal.</w:t>
      </w:r>
      <w:hyperlink w:anchor="Xf2b28deb2969a6f4df6cde173eeea5221e4e8f1">
        <w:r>
          <w:rPr>
            <w:rStyle w:val="Hyperlink"/>
            <w:vertAlign w:val="superscript"/>
          </w:rPr>
          <w:t xml:space="preserve">[122]</w:t>
        </w:r>
      </w:hyperlink>
      <w:r>
        <w:t xml:space="preserve"> </w:t>
      </w:r>
      <w:r>
        <w:t xml:space="preserve">The Plaintiffs allege that "Goldman has arranged or provided billions of euros in financing to his company" and that "[d]uring 2007 and 2008 alone, the Company had made loans to AcelorMittal [sic] in the aggregate amount of 464 million euros."</w:t>
      </w:r>
      <w:hyperlink w:anchor="Xd8c678bdcdd1fec78ec87fe45e982383327e818">
        <w:r>
          <w:rPr>
            <w:rStyle w:val="Hyperlink"/>
            <w:vertAlign w:val="superscript"/>
          </w:rPr>
          <w:t xml:space="preserve">[123]</w:t>
        </w:r>
      </w:hyperlink>
    </w:p>
    <w:p>
      <w:pPr>
        <w:pStyle w:val="BodyText"/>
      </w:pPr>
      <w:r>
        <w:t xml:space="preserve">Goldman is an investment bank. The fact "[t]hat it provided financing to large . . . companies should come as no shock to anyone. Yet this is all that the plaintiffs allege."</w:t>
      </w:r>
      <w:hyperlink w:anchor="X76948aa6e84d23cb26c150ecbf5a46c2a494c0a">
        <w:r>
          <w:rPr>
            <w:rStyle w:val="Hyperlink"/>
            <w:vertAlign w:val="superscript"/>
          </w:rPr>
          <w:t xml:space="preserve">[124]</w:t>
        </w:r>
      </w:hyperlink>
      <w:r>
        <w:t xml:space="preserve"> </w:t>
      </w:r>
      <w:r>
        <w:t xml:space="preserve">The Plaintiffs fail to plead facts that show anything other than a series of market transactions occurred between ArcelorMittal and Goldman. For instance, the Plaintiffs have not alleged that ArcelorMittal is receiving a discounted interest rate on the loans from Goldman, that Mittal was unable to receive financing from any other lender, or that loans from Goldman compose a substantial part of ArcelorMittal's funding.</w:t>
      </w:r>
      <w:hyperlink w:anchor="Xefc9e44d71f11df9b4cf0d97fa88a56781a4f06">
        <w:r>
          <w:rPr>
            <w:rStyle w:val="Hyperlink"/>
            <w:vertAlign w:val="superscript"/>
          </w:rPr>
          <w:t xml:space="preserve">[125]</w:t>
        </w:r>
      </w:hyperlink>
      <w:r>
        <w:t xml:space="preserve"> </w:t>
      </w:r>
      <w:r>
        <w:t xml:space="preserve">The pleadings fail to raise a reasonable doubt as to the independence of Mittal.</w:t>
      </w:r>
    </w:p>
    <w:bookmarkEnd w:id="67"/>
    <w:bookmarkStart w:id="68" w:name="X7d76b83d7cbf15f83509578cd48b6cb80a007bb"/>
    <w:p>
      <w:pPr>
        <w:pStyle w:val="Heading2"/>
      </w:pPr>
      <w:r>
        <w:t xml:space="preserve">B. Otherwise the Product of a Valid Exercise of Business Judgment</w:t>
      </w:r>
    </w:p>
    <w:p>
      <w:pPr>
        <w:pStyle w:val="FirstParagraph"/>
      </w:pPr>
      <w:r>
        <w:t xml:space="preserve">Having determined that the Plaintiffs have not pled particularized factual allegations that raise a reasonable doubt as to a majority of the Director Defendants' disinterestedness and independence, I must now apply the second prong of</w:t>
      </w:r>
      <w:r>
        <w:t xml:space="preserve"> </w:t>
      </w:r>
      <w:r>
        <w:rPr>
          <w:iCs/>
          <w:i/>
        </w:rPr>
        <w:t xml:space="preserve">Aronson</w:t>
      </w:r>
      <w:r>
        <w:t xml:space="preserve"> </w:t>
      </w:r>
      <w:r>
        <w:t xml:space="preserve">and determine whether the Plaintiffs have pled particularized facts that raise a reasonable doubt that Goldman's compensation scheme was otherwise the product of a valid exercise of business judgment.</w:t>
      </w:r>
      <w:hyperlink w:anchor="Xaa4ae87a890edad178c097b9d302d310fc50742">
        <w:r>
          <w:rPr>
            <w:rStyle w:val="Hyperlink"/>
            <w:vertAlign w:val="superscript"/>
          </w:rPr>
          <w:t xml:space="preserve">[126]</w:t>
        </w:r>
      </w:hyperlink>
      <w:r>
        <w:t xml:space="preserve"> </w:t>
      </w:r>
      <w:r>
        <w:rPr>
          <w:rStyle w:val="HighlightedText"/>
        </w:rPr>
        <w:t xml:space="preserve">To successfully plead demand futility under the second prong of</w:t>
      </w:r>
      <w:r>
        <w:rPr>
          <w:rStyle w:val="HighlightedText"/>
        </w:rPr>
        <w:t xml:space="preserve"> </w:t>
      </w:r>
      <w:r>
        <w:rPr>
          <w:rStyle w:val="HighlightedText"/>
          <w:iCs/>
          <w:i/>
        </w:rPr>
        <w:t xml:space="preserve">Aronson,</w:t>
      </w:r>
      <w:r>
        <w:rPr>
          <w:rStyle w:val="HighlightedText"/>
        </w:rPr>
        <w:t xml:space="preserve"> </w:t>
      </w:r>
      <w:r>
        <w:rPr>
          <w:rStyle w:val="HighlightedText"/>
        </w:rPr>
        <w:t xml:space="preserve">the Plaintiffs must allege "particularized facts sufficient to raise (1) a reason to doubt that the action was taken honestly and in good faith or (2) a reason to doubt that the board was adequately informed in making the decision."</w:t>
      </w:r>
      <w:hyperlink w:anchor="Xa99a54739bd018c4ee20c5ff72299c6705b782a">
        <w:r>
          <w:rPr>
            <w:rStyle w:val="Elision"/>
            <w:vertAlign w:val="superscript"/>
          </w:rPr>
          <w:t xml:space="preserve">[ … ]</w:t>
        </w:r>
      </w:hyperlink>
    </w:p>
    <w:p>
      <w:pPr>
        <w:pStyle w:val="BodyText"/>
      </w:pPr>
      <w:r>
        <w:t xml:space="preserve">The Plaintiffs' main contention is that Goldman's compensation scheme itself was approved in bad faith. The Plaintiffs allege that "[n]o person acting in good faith on behalf of Goldman consistently could approve the payment of between 44% and 48% of net revenues to Goldman's employees year in and year out"</w:t>
      </w:r>
      <w:hyperlink w:anchor="X18b0ad79bc7fd615d07a00b00e3bab89a645488">
        <w:r>
          <w:rPr>
            <w:rStyle w:val="Elision"/>
            <w:vertAlign w:val="superscript"/>
          </w:rPr>
          <w:t xml:space="preserve">[ … ]</w:t>
        </w:r>
      </w:hyperlink>
    </w:p>
    <w:p>
      <w:pPr>
        <w:pStyle w:val="BodyText"/>
      </w:pPr>
      <w:r>
        <w:t xml:space="preserve">.</w:t>
      </w:r>
      <w:hyperlink w:anchor="X8e737571dee7abd3a4477b0ae3036c3226498b9">
        <w:r>
          <w:rPr>
            <w:rStyle w:val="Elision"/>
            <w:vertAlign w:val="superscript"/>
          </w:rPr>
          <w:t xml:space="preserve">[ … ]</w:t>
        </w:r>
      </w:hyperlink>
    </w:p>
    <w:p>
      <w:pPr>
        <w:pStyle w:val="BodyText"/>
      </w:pPr>
      <w:r>
        <w:t xml:space="preserve">The decision as to how much compensation is appropriate to retain and incentivize employees, both individually and in the aggregate, is a core function of a board of directors exercising its business judgment. The Plaintiffs' pleadings fall short of creating a reasonable doubt that the Directors Defendants have failed to exercise that judgment here. The Plaintiffs acknowledge that the compensation plan authorized by Goldman's board, which links compensation to revenue produced, was intended to align employee interests with those of the stockholders and incentivize the production of wealth. To an extent, it does so: extra effort by employees to raise corporate revenue, if successful, is rewarded. The Plaintiffs' allegations mainly propose that the compensation scheme implemented by the board does not perfectly align these interests; and that, in fact, it may encourage employee behavior incongruent with the stockholders' interest. This may be correct, but it is irrelevant. The fact that the Plaintiffs may desire a different compensation scheme does not indicate that equitable relief is warranted. Such changes may be accomplished through directorial elections, but not, absent a showing unmet here, through this Court.</w:t>
      </w:r>
    </w:p>
    <w:p>
      <w:pPr>
        <w:pStyle w:val="BodyText"/>
      </w:pPr>
      <w:r>
        <w:rPr>
          <w:rStyle w:val="Elision"/>
        </w:rPr>
        <w:t xml:space="preserve">[ … ]</w:t>
      </w:r>
    </w:p>
    <w:p>
      <w:pPr>
        <w:pStyle w:val="BodyText"/>
      </w:pPr>
      <w:r>
        <w:t xml:space="preserve">The Plaintiffs argue that there was an intentional dereliction of duty or a conscious disregard by the Director Defendants in setting compensation levels; however, the Plaintiffs fail to plead with particularity that any of the Director Defendants had the scienter necessary to give rise to a violation of the duty of loyalty.</w:t>
      </w:r>
      <w:hyperlink w:anchor="X3fc3fccc6caa7e8ef5a0ae6858b248513527a40">
        <w:r>
          <w:rPr>
            <w:rStyle w:val="Hyperlink"/>
            <w:vertAlign w:val="superscript"/>
          </w:rPr>
          <w:t xml:space="preserve">[140]</w:t>
        </w:r>
      </w:hyperlink>
      <w:r>
        <w:t xml:space="preserve"> </w:t>
      </w:r>
      <w:r>
        <w:t xml:space="preserve">The Plaintiffs do not allege that the board failed to employ a metric to set compensation levels; rather, they merely argue that a different metric, such as comparing Goldman's compensation to that of hedge fund managers rather than to compensation at other investment banks, would have yielded a better result.</w:t>
      </w:r>
      <w:hyperlink w:anchor="Xeb1cea8601b911666db96e02e894235df703178">
        <w:r>
          <w:rPr>
            <w:rStyle w:val="Hyperlink"/>
            <w:vertAlign w:val="superscript"/>
          </w:rPr>
          <w:t xml:space="preserve">[141]</w:t>
        </w:r>
      </w:hyperlink>
      <w:r>
        <w:t xml:space="preserve"> </w:t>
      </w:r>
      <w:r>
        <w:t xml:space="preserve">But this observance does not make the board's decision self-evidently wrong, and it does not raise a reasonable doubt that the board approved Goldman's compensation structure in good faith.</w:t>
      </w:r>
    </w:p>
    <w:bookmarkEnd w:id="68"/>
    <w:bookmarkStart w:id="69" w:name="adequately-informed"/>
    <w:p>
      <w:pPr>
        <w:pStyle w:val="Heading2"/>
      </w:pPr>
      <w:r>
        <w:t xml:space="preserve">2. Adequately Informed</w:t>
      </w:r>
    </w:p>
    <w:p>
      <w:pPr>
        <w:pStyle w:val="FirstParagraph"/>
      </w:pPr>
      <w:r>
        <w:rPr>
          <w:rStyle w:val="HighlightedText"/>
        </w:rPr>
        <w:t xml:space="preserve">The Plaintiffs also contend that the board was uninformed in making its compensation decision. "Pre-suit demand will be excused in a derivative suit only if the . . . particularized facts in the complaint create a reasonable doubt that the informational component of the directors' decisionmaking process,</w:t>
      </w:r>
      <w:r>
        <w:rPr>
          <w:rStyle w:val="HighlightedText"/>
        </w:rPr>
        <w:t xml:space="preserve"> </w:t>
      </w:r>
      <w:r>
        <w:rPr>
          <w:rStyle w:val="HighlightedText"/>
          <w:iCs/>
          <w:i/>
        </w:rPr>
        <w:t xml:space="preserve">measured by concepts of gross negligence,</w:t>
      </w:r>
      <w:r>
        <w:rPr>
          <w:rStyle w:val="HighlightedText"/>
        </w:rPr>
        <w:t xml:space="preserve"> </w:t>
      </w:r>
      <w:r>
        <w:rPr>
          <w:rStyle w:val="HighlightedText"/>
        </w:rPr>
        <w:t xml:space="preserve">included consideration of all material information reasonably available."</w:t>
      </w:r>
      <w:hyperlink w:anchor="X2c8904f713015ec2cfc1ad31928f9af061c4176">
        <w:r>
          <w:rPr>
            <w:rStyle w:val="HighlightedText"/>
            <w:vertAlign w:val="superscript"/>
          </w:rPr>
          <w:t xml:space="preserve">[142]</w:t>
        </w:r>
      </w:hyperlink>
      <w:r>
        <w:rPr>
          <w:rStyle w:val="HighlightedText"/>
        </w:rPr>
        <w:t xml:space="preserve"> </w:t>
      </w:r>
      <w:r>
        <w:rPr>
          <w:rStyle w:val="HighlightedText"/>
        </w:rPr>
        <w:t xml:space="preserve">Here, Goldman's charter has a 8</w:t>
      </w:r>
      <w:r>
        <w:rPr>
          <w:rStyle w:val="HighlightedText"/>
        </w:rPr>
        <w:t xml:space="preserve"> </w:t>
      </w:r>
      <w:r>
        <w:rPr>
          <w:rStyle w:val="HighlightedText"/>
          <w:iCs/>
          <w:i/>
        </w:rPr>
        <w:t xml:space="preserve">Del. C.</w:t>
      </w:r>
      <w:r>
        <w:rPr>
          <w:rStyle w:val="HighlightedText"/>
        </w:rPr>
        <w:t xml:space="preserve"> </w:t>
      </w:r>
      <w:r>
        <w:rPr>
          <w:rStyle w:val="HighlightedText"/>
        </w:rPr>
        <w:t xml:space="preserve">§ 102(b)(7) provision, so gross negligence, by itself, is insufficient basis upon which to impose liability. The Plaintiffs must allege particularized facts creating a reasonable doubt that the directors acted in good faith.</w:t>
      </w:r>
    </w:p>
    <w:p>
      <w:pPr>
        <w:pStyle w:val="BodyText"/>
      </w:pPr>
      <w:r>
        <w:rPr>
          <w:rStyle w:val="Elision"/>
        </w:rPr>
        <w:t xml:space="preserve">[ … ]</w:t>
      </w:r>
    </w:p>
    <w:p>
      <w:pPr>
        <w:pStyle w:val="BodyText"/>
      </w:pPr>
      <w:r>
        <w:t xml:space="preserve">Rather than suggesting that the Director Defendants acted on an uninformed basis, the Plaintiffs' pleadings indicate that the board adequately informed itself before making a decision on compensation. The Director Defendants considered other investment bank comparables, varied the total percent and the total dollar amount awarded as compensation, and changed the total amount of compensation in response to changing public opinion.</w:t>
      </w:r>
      <w:hyperlink w:anchor="Xc43ce6a0496ee1416bbf8bc7d7418f5c60b5aa0">
        <w:r>
          <w:rPr>
            <w:rStyle w:val="Hyperlink"/>
            <w:vertAlign w:val="superscript"/>
          </w:rPr>
          <w:t xml:space="preserve">[150]</w:t>
        </w:r>
      </w:hyperlink>
      <w:r>
        <w:t xml:space="preserve"> </w:t>
      </w:r>
      <w:r>
        <w:t xml:space="preserve">None of the Plaintiffs' allegations suggests gross negligence on the part of the Director Defendants, and the conduct described in the Plaintiffs' allegations certainly does not rise to the level of bad faith such that the Director Defendants would lose the protection of an 8</w:t>
      </w:r>
      <w:r>
        <w:t xml:space="preserve"> </w:t>
      </w:r>
      <w:r>
        <w:rPr>
          <w:iCs/>
          <w:i/>
        </w:rPr>
        <w:t xml:space="preserve">Del. C.</w:t>
      </w:r>
      <w:r>
        <w:t xml:space="preserve"> </w:t>
      </w:r>
      <w:r>
        <w:t xml:space="preserve">§ 102(b)(7) exculpatory provision.</w:t>
      </w:r>
    </w:p>
    <w:p>
      <w:pPr>
        <w:pStyle w:val="BodyText"/>
      </w:pPr>
      <w:r>
        <w:t xml:space="preserve">At most, the Plaintiffs' allegations suggest that there were other metrics not considered by the board that might have produced better results. The business judgment rule, however, only requires the board to</w:t>
      </w:r>
      <w:r>
        <w:t xml:space="preserve"> </w:t>
      </w:r>
      <w:r>
        <w:rPr>
          <w:iCs/>
          <w:i/>
        </w:rPr>
        <w:t xml:space="preserve">reasonably</w:t>
      </w:r>
      <w:r>
        <w:t xml:space="preserve"> </w:t>
      </w:r>
      <w:r>
        <w:t xml:space="preserve">inform itself; it does not require perfection or the consideration of every conceivable alternative.</w:t>
      </w:r>
      <w:hyperlink w:anchor="Xcfa516f40d03ac2470b418a6936e031864f55eb">
        <w:r>
          <w:rPr>
            <w:rStyle w:val="Hyperlink"/>
            <w:vertAlign w:val="superscript"/>
          </w:rPr>
          <w:t xml:space="preserve">[151]</w:t>
        </w:r>
      </w:hyperlink>
      <w:r>
        <w:t xml:space="preserve"> </w:t>
      </w:r>
      <w:r>
        <w:t xml:space="preserve">The factual allegations pled by the Plaintiffs, therefore, do not raise a reasonable doubt that the board was informed when it approved Goldman's compensation scheme.</w:t>
      </w:r>
    </w:p>
    <w:bookmarkEnd w:id="69"/>
    <w:bookmarkStart w:id="70" w:name="waste"/>
    <w:p>
      <w:pPr>
        <w:pStyle w:val="Heading2"/>
      </w:pPr>
      <w:r>
        <w:t xml:space="preserve">3. Waste</w:t>
      </w:r>
    </w:p>
    <w:p>
      <w:pPr>
        <w:pStyle w:val="FirstParagraph"/>
      </w:pPr>
      <w:r>
        <w:t xml:space="preserve">The Plaintiffs also contend that Goldman's compensation levels were unconscionable and constituted waste. To sustain their claim that demand would be futile, the Plaintiffs must raise a reasonable doubt that Goldman's compensation levels were the product of a valid business judgment. Specifically, to excuse demand on a waste claim, the Plaintiffs must plead particularized allegations that "overcome the general presumption of good faith by showing that the board's decision was so egregious or irrational that it could not have been based on a valid assessment of the corporation's best interests."</w:t>
      </w:r>
      <w:hyperlink w:anchor="Xd29f4783134e877bdefa68db9921d9b0d90dbf8">
        <w:r>
          <w:rPr>
            <w:rStyle w:val="Hyperlink"/>
            <w:vertAlign w:val="superscript"/>
          </w:rPr>
          <w:t xml:space="preserve">[152]</w:t>
        </w:r>
      </w:hyperlink>
    </w:p>
    <w:p>
      <w:pPr>
        <w:pStyle w:val="BodyText"/>
      </w:pPr>
      <w:r>
        <w:t xml:space="preserve">"[W]aste entails an exchange of corporate assets for consideration so disproportionately small as to lie beyond the range at which any reasonable person might be willing to trade."</w:t>
      </w:r>
      <w:hyperlink w:anchor="Xb00b62a8f7271ea434e2f660a7a34222208062a">
        <w:r>
          <w:rPr>
            <w:rStyle w:val="Hyperlink"/>
            <w:vertAlign w:val="superscript"/>
          </w:rPr>
          <w:t xml:space="preserve">[153]</w:t>
        </w:r>
      </w:hyperlink>
      <w:r>
        <w:t xml:space="preserve"> </w:t>
      </w:r>
      <w:r>
        <w:t xml:space="preserve">Accordingly, if "there is any</w:t>
      </w:r>
      <w:r>
        <w:t xml:space="preserve"> </w:t>
      </w:r>
      <w:r>
        <w:rPr>
          <w:iCs/>
          <w:i/>
        </w:rPr>
        <w:t xml:space="preserve">substantial</w:t>
      </w:r>
      <w:r>
        <w:t xml:space="preserve"> </w:t>
      </w:r>
      <w:r>
        <w:t xml:space="preserve">consideration received by the corporation, and if there is a</w:t>
      </w:r>
      <w:r>
        <w:t xml:space="preserve"> </w:t>
      </w:r>
      <w:r>
        <w:rPr>
          <w:iCs/>
          <w:i/>
        </w:rPr>
        <w:t xml:space="preserve">good faith</w:t>
      </w:r>
      <w:r>
        <w:t xml:space="preserve"> </w:t>
      </w:r>
      <w:r>
        <w:rPr>
          <w:iCs/>
          <w:i/>
        </w:rPr>
        <w:t xml:space="preserve">judgment</w:t>
      </w:r>
      <w:r>
        <w:t xml:space="preserve"> </w:t>
      </w:r>
      <w:r>
        <w:t xml:space="preserve">that in the circumstances the transaction is worthwhile, there should be no finding of waste."</w:t>
      </w:r>
      <w:hyperlink w:anchor="X2b7394e5e11035acbf3d07ecc0868c3dbfb318c">
        <w:r>
          <w:rPr>
            <w:rStyle w:val="Hyperlink"/>
            <w:vertAlign w:val="superscript"/>
          </w:rPr>
          <w:t xml:space="preserve">[154]</w:t>
        </w:r>
      </w:hyperlink>
      <w:r>
        <w:t xml:space="preserve"> </w:t>
      </w:r>
      <w:r>
        <w:t xml:space="preserve">The reason being, "[c]ourts are ill-fitted to attempt to weigh the `adequacy' of consideration under the waste standard or,</w:t>
      </w:r>
      <w:r>
        <w:t xml:space="preserve"> </w:t>
      </w:r>
      <w:r>
        <w:rPr>
          <w:iCs/>
          <w:i/>
        </w:rPr>
        <w:t xml:space="preserve">ex post,</w:t>
      </w:r>
      <w:r>
        <w:t xml:space="preserve"> </w:t>
      </w:r>
      <w:r>
        <w:t xml:space="preserve">to judge appropriate degrees of business risk."</w:t>
      </w:r>
      <w:hyperlink w:anchor="Xbfcaced14ccc389e8b1d881ecf492a17dc9ea87">
        <w:r>
          <w:rPr>
            <w:rStyle w:val="Hyperlink"/>
            <w:vertAlign w:val="superscript"/>
          </w:rPr>
          <w:t xml:space="preserve">[155]</w:t>
        </w:r>
      </w:hyperlink>
      <w:r>
        <w:t xml:space="preserve"> </w:t>
      </w:r>
      <w:r>
        <w:t xml:space="preserve">Because of this, "[i]t is the essence of business judgment for a board to determine if a particular individual warrant[s] large amounts of money."</w:t>
      </w:r>
      <w:hyperlink w:anchor="Xcad06a18cf916f9c4f732774f37572a59e62ba2">
        <w:r>
          <w:rPr>
            <w:rStyle w:val="Hyperlink"/>
            <w:vertAlign w:val="superscript"/>
          </w:rPr>
          <w:t xml:space="preserve">[156]</w:t>
        </w:r>
      </w:hyperlink>
    </w:p>
    <w:p>
      <w:pPr>
        <w:pStyle w:val="BodyText"/>
      </w:pPr>
      <w:r>
        <w:t xml:space="preserve">The Plaintiffs' waste allegations revolve around three premises: that Goldman's pay per employee is significantly higher than its peers, that Goldman's compensation ratios should be compared to hedge funds and other shareholder funds to reflect Goldman's increasing reliance on proprietary trading as opposed to traditional investment banking services, and that Goldman's earnings and related compensation are only the result of risk taking.</w:t>
      </w:r>
    </w:p>
    <w:p>
      <w:pPr>
        <w:pStyle w:val="BodyText"/>
      </w:pPr>
      <w:r>
        <w:t xml:space="preserve">The Plaintiffs consciously do not identify a particular individual or person who received excessive compensation, but instead focus on the average compensation received by each of Goldman's 31,000 employees.</w:t>
      </w:r>
      <w:hyperlink w:anchor="X14fb7dbb3851c49c06c56f6e94708689e6177bb">
        <w:r>
          <w:rPr>
            <w:rStyle w:val="Hyperlink"/>
            <w:vertAlign w:val="superscript"/>
          </w:rPr>
          <w:t xml:space="preserve">[157]</w:t>
        </w:r>
      </w:hyperlink>
      <w:r>
        <w:t xml:space="preserve"> </w:t>
      </w:r>
      <w:r>
        <w:t xml:space="preserve">The Plaintiffs allege that "Goldman consistently allocated and distributed anywhere from two to six times the amounts that its peers distributed to each employee,"</w:t>
      </w:r>
      <w:hyperlink w:anchor="X490c5f0564bb5c5a0c46dd12e70baf0cb8f4130">
        <w:r>
          <w:rPr>
            <w:rStyle w:val="Hyperlink"/>
            <w:vertAlign w:val="superscript"/>
          </w:rPr>
          <w:t xml:space="preserve">[158]</w:t>
        </w:r>
      </w:hyperlink>
      <w:r>
        <w:t xml:space="preserve"> </w:t>
      </w:r>
      <w:r>
        <w:t xml:space="preserve">and the Plaintiffs provide comparisons of Goldman's average pay per employee to firms such as Morgan Stanley, Bear Stearns, Merrill Lynch, Citigroup, and Bank of America.</w:t>
      </w:r>
      <w:hyperlink w:anchor="X7d250353deb06fb4a991bc3083c27ea97e7e023">
        <w:r>
          <w:rPr>
            <w:rStyle w:val="Hyperlink"/>
            <w:vertAlign w:val="superscript"/>
          </w:rPr>
          <w:t xml:space="preserve">[159]</w:t>
        </w:r>
      </w:hyperlink>
      <w:r>
        <w:t xml:space="preserve"> </w:t>
      </w:r>
      <w:r>
        <w:t xml:space="preserve">The Plaintiffs note that these firms are investment banks, but do not provide any indication of why these firms are comparable to Goldman or their respective primary areas of business. The Plaintiffs do not compare trading segment to trading segment or any other similar metric. A broad assertion that Goldman's board devoted more resources to compensation than did other firms, standing alone, is not a particularized factual allegation creating a reasonable doubt that Goldman's compensation levels were the product of a valid business judgment.</w:t>
      </w:r>
    </w:p>
    <w:p>
      <w:pPr>
        <w:pStyle w:val="BodyText"/>
      </w:pPr>
      <w:r>
        <w:t xml:space="preserve">The Plaintiffs urge that, in light of Goldman's increasing reliance on proprietary trading, Goldman's employees' compensation should be compared against a hedge fund or other shareholder fund.</w:t>
      </w:r>
      <w:hyperlink w:anchor="X52add4cb809553018ab7c2e36feb158215d512f">
        <w:r>
          <w:rPr>
            <w:rStyle w:val="Hyperlink"/>
            <w:vertAlign w:val="superscript"/>
          </w:rPr>
          <w:t xml:space="preserve">[160]</w:t>
        </w:r>
      </w:hyperlink>
      <w:r>
        <w:t xml:space="preserve"> </w:t>
      </w:r>
      <w:r>
        <w:t xml:space="preserve">The Plaintiffs allege that Goldman's compensation scheme is equal to 2% of net assets and 45% of the net income produced, but a typical hedge fund is only awarded 2% of net assets and 20% of the net income produced.</w:t>
      </w:r>
      <w:hyperlink w:anchor="X1d40b6d63b580547684423745bb035f7abdc8c1">
        <w:r>
          <w:rPr>
            <w:rStyle w:val="Hyperlink"/>
            <w:vertAlign w:val="superscript"/>
          </w:rPr>
          <w:t xml:space="preserve">[161]</w:t>
        </w:r>
      </w:hyperlink>
      <w:r>
        <w:t xml:space="preserve"> </w:t>
      </w:r>
      <w:r>
        <w:t xml:space="preserve">The Plaintiffs paradoxically assert that "no hedge fund manager may command compensation for managing assets at the annual rate of 2% of net assets and 45% of net revenues," but then immediately acknowledge that in fact there are hedge funds that have such compensation schemes.</w:t>
      </w:r>
      <w:hyperlink w:anchor="X50eb35f609efeb79ddc5bf16f50b631a57d44b5">
        <w:r>
          <w:rPr>
            <w:rStyle w:val="Hyperlink"/>
            <w:vertAlign w:val="superscript"/>
          </w:rPr>
          <w:t xml:space="preserve">[162]</w:t>
        </w:r>
      </w:hyperlink>
      <w:r>
        <w:t xml:space="preserve"> </w:t>
      </w:r>
      <w:r>
        <w:t xml:space="preserve">It is apparent to me from the allegations of the complaint that while the majority of hedge funds may use a "2 and 20" compensation scheme, this is not the exclusive method used too set such compensation. Even if I were to conclude that a hedge fund or shareholder fund would be an appropriate yardstick with which to measure Goldman's compensation package and "even though the amounts paid to defendants exceeded the industry average," I fail to see a "shocking disparity" between the percentages that would render them "legally excessive."</w:t>
      </w:r>
      <w:hyperlink w:anchor="Xd2b237f4761e2acbf1439701ba7208a345e8f12">
        <w:r>
          <w:rPr>
            <w:rStyle w:val="Hyperlink"/>
            <w:vertAlign w:val="superscript"/>
          </w:rPr>
          <w:t xml:space="preserve">[163]</w:t>
        </w:r>
      </w:hyperlink>
    </w:p>
    <w:p>
      <w:pPr>
        <w:pStyle w:val="BodyText"/>
      </w:pPr>
      <w:r>
        <w:t xml:space="preserve">In the end, while the Goldman employees may not have been doing, in the words of the complaint and Defendant Blankfein, "God's Work,"</w:t>
      </w:r>
      <w:hyperlink w:anchor="X7da8af1ac778ee6e27cdb7f208ba612a8ec6d59">
        <w:r>
          <w:rPr>
            <w:rStyle w:val="Hyperlink"/>
            <w:vertAlign w:val="superscript"/>
          </w:rPr>
          <w:t xml:space="preserve">[164]</w:t>
        </w:r>
      </w:hyperlink>
      <w:r>
        <w:t xml:space="preserve"> </w:t>
      </w:r>
      <w:r>
        <w:t xml:space="preserve">the complaint fails to present facts that demonstrate that the work done by Goldman's 31,000 employees was of such limited value to the corporation that no reasonable person in the directors' position would have approved their levels of compensation.</w:t>
      </w:r>
      <w:hyperlink w:anchor="Xa3ea27f0f52f68b980e81b865ebd9819936d34f">
        <w:r>
          <w:rPr>
            <w:rStyle w:val="Hyperlink"/>
            <w:vertAlign w:val="superscript"/>
          </w:rPr>
          <w:t xml:space="preserve">[165]</w:t>
        </w:r>
      </w:hyperlink>
      <w:r>
        <w:t xml:space="preserve"> </w:t>
      </w:r>
      <w:r>
        <w:t xml:space="preserve">Absent such facts, these decisions are the province of the board of directors rather than the courts.</w:t>
      </w:r>
      <w:hyperlink w:anchor="X77c4cd0c3c5492eec09a56e1b36251d7778980f">
        <w:r>
          <w:rPr>
            <w:rStyle w:val="Hyperlink"/>
            <w:vertAlign w:val="superscript"/>
          </w:rPr>
          <w:t xml:space="preserve">[166]</w:t>
        </w:r>
      </w:hyperlink>
      <w:r>
        <w:t xml:space="preserve"> </w:t>
      </w:r>
      <w:r>
        <w:t xml:space="preserve">Without examining the payment to a specific individual, or group of individuals, and what was specifically done in exchange for that payment, I am unable to determine whether a transaction is "so one sided that no business person of ordinary, sound judgment could conclude that the corporation has received adequate consideration."</w:t>
      </w:r>
      <w:hyperlink w:anchor="X0b16a715c82a195bb1e15793816aeebb5e2bf67">
        <w:r>
          <w:rPr>
            <w:rStyle w:val="Hyperlink"/>
            <w:vertAlign w:val="superscript"/>
          </w:rPr>
          <w:t xml:space="preserve">[167]</w:t>
        </w:r>
      </w:hyperlink>
    </w:p>
    <w:p>
      <w:pPr>
        <w:pStyle w:val="BodyText"/>
      </w:pPr>
      <w:r>
        <w:t xml:space="preserve">The closest the Plaintiffs come to pleading waste with any factual particularity is in regards to the payment to the Trading and Principal Investment segment in 2008. The Plaintiffs allege that in 2008 "the Trading and Principal Investments segment produced $9.06 billion in net revenue, but, as a result of discretionary bonuses paid to employees, lost more than $2.7 billion for the [stockholders]."</w:t>
      </w:r>
      <w:hyperlink w:anchor="X49cb82364d0eb346de89bfd30d14154ebbd2778">
        <w:r>
          <w:rPr>
            <w:rStyle w:val="Hyperlink"/>
            <w:vertAlign w:val="superscript"/>
          </w:rPr>
          <w:t xml:space="preserve">[168]</w:t>
        </w:r>
      </w:hyperlink>
      <w:r>
        <w:t xml:space="preserve"> </w:t>
      </w:r>
      <w:r>
        <w:t xml:space="preserve">The Plaintiffs' allegations, however, are insufficient to raise a reasonable doubt that Goldman's compensation levels in this segment were the product of a valid business judgment. As a strictly pedagogic exercise, imagine a situation where one half of the traders lost money, and the other half made the same amount of money, so that the firm broke even. Even if no bonus was awarded to the half that lost money, a rational manager would still want to award a bonus to the half that did make money in order to keep that talent from leaving. Since net trading gains were $0, these bonuses would cause a net loss, but there would not be a waste of corporate assets because there was adequate consideration for the bonuses. Without specific allegations of unconscionable transactions and details regarding who was paid and for what reasons they were paid, the Plaintiffs fail to adequately plead demand futility on the basis of waste.</w:t>
      </w:r>
    </w:p>
    <w:p>
      <w:pPr>
        <w:pStyle w:val="BodyText"/>
      </w:pPr>
      <w:r>
        <w:t xml:space="preserve">Finally, the Plaintiffs herald the fact that during the sub-prime crisis the Director Defendants continued to allocate similar percentages of net revenue as compensation while the firm was engaged in risky transactions; however, "there should be no finding of waste, even if the fact finder would conclude</w:t>
      </w:r>
      <w:r>
        <w:t xml:space="preserve"> </w:t>
      </w:r>
      <w:r>
        <w:rPr>
          <w:iCs/>
          <w:i/>
        </w:rPr>
        <w:t xml:space="preserve">ex post</w:t>
      </w:r>
      <w:r>
        <w:t xml:space="preserve"> </w:t>
      </w:r>
      <w:r>
        <w:t xml:space="preserve">that the transaction was unreasonably risky. Any other rule would deter corporate boards from the optimal rational acceptance of risk."</w:t>
      </w:r>
      <w:hyperlink w:anchor="X32acd2207548ea9fdaed31d21f7e0aa84f2438a">
        <w:r>
          <w:rPr>
            <w:rStyle w:val="Hyperlink"/>
            <w:vertAlign w:val="superscript"/>
          </w:rPr>
          <w:t xml:space="preserve">[169]</w:t>
        </w:r>
      </w:hyperlink>
      <w:r>
        <w:t xml:space="preserve"> </w:t>
      </w:r>
      <w:r>
        <w:t xml:space="preserve">Because this complaint lacks a particular pleading that an individual or group of individuals was engaged in transactions so unconscionable that no rational director could have compensated them, the Plaintiffs have failed to raise a reasonable doubt that the compensation decisions were not the product of a valid business judgment.</w:t>
      </w:r>
    </w:p>
    <w:bookmarkEnd w:id="70"/>
    <w:bookmarkStart w:id="71" w:name="d.-the-plaintiffs-caremark-claim"/>
    <w:p>
      <w:pPr>
        <w:pStyle w:val="Heading2"/>
      </w:pPr>
      <w:r>
        <w:t xml:space="preserve">D. The Plaintiffs' Caremark Claim</w:t>
      </w:r>
    </w:p>
    <w:p>
      <w:pPr>
        <w:pStyle w:val="FirstParagraph"/>
      </w:pPr>
      <w:r>
        <w:rPr>
          <w:rStyle w:val="HighlightedText"/>
        </w:rPr>
        <w:t xml:space="preserve">In addition to the claims addressed above, the Plaintiffs assert that the board breached its duty to monitor the company as required under</w:t>
      </w:r>
      <w:r>
        <w:rPr>
          <w:rStyle w:val="HighlightedText"/>
        </w:rPr>
        <w:t xml:space="preserve"> </w:t>
      </w:r>
      <w:r>
        <w:rPr>
          <w:rStyle w:val="HighlightedText"/>
          <w:iCs/>
          <w:i/>
        </w:rPr>
        <w:t xml:space="preserve">Caremark.</w:t>
      </w:r>
      <w:hyperlink w:anchor="Xf51cd572bfc4d1dd3275c4eedc3c1732d1a736a">
        <w:r>
          <w:rPr>
            <w:rStyle w:val="HighlightedText"/>
            <w:vertAlign w:val="superscript"/>
          </w:rPr>
          <w:t xml:space="preserve">[170]</w:t>
        </w:r>
      </w:hyperlink>
      <w:r>
        <w:rPr>
          <w:rStyle w:val="HighlightedText"/>
        </w:rPr>
        <w:t xml:space="preserve"> </w:t>
      </w:r>
      <w:r>
        <w:rPr>
          <w:rStyle w:val="HighlightedText"/>
        </w:rPr>
        <w:t xml:space="preserve">Because this claim attacks a failure to act, rather than a specific transaction, the</w:t>
      </w:r>
      <w:r>
        <w:rPr>
          <w:rStyle w:val="HighlightedText"/>
        </w:rPr>
        <w:t xml:space="preserve"> </w:t>
      </w:r>
      <w:r>
        <w:rPr>
          <w:rStyle w:val="HighlightedText"/>
          <w:iCs/>
          <w:i/>
        </w:rPr>
        <w:t xml:space="preserve">Rales</w:t>
      </w:r>
      <w:r>
        <w:rPr>
          <w:rStyle w:val="HighlightedText"/>
        </w:rPr>
        <w:t xml:space="preserve"> </w:t>
      </w:r>
      <w:r>
        <w:rPr>
          <w:rStyle w:val="HighlightedText"/>
        </w:rPr>
        <w:t xml:space="preserve">standard applies.</w:t>
      </w:r>
      <w:hyperlink w:anchor="Xeea61103892a1c17f39a8f94c96333c4506682d">
        <w:r>
          <w:rPr>
            <w:rStyle w:val="HighlightedText"/>
            <w:vertAlign w:val="superscript"/>
          </w:rPr>
          <w:t xml:space="preserve">[171]</w:t>
        </w:r>
      </w:hyperlink>
      <w:r>
        <w:rPr>
          <w:rStyle w:val="HighlightedText"/>
        </w:rPr>
        <w:t xml:space="preserve"> </w:t>
      </w:r>
      <w:r>
        <w:rPr>
          <w:rStyle w:val="HighlightedText"/>
        </w:rPr>
        <w:t xml:space="preserve">The</w:t>
      </w:r>
      <w:r>
        <w:rPr>
          <w:rStyle w:val="HighlightedText"/>
        </w:rPr>
        <w:t xml:space="preserve"> </w:t>
      </w:r>
      <w:r>
        <w:rPr>
          <w:rStyle w:val="HighlightedText"/>
          <w:iCs/>
          <w:i/>
        </w:rPr>
        <w:t xml:space="preserve">Rales</w:t>
      </w:r>
      <w:r>
        <w:rPr>
          <w:rStyle w:val="HighlightedText"/>
        </w:rPr>
        <w:t xml:space="preserve"> </w:t>
      </w:r>
      <w:r>
        <w:rPr>
          <w:rStyle w:val="HighlightedText"/>
        </w:rPr>
        <w:t xml:space="preserve">standard addresses whether the "board that would be addressing the demand can impartially consider its merits without being influenced by improper considerations."</w:t>
      </w:r>
      <w:hyperlink w:anchor="X89148b3c1b2f0ebc8832b1214f9603c18ed001e">
        <w:r>
          <w:rPr>
            <w:rStyle w:val="HighlightedText"/>
            <w:vertAlign w:val="superscript"/>
          </w:rPr>
          <w:t xml:space="preserve">[172]</w:t>
        </w:r>
      </w:hyperlink>
      <w:r>
        <w:rPr>
          <w:rStyle w:val="HighlightedText"/>
        </w:rPr>
        <w:t xml:space="preserve"> </w:t>
      </w:r>
      <w:r>
        <w:rPr>
          <w:rStyle w:val="HighlightedText"/>
        </w:rPr>
        <w:t xml:space="preserve">To properly plead demand futility under</w:t>
      </w:r>
      <w:r>
        <w:rPr>
          <w:rStyle w:val="HighlightedText"/>
        </w:rPr>
        <w:t xml:space="preserve"> </w:t>
      </w:r>
      <w:r>
        <w:rPr>
          <w:rStyle w:val="HighlightedText"/>
          <w:iCs/>
          <w:i/>
        </w:rPr>
        <w:t xml:space="preserve">Rales,</w:t>
      </w:r>
      <w:r>
        <w:rPr>
          <w:rStyle w:val="HighlightedText"/>
        </w:rPr>
        <w:t xml:space="preserve"> </w:t>
      </w:r>
      <w:r>
        <w:rPr>
          <w:rStyle w:val="HighlightedText"/>
        </w:rPr>
        <w:t xml:space="preserve">a plaintiff must allege particularized facts which create a reasonable doubt that "the board of directors could have properly exercised its independent and disinterested business judgment in responding to a demand."</w:t>
      </w:r>
      <w:hyperlink w:anchor="X9d36ed91956e363f0b3fc7447fa4c9fb5ba7403">
        <w:r>
          <w:rPr>
            <w:rStyle w:val="Hyperlink"/>
            <w:vertAlign w:val="superscript"/>
          </w:rPr>
          <w:t xml:space="preserve">[173]</w:t>
        </w:r>
      </w:hyperlink>
    </w:p>
    <w:p>
      <w:pPr>
        <w:pStyle w:val="BodyText"/>
      </w:pPr>
      <w:r>
        <w:rPr>
          <w:rStyle w:val="HighlightedText"/>
        </w:rPr>
        <w:t xml:space="preserve">"Under</w:t>
      </w:r>
      <w:r>
        <w:rPr>
          <w:rStyle w:val="HighlightedText"/>
        </w:rPr>
        <w:t xml:space="preserve"> </w:t>
      </w:r>
      <w:r>
        <w:rPr>
          <w:rStyle w:val="HighlightedText"/>
          <w:iCs/>
          <w:i/>
        </w:rPr>
        <w:t xml:space="preserve">Rales,</w:t>
      </w:r>
      <w:r>
        <w:rPr>
          <w:rStyle w:val="HighlightedText"/>
        </w:rPr>
        <w:t xml:space="preserve"> </w:t>
      </w:r>
      <w:r>
        <w:rPr>
          <w:rStyle w:val="HighlightedText"/>
        </w:rPr>
        <w:t xml:space="preserve">defendant directors who face a</w:t>
      </w:r>
      <w:r>
        <w:rPr>
          <w:rStyle w:val="HighlightedText"/>
        </w:rPr>
        <w:t xml:space="preserve"> </w:t>
      </w:r>
      <w:r>
        <w:rPr>
          <w:rStyle w:val="HighlightedText"/>
          <w:iCs/>
          <w:i/>
        </w:rPr>
        <w:t xml:space="preserve">substantial</w:t>
      </w:r>
      <w:r>
        <w:rPr>
          <w:rStyle w:val="HighlightedText"/>
        </w:rPr>
        <w:t xml:space="preserve"> </w:t>
      </w:r>
      <w:r>
        <w:rPr>
          <w:rStyle w:val="HighlightedText"/>
        </w:rPr>
        <w:t xml:space="preserve">likelihood of personal liability are deemed interested in the transaction and thus cannot make an impartial decision."</w:t>
      </w:r>
      <w:hyperlink w:anchor="X6483851b2f35ec92e8ca7b40469ff021f5e90c0">
        <w:r>
          <w:rPr>
            <w:rStyle w:val="HighlightedText"/>
            <w:vertAlign w:val="superscript"/>
          </w:rPr>
          <w:t xml:space="preserve">[174]</w:t>
        </w:r>
      </w:hyperlink>
      <w:r>
        <w:rPr>
          <w:rStyle w:val="HighlightedText"/>
        </w:rPr>
        <w:t xml:space="preserve"> </w:t>
      </w:r>
      <w:r>
        <w:rPr>
          <w:rStyle w:val="HighlightedText"/>
        </w:rPr>
        <w:t xml:space="preserve">A simple allegation of potential directorial liability is insufficient to excuse demand, else the demand requirement itself would be rendered toothless, and directorial control over corporate litigation would be lost. The likelihood of directors' liability is significantly lessened where, as here, the corporate charter exculpates the directors from liability to the extent authorized by 8</w:t>
      </w:r>
      <w:r>
        <w:rPr>
          <w:rStyle w:val="HighlightedText"/>
        </w:rPr>
        <w:t xml:space="preserve"> </w:t>
      </w:r>
      <w:r>
        <w:rPr>
          <w:rStyle w:val="HighlightedText"/>
          <w:iCs/>
          <w:i/>
        </w:rPr>
        <w:t xml:space="preserve">Del. C.</w:t>
      </w:r>
      <w:r>
        <w:rPr>
          <w:rStyle w:val="HighlightedText"/>
        </w:rPr>
        <w:t xml:space="preserve"> </w:t>
      </w:r>
      <w:r>
        <w:rPr>
          <w:rStyle w:val="HighlightedText"/>
        </w:rPr>
        <w:t xml:space="preserve">§ 102(b)(7).</w:t>
      </w:r>
      <w:hyperlink w:anchor="X0b48b5fae2c11dd4b8e9eb2347c15039db8bda7">
        <w:r>
          <w:rPr>
            <w:rStyle w:val="HighlightedText"/>
            <w:vertAlign w:val="superscript"/>
          </w:rPr>
          <w:t xml:space="preserve">[175]</w:t>
        </w:r>
      </w:hyperlink>
      <w:r>
        <w:rPr>
          <w:rStyle w:val="HighlightedText"/>
        </w:rPr>
        <w:t xml:space="preserve"> </w:t>
      </w:r>
      <w:r>
        <w:rPr>
          <w:rStyle w:val="HighlightedText"/>
        </w:rPr>
        <w:t xml:space="preserve">Because Goldman's charter contains such a provision, shielding directors from liability for breaches of the duty of care (absent bad faith) "a serious threat of liability may only be found to exist if the plaintiff pleads a</w:t>
      </w:r>
      <w:r>
        <w:rPr>
          <w:rStyle w:val="HighlightedText"/>
        </w:rPr>
        <w:t xml:space="preserve"> </w:t>
      </w:r>
      <w:r>
        <w:rPr>
          <w:rStyle w:val="HighlightedText"/>
          <w:iCs/>
          <w:i/>
        </w:rPr>
        <w:t xml:space="preserve">non-exculpated</w:t>
      </w:r>
      <w:r>
        <w:rPr>
          <w:rStyle w:val="HighlightedText"/>
        </w:rPr>
        <w:t xml:space="preserve"> </w:t>
      </w:r>
      <w:r>
        <w:rPr>
          <w:rStyle w:val="HighlightedText"/>
        </w:rPr>
        <w:t xml:space="preserve">claim against the directors based on particularized facts."</w:t>
      </w:r>
      <w:hyperlink w:anchor="X663a743413f13ab1f6499b826cd120043fe13f1">
        <w:r>
          <w:rPr>
            <w:rStyle w:val="HighlightedText"/>
            <w:vertAlign w:val="superscript"/>
          </w:rPr>
          <w:t xml:space="preserve">[176]</w:t>
        </w:r>
      </w:hyperlink>
      <w:r>
        <w:rPr>
          <w:rStyle w:val="HighlightedText"/>
        </w:rPr>
        <w:t xml:space="preserve"> </w:t>
      </w:r>
      <w:r>
        <w:rPr>
          <w:rStyle w:val="HighlightedText"/>
        </w:rPr>
        <w:t xml:space="preserve">This means that "plaintiffs must plead particularized facts showing bad faith in order to establish a substantial likelihood of personal directorial liability."</w:t>
      </w:r>
      <w:hyperlink w:anchor="X956330592c6f972734ea145cd3575df02bd11a2">
        <w:r>
          <w:rPr>
            <w:rStyle w:val="Hyperlink"/>
            <w:vertAlign w:val="superscript"/>
          </w:rPr>
          <w:t xml:space="preserve">[177]</w:t>
        </w:r>
      </w:hyperlink>
    </w:p>
    <w:p>
      <w:pPr>
        <w:pStyle w:val="BodyText"/>
      </w:pPr>
      <w:r>
        <w:t xml:space="preserve">The Plaintiffs' contentions that the Director Defendants face a substantial likelihood of personal liability are based on oversight liability, as articulated by then-Chancellor Allen in</w:t>
      </w:r>
      <w:r>
        <w:t xml:space="preserve"> </w:t>
      </w:r>
      <w:r>
        <w:rPr>
          <w:iCs/>
          <w:i/>
        </w:rPr>
        <w:t xml:space="preserve">Caremark.</w:t>
      </w:r>
      <w:r>
        <w:t xml:space="preserve"> </w:t>
      </w:r>
      <w:r>
        <w:t xml:space="preserve">In</w:t>
      </w:r>
      <w:r>
        <w:t xml:space="preserve"> </w:t>
      </w:r>
      <w:r>
        <w:rPr>
          <w:iCs/>
          <w:i/>
        </w:rPr>
        <w:t xml:space="preserve">Caremark,</w:t>
      </w:r>
      <w:r>
        <w:t xml:space="preserve"> </w:t>
      </w:r>
      <w:r>
        <w:t xml:space="preserve">Chancellor Allen held that a company's board of directors could not "satisfy [its] obligation to be reasonably informed . . . without assuring [itself] that information and reporting systems exist[ed] in the organization."</w:t>
      </w:r>
      <w:hyperlink w:anchor="X98e61328b822e40d23b8e47321804a68161143e">
        <w:r>
          <w:rPr>
            <w:rStyle w:val="Hyperlink"/>
            <w:vertAlign w:val="superscript"/>
          </w:rPr>
          <w:t xml:space="preserve">[178]</w:t>
        </w:r>
      </w:hyperlink>
      <w:r>
        <w:t xml:space="preserve"> </w:t>
      </w:r>
      <w:r>
        <w:t xml:space="preserve">These systems are needed to provide the board with accurate information so that the board may reach "informed judgments concerning both the corporation's compliance with law and its business performance."</w:t>
      </w:r>
      <w:hyperlink w:anchor="X9a5f2dfad44f026e92baad8a79c3259162aec7c">
        <w:r>
          <w:rPr>
            <w:rStyle w:val="Hyperlink"/>
            <w:vertAlign w:val="superscript"/>
          </w:rPr>
          <w:t xml:space="preserve">[179]</w:t>
        </w:r>
      </w:hyperlink>
      <w:r>
        <w:t xml:space="preserve"> </w:t>
      </w:r>
      <w:r>
        <w:t xml:space="preserve">A breach of oversight responsabilities is a breach of the duty of loyalty, and thus not exculpated under section 102(b)(7).</w:t>
      </w:r>
    </w:p>
    <w:p>
      <w:pPr>
        <w:pStyle w:val="BodyText"/>
      </w:pPr>
      <w:r>
        <w:t xml:space="preserve">To face a substantial likelihood of oversight liability for a</w:t>
      </w:r>
      <w:r>
        <w:t xml:space="preserve"> </w:t>
      </w:r>
      <w:r>
        <w:rPr>
          <w:iCs/>
          <w:i/>
        </w:rPr>
        <w:t xml:space="preserve">Caremark</w:t>
      </w:r>
      <w:r>
        <w:t xml:space="preserve"> </w:t>
      </w:r>
      <w:r>
        <w:t xml:space="preserve">claim, the Director Defendants must have "(a) . . . utterly failed to implement any reporting or information system or controls" (which the Plaintiffs concede is not the case here); "</w:t>
      </w:r>
      <w:r>
        <w:rPr>
          <w:iCs/>
          <w:i/>
        </w:rPr>
        <w:t xml:space="preserve">or</w:t>
      </w:r>
      <w:r>
        <w:t xml:space="preserve"> </w:t>
      </w:r>
      <w:r>
        <w:t xml:space="preserve">(b) having implemented such a system or controls, consciously failed to monitor or oversee its operations thus disabling themselves from being informed of risks or problems requiring their attention."</w:t>
      </w:r>
      <w:hyperlink w:anchor="Xbf359b7f7dbcb391a6f6d8e34f3d121266a87a5">
        <w:r>
          <w:rPr>
            <w:rStyle w:val="Hyperlink"/>
            <w:vertAlign w:val="superscript"/>
          </w:rPr>
          <w:t xml:space="preserve">[180]</w:t>
        </w:r>
      </w:hyperlink>
      <w:r>
        <w:t xml:space="preserve"> </w:t>
      </w:r>
      <w:r>
        <w:t xml:space="preserve">Furthermore, "where a claim of directorial liability for corporate loss is predicated upon ignorance of liability creating activities within the corporation . . . only a sustained or systematic failure of the board to exercise oversight—such as an utter failure to attempt to assure a reasonable information and reporting system [exists] —will establish the lack of good faith that is a necessary condition to liability."</w:t>
      </w:r>
      <w:hyperlink w:anchor="X9ccc8451ff5548681d1bdbb3c75b57de13d6412">
        <w:r>
          <w:rPr>
            <w:rStyle w:val="Hyperlink"/>
            <w:vertAlign w:val="superscript"/>
          </w:rPr>
          <w:t xml:space="preserve">[181]</w:t>
        </w:r>
      </w:hyperlink>
    </w:p>
    <w:p>
      <w:pPr>
        <w:pStyle w:val="BodyText"/>
      </w:pPr>
      <w:r>
        <w:t xml:space="preserve">The Plaintiffs specifically contend that the Director Defendants created a compensation structure that caused management's interests to diverge from the stockholders' interests. As a result, management took risks which eventually led to unethical behavior and illegal conduct that exposed Goldman to financial liability. According to the Plaintiffs, after the Director Defendants created Goldman's compensation structure, they had a duty to ensure protection from abuses by management, which were allegedly made more likely due to the form of that structure. Instead of overseeing management, however, the Director Defendants abdicated their oversight responsibilities.</w:t>
      </w:r>
      <w:hyperlink w:anchor="X5047c4d0c2c18dff3134625ad939ddc0fd753f9">
        <w:r>
          <w:rPr>
            <w:rStyle w:val="Hyperlink"/>
            <w:vertAlign w:val="superscript"/>
          </w:rPr>
          <w:t xml:space="preserve">[182]</w:t>
        </w:r>
      </w:hyperlink>
    </w:p>
    <w:p>
      <w:pPr>
        <w:pStyle w:val="BodyText"/>
      </w:pPr>
      <w:r>
        <w:t xml:space="preserve">Unlike the original and most subsequent</w:t>
      </w:r>
      <w:r>
        <w:t xml:space="preserve"> </w:t>
      </w:r>
      <w:r>
        <w:rPr>
          <w:iCs/>
          <w:i/>
        </w:rPr>
        <w:t xml:space="preserve">Caremark</w:t>
      </w:r>
      <w:r>
        <w:t xml:space="preserve"> </w:t>
      </w:r>
      <w:r>
        <w:t xml:space="preserve">claims, where plaintiffs alleged that liability was predicated on a failure to oversee corporate conduct leading to violations of law,</w:t>
      </w:r>
      <w:hyperlink w:anchor="X2f4a0be3ebc29e4647b7fd2fee7af4f29286fe1">
        <w:r>
          <w:rPr>
            <w:rStyle w:val="Hyperlink"/>
            <w:vertAlign w:val="superscript"/>
          </w:rPr>
          <w:t xml:space="preserve">[183]</w:t>
        </w:r>
      </w:hyperlink>
      <w:r>
        <w:t xml:space="preserve"> </w:t>
      </w:r>
      <w:r>
        <w:t xml:space="preserve">the Plaintiffs here argue that the Director Defendants are also liable for oversight failure relating to Goldman's business performance.</w:t>
      </w:r>
      <w:hyperlink w:anchor="X894439f2683be080ff6c93999299cd588bc4b46">
        <w:r>
          <w:rPr>
            <w:rStyle w:val="Hyperlink"/>
            <w:vertAlign w:val="superscript"/>
          </w:rPr>
          <w:t xml:space="preserve">[184]</w:t>
        </w:r>
      </w:hyperlink>
      <w:r>
        <w:t xml:space="preserve"> </w:t>
      </w:r>
      <w:r>
        <w:rPr>
          <w:rStyle w:val="Elision"/>
        </w:rPr>
        <w:t xml:space="preserve">[ … ]</w:t>
      </w:r>
    </w:p>
    <w:p>
      <w:pPr>
        <w:pStyle w:val="BodyText"/>
      </w:pPr>
      <w:r>
        <w:t xml:space="preserve">Part of the Plaintiffs'</w:t>
      </w:r>
      <w:r>
        <w:t xml:space="preserve"> </w:t>
      </w:r>
      <w:r>
        <w:rPr>
          <w:iCs/>
          <w:i/>
        </w:rPr>
        <w:t xml:space="preserve">Caremark</w:t>
      </w:r>
      <w:r>
        <w:t xml:space="preserve"> </w:t>
      </w:r>
      <w:r>
        <w:t xml:space="preserve">claim stems from the Director Defendants' oversight of Goldman's business practices. As a preliminary matter, this Court has not definitively stated whether a board's</w:t>
      </w:r>
      <w:r>
        <w:t xml:space="preserve"> </w:t>
      </w:r>
      <w:r>
        <w:rPr>
          <w:iCs/>
          <w:i/>
        </w:rPr>
        <w:t xml:space="preserve">Caremark</w:t>
      </w:r>
      <w:r>
        <w:t xml:space="preserve"> </w:t>
      </w:r>
      <w:r>
        <w:t xml:space="preserve">duties include a duty to monitor business risk. In</w:t>
      </w:r>
      <w:r>
        <w:t xml:space="preserve"> </w:t>
      </w:r>
      <w:r>
        <w:rPr>
          <w:iCs/>
          <w:i/>
        </w:rPr>
        <w:t xml:space="preserve">Citigroup,</w:t>
      </w:r>
      <w:r>
        <w:t xml:space="preserve"> </w:t>
      </w:r>
      <w:r>
        <w:t xml:space="preserve">then-Chancellor Chandler posited that "it may be possible for a plaintiff to meet the burden under some set of facts."</w:t>
      </w:r>
      <w:hyperlink w:anchor="X50bfc261a4ccdf27b2aff9e2398951c7f9508fe">
        <w:r>
          <w:rPr>
            <w:rStyle w:val="Hyperlink"/>
            <w:vertAlign w:val="superscript"/>
          </w:rPr>
          <w:t xml:space="preserve">[208]</w:t>
        </w:r>
      </w:hyperlink>
      <w:r>
        <w:t xml:space="preserve"> </w:t>
      </w:r>
      <w:r>
        <w:t xml:space="preserve">Indeed, the</w:t>
      </w:r>
      <w:r>
        <w:t xml:space="preserve"> </w:t>
      </w:r>
      <w:r>
        <w:rPr>
          <w:iCs/>
          <w:i/>
        </w:rPr>
        <w:t xml:space="preserve">Caremark</w:t>
      </w:r>
      <w:r>
        <w:t xml:space="preserve"> </w:t>
      </w:r>
      <w:r>
        <w:t xml:space="preserve">court seemed to suggest the possibility of such a claim:</w:t>
      </w:r>
    </w:p>
    <w:p>
      <w:pPr>
        <w:pStyle w:val="BlockText"/>
      </w:pPr>
      <w:r>
        <w:t xml:space="preserve">[I]t would . . . be a mistake to conclude that . . . corporate boards may satisfy their obligation to be reasonably informed concerning the corporation without assuring themselves that information and reporting systems exist in the organization that are reasonably designed to provide to senior management and to the board itself timely, accurate information sufficient to allow management and the board, each within its scope, to reach informed judgments concerning both the corporation's compliance with law</w:t>
      </w:r>
      <w:r>
        <w:t xml:space="preserve"> </w:t>
      </w:r>
      <w:r>
        <w:rPr>
          <w:iCs/>
          <w:i/>
        </w:rPr>
        <w:t xml:space="preserve">and its business performance.</w:t>
      </w:r>
      <w:hyperlink w:anchor="X0c678652e59f06476ef4f1c3d61146197405fec">
        <w:r>
          <w:rPr>
            <w:rStyle w:val="Hyperlink"/>
            <w:vertAlign w:val="superscript"/>
          </w:rPr>
          <w:t xml:space="preserve">[209]</w:t>
        </w:r>
      </w:hyperlink>
    </w:p>
    <w:p>
      <w:pPr>
        <w:pStyle w:val="FirstParagraph"/>
      </w:pPr>
      <w:r>
        <w:t xml:space="preserve">As was the case in</w:t>
      </w:r>
      <w:r>
        <w:t xml:space="preserve"> </w:t>
      </w:r>
      <w:r>
        <w:rPr>
          <w:iCs/>
          <w:i/>
        </w:rPr>
        <w:t xml:space="preserve">Citigroup,</w:t>
      </w:r>
      <w:r>
        <w:t xml:space="preserve"> </w:t>
      </w:r>
      <w:r>
        <w:t xml:space="preserve">however, the facts pled here do not give rise to a claim under</w:t>
      </w:r>
      <w:r>
        <w:t xml:space="preserve"> </w:t>
      </w:r>
      <w:r>
        <w:rPr>
          <w:iCs/>
          <w:i/>
        </w:rPr>
        <w:t xml:space="preserve">Caremark,</w:t>
      </w:r>
      <w:r>
        <w:t xml:space="preserve"> </w:t>
      </w:r>
      <w:r>
        <w:t xml:space="preserve">and thus I do not need to reach the issue of whether the duty of oversight includes the duty to monitor business risk.</w:t>
      </w:r>
    </w:p>
    <w:p>
      <w:pPr>
        <w:pStyle w:val="BodyText"/>
      </w:pPr>
      <w:r>
        <w:t xml:space="preserve">As the Court observed in</w:t>
      </w:r>
      <w:r>
        <w:t xml:space="preserve"> </w:t>
      </w:r>
      <w:r>
        <w:rPr>
          <w:iCs/>
          <w:i/>
        </w:rPr>
        <w:t xml:space="preserve">Citigroup,</w:t>
      </w:r>
      <w:r>
        <w:t xml:space="preserve"> </w:t>
      </w:r>
      <w:r>
        <w:t xml:space="preserve">"imposing</w:t>
      </w:r>
      <w:r>
        <w:t xml:space="preserve"> </w:t>
      </w:r>
      <w:r>
        <w:rPr>
          <w:iCs/>
          <w:i/>
        </w:rPr>
        <w:t xml:space="preserve">Caremark</w:t>
      </w:r>
      <w:r>
        <w:t xml:space="preserve">-type duties on directors to monitor business risk is fundamentally different" from imposing on directors a duty to monitor fraud and illegal activity.</w:t>
      </w:r>
      <w:hyperlink w:anchor="X193a7f7fc4ed0af930b2eb2eca3f558ee7bd08a">
        <w:r>
          <w:rPr>
            <w:rStyle w:val="Hyperlink"/>
            <w:vertAlign w:val="superscript"/>
          </w:rPr>
          <w:t xml:space="preserve">[210]</w:t>
        </w:r>
      </w:hyperlink>
      <w:r>
        <w:t xml:space="preserve"> </w:t>
      </w:r>
      <w:r>
        <w:t xml:space="preserve">Risk is "the chance that a return on an investment will be different than expected."</w:t>
      </w:r>
      <w:hyperlink w:anchor="X8a892781563139d1733ff7e8513f852d92dc0fe">
        <w:r>
          <w:rPr>
            <w:rStyle w:val="Hyperlink"/>
            <w:vertAlign w:val="superscript"/>
          </w:rPr>
          <w:t xml:space="preserve">[211]</w:t>
        </w:r>
      </w:hyperlink>
      <w:r>
        <w:t xml:space="preserve"> </w:t>
      </w:r>
      <w:r>
        <w:t xml:space="preserve">Consistent with this, "a company or investor that is willing to take on more risk can earn a higher return."</w:t>
      </w:r>
      <w:hyperlink w:anchor="Xccc2d66099fb579918cf6c3bf8e4e379b223ece">
        <w:r>
          <w:rPr>
            <w:rStyle w:val="Hyperlink"/>
            <w:vertAlign w:val="superscript"/>
          </w:rPr>
          <w:t xml:space="preserve">[212]</w:t>
        </w:r>
      </w:hyperlink>
      <w:r>
        <w:t xml:space="preserve"> </w:t>
      </w:r>
      <w:r>
        <w:t xml:space="preserve">The manner in which a company "evaluate[s] the trade-off between risk and return" is "[t]he essence of . . . business judgment."</w:t>
      </w:r>
      <w:hyperlink w:anchor="X60289fdb5e7a6e6596631e78778c7a7ee6dafdf">
        <w:r>
          <w:rPr>
            <w:rStyle w:val="Hyperlink"/>
            <w:vertAlign w:val="superscript"/>
          </w:rPr>
          <w:t xml:space="preserve">[213]</w:t>
        </w:r>
      </w:hyperlink>
      <w:r>
        <w:t xml:space="preserve"> </w:t>
      </w:r>
      <w:r>
        <w:t xml:space="preserve">The Plaintiffs here allege that Goldman was over-leveraged, engaged in risky business practices, and did not set enough money aside for future losses.</w:t>
      </w:r>
      <w:hyperlink w:anchor="Xb4d062f68ba260138c6d10bcf9d3bf0c1f1b338">
        <w:r>
          <w:rPr>
            <w:rStyle w:val="Hyperlink"/>
            <w:vertAlign w:val="superscript"/>
          </w:rPr>
          <w:t xml:space="preserve">[214]</w:t>
        </w:r>
      </w:hyperlink>
      <w:r>
        <w:t xml:space="preserve"> </w:t>
      </w:r>
      <w:r>
        <w:t xml:space="preserve">As a result, the Plaintiffs assert, Goldman was undercapitalized, forcing it to become a bank holding company and to take on an onerous loan from Warren Buffet.</w:t>
      </w:r>
      <w:hyperlink w:anchor="X51ee0ffc6d2776334b8bf1a27a365f76028c556">
        <w:r>
          <w:rPr>
            <w:rStyle w:val="Hyperlink"/>
            <w:vertAlign w:val="superscript"/>
          </w:rPr>
          <w:t xml:space="preserve">[215]</w:t>
        </w:r>
      </w:hyperlink>
    </w:p>
    <w:p>
      <w:pPr>
        <w:pStyle w:val="BodyText"/>
      </w:pPr>
      <w:r>
        <w:t xml:space="preserve">Although the Plaintiffs have molded their claims with an eye to the language of</w:t>
      </w:r>
      <w:r>
        <w:t xml:space="preserve"> </w:t>
      </w:r>
      <w:r>
        <w:rPr>
          <w:iCs/>
          <w:i/>
        </w:rPr>
        <w:t xml:space="preserve">Caremark,</w:t>
      </w:r>
      <w:r>
        <w:t xml:space="preserve"> </w:t>
      </w:r>
      <w:r>
        <w:t xml:space="preserve">the essence of their complaint is that I should hold the Director Defendants "personally liable for making (or allowing to be made) business decisions that, in hindsight, turned out poorly for the Company."</w:t>
      </w:r>
      <w:hyperlink w:anchor="X036a5a9cb1b655d1efb1a4f35e9bf0df9c2e163">
        <w:r>
          <w:rPr>
            <w:rStyle w:val="Hyperlink"/>
            <w:vertAlign w:val="superscript"/>
          </w:rPr>
          <w:t xml:space="preserve">[216]</w:t>
        </w:r>
      </w:hyperlink>
      <w:r>
        <w:t xml:space="preserve"> </w:t>
      </w:r>
      <w:r>
        <w:t xml:space="preserve">If an actionable duty to monitor business risk exists, it cannot encompass any substantive evaluation by a court of a board's determination of the appropriate amount of risk. Such decisions plainly involve business judgment.</w:t>
      </w:r>
      <w:hyperlink w:anchor="X101de593c50b3fc0f55f47e6b26c99d55e68525">
        <w:r>
          <w:rPr>
            <w:rStyle w:val="Hyperlink"/>
            <w:vertAlign w:val="superscript"/>
          </w:rPr>
          <w:t xml:space="preserve">[217]</w:t>
        </w:r>
      </w:hyperlink>
    </w:p>
    <w:p>
      <w:pPr>
        <w:pStyle w:val="BodyText"/>
      </w:pPr>
      <w:r>
        <w:t xml:space="preserve">The Plaintiffs' remaining allegations in essence seek to hold the Director Defendants "personally liable to the Company because they failed to fully recognize the risk posed by subprime securities."</w:t>
      </w:r>
      <w:hyperlink w:anchor="X7ad388f816ce78807ea5b0aeb809ffeb229f0e3">
        <w:r>
          <w:rPr>
            <w:rStyle w:val="Hyperlink"/>
            <w:vertAlign w:val="superscript"/>
          </w:rPr>
          <w:t xml:space="preserve">[218]</w:t>
        </w:r>
      </w:hyperlink>
      <w:r>
        <w:t xml:space="preserve"> </w:t>
      </w:r>
      <w:r>
        <w:t xml:space="preserve">The Plaintiffs charge that the entire board was aware of, or should have been aware of, "the details of the trading business of Goldman and failed to take appropriate action."</w:t>
      </w:r>
      <w:hyperlink w:anchor="Xa698d6697b8328ea4d6dcde5b223ec9f3278ff7">
        <w:r>
          <w:rPr>
            <w:rStyle w:val="Hyperlink"/>
            <w:vertAlign w:val="superscript"/>
          </w:rPr>
          <w:t xml:space="preserve">[219]</w:t>
        </w:r>
      </w:hyperlink>
      <w:r>
        <w:t xml:space="preserve"> </w:t>
      </w:r>
      <w:r>
        <w:t xml:space="preserve">The Plaintiffs note that "[a]s the housing market began to fracture in early 2007, a committee of senior Goldman executives . . . including Defendants Viniar, Cohn, and Blankfein and those helping to manage Goldman's mortgage, credit and legal operations, took an active role in overseeing the mortgage unit."</w:t>
      </w:r>
      <w:hyperlink w:anchor="X7fa573985a24ad14a89761fb036a8272587fa62">
        <w:r>
          <w:rPr>
            <w:rStyle w:val="Hyperlink"/>
            <w:vertAlign w:val="superscript"/>
          </w:rPr>
          <w:t xml:space="preserve">[220]</w:t>
        </w:r>
      </w:hyperlink>
      <w:r>
        <w:t xml:space="preserve"> </w:t>
      </w:r>
      <w:r>
        <w:t xml:space="preserve">"[This] committee's job was to vet potential new products and transactions, being wary of deals that exposed Goldman to too much risk."</w:t>
      </w:r>
      <w:hyperlink w:anchor="Xe33312be7b2850f6f80ee2f6a809ef153c89c88">
        <w:r>
          <w:rPr>
            <w:rStyle w:val="Hyperlink"/>
            <w:vertAlign w:val="superscript"/>
          </w:rPr>
          <w:t xml:space="preserve">[221]</w:t>
        </w:r>
      </w:hyperlink>
      <w:r>
        <w:t xml:space="preserve"> </w:t>
      </w:r>
      <w:r>
        <w:t xml:space="preserve">This committee eventually decided that housing prices would decline and decided to take a short position in the mortgage market.</w:t>
      </w:r>
      <w:hyperlink w:anchor="X7edc7411bc51d30345d20e6d45e71958eb465fc">
        <w:r>
          <w:rPr>
            <w:rStyle w:val="Hyperlink"/>
            <w:vertAlign w:val="superscript"/>
          </w:rPr>
          <w:t xml:space="preserve">[222]</w:t>
        </w:r>
      </w:hyperlink>
      <w:r>
        <w:t xml:space="preserve"> </w:t>
      </w:r>
      <w:r>
        <w:t xml:space="preserve">The Plaintiffs contend that the Director Defendants were "fully aware of the extent of Goldman's RMBS and CDO securities market activities."</w:t>
      </w:r>
      <w:hyperlink w:anchor="X520aec5360afc86efd7475b3d5a0cfd5e165898">
        <w:r>
          <w:rPr>
            <w:rStyle w:val="Hyperlink"/>
            <w:vertAlign w:val="superscript"/>
          </w:rPr>
          <w:t xml:space="preserve">[223]</w:t>
        </w:r>
      </w:hyperlink>
      <w:r>
        <w:t xml:space="preserve"> </w:t>
      </w:r>
      <w:r>
        <w:t xml:space="preserve">The Plaintiffs point out that the Director Defendants were informed about the business decisions Goldman made during the year including an "intensive effort to not only reduce its mortgage risk exposure, but profit from high risk RMBS and CDO Securities incurring losses."</w:t>
      </w:r>
      <w:hyperlink w:anchor="X29d4dfd03cc07b0ed7e152ff7cc37531b7c0789">
        <w:r>
          <w:rPr>
            <w:rStyle w:val="Hyperlink"/>
            <w:vertAlign w:val="superscript"/>
          </w:rPr>
          <w:t xml:space="preserve">[224]</w:t>
        </w:r>
      </w:hyperlink>
      <w:r>
        <w:t xml:space="preserve"> </w:t>
      </w:r>
      <w:r>
        <w:t xml:space="preserve">The Plaintiffs further allege that because of this the Director Defendants "understood that these efforts involved very large amounts of Goldman's capital that exceeded the Company's Value-at-Risk measures."</w:t>
      </w:r>
      <w:hyperlink w:anchor="X8706fc3a85727b157ef34c917b5f12510bc10da">
        <w:r>
          <w:rPr>
            <w:rStyle w:val="Hyperlink"/>
            <w:vertAlign w:val="superscript"/>
          </w:rPr>
          <w:t xml:space="preserve">[225]</w:t>
        </w:r>
      </w:hyperlink>
      <w:r>
        <w:t xml:space="preserve"> </w:t>
      </w:r>
      <w:r>
        <w:t xml:space="preserve">Finally, the Plaintiffs allege that the practices allowed by the board, including transactions in which Goldman's risk was hedged, imposed reputational risk upon the corporation.</w:t>
      </w:r>
      <w:hyperlink w:anchor="X815386878eb77137556b6d19547cc7db990f1b9">
        <w:r>
          <w:rPr>
            <w:rStyle w:val="Hyperlink"/>
            <w:vertAlign w:val="superscript"/>
          </w:rPr>
          <w:t xml:space="preserve">[226]</w:t>
        </w:r>
      </w:hyperlink>
    </w:p>
    <w:p>
      <w:pPr>
        <w:pStyle w:val="BodyText"/>
      </w:pPr>
      <w:r>
        <w:t xml:space="preserve">Thus, the Plaintiffs do not plead with particularity anything that suggests that the Director Defendants acted in bad faith or otherwise consciously disregarded their</w:t>
      </w:r>
      <w:r>
        <w:t xml:space="preserve"> </w:t>
      </w:r>
      <w:r>
        <w:rPr>
          <w:iCs/>
          <w:i/>
        </w:rPr>
        <w:t xml:space="preserve">oversight</w:t>
      </w:r>
      <w:r>
        <w:t xml:space="preserve"> </w:t>
      </w:r>
      <w:r>
        <w:t xml:space="preserve">responsibilities in regards to Goldman's business risk. Goldman had an Audit Committee in place that was "charged with assisting the Board in its oversight of the Company's management of market, credit liquidity and other financial and operational risks."</w:t>
      </w:r>
      <w:hyperlink w:anchor="X5162423d8eddf5c6aec9e8cd01c98d061c5764f">
        <w:r>
          <w:rPr>
            <w:rStyle w:val="Hyperlink"/>
            <w:vertAlign w:val="superscript"/>
          </w:rPr>
          <w:t xml:space="preserve">[227]</w:t>
        </w:r>
      </w:hyperlink>
      <w:r>
        <w:t xml:space="preserve"> </w:t>
      </w:r>
      <w:r>
        <w:t xml:space="preserve">The Director Defendants exercised their business judgment in choosing and implementing a risk management system that they presumably believed would keep them reasonably informed of the company's business risks. As described in detail above, the Plaintiffs admit that the Director Defendants were "fully aware of the extent of Goldman's RMBS and CDO securities market activities."</w:t>
      </w:r>
      <w:hyperlink w:anchor="Xf3cf5d9e5f6a08c7cc2ca04ce20de5fe5c91127">
        <w:r>
          <w:rPr>
            <w:rStyle w:val="Hyperlink"/>
            <w:vertAlign w:val="superscript"/>
          </w:rPr>
          <w:t xml:space="preserve">[228]</w:t>
        </w:r>
      </w:hyperlink>
    </w:p>
    <w:p>
      <w:pPr>
        <w:pStyle w:val="BodyText"/>
      </w:pPr>
      <w:r>
        <w:rPr>
          <w:rStyle w:val="Elision"/>
        </w:rPr>
        <w:t xml:space="preserve">[ … ]</w:t>
      </w:r>
    </w:p>
    <w:p>
      <w:pPr>
        <w:pStyle w:val="BodyText"/>
      </w:pPr>
      <w:r>
        <w:t xml:space="preserve">Goldman's board and management made decisions to hedge exposure during the deterioration of the housing market, decisions that have been roundly criticized in Congress and elsewhere. Those decisions involved taking objectively large risks, including particularly reputational risks. The outcome of that risk-taking may prove ultimately costly to the corporation. The Plaintiffs, however, have failed to plead with particularity that the Director Defendants consciously and in bad faith disregarded these risks; to the contrary, the facts pled indicate that the board kept itself informed of the risks involved. The Plaintiffs have failed to plead facts showing a substantial likelihood of liability on the part of the Director Defendants</w:t>
      </w:r>
      <w:r>
        <w:rPr>
          <w:rStyle w:val="Elision"/>
        </w:rPr>
        <w:t xml:space="preserve">[ … ]</w:t>
      </w:r>
      <w:r>
        <w:rPr>
          <w:iCs/>
          <w:i/>
        </w:rPr>
        <w:t xml:space="preserve">.</w:t>
      </w:r>
    </w:p>
    <w:bookmarkEnd w:id="71"/>
    <w:bookmarkStart w:id="72" w:name="iv.-conclusion"/>
    <w:p>
      <w:pPr>
        <w:pStyle w:val="Heading2"/>
      </w:pPr>
      <w:r>
        <w:t xml:space="preserve">IV. CONCLUSION</w:t>
      </w:r>
    </w:p>
    <w:p>
      <w:pPr>
        <w:pStyle w:val="FirstParagraph"/>
      </w:pPr>
      <w:r>
        <w:t xml:space="preserve">The Delaware General Corporation law affords directors and officers broad discretion to exercise their business judgment in the fulfillment of their obligations to the corporation. Consequently, Delaware's case law imposes fiduciary duties on directors and officers to ensure their loyalty and care toward the corporation. When an individual breaches these duties, it is the proper function of this Court to step in and enforce those fiduciary obligations.</w:t>
      </w:r>
    </w:p>
    <w:p>
      <w:pPr>
        <w:pStyle w:val="BodyText"/>
      </w:pPr>
      <w:r>
        <w:t xml:space="preserve">Here, the Plaintiffs</w:t>
      </w:r>
      <w:r>
        <w:t xml:space="preserve"> </w:t>
      </w:r>
      <w:r>
        <w:rPr>
          <w:rStyle w:val="Elision"/>
        </w:rPr>
        <w:t xml:space="preserve">[ … ]</w:t>
      </w:r>
      <w:r>
        <w:t xml:space="preserve"> </w:t>
      </w:r>
      <w:r>
        <w:t xml:space="preserve">have failed to allege facts sufficient to demonstrate that the directors were unable to properly exercise this judgment in deciding whether to bring these claims. Since the Plaintiffs have failed to make a demand upon the Corporation, this matter must be dismissed; therefore, I need not reach the Defendant's motion to dismiss under Rule 12 (b)(6).</w:t>
      </w:r>
    </w:p>
    <w:p>
      <w:pPr>
        <w:pStyle w:val="BodyText"/>
      </w:pPr>
      <w:r>
        <w:t xml:space="preserve">For the foregoing reasons, the Defendants' motion to dismiss is granted, and the Plaintiffs' claims are dismissed with prejudice.</w:t>
      </w:r>
    </w:p>
    <w:p>
      <w:pPr>
        <w:pStyle w:val="BodyText"/>
      </w:pPr>
      <w:r>
        <w:rPr>
          <w:rStyle w:val="Elision"/>
        </w:rPr>
        <w:t xml:space="preserve">[ … ]</w:t>
      </w:r>
    </w:p>
    <w:bookmarkEnd w:id="72"/>
    <w:p>
      <w:pPr>
        <w:pStyle w:val="NodeEnd"/>
      </w:pPr>
      <w:r>
        <w:t xml:space="preserve"> </w:t>
      </w:r>
    </w:p>
    <w:p>
      <w:pPr>
        <w:pStyle w:val="NodeStart"/>
      </w:pPr>
      <w:r>
        <w:t xml:space="preserve"> </w:t>
      </w:r>
    </w:p>
    <w:p>
      <w:pPr>
        <w:pStyle w:val="HeadSeparator"/>
      </w:pPr>
      <w:r>
        <w:t xml:space="preserve"> </w:t>
      </w:r>
    </w:p>
    <w:bookmarkStart w:id="52" w:name="_auto_toc_52"/>
    <w:bookmarkEnd w:id="52"/>
    <w:p>
      <w:pPr>
        <w:pStyle w:val="ResourceNumber"/>
      </w:pPr>
      <w:r>
        <w:t xml:space="preserve">4.1.5</w:t>
      </w:r>
    </w:p>
    <w:p>
      <w:pPr>
        <w:pStyle w:val="ResourceTitle"/>
      </w:pPr>
      <w:r>
        <w:t xml:space="preserve">Calma v. Templeton</w:t>
      </w:r>
    </w:p>
    <w:p>
      <w:pPr>
        <w:pStyle w:val="HeadFieldSeparator"/>
      </w:pPr>
      <w:r>
        <w:t xml:space="preserve"> </w:t>
      </w:r>
    </w:p>
    <w:p>
      <w:pPr>
        <w:pStyle w:val="ResourceLink"/>
      </w:pPr>
      <w:hyperlink r:id="rId73">
        <w:r>
          <w:rPr>
            <w:rStyle w:val="Hyperlink"/>
          </w:rPr>
          <w:t xml:space="preserve">https://h2o.law.harvard.edu/cases/5416</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p>
      <w:pPr>
        <w:pStyle w:val="ChapterSpacer"/>
        <w:sectPr>
          <w:footerReference w:type="even" r:id="rId14"/>
          <w:footerReference w:type="default" r:id="rId14"/>
          <w:headerReference w:type="even" r:id="rId11"/>
          <w:headerReference w:type="default" r:id="rId12"/>
          <w:pgSz w:h="15840" w:w="12240"/>
          <w:pgMar w:bottom="1440" w:gutter="720" w:header="1440" w:left="1440" w:right="1440" w:top="1800"/>
          <w:pgNumType w:pgNumType="decimal"/>
        </w:sectPr>
      </w:pPr>
      <w:r>
        <w:t xml:space="preserve"> </w:t>
      </w:r>
    </w:p>
    <w:bookmarkStart w:id="53" w:name="_auto_toc_53"/>
    <w:bookmarkEnd w:id="53"/>
    <w:p>
      <w:pPr>
        <w:pStyle w:val="ChapterNumber"/>
      </w:pPr>
      <w:r>
        <w:t xml:space="preserve">5</w:t>
      </w:r>
    </w:p>
    <w:p>
      <w:pPr>
        <w:pStyle w:val="ChapterTitle"/>
      </w:pPr>
      <w:r>
        <w:t xml:space="preserve">Shareholders</w:t>
      </w:r>
    </w:p>
    <w:p>
      <w:pPr>
        <w:pStyle w:val="HeadEnd"/>
        <w:sectPr>
          <w:footerReference w:type="even" r:id="rId14"/>
          <w:footerReference w:type="default" r:id="rId14"/>
          <w:headerReference w:type="even" r:id="rId11"/>
          <w:headerReference w:type="default" r:id="rId12"/>
          <w:type w:val="oddPage"/>
          <w:pgSz w:h="15840" w:w="12240"/>
          <w:pgMar w:bottom="1440" w:gutter="720" w:header="1440" w:left="1440" w:right="1440" w:top="1800"/>
          <w:pgNumType w:pgNumType="decimal"/>
        </w:sectPr>
      </w:pPr>
      <w:r>
        <w:t xml:space="preserve"> </w:t>
      </w:r>
    </w:p>
    <w:p>
      <w:pPr>
        <w:pStyle w:val="NodeEnd"/>
      </w:pPr>
      <w:r>
        <w:t xml:space="preserve"> </w:t>
      </w:r>
    </w:p>
    <w:p>
      <w:pPr>
        <w:pStyle w:val="NodeStart"/>
      </w:pPr>
      <w:r>
        <w:t xml:space="preserve"> </w:t>
      </w:r>
    </w:p>
    <w:p>
      <w:pPr>
        <w:pStyle w:val="HeadSeparator"/>
      </w:pPr>
      <w:r>
        <w:t xml:space="preserve"> </w:t>
      </w:r>
    </w:p>
    <w:bookmarkStart w:id="54" w:name="_auto_toc_54"/>
    <w:bookmarkEnd w:id="54"/>
    <w:p>
      <w:pPr>
        <w:pStyle w:val="SectionNumber"/>
      </w:pPr>
      <w:r>
        <w:t xml:space="preserve">5.1</w:t>
      </w:r>
    </w:p>
    <w:p>
      <w:pPr>
        <w:pStyle w:val="SectionTitle"/>
      </w:pPr>
      <w:r>
        <w:t xml:space="preserve">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55" w:name="_auto_toc_55"/>
    <w:bookmarkEnd w:id="55"/>
    <w:p>
      <w:pPr>
        <w:pStyle w:val="ResourceNumber"/>
      </w:pPr>
      <w:r>
        <w:t xml:space="preserve">5.1.1</w:t>
      </w:r>
    </w:p>
    <w:p>
      <w:pPr>
        <w:pStyle w:val="ResourceTitle"/>
      </w:pPr>
      <w:r>
        <w:t xml:space="preserve">Rosenfeld v. Fairchild Engine &amp; Airplane Corp.</w:t>
      </w:r>
    </w:p>
    <w:p>
      <w:pPr>
        <w:pStyle w:val="HeadEnd"/>
      </w:pPr>
      <w:r>
        <w:t xml:space="preserve"> </w:t>
      </w:r>
    </w:p>
    <w:p>
      <w:pPr>
        <w:pStyle w:val="CaseHeader"/>
      </w:pPr>
      <w:r>
        <w:t xml:space="preserve">New York Court of Appeals</w:t>
      </w:r>
    </w:p>
    <w:p>
      <w:pPr>
        <w:pStyle w:val="CaseHeader"/>
      </w:pPr>
      <w:r>
        <w:t xml:space="preserve">309 N.Y. 168</w:t>
      </w:r>
    </w:p>
    <w:p>
      <w:pPr>
        <w:pStyle w:val="CaseHeader"/>
      </w:pPr>
      <w:r>
        <w:t xml:space="preserve">1955-07-08</w:t>
      </w:r>
    </w:p>
    <w:p>
      <w:pPr>
        <w:pStyle w:val="CaseBody"/>
      </w:pPr>
      <w:r>
        <w:t xml:space="preserve">Argued March 2, 1955;</w:t>
      </w:r>
    </w:p>
    <w:p>
      <w:pPr>
        <w:pStyle w:val="CaseBody"/>
      </w:pPr>
      <w:r>
        <w:rPr>
          <w:iCs/>
          <w:i/>
        </w:rPr>
        <w:t xml:space="preserve">Abraham Marcus, Alan J. Stein</w:t>
      </w:r>
      <w:r>
        <w:t xml:space="preserve"> </w:t>
      </w:r>
      <w:r>
        <w:t xml:space="preserve">and</w:t>
      </w:r>
      <w:r>
        <w:t xml:space="preserve"> </w:t>
      </w:r>
      <w:r>
        <w:rPr>
          <w:iCs/>
          <w:i/>
        </w:rPr>
        <w:t xml:space="preserve">William Bosenfeld,</w:t>
      </w:r>
      <w:r>
        <w:t xml:space="preserve"> </w:t>
      </w:r>
      <w:r>
        <w:t xml:space="preserve">in person, for William Rosenfeld, appellant.</w:t>
      </w:r>
    </w:p>
    <w:p>
      <w:pPr>
        <w:pStyle w:val="CaseBody"/>
      </w:pPr>
      <w:r>
        <w:t xml:space="preserve">I. The expenditure by the incumbent board of directors of corporate funds to obtain its own re-election in a proxy fight was improper.</w:t>
      </w:r>
      <w:r>
        <w:t xml:space="preserve"> </w:t>
      </w:r>
      <w:r>
        <w:rPr>
          <w:iCs/>
          <w:i/>
        </w:rPr>
        <w:t xml:space="preserve">(Lawyers' Adv. Co.</w:t>
      </w:r>
      <w:r>
        <w:t xml:space="preserve"> </w:t>
      </w:r>
      <w:r>
        <w:t xml:space="preserve">v.</w:t>
      </w:r>
      <w:r>
        <w:t xml:space="preserve"> </w:t>
      </w:r>
      <w:r>
        <w:rPr>
          <w:iCs/>
          <w:i/>
        </w:rPr>
        <w:t xml:space="preserve">Consolidated Ry. Lighting &amp; Refrig. Co.,</w:t>
      </w:r>
      <w:r>
        <w:t xml:space="preserve"> </w:t>
      </w:r>
      <w:r>
        <w:t xml:space="preserve">187 N. Y 395</w:t>
      </w:r>
      <w:r>
        <w:t xml:space="preserve">;</w:t>
      </w:r>
      <w:r>
        <w:t xml:space="preserve"> </w:t>
      </w:r>
      <w:r>
        <w:rPr>
          <w:iCs/>
          <w:i/>
        </w:rPr>
        <w:t xml:space="preserve">Cherwien</w:t>
      </w:r>
      <w:r>
        <w:t xml:space="preserve"> </w:t>
      </w:r>
      <w:r>
        <w:t xml:space="preserve">v.</w:t>
      </w:r>
      <w:r>
        <w:t xml:space="preserve"> </w:t>
      </w:r>
      <w:r>
        <w:rPr>
          <w:iCs/>
          <w:i/>
        </w:rPr>
        <w:t xml:space="preserve">Geiter,</w:t>
      </w:r>
      <w:r>
        <w:t xml:space="preserve"> </w:t>
      </w:r>
      <w:r>
        <w:t xml:space="preserve">272 N. Y. 165</w:t>
      </w:r>
      <w:r>
        <w:t xml:space="preserve">;</w:t>
      </w:r>
      <w:r>
        <w:t xml:space="preserve"> </w:t>
      </w:r>
      <w:r>
        <w:rPr>
          <w:iCs/>
          <w:i/>
        </w:rPr>
        <w:t xml:space="preserve">Matter of Marchant</w:t>
      </w:r>
      <w:r>
        <w:t xml:space="preserve"> </w:t>
      </w:r>
      <w:r>
        <w:t xml:space="preserve">v.</w:t>
      </w:r>
      <w:r>
        <w:t xml:space="preserve"> </w:t>
      </w:r>
      <w:r>
        <w:rPr>
          <w:iCs/>
          <w:i/>
        </w:rPr>
        <w:t xml:space="preserve">Mead-Morrison Mfg. Co.,</w:t>
      </w:r>
      <w:r>
        <w:t xml:space="preserve"> </w:t>
      </w:r>
      <w:r>
        <w:t xml:space="preserve">252 N. Y. 284</w:t>
      </w:r>
      <w:r>
        <w:t xml:space="preserve">;</w:t>
      </w:r>
      <w:r>
        <w:t xml:space="preserve"> </w:t>
      </w:r>
      <w:r>
        <w:rPr>
          <w:iCs/>
          <w:i/>
        </w:rPr>
        <w:t xml:space="preserve">Weissman</w:t>
      </w:r>
      <w:r>
        <w:t xml:space="preserve"> </w:t>
      </w:r>
      <w:r>
        <w:t xml:space="preserve">v.</w:t>
      </w:r>
      <w:r>
        <w:t xml:space="preserve"> </w:t>
      </w:r>
      <w:r>
        <w:rPr>
          <w:iCs/>
          <w:i/>
        </w:rPr>
        <w:t xml:space="preserve">Banque De Bruxelles,</w:t>
      </w:r>
      <w:r>
        <w:t xml:space="preserve"> </w:t>
      </w:r>
      <w:r>
        <w:t xml:space="preserve">254 N. Y. 488</w:t>
      </w:r>
      <w:r>
        <w:t xml:space="preserve">;</w:t>
      </w:r>
      <w:r>
        <w:t xml:space="preserve"> </w:t>
      </w:r>
      <w:r>
        <w:rPr>
          <w:iCs/>
          <w:i/>
        </w:rPr>
        <w:t xml:space="preserve">Savage</w:t>
      </w:r>
      <w:r>
        <w:t xml:space="preserve"> </w:t>
      </w:r>
      <w:r>
        <w:t xml:space="preserve">v.</w:t>
      </w:r>
      <w:r>
        <w:t xml:space="preserve"> </w:t>
      </w:r>
      <w:r>
        <w:rPr>
          <w:iCs/>
          <w:i/>
        </w:rPr>
        <w:t xml:space="preserve">O’Neil,</w:t>
      </w:r>
      <w:r>
        <w:t xml:space="preserve"> </w:t>
      </w:r>
      <w:r>
        <w:t xml:space="preserve">44 N. Y. 298</w:t>
      </w:r>
      <w:r>
        <w:t xml:space="preserve">;</w:t>
      </w:r>
      <w:r>
        <w:t xml:space="preserve"> </w:t>
      </w:r>
      <w:r>
        <w:rPr>
          <w:iCs/>
          <w:i/>
        </w:rPr>
        <w:t xml:space="preserve">Hall</w:t>
      </w:r>
      <w:r>
        <w:t xml:space="preserve"> </w:t>
      </w:r>
      <w:r>
        <w:t xml:space="preserve">v.</w:t>
      </w:r>
      <w:r>
        <w:t xml:space="preserve"> </w:t>
      </w:r>
      <w:r>
        <w:rPr>
          <w:iCs/>
          <w:i/>
        </w:rPr>
        <w:t xml:space="preserve">Trans-Lux Daylight Picture Screen Corp.,</w:t>
      </w:r>
      <w:r>
        <w:t xml:space="preserve"> </w:t>
      </w:r>
      <w:r>
        <w:t xml:space="preserve">20 Del. Ch. 78</w:t>
      </w:r>
      <w:r>
        <w:t xml:space="preserve">;</w:t>
      </w:r>
      <w:r>
        <w:t xml:space="preserve"> </w:t>
      </w:r>
      <w:r>
        <w:rPr>
          <w:iCs/>
          <w:i/>
        </w:rPr>
        <w:t xml:space="preserve">Hand</w:t>
      </w:r>
      <w:r>
        <w:t xml:space="preserve"> </w:t>
      </w:r>
      <w:r>
        <w:t xml:space="preserve">v.</w:t>
      </w:r>
      <w:r>
        <w:t xml:space="preserve"> </w:t>
      </w:r>
      <w:r>
        <w:rPr>
          <w:iCs/>
          <w:i/>
        </w:rPr>
        <w:t xml:space="preserve">Missouri-Kansas Pipe Line Co.,</w:t>
      </w:r>
      <w:r>
        <w:t xml:space="preserve"> </w:t>
      </w:r>
      <w:r>
        <w:t xml:space="preserve">54 F. Supp. 649</w:t>
      </w:r>
      <w:r>
        <w:t xml:space="preserve">;</w:t>
      </w:r>
      <w:r>
        <w:t xml:space="preserve"> </w:t>
      </w:r>
      <w:r>
        <w:rPr>
          <w:iCs/>
          <w:i/>
        </w:rPr>
        <w:t xml:space="preserve">Peel</w:t>
      </w:r>
      <w:r>
        <w:t xml:space="preserve"> </w:t>
      </w:r>
      <w:r>
        <w:t xml:space="preserve">v</w:t>
      </w:r>
      <w:r>
        <w:t xml:space="preserve"> </w:t>
      </w:r>
      <w:r>
        <w:rPr>
          <w:iCs/>
          <w:i/>
        </w:rPr>
        <w:t xml:space="preserve">London &amp; North Western Ry. Co.,</w:t>
      </w:r>
      <w:r>
        <w:t xml:space="preserve"> </w:t>
      </w:r>
      <w:r>
        <w:t xml:space="preserve">[1907] 1 Ch. 5;</w:t>
      </w:r>
      <w:r>
        <w:t xml:space="preserve"> </w:t>
      </w:r>
      <w:r>
        <w:rPr>
          <w:iCs/>
          <w:i/>
        </w:rPr>
        <w:t xml:space="preserve">Steinberg</w:t>
      </w:r>
      <w:r>
        <w:t xml:space="preserve"> </w:t>
      </w:r>
      <w:r>
        <w:t xml:space="preserve">v.</w:t>
      </w:r>
      <w:r>
        <w:t xml:space="preserve"> </w:t>
      </w:r>
      <w:r>
        <w:rPr>
          <w:iCs/>
          <w:i/>
        </w:rPr>
        <w:t xml:space="preserve">Adams,</w:t>
      </w:r>
      <w:r>
        <w:t xml:space="preserve"> </w:t>
      </w:r>
      <w:r>
        <w:t xml:space="preserve">90 F. Supp. 604</w:t>
      </w:r>
      <w:r>
        <w:t xml:space="preserve">.) II. The holdings below approving reimbursement out of corporate funds for proxy expenses oi successful insurgents are based on fundamental misconceptions of legal theory. III. The Appellate Division, in denying recover) on procedural grounds for the “ substantial amount of needless expense which was charged to the corporation ”, ignored the settled rule in equity actions that proof of wrongdoing requires a judgment for an accounting; and ignored the rule placing the burden of proof upon the directors who caused the improper expenditures to be made.</w:t>
      </w:r>
      <w:r>
        <w:t xml:space="preserve"> </w:t>
      </w:r>
      <w:r>
        <w:rPr>
          <w:iCs/>
          <w:i/>
        </w:rPr>
        <w:t xml:space="preserve">(Owen</w:t>
      </w:r>
      <w:r>
        <w:t xml:space="preserve"> </w:t>
      </w:r>
      <w:r>
        <w:t xml:space="preserve">v.</w:t>
      </w:r>
      <w:r>
        <w:t xml:space="preserve"> </w:t>
      </w:r>
      <w:r>
        <w:rPr>
          <w:iCs/>
          <w:i/>
        </w:rPr>
        <w:t xml:space="preserve">Blumenthal,</w:t>
      </w:r>
      <w:r>
        <w:t xml:space="preserve"> </w:t>
      </w:r>
      <w:r>
        <w:t xml:space="preserve">280 N. Y. 96</w:t>
      </w:r>
      <w:r>
        <w:t xml:space="preserve">;</w:t>
      </w:r>
      <w:r>
        <w:t xml:space="preserve"> </w:t>
      </w:r>
      <w:r>
        <w:rPr>
          <w:iCs/>
          <w:i/>
        </w:rPr>
        <w:t xml:space="preserve">Sheehan</w:t>
      </w:r>
      <w:r>
        <w:t xml:space="preserve"> </w:t>
      </w:r>
      <w:r>
        <w:t xml:space="preserve">v.</w:t>
      </w:r>
      <w:r>
        <w:t xml:space="preserve"> </w:t>
      </w:r>
      <w:r>
        <w:rPr>
          <w:iCs/>
          <w:i/>
        </w:rPr>
        <w:t xml:space="preserve">Moore &amp; McCormack Co.,</w:t>
      </w:r>
      <w:r>
        <w:t xml:space="preserve"> </w:t>
      </w:r>
      <w:r>
        <w:t xml:space="preserve">219 App. Div. 317</w:t>
      </w:r>
      <w:r>
        <w:t xml:space="preserve">;</w:t>
      </w:r>
      <w:r>
        <w:t xml:space="preserve"> </w:t>
      </w:r>
      <w:r>
        <w:rPr>
          <w:iCs/>
          <w:i/>
        </w:rPr>
        <w:t xml:space="preserve">Sage</w:t>
      </w:r>
      <w:r>
        <w:t xml:space="preserve"> </w:t>
      </w:r>
      <w:r>
        <w:t xml:space="preserve">v.</w:t>
      </w:r>
      <w:r>
        <w:t xml:space="preserve"> </w:t>
      </w:r>
      <w:r>
        <w:rPr>
          <w:iCs/>
          <w:i/>
        </w:rPr>
        <w:t xml:space="preserve">Culver,</w:t>
      </w:r>
      <w:r>
        <w:t xml:space="preserve"> </w:t>
      </w:r>
      <w:r>
        <w:t xml:space="preserve">147 N. Y. 241</w:t>
      </w:r>
      <w:r>
        <w:t xml:space="preserve">;</w:t>
      </w:r>
      <w:r>
        <w:t xml:space="preserve"> </w:t>
      </w:r>
      <w:r>
        <w:rPr>
          <w:iCs/>
          <w:i/>
        </w:rPr>
        <w:t xml:space="preserve">Fur &amp; Wool Trading Co.</w:t>
      </w:r>
      <w:r>
        <w:t xml:space="preserve"> </w:t>
      </w:r>
      <w:r>
        <w:t xml:space="preserve">v.</w:t>
      </w:r>
      <w:r>
        <w:t xml:space="preserve"> </w:t>
      </w:r>
      <w:r>
        <w:rPr>
          <w:iCs/>
          <w:i/>
        </w:rPr>
        <w:t xml:space="preserve">Fox,</w:t>
      </w:r>
      <w:r>
        <w:t xml:space="preserve"> </w:t>
      </w:r>
      <w:r>
        <w:t xml:space="preserve">245 N. Y. 215</w:t>
      </w:r>
      <w:r>
        <w:t xml:space="preserve">;</w:t>
      </w:r>
      <w:r>
        <w:t xml:space="preserve"> </w:t>
      </w:r>
      <w:r>
        <w:rPr>
          <w:iCs/>
          <w:i/>
        </w:rPr>
        <w:t xml:space="preserve">German-Amer. Coffee Co.</w:t>
      </w:r>
      <w:r>
        <w:t xml:space="preserve"> </w:t>
      </w:r>
      <w:r>
        <w:t xml:space="preserve">v.</w:t>
      </w:r>
      <w:r>
        <w:t xml:space="preserve"> </w:t>
      </w:r>
      <w:r>
        <w:rPr>
          <w:iCs/>
          <w:i/>
        </w:rPr>
        <w:t xml:space="preserve">O’Neil,</w:t>
      </w:r>
      <w:r>
        <w:t xml:space="preserve"> </w:t>
      </w:r>
      <w:r>
        <w:t xml:space="preserve">216 N. Y. 726</w:t>
      </w:r>
      <w:r>
        <w:t xml:space="preserve">;</w:t>
      </w:r>
      <w:r>
        <w:t xml:space="preserve"> </w:t>
      </w:r>
      <w:r>
        <w:rPr>
          <w:iCs/>
          <w:i/>
        </w:rPr>
        <w:t xml:space="preserve">Godley</w:t>
      </w:r>
      <w:r>
        <w:t xml:space="preserve"> </w:t>
      </w:r>
      <w:r>
        <w:t xml:space="preserve">v.</w:t>
      </w:r>
      <w:r>
        <w:t xml:space="preserve"> </w:t>
      </w:r>
      <w:r>
        <w:rPr>
          <w:iCs/>
          <w:i/>
        </w:rPr>
        <w:t xml:space="preserve">Crandall &amp; Godley Co.,</w:t>
      </w:r>
      <w:r>
        <w:t xml:space="preserve"> </w:t>
      </w:r>
      <w:r>
        <w:t xml:space="preserve">153 App. Div. 697</w:t>
      </w:r>
      <w:r>
        <w:t xml:space="preserve">,</w:t>
      </w:r>
      <w:r>
        <w:t xml:space="preserve"> </w:t>
      </w:r>
      <w:r>
        <w:t xml:space="preserve">212 N. Y. 121</w:t>
      </w:r>
      <w:r>
        <w:t xml:space="preserve">;</w:t>
      </w:r>
      <w:r>
        <w:t xml:space="preserve"> </w:t>
      </w:r>
      <w:r>
        <w:rPr>
          <w:iCs/>
          <w:i/>
        </w:rPr>
        <w:t xml:space="preserve">Hine</w:t>
      </w:r>
      <w:r>
        <w:t xml:space="preserve"> </w:t>
      </w:r>
      <w:r>
        <w:t xml:space="preserve">v.</w:t>
      </w:r>
      <w:r>
        <w:t xml:space="preserve"> </w:t>
      </w:r>
      <w:r>
        <w:rPr>
          <w:iCs/>
          <w:i/>
        </w:rPr>
        <w:t xml:space="preserve">Lausterer,</w:t>
      </w:r>
      <w:r>
        <w:t xml:space="preserve"> </w:t>
      </w:r>
      <w:r>
        <w:t xml:space="preserve">135 Misc. 397</w:t>
      </w:r>
      <w:r>
        <w:t xml:space="preserve">,</w:t>
      </w:r>
      <w:r>
        <w:t xml:space="preserve"> </w:t>
      </w:r>
      <w:r>
        <w:t xml:space="preserve">232 App. Div. 719</w:t>
      </w:r>
      <w:r>
        <w:t xml:space="preserve">,</w:t>
      </w:r>
      <w:r>
        <w:t xml:space="preserve"> </w:t>
      </w:r>
      <w:r>
        <w:t xml:space="preserve">257 N. Y. 523</w:t>
      </w:r>
      <w:r>
        <w:t xml:space="preserve">;</w:t>
      </w:r>
      <w:r>
        <w:t xml:space="preserve"> </w:t>
      </w:r>
      <w:r>
        <w:rPr>
          <w:iCs/>
          <w:i/>
        </w:rPr>
        <w:t xml:space="preserve">Kreitner</w:t>
      </w:r>
      <w:r>
        <w:t xml:space="preserve"> </w:t>
      </w:r>
      <w:r>
        <w:t xml:space="preserve">v.</w:t>
      </w:r>
      <w:r>
        <w:t xml:space="preserve"> </w:t>
      </w:r>
      <w:r>
        <w:rPr>
          <w:iCs/>
          <w:i/>
        </w:rPr>
        <w:t xml:space="preserve">Burgweger,</w:t>
      </w:r>
      <w:r>
        <w:t xml:space="preserve"> </w:t>
      </w:r>
      <w:r>
        <w:t xml:space="preserve">174 App. Div. 48</w:t>
      </w:r>
      <w:r>
        <w:t xml:space="preserve">;</w:t>
      </w:r>
      <w:r>
        <w:t xml:space="preserve"> </w:t>
      </w:r>
      <w:r>
        <w:rPr>
          <w:iCs/>
          <w:i/>
        </w:rPr>
        <w:t xml:space="preserve">Hyams</w:t>
      </w:r>
      <w:r>
        <w:t xml:space="preserve"> </w:t>
      </w:r>
      <w:r>
        <w:t xml:space="preserve">v.</w:t>
      </w:r>
      <w:r>
        <w:t xml:space="preserve"> </w:t>
      </w:r>
      <w:r>
        <w:rPr>
          <w:iCs/>
          <w:i/>
        </w:rPr>
        <w:t xml:space="preserve">Calumet &amp; Hecla Min. Co.,</w:t>
      </w:r>
      <w:r>
        <w:t xml:space="preserve"> </w:t>
      </w:r>
      <w:r>
        <w:t xml:space="preserve">221 F. 529</w:t>
      </w:r>
      <w:r>
        <w:t xml:space="preserve">.) IV. The new board of directors should have been held liable for permitting payment to be made by the corporation of improper expenditures incurred by the former board.</w:t>
      </w:r>
      <w:r>
        <w:t xml:space="preserve"> </w:t>
      </w:r>
      <w:r>
        <w:rPr>
          <w:iCs/>
          <w:i/>
        </w:rPr>
        <w:t xml:space="preserve">(Matter of Horowitz,</w:t>
      </w:r>
      <w:r>
        <w:t xml:space="preserve"> </w:t>
      </w:r>
      <w:r>
        <w:t xml:space="preserve">272 App. Div. 942</w:t>
      </w:r>
      <w:r>
        <w:t xml:space="preserve">,</w:t>
      </w:r>
      <w:r>
        <w:t xml:space="preserve"> </w:t>
      </w:r>
      <w:r>
        <w:t xml:space="preserve">297 N. Y. 252</w:t>
      </w:r>
      <w:r>
        <w:t xml:space="preserve">;</w:t>
      </w:r>
      <w:r>
        <w:t xml:space="preserve"> </w:t>
      </w:r>
      <w:r>
        <w:rPr>
          <w:iCs/>
          <w:i/>
        </w:rPr>
        <w:t xml:space="preserve">Carr</w:t>
      </w:r>
      <w:r>
        <w:t xml:space="preserve"> </w:t>
      </w:r>
      <w:r>
        <w:t xml:space="preserve">v.</w:t>
      </w:r>
      <w:r>
        <w:t xml:space="preserve"> </w:t>
      </w:r>
      <w:r>
        <w:rPr>
          <w:iCs/>
          <w:i/>
        </w:rPr>
        <w:t xml:space="preserve">Kimball,</w:t>
      </w:r>
      <w:r>
        <w:t xml:space="preserve"> </w:t>
      </w:r>
      <w:r>
        <w:t xml:space="preserve">153 App. Div. 825</w:t>
      </w:r>
      <w:r>
        <w:t xml:space="preserve">,</w:t>
      </w:r>
      <w:r>
        <w:t xml:space="preserve"> </w:t>
      </w:r>
      <w:r>
        <w:t xml:space="preserve">215 N. Y. 634</w:t>
      </w:r>
      <w:r>
        <w:t xml:space="preserve">.) V. Stockholders’ ratification of the improper expenditures of corporate moneys to reimburse the successful insurgent group was invalid and ineffective. As a gift and waste of corporate funds, the reimbursement could not be ratified.</w:t>
      </w:r>
      <w:r>
        <w:t xml:space="preserve"> </w:t>
      </w:r>
      <w:r>
        <w:rPr>
          <w:iCs/>
          <w:i/>
        </w:rPr>
        <w:t xml:space="preserve">(Matter of Pennsylvania Whiskey Distr. Corp.</w:t>
      </w:r>
      <w:r>
        <w:t xml:space="preserve"> </w:t>
      </w:r>
      <w:r>
        <w:t xml:space="preserve">v.</w:t>
      </w:r>
      <w:r>
        <w:t xml:space="preserve"> </w:t>
      </w:r>
      <w:r>
        <w:rPr>
          <w:iCs/>
          <w:i/>
        </w:rPr>
        <w:t xml:space="preserve">Bruckman,</w:t>
      </w:r>
      <w:r>
        <w:t xml:space="preserve"> </w:t>
      </w:r>
      <w:r>
        <w:t xml:space="preserve">256 App. Div. 781</w:t>
      </w:r>
      <w:r>
        <w:t xml:space="preserve">;</w:t>
      </w:r>
      <w:r>
        <w:t xml:space="preserve"> </w:t>
      </w:r>
      <w:r>
        <w:rPr>
          <w:iCs/>
          <w:i/>
        </w:rPr>
        <w:t xml:space="preserve">Continental Securities Co.</w:t>
      </w:r>
      <w:r>
        <w:t xml:space="preserve"> </w:t>
      </w:r>
      <w:r>
        <w:t xml:space="preserve">v.</w:t>
      </w:r>
      <w:r>
        <w:t xml:space="preserve"> </w:t>
      </w:r>
      <w:r>
        <w:rPr>
          <w:iCs/>
          <w:i/>
        </w:rPr>
        <w:t xml:space="preserve">Belmont,</w:t>
      </w:r>
      <w:r>
        <w:t xml:space="preserve"> </w:t>
      </w:r>
      <w:r>
        <w:t xml:space="preserve">206 N. Y. 7</w:t>
      </w:r>
      <w:r>
        <w:t xml:space="preserve">;</w:t>
      </w:r>
      <w:r>
        <w:t xml:space="preserve"> </w:t>
      </w:r>
      <w:r>
        <w:rPr>
          <w:iCs/>
          <w:i/>
        </w:rPr>
        <w:t xml:space="preserve">Rogers</w:t>
      </w:r>
      <w:r>
        <w:t xml:space="preserve"> </w:t>
      </w:r>
      <w:r>
        <w:t xml:space="preserve">v.</w:t>
      </w:r>
      <w:r>
        <w:t xml:space="preserve"> </w:t>
      </w:r>
      <w:r>
        <w:rPr>
          <w:iCs/>
          <w:i/>
        </w:rPr>
        <w:t xml:space="preserve">Hill,</w:t>
      </w:r>
      <w:r>
        <w:t xml:space="preserve"> </w:t>
      </w:r>
      <w:r>
        <w:t xml:space="preserve">289 U. S. 582</w:t>
      </w:r>
      <w:r>
        <w:t xml:space="preserve">;</w:t>
      </w:r>
      <w:r>
        <w:t xml:space="preserve"> </w:t>
      </w:r>
      <w:r>
        <w:rPr>
          <w:iCs/>
          <w:i/>
        </w:rPr>
        <w:t xml:space="preserve">Pollitz</w:t>
      </w:r>
      <w:r>
        <w:t xml:space="preserve"> </w:t>
      </w:r>
      <w:r>
        <w:t xml:space="preserve">v.</w:t>
      </w:r>
      <w:r>
        <w:t xml:space="preserve"> </w:t>
      </w:r>
      <w:r>
        <w:rPr>
          <w:iCs/>
          <w:i/>
        </w:rPr>
        <w:t xml:space="preserve">Wabash R. R. Co.,</w:t>
      </w:r>
      <w:r>
        <w:t xml:space="preserve"> </w:t>
      </w:r>
      <w:r>
        <w:t xml:space="preserve">207 N. Y. 113</w:t>
      </w:r>
      <w:r>
        <w:t xml:space="preserve">;</w:t>
      </w:r>
      <w:r>
        <w:t xml:space="preserve"> </w:t>
      </w:r>
      <w:r>
        <w:rPr>
          <w:iCs/>
          <w:i/>
        </w:rPr>
        <w:t xml:space="preserve">Schwab</w:t>
      </w:r>
      <w:r>
        <w:t xml:space="preserve"> </w:t>
      </w:r>
      <w:r>
        <w:t xml:space="preserve">v.</w:t>
      </w:r>
      <w:r>
        <w:t xml:space="preserve"> </w:t>
      </w:r>
      <w:r>
        <w:rPr>
          <w:iCs/>
          <w:i/>
        </w:rPr>
        <w:t xml:space="preserve">Potter Co.,</w:t>
      </w:r>
      <w:r>
        <w:t xml:space="preserve"> </w:t>
      </w:r>
      <w:r>
        <w:t xml:space="preserve">194 N. Y. 409</w:t>
      </w:r>
      <w:r>
        <w:t xml:space="preserve">;</w:t>
      </w:r>
      <w:r>
        <w:t xml:space="preserve"> </w:t>
      </w:r>
      <w:r>
        <w:rPr>
          <w:iCs/>
          <w:i/>
        </w:rPr>
        <w:t xml:space="preserve">Wheeler</w:t>
      </w:r>
      <w:r>
        <w:t xml:space="preserve"> </w:t>
      </w:r>
      <w:r>
        <w:t xml:space="preserve">v.</w:t>
      </w:r>
      <w:r>
        <w:t xml:space="preserve"> </w:t>
      </w:r>
      <w:r>
        <w:rPr>
          <w:iCs/>
          <w:i/>
        </w:rPr>
        <w:t xml:space="preserve">Home Sav. Bank,</w:t>
      </w:r>
      <w:r>
        <w:t xml:space="preserve"> </w:t>
      </w:r>
      <w:r>
        <w:t xml:space="preserve">188 Ill. 34</w:t>
      </w:r>
      <w:r>
        <w:t xml:space="preserve">;</w:t>
      </w:r>
      <w:r>
        <w:t xml:space="preserve"> </w:t>
      </w:r>
      <w:r>
        <w:rPr>
          <w:iCs/>
          <w:i/>
        </w:rPr>
        <w:t xml:space="preserve">Holland Baking Co.</w:t>
      </w:r>
      <w:r>
        <w:t xml:space="preserve"> </w:t>
      </w:r>
      <w:r>
        <w:t xml:space="preserve">v.</w:t>
      </w:r>
      <w:r>
        <w:t xml:space="preserve"> </w:t>
      </w:r>
      <w:r>
        <w:rPr>
          <w:iCs/>
          <w:i/>
        </w:rPr>
        <w:t xml:space="preserve">Continental Nat. Bank,</w:t>
      </w:r>
      <w:r>
        <w:t xml:space="preserve"> </w:t>
      </w:r>
      <w:r>
        <w:t xml:space="preserve">324 Mo. 1</w:t>
      </w:r>
      <w:r>
        <w:t xml:space="preserve">.) VI. Ratification, in any event, was ineffective because obtained upon a false and misleading proxy statement.</w:t>
      </w:r>
      <w:r>
        <w:t xml:space="preserve"> </w:t>
      </w:r>
      <w:r>
        <w:rPr>
          <w:iCs/>
          <w:i/>
        </w:rPr>
        <w:t xml:space="preserve">(General Investment Co.</w:t>
      </w:r>
      <w:r>
        <w:t xml:space="preserve"> </w:t>
      </w:r>
      <w:r>
        <w:t xml:space="preserve">v.</w:t>
      </w:r>
      <w:r>
        <w:t xml:space="preserve"> </w:t>
      </w:r>
      <w:r>
        <w:rPr>
          <w:iCs/>
          <w:i/>
        </w:rPr>
        <w:t xml:space="preserve">American Hide &amp; Leather Co.,</w:t>
      </w:r>
      <w:r>
        <w:t xml:space="preserve"> </w:t>
      </w:r>
      <w:r>
        <w:t xml:space="preserve">97 N. J. Eq. 214</w:t>
      </w:r>
      <w:r>
        <w:t xml:space="preserve">;</w:t>
      </w:r>
      <w:r>
        <w:t xml:space="preserve"> </w:t>
      </w:r>
      <w:r>
        <w:rPr>
          <w:iCs/>
          <w:i/>
        </w:rPr>
        <w:t xml:space="preserve">Berendt</w:t>
      </w:r>
      <w:r>
        <w:t xml:space="preserve"> </w:t>
      </w:r>
      <w:r>
        <w:t xml:space="preserve">v.</w:t>
      </w:r>
      <w:r>
        <w:t xml:space="preserve"> </w:t>
      </w:r>
      <w:r>
        <w:rPr>
          <w:iCs/>
          <w:i/>
        </w:rPr>
        <w:t xml:space="preserve">Bethlehem Steel Corp.,</w:t>
      </w:r>
      <w:r>
        <w:t xml:space="preserve"> </w:t>
      </w:r>
      <w:r>
        <w:t xml:space="preserve">108 N. J. Eq. 148</w:t>
      </w:r>
      <w:r>
        <w:t xml:space="preserve">;</w:t>
      </w:r>
      <w:r>
        <w:t xml:space="preserve"> </w:t>
      </w:r>
      <w:r>
        <w:rPr>
          <w:iCs/>
          <w:i/>
        </w:rPr>
        <w:t xml:space="preserve">Cahall</w:t>
      </w:r>
      <w:r>
        <w:t xml:space="preserve"> </w:t>
      </w:r>
      <w:r>
        <w:t xml:space="preserve">v.</w:t>
      </w:r>
      <w:r>
        <w:t xml:space="preserve"> </w:t>
      </w:r>
      <w:r>
        <w:rPr>
          <w:iCs/>
          <w:i/>
        </w:rPr>
        <w:t xml:space="preserve">Lofland,</w:t>
      </w:r>
      <w:r>
        <w:t xml:space="preserve"> </w:t>
      </w:r>
      <w:r>
        <w:t xml:space="preserve">12 Del. Ch. 299</w:t>
      </w:r>
      <w:r>
        <w:t xml:space="preserve">,</w:t>
      </w:r>
      <w:r>
        <w:t xml:space="preserve"> </w:t>
      </w:r>
      <w:r>
        <w:t xml:space="preserve">13 Del. Ch. 384</w:t>
      </w:r>
      <w:r>
        <w:t xml:space="preserve">.) VII. Stockholders’ ratification of insurgents’ reimbursement cannot be held to constitute an implied ratification of incumbents’ improper expenditures.</w:t>
      </w:r>
      <w:r>
        <w:t xml:space="preserve"> </w:t>
      </w:r>
      <w:r>
        <w:rPr>
          <w:iCs/>
          <w:i/>
        </w:rPr>
        <w:t xml:space="preserve">(Pollitz</w:t>
      </w:r>
      <w:r>
        <w:t xml:space="preserve"> </w:t>
      </w:r>
      <w:r>
        <w:t xml:space="preserve">v.</w:t>
      </w:r>
      <w:r>
        <w:t xml:space="preserve"> </w:t>
      </w:r>
      <w:r>
        <w:rPr>
          <w:iCs/>
          <w:i/>
        </w:rPr>
        <w:t xml:space="preserve">Wabash R. R. Co.,</w:t>
      </w:r>
      <w:r>
        <w:t xml:space="preserve"> </w:t>
      </w:r>
      <w:r>
        <w:t xml:space="preserve">207 N, Y. 113</w:t>
      </w:r>
      <w:r>
        <w:t xml:space="preserve">.) VIII. The release of Ward did not have the effect of releasing the other old directors. The old directors other than Ward, having given no consideration, cannot be deemed released.</w:t>
      </w:r>
      <w:r>
        <w:t xml:space="preserve"> </w:t>
      </w:r>
      <w:r>
        <w:rPr>
          <w:iCs/>
          <w:i/>
        </w:rPr>
        <w:t xml:space="preserve">(Rider</w:t>
      </w:r>
      <w:r>
        <w:t xml:space="preserve"> </w:t>
      </w:r>
      <w:r>
        <w:t xml:space="preserve">v.</w:t>
      </w:r>
      <w:r>
        <w:t xml:space="preserve"> </w:t>
      </w:r>
      <w:r>
        <w:rPr>
          <w:iCs/>
          <w:i/>
        </w:rPr>
        <w:t xml:space="preserve">Morrison,</w:t>
      </w:r>
      <w:r>
        <w:t xml:space="preserve"> </w:t>
      </w:r>
      <w:r>
        <w:t xml:space="preserve">54 Md. 429</w:t>
      </w:r>
      <w:r>
        <w:t xml:space="preserve">;</w:t>
      </w:r>
      <w:r>
        <w:t xml:space="preserve"> </w:t>
      </w:r>
      <w:r>
        <w:rPr>
          <w:iCs/>
          <w:i/>
        </w:rPr>
        <w:t xml:space="preserve">McQuillen</w:t>
      </w:r>
      <w:r>
        <w:t xml:space="preserve"> </w:t>
      </w:r>
      <w:r>
        <w:t xml:space="preserve">v.</w:t>
      </w:r>
      <w:r>
        <w:t xml:space="preserve"> </w:t>
      </w:r>
      <w:r>
        <w:rPr>
          <w:iCs/>
          <w:i/>
        </w:rPr>
        <w:t xml:space="preserve">National Cash Register Co.,</w:t>
      </w:r>
      <w:r>
        <w:t xml:space="preserve"> </w:t>
      </w:r>
      <w:r>
        <w:t xml:space="preserve">27 F. Supp. 639</w:t>
      </w:r>
      <w:r>
        <w:t xml:space="preserve">,</w:t>
      </w:r>
      <w:r>
        <w:t xml:space="preserve"> </w:t>
      </w:r>
      <w:r>
        <w:t xml:space="preserve">112 F. 2d 877</w:t>
      </w:r>
      <w:r>
        <w:t xml:space="preserve">,</w:t>
      </w:r>
      <w:r>
        <w:t xml:space="preserve"> </w:t>
      </w:r>
      <w:r>
        <w:t xml:space="preserve">311 U. S. 695</w:t>
      </w:r>
      <w:r>
        <w:t xml:space="preserve">,</w:t>
      </w:r>
      <w:r>
        <w:t xml:space="preserve"> </w:t>
      </w:r>
      <w:r>
        <w:t xml:space="preserve">311 U. S. 729</w:t>
      </w:r>
      <w:r>
        <w:t xml:space="preserve">;</w:t>
      </w:r>
      <w:r>
        <w:t xml:space="preserve"> </w:t>
      </w:r>
      <w:r>
        <w:rPr>
          <w:iCs/>
          <w:i/>
        </w:rPr>
        <w:t xml:space="preserve">Rogers</w:t>
      </w:r>
      <w:r>
        <w:t xml:space="preserve"> </w:t>
      </w:r>
      <w:r>
        <w:t xml:space="preserve">v.</w:t>
      </w:r>
      <w:r>
        <w:t xml:space="preserve"> </w:t>
      </w:r>
      <w:r>
        <w:rPr>
          <w:iCs/>
          <w:i/>
        </w:rPr>
        <w:t xml:space="preserve">Hill,</w:t>
      </w:r>
      <w:r>
        <w:t xml:space="preserve"> </w:t>
      </w:r>
      <w:r>
        <w:t xml:space="preserve">289 U. S. 582</w:t>
      </w:r>
      <w:r>
        <w:t xml:space="preserve">;</w:t>
      </w:r>
      <w:r>
        <w:t xml:space="preserve"> </w:t>
      </w:r>
      <w:r>
        <w:rPr>
          <w:iCs/>
          <w:i/>
        </w:rPr>
        <w:t xml:space="preserve">Gilbert</w:t>
      </w:r>
      <w:r>
        <w:t xml:space="preserve"> </w:t>
      </w:r>
      <w:r>
        <w:t xml:space="preserve">v.</w:t>
      </w:r>
      <w:r>
        <w:t xml:space="preserve"> </w:t>
      </w:r>
      <w:r>
        <w:rPr>
          <w:iCs/>
          <w:i/>
        </w:rPr>
        <w:t xml:space="preserve">Finch,</w:t>
      </w:r>
      <w:r>
        <w:t xml:space="preserve"> </w:t>
      </w:r>
      <w:r>
        <w:t xml:space="preserve">72 App. Div. 38</w:t>
      </w:r>
      <w:r>
        <w:t xml:space="preserve">,</w:t>
      </w:r>
      <w:r>
        <w:t xml:space="preserve"> </w:t>
      </w:r>
      <w:r>
        <w:t xml:space="preserve">173 N. Y. 455</w:t>
      </w:r>
      <w:r>
        <w:t xml:space="preserve">;</w:t>
      </w:r>
      <w:r>
        <w:t xml:space="preserve"> </w:t>
      </w:r>
      <w:r>
        <w:rPr>
          <w:iCs/>
          <w:i/>
        </w:rPr>
        <w:t xml:space="preserve">Bessilieu</w:t>
      </w:r>
      <w:r>
        <w:t xml:space="preserve"> </w:t>
      </w:r>
      <w:r>
        <w:t xml:space="preserve">v.</w:t>
      </w:r>
      <w:r>
        <w:t xml:space="preserve"> </w:t>
      </w:r>
      <w:r>
        <w:rPr>
          <w:iCs/>
          <w:i/>
        </w:rPr>
        <w:t xml:space="preserve">Brown,</w:t>
      </w:r>
      <w:r>
        <w:t xml:space="preserve"> </w:t>
      </w:r>
      <w:r>
        <w:t xml:space="preserve">177 N. C. 65</w:t>
      </w:r>
      <w:r>
        <w:t xml:space="preserve">.)</w:t>
      </w:r>
    </w:p>
    <w:p>
      <w:pPr>
        <w:pStyle w:val="CaseBody"/>
      </w:pPr>
      <w:r>
        <w:rPr>
          <w:iCs/>
          <w:i/>
        </w:rPr>
        <w:t xml:space="preserve">Harold R. Medina, Jr.,</w:t>
      </w:r>
      <w:r>
        <w:t xml:space="preserve"> </w:t>
      </w:r>
      <w:r>
        <w:t xml:space="preserve">for O. Parker McComas and another, respondents.</w:t>
      </w:r>
    </w:p>
    <w:p>
      <w:pPr>
        <w:pStyle w:val="CaseBody"/>
      </w:pPr>
      <w:r>
        <w:t xml:space="preserve">I. The old board properly used corporate funds to present their views to the stockholders and to solicit support of those views.</w:t>
      </w:r>
      <w:r>
        <w:t xml:space="preserve"> </w:t>
      </w:r>
      <w:r>
        <w:rPr>
          <w:iCs/>
          <w:i/>
        </w:rPr>
        <w:t xml:space="preserve">(Peel</w:t>
      </w:r>
      <w:r>
        <w:t xml:space="preserve"> </w:t>
      </w:r>
      <w:r>
        <w:t xml:space="preserve">v.</w:t>
      </w:r>
      <w:r>
        <w:t xml:space="preserve"> </w:t>
      </w:r>
      <w:r>
        <w:rPr>
          <w:iCs/>
          <w:i/>
        </w:rPr>
        <w:t xml:space="preserve">London &amp; North Western Ry. Co.,</w:t>
      </w:r>
      <w:r>
        <w:t xml:space="preserve"> </w:t>
      </w:r>
      <w:r>
        <w:t xml:space="preserve">[1907] 1 Ch. 5;</w:t>
      </w:r>
      <w:r>
        <w:t xml:space="preserve"> </w:t>
      </w:r>
      <w:r>
        <w:rPr>
          <w:iCs/>
          <w:i/>
        </w:rPr>
        <w:t xml:space="preserve">Hand</w:t>
      </w:r>
      <w:r>
        <w:t xml:space="preserve"> </w:t>
      </w:r>
      <w:r>
        <w:t xml:space="preserve">v.</w:t>
      </w:r>
      <w:r>
        <w:t xml:space="preserve"> </w:t>
      </w:r>
      <w:r>
        <w:rPr>
          <w:iCs/>
          <w:i/>
        </w:rPr>
        <w:t xml:space="preserve">Missouri-Kansas Pipe Line Co.,</w:t>
      </w:r>
      <w:r>
        <w:t xml:space="preserve"> </w:t>
      </w:r>
      <w:r>
        <w:t xml:space="preserve">54 F. Supp. 649</w:t>
      </w:r>
      <w:r>
        <w:t xml:space="preserve">;</w:t>
      </w:r>
      <w:r>
        <w:t xml:space="preserve"> </w:t>
      </w:r>
      <w:r>
        <w:rPr>
          <w:iCs/>
          <w:i/>
        </w:rPr>
        <w:t xml:space="preserve">Steinberg</w:t>
      </w:r>
      <w:r>
        <w:t xml:space="preserve"> </w:t>
      </w:r>
      <w:r>
        <w:t xml:space="preserve">v.</w:t>
      </w:r>
      <w:r>
        <w:t xml:space="preserve"> </w:t>
      </w:r>
      <w:r>
        <w:rPr>
          <w:iCs/>
          <w:i/>
        </w:rPr>
        <w:t xml:space="preserve">Adams,</w:t>
      </w:r>
      <w:r>
        <w:t xml:space="preserve"> </w:t>
      </w:r>
      <w:r>
        <w:t xml:space="preserve">90 F. Supp. 604</w:t>
      </w:r>
      <w:r>
        <w:t xml:space="preserve">;</w:t>
      </w:r>
      <w:r>
        <w:t xml:space="preserve"> </w:t>
      </w:r>
      <w:r>
        <w:rPr>
          <w:iCs/>
          <w:i/>
        </w:rPr>
        <w:t xml:space="preserve">Atwater</w:t>
      </w:r>
      <w:r>
        <w:t xml:space="preserve"> </w:t>
      </w:r>
      <w:r>
        <w:t xml:space="preserve">v.</w:t>
      </w:r>
      <w:r>
        <w:t xml:space="preserve"> </w:t>
      </w:r>
      <w:r>
        <w:rPr>
          <w:iCs/>
          <w:i/>
        </w:rPr>
        <w:t xml:space="preserve">Elkhorn Valley Goal-Land Co.,</w:t>
      </w:r>
      <w:r>
        <w:t xml:space="preserve"> </w:t>
      </w:r>
      <w:r>
        <w:t xml:space="preserve">184 App. Div. 253</w:t>
      </w:r>
      <w:r>
        <w:t xml:space="preserve">,</w:t>
      </w:r>
      <w:r>
        <w:t xml:space="preserve"> </w:t>
      </w:r>
      <w:r>
        <w:t xml:space="preserve">227 N. Y. 611</w:t>
      </w:r>
      <w:r>
        <w:t xml:space="preserve">;</w:t>
      </w:r>
      <w:r>
        <w:t xml:space="preserve"> </w:t>
      </w:r>
      <w:r>
        <w:rPr>
          <w:iCs/>
          <w:i/>
        </w:rPr>
        <w:t xml:space="preserve">Godley</w:t>
      </w:r>
      <w:r>
        <w:t xml:space="preserve"> </w:t>
      </w:r>
      <w:r>
        <w:t xml:space="preserve">v.</w:t>
      </w:r>
      <w:r>
        <w:t xml:space="preserve"> </w:t>
      </w:r>
      <w:r>
        <w:rPr>
          <w:iCs/>
          <w:i/>
        </w:rPr>
        <w:t xml:space="preserve">Crandall &amp; Godley Co.,</w:t>
      </w:r>
      <w:r>
        <w:t xml:space="preserve"> </w:t>
      </w:r>
      <w:r>
        <w:t xml:space="preserve">181 App. Div. 75</w:t>
      </w:r>
      <w:r>
        <w:t xml:space="preserve">,</w:t>
      </w:r>
      <w:r>
        <w:t xml:space="preserve"> </w:t>
      </w:r>
      <w:r>
        <w:t xml:space="preserve">227 N. Y. 656</w:t>
      </w:r>
      <w:r>
        <w:t xml:space="preserve">;</w:t>
      </w:r>
      <w:r>
        <w:t xml:space="preserve"> </w:t>
      </w:r>
      <w:r>
        <w:rPr>
          <w:iCs/>
          <w:i/>
        </w:rPr>
        <w:t xml:space="preserve">Rascovor</w:t>
      </w:r>
      <w:r>
        <w:t xml:space="preserve"> </w:t>
      </w:r>
      <w:r>
        <w:t xml:space="preserve">v.</w:t>
      </w:r>
      <w:r>
        <w:t xml:space="preserve"> </w:t>
      </w:r>
      <w:r>
        <w:rPr>
          <w:iCs/>
          <w:i/>
        </w:rPr>
        <w:t xml:space="preserve">American Linseed Co.,</w:t>
      </w:r>
      <w:r>
        <w:t xml:space="preserve"> </w:t>
      </w:r>
      <w:r>
        <w:t xml:space="preserve">135 F. 341</w:t>
      </w:r>
      <w:r>
        <w:t xml:space="preserve">;</w:t>
      </w:r>
      <w:r>
        <w:t xml:space="preserve"> </w:t>
      </w:r>
      <w:r>
        <w:rPr>
          <w:iCs/>
          <w:i/>
        </w:rPr>
        <w:t xml:space="preserve">Lawyers’ Adv. Co.</w:t>
      </w:r>
      <w:r>
        <w:t xml:space="preserve"> </w:t>
      </w:r>
      <w:r>
        <w:t xml:space="preserve">v.</w:t>
      </w:r>
      <w:r>
        <w:t xml:space="preserve"> </w:t>
      </w:r>
      <w:r>
        <w:rPr>
          <w:iCs/>
          <w:i/>
        </w:rPr>
        <w:t xml:space="preserve">Consolidated Ry. Lighting &amp; Refrig. Co.,</w:t>
      </w:r>
      <w:r>
        <w:t xml:space="preserve"> </w:t>
      </w:r>
      <w:r>
        <w:t xml:space="preserve">187 N. Y. 395</w:t>
      </w:r>
      <w:r>
        <w:t xml:space="preserve">.) II. Even if the old board improperly expended corporate funds in the proxy contest, the ward release was valid and therefore discharged them from all claims.</w:t>
      </w:r>
    </w:p>
    <w:p>
      <w:pPr>
        <w:pStyle w:val="CaseBody"/>
      </w:pPr>
      <w:r>
        <w:rPr>
          <w:iCs/>
          <w:i/>
        </w:rPr>
        <w:t xml:space="preserve">Jacquelin A. Swords</w:t>
      </w:r>
      <w:r>
        <w:t xml:space="preserve"> </w:t>
      </w:r>
      <w:r>
        <w:t xml:space="preserve">and</w:t>
      </w:r>
      <w:r>
        <w:t xml:space="preserve"> </w:t>
      </w:r>
      <w:r>
        <w:rPr>
          <w:iCs/>
          <w:i/>
        </w:rPr>
        <w:t xml:space="preserve">William K. Zinke</w:t>
      </w:r>
      <w:r>
        <w:t xml:space="preserve"> </w:t>
      </w:r>
      <w:r>
        <w:t xml:space="preserve">for Sherman M. Fairchild, respondent.</w:t>
      </w:r>
    </w:p>
    <w:p>
      <w:pPr>
        <w:pStyle w:val="CaseBody"/>
      </w:pPr>
      <w:r>
        <w:t xml:space="preserve">I. Management may expend corporate funds to finance a proxy contest provided the contest revolves around matters of corporate policy and provided the expenditures, under the circumstances, are reasonable.</w:t>
      </w:r>
      <w:r>
        <w:t xml:space="preserve"> </w:t>
      </w:r>
      <w:r>
        <w:rPr>
          <w:iCs/>
          <w:i/>
        </w:rPr>
        <w:t xml:space="preserve">(Peel</w:t>
      </w:r>
      <w:r>
        <w:t xml:space="preserve"> </w:t>
      </w:r>
      <w:r>
        <w:t xml:space="preserve">v.</w:t>
      </w:r>
      <w:r>
        <w:t xml:space="preserve"> </w:t>
      </w:r>
      <w:r>
        <w:rPr>
          <w:iCs/>
          <w:i/>
        </w:rPr>
        <w:t xml:space="preserve">London &amp; North Western Ry. Co.,</w:t>
      </w:r>
      <w:r>
        <w:t xml:space="preserve"> </w:t>
      </w:r>
      <w:r>
        <w:t xml:space="preserve">[1907] 1 Ch. 5;</w:t>
      </w:r>
      <w:r>
        <w:t xml:space="preserve"> </w:t>
      </w:r>
      <w:r>
        <w:rPr>
          <w:iCs/>
          <w:i/>
        </w:rPr>
        <w:t xml:space="preserve">Hall</w:t>
      </w:r>
      <w:r>
        <w:t xml:space="preserve"> </w:t>
      </w:r>
      <w:r>
        <w:t xml:space="preserve">v.</w:t>
      </w:r>
      <w:r>
        <w:t xml:space="preserve"> </w:t>
      </w:r>
      <w:r>
        <w:rPr>
          <w:iCs/>
          <w:i/>
        </w:rPr>
        <w:t xml:space="preserve">Trans-Lux Daylight Picture Screen Corp.,</w:t>
      </w:r>
      <w:r>
        <w:t xml:space="preserve"> </w:t>
      </w:r>
      <w:r>
        <w:t xml:space="preserve">20 Del. Ch. 78</w:t>
      </w:r>
      <w:r>
        <w:t xml:space="preserve">;</w:t>
      </w:r>
      <w:r>
        <w:t xml:space="preserve"> </w:t>
      </w:r>
      <w:r>
        <w:rPr>
          <w:iCs/>
          <w:i/>
        </w:rPr>
        <w:t xml:space="preserve">Hand</w:t>
      </w:r>
      <w:r>
        <w:t xml:space="preserve"> </w:t>
      </w:r>
      <w:r>
        <w:t xml:space="preserve">v.</w:t>
      </w:r>
      <w:r>
        <w:t xml:space="preserve"> </w:t>
      </w:r>
      <w:r>
        <w:rPr>
          <w:iCs/>
          <w:i/>
        </w:rPr>
        <w:t xml:space="preserve">Missouri-Kansas Pipe Line Co.,</w:t>
      </w:r>
      <w:r>
        <w:t xml:space="preserve"> </w:t>
      </w:r>
      <w:r>
        <w:t xml:space="preserve">54 F. Supp. 649</w:t>
      </w:r>
      <w:r>
        <w:t xml:space="preserve">;</w:t>
      </w:r>
      <w:r>
        <w:t xml:space="preserve"> </w:t>
      </w:r>
      <w:r>
        <w:rPr>
          <w:iCs/>
          <w:i/>
        </w:rPr>
        <w:t xml:space="preserve">Steinberg</w:t>
      </w:r>
      <w:r>
        <w:t xml:space="preserve"> </w:t>
      </w:r>
      <w:r>
        <w:t xml:space="preserve">v.</w:t>
      </w:r>
      <w:r>
        <w:t xml:space="preserve"> </w:t>
      </w:r>
      <w:r>
        <w:rPr>
          <w:iCs/>
          <w:i/>
        </w:rPr>
        <w:t xml:space="preserve">Adams,</w:t>
      </w:r>
      <w:r>
        <w:t xml:space="preserve"> </w:t>
      </w:r>
      <w:r>
        <w:t xml:space="preserve">90 F. Supp. 604</w:t>
      </w:r>
      <w:r>
        <w:t xml:space="preserve">;</w:t>
      </w:r>
      <w:r>
        <w:t xml:space="preserve"> </w:t>
      </w:r>
      <w:r>
        <w:rPr>
          <w:iCs/>
          <w:i/>
        </w:rPr>
        <w:t xml:space="preserve">Lawyers’ Adv. Co.</w:t>
      </w:r>
      <w:r>
        <w:t xml:space="preserve"> </w:t>
      </w:r>
      <w:r>
        <w:t xml:space="preserve">v.</w:t>
      </w:r>
      <w:r>
        <w:t xml:space="preserve"> </w:t>
      </w:r>
      <w:r>
        <w:rPr>
          <w:iCs/>
          <w:i/>
        </w:rPr>
        <w:t xml:space="preserve">Consolidated Ry. Lighting &amp; Refrig. Co.,</w:t>
      </w:r>
      <w:r>
        <w:t xml:space="preserve"> </w:t>
      </w:r>
      <w:r>
        <w:t xml:space="preserve">187 N. Y. 395</w:t>
      </w:r>
      <w:r>
        <w:t xml:space="preserve">;</w:t>
      </w:r>
      <w:r>
        <w:t xml:space="preserve"> </w:t>
      </w:r>
      <w:r>
        <w:rPr>
          <w:iCs/>
          <w:i/>
        </w:rPr>
        <w:t xml:space="preserve">Rascovor</w:t>
      </w:r>
      <w:r>
        <w:t xml:space="preserve"> </w:t>
      </w:r>
      <w:r>
        <w:t xml:space="preserve">v.</w:t>
      </w:r>
      <w:r>
        <w:t xml:space="preserve"> </w:t>
      </w:r>
      <w:r>
        <w:rPr>
          <w:iCs/>
          <w:i/>
        </w:rPr>
        <w:t xml:space="preserve">American Linseed Co.,</w:t>
      </w:r>
      <w:r>
        <w:t xml:space="preserve"> </w:t>
      </w:r>
      <w:r>
        <w:t xml:space="preserve">135 F. 341</w:t>
      </w:r>
      <w:r>
        <w:t xml:space="preserve">.) II. Respondent Fairchild cannot be held liable for having permitted payment of expenses incurred by the old board in connection with the proxy fight. III. Members of a stockholder’s committee successful in a proxy contest in ridding their corporation of its old management may be reimbursed by vote of majority stockholders for theii expenses.</w:t>
      </w:r>
      <w:r>
        <w:t xml:space="preserve"> </w:t>
      </w:r>
      <w:r>
        <w:rPr>
          <w:iCs/>
          <w:i/>
        </w:rPr>
        <w:t xml:space="preserve">(Murray</w:t>
      </w:r>
      <w:r>
        <w:t xml:space="preserve"> </w:t>
      </w:r>
      <w:r>
        <w:t xml:space="preserve">v.</w:t>
      </w:r>
      <w:r>
        <w:t xml:space="preserve"> </w:t>
      </w:r>
      <w:r>
        <w:rPr>
          <w:iCs/>
          <w:i/>
        </w:rPr>
        <w:t xml:space="preserve">Requardt,</w:t>
      </w:r>
      <w:r>
        <w:t xml:space="preserve"> </w:t>
      </w:r>
      <w:r>
        <w:t xml:space="preserve">180 Md. 245</w:t>
      </w:r>
      <w:r>
        <w:t xml:space="preserve">;</w:t>
      </w:r>
      <w:r>
        <w:t xml:space="preserve"> </w:t>
      </w:r>
      <w:r>
        <w:rPr>
          <w:iCs/>
          <w:i/>
        </w:rPr>
        <w:t xml:space="preserve">Pollitz</w:t>
      </w:r>
      <w:r>
        <w:t xml:space="preserve"> </w:t>
      </w:r>
      <w:r>
        <w:t xml:space="preserve">v.</w:t>
      </w:r>
      <w:r>
        <w:t xml:space="preserve"> </w:t>
      </w:r>
      <w:r>
        <w:rPr>
          <w:iCs/>
          <w:i/>
        </w:rPr>
        <w:t xml:space="preserve">Wabash R. R. Co.,</w:t>
      </w:r>
      <w:r>
        <w:t xml:space="preserve"> </w:t>
      </w:r>
      <w:r>
        <w:t xml:space="preserve">207 N. Y. 113</w:t>
      </w:r>
      <w:r>
        <w:t xml:space="preserve">;</w:t>
      </w:r>
      <w:r>
        <w:t xml:space="preserve"> </w:t>
      </w:r>
      <w:r>
        <w:rPr>
          <w:iCs/>
          <w:i/>
        </w:rPr>
        <w:t xml:space="preserve">Trustees</w:t>
      </w:r>
      <w:r>
        <w:t xml:space="preserve"> </w:t>
      </w:r>
      <w:r>
        <w:t xml:space="preserve">v.</w:t>
      </w:r>
      <w:r>
        <w:t xml:space="preserve"> </w:t>
      </w:r>
      <w:r>
        <w:rPr>
          <w:iCs/>
          <w:i/>
        </w:rPr>
        <w:t xml:space="preserve">Greenough,</w:t>
      </w:r>
      <w:r>
        <w:t xml:space="preserve"> </w:t>
      </w:r>
      <w:r>
        <w:t xml:space="preserve">105 U. S. 527</w:t>
      </w:r>
      <w:r>
        <w:t xml:space="preserve">:</w:t>
      </w:r>
      <w:r>
        <w:t xml:space="preserve"> </w:t>
      </w:r>
      <w:r>
        <w:rPr>
          <w:iCs/>
          <w:i/>
        </w:rPr>
        <w:t xml:space="preserve">Sprague</w:t>
      </w:r>
      <w:r>
        <w:t xml:space="preserve"> </w:t>
      </w:r>
      <w:r>
        <w:t xml:space="preserve">v.</w:t>
      </w:r>
      <w:r>
        <w:t xml:space="preserve"> </w:t>
      </w:r>
      <w:r>
        <w:rPr>
          <w:iCs/>
          <w:i/>
        </w:rPr>
        <w:t xml:space="preserve">Ticonic Bank,</w:t>
      </w:r>
      <w:r>
        <w:t xml:space="preserve"> </w:t>
      </w:r>
      <w:r>
        <w:t xml:space="preserve">307 U. S. 161</w:t>
      </w:r>
      <w:r>
        <w:t xml:space="preserve">.) IV. The proxy statement accompanying the notice of the 1950 annual stockholders meeting, at which the reimbursement was approved, was not false or misleading.</w:t>
      </w:r>
      <w:r>
        <w:t xml:space="preserve"> </w:t>
      </w:r>
      <w:r>
        <w:rPr>
          <w:iCs/>
          <w:i/>
        </w:rPr>
        <w:t xml:space="preserve">(Koplar</w:t>
      </w:r>
      <w:r>
        <w:t xml:space="preserve"> </w:t>
      </w:r>
      <w:r>
        <w:t xml:space="preserve">v.</w:t>
      </w:r>
      <w:r>
        <w:t xml:space="preserve"> </w:t>
      </w:r>
      <w:r>
        <w:rPr>
          <w:iCs/>
          <w:i/>
        </w:rPr>
        <w:t xml:space="preserve">Warner Bros. Pictures,</w:t>
      </w:r>
      <w:r>
        <w:t xml:space="preserve"> </w:t>
      </w:r>
      <w:r>
        <w:t xml:space="preserve">19 F. Supp 173</w:t>
      </w:r>
      <w:r>
        <w:t xml:space="preserve">;</w:t>
      </w:r>
      <w:r>
        <w:t xml:space="preserve"> </w:t>
      </w:r>
      <w:r>
        <w:rPr>
          <w:iCs/>
          <w:i/>
        </w:rPr>
        <w:t xml:space="preserve">Doyle</w:t>
      </w:r>
      <w:r>
        <w:t xml:space="preserve"> </w:t>
      </w:r>
      <w:r>
        <w:t xml:space="preserve">v.</w:t>
      </w:r>
      <w:r>
        <w:t xml:space="preserve"> </w:t>
      </w:r>
      <w:r>
        <w:rPr>
          <w:iCs/>
          <w:i/>
        </w:rPr>
        <w:t xml:space="preserve">Milton,</w:t>
      </w:r>
      <w:r>
        <w:t xml:space="preserve"> </w:t>
      </w:r>
      <w:r>
        <w:t xml:space="preserve">73 F. Supp. 281</w:t>
      </w:r>
      <w:r>
        <w:t xml:space="preserve">.)</w:t>
      </w:r>
    </w:p>
    <w:p>
      <w:pPr>
        <w:pStyle w:val="CaseBody"/>
      </w:pPr>
      <w:r>
        <w:rPr>
          <w:iCs/>
          <w:i/>
        </w:rPr>
        <w:t xml:space="preserve">Samuel J. Silverman</w:t>
      </w:r>
      <w:r>
        <w:t xml:space="preserve"> </w:t>
      </w:r>
      <w:r>
        <w:t xml:space="preserve">for James A. Allis, respondent.</w:t>
      </w:r>
    </w:p>
    <w:p>
      <w:pPr>
        <w:pStyle w:val="CaseBody"/>
      </w:pPr>
      <w:r>
        <w:t xml:space="preserve">Respondent Allis acted both prudently and reasonably in a situation in which neither bis good faith nor his disinterestedness if questioned; he merely exercised his best judgment on a corporate problem, receiving no personal benefit from it. In these circumstances, there can be no recovery as against Allis for any part of the sums expended.</w:t>
      </w:r>
      <w:r>
        <w:t xml:space="preserve"> </w:t>
      </w:r>
      <w:r>
        <w:rPr>
          <w:iCs/>
          <w:i/>
        </w:rPr>
        <w:t xml:space="preserve">(Blaustein</w:t>
      </w:r>
      <w:r>
        <w:t xml:space="preserve"> </w:t>
      </w:r>
      <w:r>
        <w:t xml:space="preserve">v.</w:t>
      </w:r>
      <w:r>
        <w:t xml:space="preserve"> </w:t>
      </w:r>
      <w:r>
        <w:rPr>
          <w:iCs/>
          <w:i/>
        </w:rPr>
        <w:t xml:space="preserve">Pan Amer. Petroleum &amp; Transport Co.,</w:t>
      </w:r>
      <w:r>
        <w:t xml:space="preserve"> </w:t>
      </w:r>
      <w:r>
        <w:t xml:space="preserve">263 App. Div. 97</w:t>
      </w:r>
      <w:r>
        <w:t xml:space="preserve">,</w:t>
      </w:r>
      <w:r>
        <w:t xml:space="preserve"> </w:t>
      </w:r>
      <w:r>
        <w:t xml:space="preserve">293 N. Y. 281</w:t>
      </w:r>
      <w:r>
        <w:t xml:space="preserve">;</w:t>
      </w:r>
      <w:r>
        <w:t xml:space="preserve"> </w:t>
      </w:r>
      <w:r>
        <w:rPr>
          <w:iCs/>
          <w:i/>
        </w:rPr>
        <w:t xml:space="preserve">Carr</w:t>
      </w:r>
      <w:r>
        <w:t xml:space="preserve"> </w:t>
      </w:r>
      <w:r>
        <w:t xml:space="preserve">v.</w:t>
      </w:r>
      <w:r>
        <w:t xml:space="preserve"> </w:t>
      </w:r>
      <w:r>
        <w:rPr>
          <w:iCs/>
          <w:i/>
        </w:rPr>
        <w:t xml:space="preserve">Kimball,</w:t>
      </w:r>
      <w:r>
        <w:t xml:space="preserve"> </w:t>
      </w:r>
      <w:r>
        <w:t xml:space="preserve">153 App. Div. 825</w:t>
      </w:r>
      <w:r>
        <w:t xml:space="preserve">,</w:t>
      </w:r>
      <w:r>
        <w:t xml:space="preserve"> </w:t>
      </w:r>
      <w:r>
        <w:t xml:space="preserve">215 N. Y. 634</w:t>
      </w:r>
      <w:r>
        <w:t xml:space="preserve">;</w:t>
      </w:r>
      <w:r>
        <w:t xml:space="preserve"> </w:t>
      </w:r>
      <w:r>
        <w:rPr>
          <w:iCs/>
          <w:i/>
        </w:rPr>
        <w:t xml:space="preserve">Matter of Horowitz,</w:t>
      </w:r>
      <w:r>
        <w:t xml:space="preserve"> </w:t>
      </w:r>
      <w:r>
        <w:t xml:space="preserve">272 App. Div. 942</w:t>
      </w:r>
      <w:r>
        <w:t xml:space="preserve">,</w:t>
      </w:r>
      <w:r>
        <w:t xml:space="preserve"> </w:t>
      </w:r>
      <w:r>
        <w:t xml:space="preserve">297 N. Y. 252</w:t>
      </w:r>
      <w:r>
        <w:t xml:space="preserve">;</w:t>
      </w:r>
      <w:r>
        <w:t xml:space="preserve"> </w:t>
      </w:r>
      <w:r>
        <w:rPr>
          <w:iCs/>
          <w:i/>
        </w:rPr>
        <w:t xml:space="preserve">Simon</w:t>
      </w:r>
      <w:r>
        <w:t xml:space="preserve"> </w:t>
      </w:r>
      <w:r>
        <w:t xml:space="preserve">v.</w:t>
      </w:r>
      <w:r>
        <w:t xml:space="preserve"> </w:t>
      </w:r>
      <w:r>
        <w:rPr>
          <w:iCs/>
          <w:i/>
        </w:rPr>
        <w:t xml:space="preserve">Socony-Vacuum Oil Co.,</w:t>
      </w:r>
      <w:r>
        <w:t xml:space="preserve"> </w:t>
      </w:r>
      <w:r>
        <w:t xml:space="preserve">179 Misc. 202</w:t>
      </w:r>
      <w:r>
        <w:t xml:space="preserve">,</w:t>
      </w:r>
      <w:r>
        <w:t xml:space="preserve"> </w:t>
      </w:r>
      <w:r>
        <w:t xml:space="preserve">267 App. Div. 890</w:t>
      </w:r>
      <w:r>
        <w:t xml:space="preserve">;</w:t>
      </w:r>
      <w:r>
        <w:t xml:space="preserve"> </w:t>
      </w:r>
      <w:r>
        <w:rPr>
          <w:iCs/>
          <w:i/>
        </w:rPr>
        <w:t xml:space="preserve">Macdougall</w:t>
      </w:r>
      <w:r>
        <w:t xml:space="preserve"> </w:t>
      </w:r>
      <w:r>
        <w:t xml:space="preserve">v.</w:t>
      </w:r>
      <w:r>
        <w:t xml:space="preserve"> </w:t>
      </w:r>
      <w:r>
        <w:rPr>
          <w:iCs/>
          <w:i/>
        </w:rPr>
        <w:t xml:space="preserve">Gardiner,</w:t>
      </w:r>
      <w:r>
        <w:t xml:space="preserve"> </w:t>
      </w:r>
      <w:r>
        <w:t xml:space="preserve">1 Ch. D. 13.)</w:t>
      </w:r>
    </w:p>
    <w:p>
      <w:pPr>
        <w:pStyle w:val="CaseBody"/>
      </w:pPr>
      <w:r>
        <w:t xml:space="preserve">Froessel, J.</w:t>
      </w:r>
    </w:p>
    <w:p>
      <w:pPr>
        <w:pStyle w:val="CaseBody"/>
      </w:pPr>
      <w:r>
        <w:t xml:space="preserve">In a stockholder’s derivative action brought by plaintiff, an attorney, who owns 25 out of the company’s over 2,300,000 shares, he seeks to compel the return of $261,522, paid out of the corporate treasury to reimburse both sides in a proxy contest for their expenses. The Appellate Division has unanimously affirmed a judgment of an Official Referee dismissing plaintiff’s complaint on the merits, and we agree. Exhaustive opinions were written by both courts below, and it will serve no useful purpose to review the facts again.</w:t>
      </w:r>
    </w:p>
    <w:p>
      <w:pPr>
        <w:pStyle w:val="CaseBody"/>
      </w:pPr>
      <w:r>
        <w:t xml:space="preserve">Of the amount in controversy $106,000 were spent out of corporate funds by the old board of directors while still in office in defense of their position in said contest; $28,000 were paid to the old board by the new board after the change of management following the proxy contest, to compensate the former directors for such of the remaining expenses of their unsuccessful defense as the new board found was fair and reasonable; payment of $127,000, representing reimbursement of expenses to members of the prevailing group, was expressly ratified by a 16 to 1 majority vote of the stockholders.</w:t>
      </w:r>
    </w:p>
    <w:p>
      <w:pPr>
        <w:pStyle w:val="CaseBody"/>
      </w:pPr>
      <w:r>
        <w:t xml:space="preserve">The essential facts are not in dispute, and, since the determinations below are amply supported by the evidence, we are bound by the findings affirmed by the Appellate Division. The Appellate Division found that the difference between plaintiff’s group and the old board</w:t>
      </w:r>
      <w:r>
        <w:t xml:space="preserve"> </w:t>
      </w:r>
      <w:r>
        <w:rPr>
          <w:iCs/>
          <w:i/>
        </w:rPr>
        <w:t xml:space="preserve">“</w:t>
      </w:r>
      <w:r>
        <w:t xml:space="preserve"> </w:t>
      </w:r>
      <w:r>
        <w:t xml:space="preserve">went deep into the policies of the company ”, and that among these Ward’s contract was one of the</w:t>
      </w:r>
      <w:r>
        <w:t xml:space="preserve"> </w:t>
      </w:r>
      <w:r>
        <w:rPr>
          <w:iCs/>
          <w:i/>
        </w:rPr>
        <w:t xml:space="preserve">“</w:t>
      </w:r>
      <w:r>
        <w:t xml:space="preserve"> </w:t>
      </w:r>
      <w:r>
        <w:t xml:space="preserve">main points of contention ”. The Official Referee found that the controversy ‘</w:t>
      </w:r>
      <w:r>
        <w:t xml:space="preserve"> </w:t>
      </w:r>
      <w:r>
        <w:rPr>
          <w:iCs/>
          <w:i/>
        </w:rPr>
        <w:t xml:space="preserve">‘</w:t>
      </w:r>
      <w:r>
        <w:t xml:space="preserve"> </w:t>
      </w:r>
      <w:r>
        <w:t xml:space="preserve">was based on an understandable difference in policy between the two groups, at the very bottom of which was the Ward employment contract ”,</w:t>
      </w:r>
    </w:p>
    <w:p>
      <w:pPr>
        <w:pStyle w:val="CaseBody"/>
      </w:pPr>
      <w:r>
        <w:t xml:space="preserve">By way of contrast with the findings here, in</w:t>
      </w:r>
      <w:r>
        <w:t xml:space="preserve"> </w:t>
      </w:r>
      <w:r>
        <w:rPr>
          <w:iCs/>
          <w:i/>
        </w:rPr>
        <w:t xml:space="preserve">Lawyers’ Adv. Co.</w:t>
      </w:r>
      <w:r>
        <w:t xml:space="preserve"> </w:t>
      </w:r>
      <w:r>
        <w:t xml:space="preserve">v.</w:t>
      </w:r>
      <w:r>
        <w:t xml:space="preserve"> </w:t>
      </w:r>
      <w:r>
        <w:rPr>
          <w:iCs/>
          <w:i/>
        </w:rPr>
        <w:t xml:space="preserve">Consolidated Ry. Lighting &amp; Refrig. Co.</w:t>
      </w:r>
      <w:r>
        <w:t xml:space="preserve"> </w:t>
      </w:r>
      <w:r>
        <w:t xml:space="preserve">(</w:t>
      </w:r>
      <w:r>
        <w:t xml:space="preserve">187 N. Y. 395</w:t>
      </w:r>
      <w:r>
        <w:t xml:space="preserve">), which was an action to recover for the cost of publishing newspaper notices not authorized by the board of directors, it was expressly found that the proxy contest there involved was ‘1 by one faction in its contest with another for the control of the corporation *</w:t>
      </w:r>
      <w:r>
        <w:t xml:space="preserve"> </w:t>
      </w:r>
      <w:r>
        <w:rPr>
          <w:iCs/>
          <w:i/>
        </w:rPr>
        <w:t xml:space="preserve">*</w:t>
      </w:r>
      <w:r>
        <w:t xml:space="preserve"> </w:t>
      </w:r>
      <w:r>
        <w:t xml:space="preserve">* a contest for the perpetuation of their offices and control ” (p. 399). We there said by way of</w:t>
      </w:r>
      <w:r>
        <w:t xml:space="preserve"> </w:t>
      </w:r>
      <w:r>
        <w:rPr>
          <w:iCs/>
          <w:i/>
        </w:rPr>
        <w:t xml:space="preserve">dicta</w:t>
      </w:r>
      <w:r>
        <w:t xml:space="preserve"> </w:t>
      </w:r>
      <w:r>
        <w:t xml:space="preserve">that under</w:t>
      </w:r>
      <w:r>
        <w:t xml:space="preserve"> </w:t>
      </w:r>
      <w:r>
        <w:rPr>
          <w:iCs/>
          <w:i/>
        </w:rPr>
        <w:t xml:space="preserve">such</w:t>
      </w:r>
      <w:r>
        <w:t xml:space="preserve"> </w:t>
      </w:r>
      <w:r>
        <w:t xml:space="preserve">circumstances the publication of certain notices on behalf of the management faction was not a corporate expenditure which the directors had the power to authorize.</w:t>
      </w:r>
    </w:p>
    <w:p>
      <w:pPr>
        <w:pStyle w:val="CaseBody"/>
      </w:pPr>
      <w:r>
        <w:t xml:space="preserve">Other jurisdictions and our own lower courts have held that management may look to the corporate treasury for the reasonable expenses of soliciting proxies to defend its position in a bona fide policy contest</w:t>
      </w:r>
      <w:r>
        <w:t xml:space="preserve"> </w:t>
      </w:r>
      <w:r>
        <w:rPr>
          <w:iCs/>
          <w:i/>
        </w:rPr>
        <w:t xml:space="preserve">(Peel</w:t>
      </w:r>
      <w:r>
        <w:t xml:space="preserve"> </w:t>
      </w:r>
      <w:r>
        <w:t xml:space="preserve">v.</w:t>
      </w:r>
      <w:r>
        <w:t xml:space="preserve"> </w:t>
      </w:r>
      <w:r>
        <w:rPr>
          <w:iCs/>
          <w:i/>
        </w:rPr>
        <w:t xml:space="preserve">London &amp; North Western Ry. Co.,</w:t>
      </w:r>
      <w:r>
        <w:t xml:space="preserve"> </w:t>
      </w:r>
      <w:r>
        <w:t xml:space="preserve">[1907] 1 Ch. 5;</w:t>
      </w:r>
      <w:r>
        <w:t xml:space="preserve"> </w:t>
      </w:r>
      <w:r>
        <w:rPr>
          <w:iCs/>
          <w:i/>
        </w:rPr>
        <w:t xml:space="preserve">Kadel</w:t>
      </w:r>
      <w:r>
        <w:t xml:space="preserve"> </w:t>
      </w:r>
      <w:r>
        <w:t xml:space="preserve">v.</w:t>
      </w:r>
      <w:r>
        <w:t xml:space="preserve"> </w:t>
      </w:r>
      <w:r>
        <w:rPr>
          <w:iCs/>
          <w:i/>
        </w:rPr>
        <w:t xml:space="preserve">Segal Lock &amp; Hdwe. Co.,</w:t>
      </w:r>
      <w:r>
        <w:t xml:space="preserve"> </w:t>
      </w:r>
      <w:r>
        <w:t xml:space="preserve">N. Y. L. J., Sept. 21, 1953, p. 488, col. 4 [Sup. Ct., N. Y. Co.];</w:t>
      </w:r>
      <w:r>
        <w:t xml:space="preserve"> </w:t>
      </w:r>
      <w:r>
        <w:rPr>
          <w:iCs/>
          <w:i/>
        </w:rPr>
        <w:t xml:space="preserve">McGoldrick</w:t>
      </w:r>
      <w:r>
        <w:t xml:space="preserve"> </w:t>
      </w:r>
      <w:r>
        <w:t xml:space="preserve">v.</w:t>
      </w:r>
      <w:r>
        <w:t xml:space="preserve"> </w:t>
      </w:r>
      <w:r>
        <w:rPr>
          <w:iCs/>
          <w:i/>
        </w:rPr>
        <w:t xml:space="preserve">Segal,</w:t>
      </w:r>
      <w:r>
        <w:t xml:space="preserve"> </w:t>
      </w:r>
      <w:r>
        <w:t xml:space="preserve">N. Y. L. J., Sept. 14, 1950, p. 461, col. 2 [Sup. Ct., N. Y. Co.];</w:t>
      </w:r>
      <w:r>
        <w:t xml:space="preserve"> </w:t>
      </w:r>
      <w:r>
        <w:rPr>
          <w:iCs/>
          <w:i/>
        </w:rPr>
        <w:t xml:space="preserve">Matter of Zickl,</w:t>
      </w:r>
      <w:r>
        <w:t xml:space="preserve"> </w:t>
      </w:r>
      <w:r>
        <w:t xml:space="preserve">73 N. Y. S. 2d 181</w:t>
      </w:r>
      <w:r>
        <w:t xml:space="preserve">,185;</w:t>
      </w:r>
      <w:r>
        <w:t xml:space="preserve"> </w:t>
      </w:r>
      <w:r>
        <w:rPr>
          <w:iCs/>
          <w:i/>
        </w:rPr>
        <w:t xml:space="preserve">Howard</w:t>
      </w:r>
      <w:r>
        <w:t xml:space="preserve"> </w:t>
      </w:r>
      <w:r>
        <w:t xml:space="preserve">v.</w:t>
      </w:r>
      <w:r>
        <w:t xml:space="preserve"> </w:t>
      </w:r>
      <w:r>
        <w:rPr>
          <w:iCs/>
          <w:i/>
        </w:rPr>
        <w:t xml:space="preserve">Segal Lock &amp; Hdwe. Co.,</w:t>
      </w:r>
      <w:r>
        <w:t xml:space="preserve"> </w:t>
      </w:r>
      <w:r>
        <w:t xml:space="preserve">N. Y. L. J., Feb. 13, 1953, p. 496, col. 6 [City Ct., N. Y. Co.];</w:t>
      </w:r>
      <w:r>
        <w:t xml:space="preserve"> </w:t>
      </w:r>
      <w:r>
        <w:rPr>
          <w:iCs/>
          <w:i/>
        </w:rPr>
        <w:t xml:space="preserve">Appeal Print. Co.</w:t>
      </w:r>
      <w:r>
        <w:t xml:space="preserve"> </w:t>
      </w:r>
      <w:r>
        <w:t xml:space="preserve">v.</w:t>
      </w:r>
      <w:r>
        <w:t xml:space="preserve"> </w:t>
      </w:r>
      <w:r>
        <w:rPr>
          <w:iCs/>
          <w:i/>
        </w:rPr>
        <w:t xml:space="preserve">Segal Lock &amp; Hdwe. Co.,</w:t>
      </w:r>
      <w:r>
        <w:t xml:space="preserve"> </w:t>
      </w:r>
      <w:r>
        <w:t xml:space="preserve">N. Y. L. J., Dec. 22, 1952, p. 1563, col. 3 [City Ct., N. Y. Co.];</w:t>
      </w:r>
      <w:r>
        <w:t xml:space="preserve"> </w:t>
      </w:r>
      <w:r>
        <w:rPr>
          <w:iCs/>
          <w:i/>
        </w:rPr>
        <w:t xml:space="preserve">Steinberg</w:t>
      </w:r>
      <w:r>
        <w:t xml:space="preserve"> </w:t>
      </w:r>
      <w:r>
        <w:t xml:space="preserve">v.</w:t>
      </w:r>
      <w:r>
        <w:t xml:space="preserve"> </w:t>
      </w:r>
      <w:r>
        <w:rPr>
          <w:iCs/>
          <w:i/>
        </w:rPr>
        <w:t xml:space="preserve">Adams,</w:t>
      </w:r>
      <w:r>
        <w:t xml:space="preserve"> </w:t>
      </w:r>
      <w:r>
        <w:t xml:space="preserve">90 F. Supp. 604</w:t>
      </w:r>
      <w:r>
        <w:t xml:space="preserve"> </w:t>
      </w:r>
      <w:r>
        <w:t xml:space="preserve">[S. D. N. Y.];</w:t>
      </w:r>
      <w:r>
        <w:t xml:space="preserve"> </w:t>
      </w:r>
      <w:r>
        <w:rPr>
          <w:iCs/>
          <w:i/>
        </w:rPr>
        <w:t xml:space="preserve">Hand</w:t>
      </w:r>
      <w:r>
        <w:t xml:space="preserve"> </w:t>
      </w:r>
      <w:r>
        <w:t xml:space="preserve">v.</w:t>
      </w:r>
      <w:r>
        <w:t xml:space="preserve"> </w:t>
      </w:r>
      <w:r>
        <w:rPr>
          <w:iCs/>
          <w:i/>
        </w:rPr>
        <w:t xml:space="preserve">Missouri-Kansas Pipe Line Co.,</w:t>
      </w:r>
      <w:r>
        <w:t xml:space="preserve"> </w:t>
      </w:r>
      <w:r>
        <w:t xml:space="preserve">54 F. Supp. 649</w:t>
      </w:r>
      <w:r>
        <w:t xml:space="preserve"> </w:t>
      </w:r>
      <w:r>
        <w:t xml:space="preserve">[D. Del.];</w:t>
      </w:r>
      <w:r>
        <w:t xml:space="preserve"> </w:t>
      </w:r>
      <w:r>
        <w:rPr>
          <w:iCs/>
          <w:i/>
        </w:rPr>
        <w:t xml:space="preserve">Empire So. Gas Co.</w:t>
      </w:r>
      <w:r>
        <w:t xml:space="preserve"> </w:t>
      </w:r>
      <w:r>
        <w:t xml:space="preserve">v.</w:t>
      </w:r>
      <w:r>
        <w:t xml:space="preserve"> </w:t>
      </w:r>
      <w:r>
        <w:rPr>
          <w:iCs/>
          <w:i/>
        </w:rPr>
        <w:t xml:space="preserve">Gray,</w:t>
      </w:r>
      <w:r>
        <w:t xml:space="preserve"> </w:t>
      </w:r>
      <w:r>
        <w:t xml:space="preserve">29 Del. Ch. 95</w:t>
      </w:r>
      <w:r>
        <w:t xml:space="preserve">;</w:t>
      </w:r>
      <w:r>
        <w:t xml:space="preserve"> </w:t>
      </w:r>
      <w:r>
        <w:rPr>
          <w:iCs/>
          <w:i/>
        </w:rPr>
        <w:t xml:space="preserve">Hall</w:t>
      </w:r>
      <w:r>
        <w:t xml:space="preserve"> </w:t>
      </w:r>
      <w:r>
        <w:t xml:space="preserve">v.</w:t>
      </w:r>
      <w:r>
        <w:t xml:space="preserve"> </w:t>
      </w:r>
      <w:r>
        <w:rPr>
          <w:iCs/>
          <w:i/>
        </w:rPr>
        <w:t xml:space="preserve">Trans-Lux Daylight Picture Screen Corp.,</w:t>
      </w:r>
      <w:r>
        <w:t xml:space="preserve"> </w:t>
      </w:r>
      <w:r>
        <w:t xml:space="preserve">20 Del. Ch. 78</w:t>
      </w:r>
      <w:r>
        <w:t xml:space="preserve">).</w:t>
      </w:r>
    </w:p>
    <w:p>
      <w:pPr>
        <w:pStyle w:val="CaseBody"/>
      </w:pPr>
      <w:r>
        <w:t xml:space="preserve">It should be noted that plaintiff does not argue that the aforementioned sums were fraudulently extracted from the corporation ; indeed, his counsel conceded that ‘</w:t>
      </w:r>
      <w:r>
        <w:t xml:space="preserve"> </w:t>
      </w:r>
      <w:r>
        <w:rPr>
          <w:iCs/>
          <w:i/>
        </w:rPr>
        <w:t xml:space="preserve">‘</w:t>
      </w:r>
      <w:r>
        <w:t xml:space="preserve"> </w:t>
      </w:r>
      <w:r>
        <w:t xml:space="preserve">the charges were fair and reasonable ’ ’, but denied ‘ ‘ they were legal charges which may be reimbursed for ”. This is therefore not a case where a stockholder challenges specific items, which, on examination, the trial court may find unwarranted, excessive or otherwise improper. Had plaintiff made such objections here, the trial court would have been required to examine the items challenged.</w:t>
      </w:r>
    </w:p>
    <w:p>
      <w:pPr>
        <w:pStyle w:val="CaseBody"/>
      </w:pPr>
      <w:r>
        <w:t xml:space="preserve">If directors of a corporation may not in good faith incur reasonable and proper expenses in soliciting proxies in these days of giant corporations with vast numbers of stockholders, the corporate business might be seriously interfered with because of stockholder indifference and the difficulty of procuring a quorum, where there is no contest. In the event of a proxy contest, if the directors may not freely answer the challenges of outside groups and in good faith defend their actions with respect to corporate policy for the information of the stockholders, they and the corporation may be at the mercy of persons seeking to wrest control for their own purposes, so long as such persons have ample funds to conduct a proxy contest. The test is clear. When the directors act in good faith in a contest over policy, they have the right to incur reasonable and proper expenses for solicitation of proxies and in defense of their corporate policies, and are not obliged to sit idly by. The courts are entirely competent to pass upon their</w:t>
      </w:r>
      <w:r>
        <w:t xml:space="preserve"> </w:t>
      </w:r>
      <w:r>
        <w:rPr>
          <w:iCs/>
          <w:i/>
        </w:rPr>
        <w:t xml:space="preserve">bona fides</w:t>
      </w:r>
      <w:r>
        <w:t xml:space="preserve"> </w:t>
      </w:r>
      <w:r>
        <w:t xml:space="preserve">in any given cast/, as well as the nature of their expenditures when duly challenged.</w:t>
      </w:r>
    </w:p>
    <w:p>
      <w:pPr>
        <w:pStyle w:val="CaseBody"/>
      </w:pPr>
      <w:r>
        <w:t xml:space="preserve">It is also our view that the members of the so-called new group could be reimbursed by the corporation for their expenditures in this contest by affirmative vote of the stockholders. With regard to these ultimately successful contestants, as the Appellate Division below has noted, there was, of course, “ no duty * * * to set forth the facts, with corresponding obligation of the corporation to pay for such expense ”. However, where a majority of the stockholders chose — in this case by a vote of 16 to 1 — to reimburse the successful contestants for achieving the very end sought and voted for by them as owners of the corporation, we see no reason to deny the effect of their ratification nor to hold the corporate body powerless to determine how , its own moneys shall be spent.</w:t>
      </w:r>
    </w:p>
    <w:p>
      <w:pPr>
        <w:pStyle w:val="CaseBody"/>
      </w:pPr>
      <w:r>
        <w:t xml:space="preserve">The rule then which we adopt is simply this: In a contest over policy, as compared to a purely personal power contest, corporate directors have the right to make reasonable and proper expenditures,- subject to the scrutiny of the courts when duly challenged, from the corporate treasury for the purpose of persuading the stockholders of the correctness of their position and soliciting their support for policies which the directors believe, in all good faith, are in the best interests of the corporation. The stockholders, moreover, have the right to reimburse successful contestants for the reasonable and bona fide expenses incurred by them in any such policy contest, subject to like court scrutiny. That is not to say, however, that corporate directors can, under any circumstances, disport themselves in a proxy contest with the corporation’s moneys to an unlimited extent. Where it is established that such moneys have been spent for personal power, individual gain or private advantage, and not in the belief that such expenditures are in the best interests of the stockholders and the corporation, or where the fairness and reasonableness of the amounts allegedly expended are duly and successfully challenged, the courts ivill not hesitate to disallow them.</w:t>
      </w:r>
    </w:p>
    <w:p>
      <w:pPr>
        <w:pStyle w:val="CaseBody"/>
      </w:pPr>
      <w:r>
        <w:t xml:space="preserve">The judgment of the Appellate Division should be affirmed, without costs.</w:t>
      </w:r>
    </w:p>
    <w:p>
      <w:pPr>
        <w:pStyle w:val="CaseBody"/>
      </w:pPr>
      <w:r>
        <w:t xml:space="preserve">Desmond, J.</w:t>
      </w:r>
    </w:p>
    <w:p>
      <w:pPr>
        <w:pStyle w:val="CaseBody"/>
      </w:pPr>
      <w:r>
        <w:t xml:space="preserve">(concurring). We granted leave to appeal in an effort to pass, and in the expectation of passing, on this question, highly important in modern-day corporation law: is it lawful for a corporation, on consent of a majority of its stockholders, to pay, out of its funds, the expenses of a “ proxy fight ”, incurred by competing candidates for election as directors? Now that the appeal has been argued, I doubt that the question is presented by this record. The defendants served' were Allis who was on the old board but was re-elected to the new board, McOomas and Wilson, defeated members of the old board, and Fairchild, leader of the victorious group and largest, stockholder in the corporation. The expenses of the old board, or management group, in the proxy fight, were about $134,000,. and those of the victorious Fairchild group amounted to about $127,500. In the end, the corporation paid both those sums, and it is for the reimbursement thereof, to the corporation, that this stockholder’s derivative action is brought. Of the proxy fight expenses of the management slate, about $106,000 was paid out on authorization of the old board while the old directors were still in office. The balance of those charges, as well as the whole of the expenses of the new, and successful, Fairchild group, was paid by the corporation after the new directors had taken over and after a majority of stockholders had approved such expenditures. The election had been fought out on a number of issues, chief of which concerned a contract which Ward (a defendant' not served), who was a director and the principal executive officer of the company, had obtained from the corporation, covering compensation for, and other conditions of, his own services. . Each side, in the campaign for proxies, charged the other with seeking to perpetuate, or grasp, control of the corporation. The Fairchild group won the election by a stock vote of about two-to-one, and obtained, at the next annual stockholders’ meeting and by a much larger vote, authorization to make the payments above described.</w:t>
      </w:r>
    </w:p>
    <w:p>
      <w:pPr>
        <w:pStyle w:val="CaseBody"/>
      </w:pPr>
      <w:r>
        <w:t xml:space="preserve">Plaintiff asserts that it was illegal for the directors (unless, by unanimous consent of stockholders) to expend corporate moneys in the proxy contest beyond the amounts necessary to give to stockholders bare notice of the meeting and of the matters to be voted on thereat. Defendants say that the proxy contest revolved around disputes over corporate policies and that it was, accordingly, proper not only to assess against the corporation the expense of serving formal notices and of routine proxy solicitation, but to go further and spend corporate moneys, on behalf of each group, thoroughly to inform the stockholders. The reason why that important question is, perhaps, not directly before us in this lawsuit is because, as the Appellate Division properly held, plaintiff failed</w:t>
      </w:r>
      <w:r>
        <w:t xml:space="preserve"> </w:t>
      </w:r>
      <w:r>
        <w:rPr>
          <w:iCs/>
          <w:i/>
        </w:rPr>
        <w:t xml:space="preserve">“</w:t>
      </w:r>
      <w:r>
        <w:t xml:space="preserve"> </w:t>
      </w:r>
      <w:r>
        <w:t xml:space="preserve">to urge liability as to specific expenditures ”. The cost of giving routinely necessary notice is, of course, chargeable to the corporation. It is just as clear, we think, that payment by a corporation of the expense of</w:t>
      </w:r>
      <w:r>
        <w:t xml:space="preserve"> </w:t>
      </w:r>
      <w:r>
        <w:rPr>
          <w:iCs/>
          <w:i/>
        </w:rPr>
        <w:t xml:space="preserve">“</w:t>
      </w:r>
      <w:r>
        <w:t xml:space="preserve"> </w:t>
      </w:r>
      <w:r>
        <w:t xml:space="preserve">proceedings by one faction in its contest with another for the control of the corporation ” is</w:t>
      </w:r>
      <w:r>
        <w:t xml:space="preserve"> </w:t>
      </w:r>
      <w:r>
        <w:rPr>
          <w:iCs/>
          <w:i/>
        </w:rPr>
        <w:t xml:space="preserve">ultra vires,</w:t>
      </w:r>
      <w:r>
        <w:t xml:space="preserve"> </w:t>
      </w:r>
      <w:r>
        <w:t xml:space="preserve">and unlawful</w:t>
      </w:r>
      <w:r>
        <w:t xml:space="preserve"> </w:t>
      </w:r>
      <w:r>
        <w:rPr>
          <w:iCs/>
          <w:i/>
        </w:rPr>
        <w:t xml:space="preserve">(Lawyers’ Adv. Co.</w:t>
      </w:r>
      <w:r>
        <w:t xml:space="preserve"> </w:t>
      </w:r>
      <w:r>
        <w:t xml:space="preserve">v.</w:t>
      </w:r>
      <w:r>
        <w:t xml:space="preserve"> </w:t>
      </w:r>
      <w:r>
        <w:rPr>
          <w:iCs/>
          <w:i/>
        </w:rPr>
        <w:t xml:space="preserve">Consolidated Ry. Lighting &amp; Refrig. Co.,</w:t>
      </w:r>
      <w:r>
        <w:t xml:space="preserve"> </w:t>
      </w:r>
      <w:r>
        <w:t xml:space="preserve">187 N. Y. 395</w:t>
      </w:r>
      <w:r>
        <w:t xml:space="preserve">, 399). Approval by directors or by a majority stock vote could not' validate such gratuitous expenditures</w:t>
      </w:r>
      <w:r>
        <w:t xml:space="preserve"> </w:t>
      </w:r>
      <w:r>
        <w:rPr>
          <w:iCs/>
          <w:i/>
        </w:rPr>
        <w:t xml:space="preserve">(Continental Securities Co.</w:t>
      </w:r>
      <w:r>
        <w:t xml:space="preserve"> </w:t>
      </w:r>
      <w:r>
        <w:t xml:space="preserve">v.</w:t>
      </w:r>
      <w:r>
        <w:t xml:space="preserve"> </w:t>
      </w:r>
      <w:r>
        <w:rPr>
          <w:iCs/>
          <w:i/>
        </w:rPr>
        <w:t xml:space="preserve">Belmont,</w:t>
      </w:r>
      <w:r>
        <w:t xml:space="preserve"> </w:t>
      </w:r>
      <w:r>
        <w:t xml:space="preserve">206 N. Y. 7</w:t>
      </w:r>
      <w:r>
        <w:t xml:space="preserve">). Some of the payments attacked in this suit were, on their face, for lawful purposes and apparently reasonable in amount but, as to others, the record simply does not contain evidentiary bases for a determination as to either lawfulness or reasonableness. Surely, the burden was on plaintiff to go forward to some extent with such particularization and proof. It failed to do so, and so failed to make out a prima facie case.</w:t>
      </w:r>
    </w:p>
    <w:p>
      <w:pPr>
        <w:pStyle w:val="CaseBody"/>
      </w:pPr>
      <w:r>
        <w:t xml:space="preserve">We are, therefore, reaching the same result as did the Appellate Division but on one only of the grounds listed by that court, that is, failure of proof. We think it not inappropriate, however, to state our general views on the question of law.principally argued by the parties, that is, as to the validity of corporate payments for proxy solicitations and similar activities in addition to giving notice of the meeting, and of the questions to be voted on. For an answer to that problem we could not do better than quote from this court’s opinion in the</w:t>
      </w:r>
      <w:r>
        <w:t xml:space="preserve"> </w:t>
      </w:r>
      <w:r>
        <w:rPr>
          <w:iCs/>
          <w:i/>
        </w:rPr>
        <w:t xml:space="preserve">Lawyers’ Adv. Co.</w:t>
      </w:r>
      <w:r>
        <w:t xml:space="preserve"> </w:t>
      </w:r>
      <w:r>
        <w:t xml:space="preserve">case (</w:t>
      </w:r>
      <w:r>
        <w:t xml:space="preserve">187 N. Y. 395</w:t>
      </w:r>
      <w:r>
        <w:t xml:space="preserve">, 399,</w:t>
      </w:r>
      <w:r>
        <w:t xml:space="preserve"> </w:t>
      </w:r>
      <w:r>
        <w:rPr>
          <w:iCs/>
          <w:i/>
        </w:rPr>
        <w:t xml:space="preserve">supra): “</w:t>
      </w:r>
      <w:r>
        <w:t xml:space="preserve"> </w:t>
      </w:r>
      <w:r>
        <w:t xml:space="preserve">The remaining notices' were not legally authorized and were not legitimately incidental' to the meeting or necessary for the protection of the stockholders. They rather were proceedings by one faction in its contest with another for the control of the corporation, and the" expense thereof as such is not properly chargeable to the latter. This is so apparent as to the last two notices that nothing need be said in reference to them but a few words may. be said in regard to the first one calling for proxies. It is to be noted that this is not the case of an ordinary circular letter sent out with and requesting the execution of proxies. The custom has become common upon the part of corporations to mail proxies to their respective stockholders often accompanied by a brief circular of directions, and such custom when accompanied by no unreasonable expenditure is not without merit in so far as it encourages voting by stockholders through making it convenient and' ready at hand. The notice in question, however, was not published until after proxies had been sent out. It simply amounted to an urgent solicitation that these proxies should be executed' and returned for use by one faction in its contest, and we think there is no authority for imposing the expense of its publication upon the company. * * * it would be altogether too dangerous a rule to permit directors in control of a corporation and engaged in a contest for the perpetuation of their offices and control, to impose upon the corporation the unusual expense of publishing advertisements or, by analogy, of dispatching special messengers for the purpose of procuring proxies in their behalf.”</w:t>
      </w:r>
    </w:p>
    <w:p>
      <w:pPr>
        <w:pStyle w:val="CaseBody"/>
      </w:pPr>
      <w:r>
        <w:t xml:space="preserve">A final comment: since expenditures which do not meet that test of propriety are intrinsically unlawful, it could not be any answer to such a claim as plaintiff makes here that the stockholder vote which purported to authorize them was heavy or that the change in management turned out to be beneficial to the corporation.</w:t>
      </w:r>
    </w:p>
    <w:p>
      <w:pPr>
        <w:pStyle w:val="CaseBody"/>
      </w:pPr>
      <w:r>
        <w:t xml:space="preserve">The judgment should be affirmed, without costs.</w:t>
      </w:r>
    </w:p>
    <w:p>
      <w:pPr>
        <w:pStyle w:val="CaseBody"/>
      </w:pPr>
      <w:r>
        <w:t xml:space="preserve">Van Voorhis, J.</w:t>
      </w:r>
    </w:p>
    <w:p>
      <w:pPr>
        <w:pStyle w:val="CaseBody"/>
      </w:pPr>
      <w:r>
        <w:t xml:space="preserve">(dissenting). The-decision of this appeal is of far-reaching importance insofar as concerns payment by corporations of campaign expenses by stockholders in proxy contests for control. This is a stockholder’s derivative action to require directors to restore to a corporation moneys paid to defray expenses of this nature, incurred both by an incumbent faction and by an insurgent faction of stockholders. The insurgents prevailed at the annual meeting, and payments of their own campaign expenses were attempted to be ratified by majority vote. It was a large majority, but the stockholders were not unanimous. Begardless of the merits of this contest, we are called upon to decide whether it was a corporate purpose (1) to make the expenditures which were disbursed by the incumbent or management group in defense of their acts and to remain in control of the corporation, and (2) to defray expenditures made by the insurgent group, which succeeded in convincing a majority of the stockholders. The Appellate Division held that stockholder authorization or ratification was not necessary to reasonable expenditures by the management group, the purpose of which was to inform the stockholders concerning the affairs of the corporation, and that, although these incumbents spent or incurred obligations of $133,966 (the previous expenses of annual meetings of this corporation ranging between $7,000 and $28,000), plaintiff must fail for having omitted to distinguish item by item between which of these expenditures were warranted and which ones were not; and the Appellate Division held that the insurgents also should be reimbursed, but subject to the qualification that “ The expenses of those who were seeking to displace the management should not be reimbursed by the corporation except upon approval by the stockholders.” It was held that the stockholders had approved.</w:t>
      </w:r>
    </w:p>
    <w:p>
      <w:pPr>
        <w:pStyle w:val="CaseBody"/>
      </w:pPr>
      <w:r>
        <w:t xml:space="preserve">No resolution was passed by the stockholders approving payment to the management group. It has been recognized that not all of the $133,966 in obligations paid or incurred by the management group was designed merely for information of stockholders. This outlay included payment for all of the activities of a strenuous campaign to persuade and cajole in a hard-fought contest for control of this corporation. It included, for example, expenses for entertainment, chartered airplanes and limousines, public relations counsel and proxy solicitors. However legitimate such measures may be on behalf of stockholders themselves in such a controversy, most of them do not pertain to a corporate function but are part of the familiar apparatus of aggressive factions in corporate contests. In</w:t>
      </w:r>
      <w:r>
        <w:t xml:space="preserve"> </w:t>
      </w:r>
      <w:r>
        <w:rPr>
          <w:iCs/>
          <w:i/>
        </w:rPr>
        <w:t xml:space="preserve">Lawyers’ Adv. Co.</w:t>
      </w:r>
      <w:r>
        <w:t xml:space="preserve"> </w:t>
      </w:r>
      <w:r>
        <w:t xml:space="preserve">v.</w:t>
      </w:r>
      <w:r>
        <w:t xml:space="preserve"> </w:t>
      </w:r>
      <w:r>
        <w:rPr>
          <w:iCs/>
          <w:i/>
        </w:rPr>
        <w:t xml:space="preserve">Consolidated Ry. Lighting &amp; Refrig. Co.</w:t>
      </w:r>
      <w:r>
        <w:t xml:space="preserve"> </w:t>
      </w:r>
      <w:r>
        <w:t xml:space="preserve">(</w:t>
      </w:r>
      <w:r>
        <w:t xml:space="preserve">187 N. Y. 395</w:t>
      </w:r>
      <w:r>
        <w:t xml:space="preserve">, 399), this court said: “ The notice in question, however, was not published until after proxies had been sent out. It simply-amounted to an urgent solicitation that these proxies should be executed and returned for use by one faction in its contest, and we think there is no authority for imposing the expense of its publication upon the company. It may be conceded that the directors who caused this publication acted in good faith and felt that they were serving the best interests of the stockholders, but it would be altogether too dangerous a rule to permit directors in control of a corporation and engaged in a contest for the perpetuation of their offices and control, to impose upon the corporation the unusual expense of publishing advertisements or, by analogy, of dispatching special messengers for the purpose of procuring proxies in their behalf.”</w:t>
      </w:r>
    </w:p>
    <w:p>
      <w:pPr>
        <w:pStyle w:val="CaseBody"/>
      </w:pPr>
      <w:r>
        <w:t xml:space="preserve">The Appellate Division acknowledged in the instant case that “It is obvious that the management group here incurred a substantial amount of needless expense which was charged to the corporation ”, but this conclusion should have led tó a direction that those defendants who were incumbent directors should be required to come forward with an explanation of their expenditures under the familiar rule that, where it has been established that directors have expended corporate money for their own purposes, the burden of going forward with evidence of the propriety and reasonableness of specific items rests upon the directors</w:t>
      </w:r>
      <w:r>
        <w:t xml:space="preserve"> </w:t>
      </w:r>
      <w:r>
        <w:rPr>
          <w:iCs/>
          <w:i/>
        </w:rPr>
        <w:t xml:space="preserve">(Godley</w:t>
      </w:r>
      <w:r>
        <w:t xml:space="preserve"> </w:t>
      </w:r>
      <w:r>
        <w:t xml:space="preserve">v.</w:t>
      </w:r>
      <w:r>
        <w:t xml:space="preserve"> </w:t>
      </w:r>
      <w:r>
        <w:rPr>
          <w:iCs/>
          <w:i/>
        </w:rPr>
        <w:t xml:space="preserve">Crandall &amp; Godley Co.,</w:t>
      </w:r>
      <w:r>
        <w:t xml:space="preserve"> </w:t>
      </w:r>
      <w:r>
        <w:t xml:space="preserve">153 App. Div. 697</w:t>
      </w:r>
      <w:r>
        <w:t xml:space="preserve">, 711, mod.</w:t>
      </w:r>
      <w:r>
        <w:t xml:space="preserve"> </w:t>
      </w:r>
      <w:r>
        <w:t xml:space="preserve">212 N. Y. 121</w:t>
      </w:r>
      <w:r>
        <w:t xml:space="preserve">;</w:t>
      </w:r>
      <w:r>
        <w:t xml:space="preserve"> </w:t>
      </w:r>
      <w:r>
        <w:rPr>
          <w:iCs/>
          <w:i/>
        </w:rPr>
        <w:t xml:space="preserve">Hine</w:t>
      </w:r>
      <w:r>
        <w:t xml:space="preserve"> </w:t>
      </w:r>
      <w:r>
        <w:t xml:space="preserve">v.</w:t>
      </w:r>
      <w:r>
        <w:t xml:space="preserve"> </w:t>
      </w:r>
      <w:r>
        <w:rPr>
          <w:iCs/>
          <w:i/>
        </w:rPr>
        <w:t xml:space="preserve">Lausterer,</w:t>
      </w:r>
      <w:r>
        <w:t xml:space="preserve"> </w:t>
      </w:r>
      <w:r>
        <w:t xml:space="preserve">135 Misc. 397</w:t>
      </w:r>
      <w:r>
        <w:t xml:space="preserve">, 401-402, mod.</w:t>
      </w:r>
      <w:r>
        <w:t xml:space="preserve"> </w:t>
      </w:r>
      <w:r>
        <w:t xml:space="preserve">232 App. Div. 719</w:t>
      </w:r>
      <w:r>
        <w:t xml:space="preserve">, affd.</w:t>
      </w:r>
      <w:r>
        <w:t xml:space="preserve"> </w:t>
      </w:r>
      <w:r>
        <w:t xml:space="preserve">257 N. Y. 523</w:t>
      </w:r>
      <w:r>
        <w:t xml:space="preserve">). The complaint should not have been dismissed as against incumbent directors due to failure of plaintiff to segregate the specific expenditures which are</w:t>
      </w:r>
      <w:r>
        <w:t xml:space="preserve"> </w:t>
      </w:r>
      <w:r>
        <w:rPr>
          <w:iCs/>
          <w:i/>
        </w:rPr>
        <w:t xml:space="preserve">ultra vires,</w:t>
      </w:r>
      <w:r>
        <w:t xml:space="preserve"> </w:t>
      </w:r>
      <w:r>
        <w:t xml:space="preserve">but, once plaintiff had proved facts from which an inference of impropriety might be drawn, the duty of making an explanation was laid upon the directors to explain and justify their conduct.</w:t>
      </w:r>
    </w:p>
    <w:p>
      <w:pPr>
        <w:pStyle w:val="CaseBody"/>
      </w:pPr>
      <w:r>
        <w:t xml:space="preserve">The second ground assigned by the Appellate Division for dismissing the complaint against incumbent directors is stockholder ratification of reimbursement to the insurgent group. Whatever effect or lack of it this resolution had upon expenditures by the insurgent group, clearly the stockholders who voted to pay the insurgents entertained no intention of reimbursing the management group for their expenditures. The insurgent group succeeded as a result of arousing the indignation of these very stockholders against the management group; nothing in the resolution to pay the expenses of the insurgent group purported to authorize or ratify payment of the campaign expenses of their adversaries, and certainly no inference should be drawn that the stockholders who voted to pay the insurgents intended that the incumbent group should also be paid. Upon the contrary, they were removing the incumbents from control mainly for the reason that they were charged with having mulcted the corporation by a long-term salary and pension contract to one of their number, J. Carlton Ward, Jr. If these stockholders had been presented with a resolution to pay the expenses of that group, it would almost certainly have been voted down. The stockholders should not be deemed to have authorized or ratified reimbursement of the incumbents.</w:t>
      </w:r>
    </w:p>
    <w:p>
      <w:pPr>
        <w:pStyle w:val="CaseBody"/>
      </w:pPr>
      <w:r>
        <w:t xml:space="preserve">There is no doubt that the management was entitled and under a duty to take reasonable steps to acquaint the stockholders with essential facts concerning the management of the corporation, and it may well be that the existence of a contest warranted them in circularizing the stockholders with more than ordinarily detailed information. As this court said in</w:t>
      </w:r>
      <w:r>
        <w:t xml:space="preserve"> </w:t>
      </w:r>
      <w:r>
        <w:rPr>
          <w:iCs/>
          <w:i/>
        </w:rPr>
        <w:t xml:space="preserve">Lawyers’ Adv. Co.</w:t>
      </w:r>
      <w:r>
        <w:t xml:space="preserve"> </w:t>
      </w:r>
      <w:r>
        <w:t xml:space="preserve">v.</w:t>
      </w:r>
      <w:r>
        <w:t xml:space="preserve"> </w:t>
      </w:r>
      <w:r>
        <w:rPr>
          <w:iCs/>
          <w:i/>
        </w:rPr>
        <w:t xml:space="preserve">Consolidated Ry. Lighting &amp; Refrig. Co. (supra,</w:t>
      </w:r>
      <w:r>
        <w:t xml:space="preserve"> </w:t>
      </w:r>
      <w:r>
        <w:t xml:space="preserve">p. 399): “ Proper and honest corporate management was subserved by widespread notice to stockholders of questions affecting the welfare of the corporation, and there is no impropriety in charging the latter with any expenses within reasonable limits which were incurred in giving sufficient notice of the special meeting at which the stockholders could be called upon to decide these questions.”</w:t>
      </w:r>
    </w:p>
    <w:p>
      <w:pPr>
        <w:pStyle w:val="CaseBody"/>
      </w:pPr>
      <w:r>
        <w:t xml:space="preserve">What expenses of the incumbent group should be allowed and what should be disallowed should be remitted to the trial court to ascertain, after taking evidence, in accordance with the rule that the incumbent directors were required to assume the burden of going forward in the first' instance with evidence explaining and justifying their expenditures. Only such as were reasonably related to informing the stockholders fully and fairly concerning the corporate affairs should be allowed. The concession by plaintiff that such expenditures as were made were reasonable in amount does not decide this question. By way of illustration, the costs of entertainment for stockholders may have been, and it is stipulated that they were, at the going rates for providing similar entertainment. That does not signify that entertaining stockholders is reasonably related to the purposes of the corporation. The Appellate Division, as above stated, found that the management group incurred a substantial amount of needless expense: That fact being established, it became the duty of the incumbent directors to unravel and explain these payments. : Regarding the $127,556 paid by the new management to the insurgent group for their campaign expenditures, the. question immediately arises whether that was for a corporate purpose. The Appellate Division has recognized that upon no theory could such expenditures be reimbursed except by approval of the stockholders and, as has been said, it is the insurgents ’ expenditures alone to which the stockholders’ resolution of ratification was addressed. If</w:t>
      </w:r>
      <w:r>
        <w:t xml:space="preserve"> </w:t>
      </w:r>
      <w:r>
        <w:rPr>
          <w:iCs/>
          <w:i/>
        </w:rPr>
        <w:t xml:space="preserve">unanimous</w:t>
      </w:r>
      <w:r>
        <w:t xml:space="preserve"> </w:t>
      </w:r>
      <w:r>
        <w:t xml:space="preserve">stockholder approval had been obtained and no rights of creditors or of the public intervened, it would make no practical difference whether the purpose were</w:t>
      </w:r>
      <w:r>
        <w:t xml:space="preserve"> </w:t>
      </w:r>
      <w:r>
        <w:rPr>
          <w:iCs/>
          <w:i/>
        </w:rPr>
        <w:t xml:space="preserve">ultra vires</w:t>
      </w:r>
      <w:r>
        <w:t xml:space="preserve"> </w:t>
      </w:r>
      <w:r>
        <w:t xml:space="preserve">— i.e., not a corporate purpose.</w:t>
      </w:r>
      <w:r>
        <w:t xml:space="preserve"> </w:t>
      </w:r>
      <w:r>
        <w:rPr>
          <w:iCs/>
          <w:i/>
        </w:rPr>
        <w:t xml:space="preserve">(Kent</w:t>
      </w:r>
      <w:r>
        <w:t xml:space="preserve"> </w:t>
      </w:r>
      <w:r>
        <w:t xml:space="preserve">v.</w:t>
      </w:r>
      <w:r>
        <w:t xml:space="preserve"> </w:t>
      </w:r>
      <w:r>
        <w:rPr>
          <w:iCs/>
          <w:i/>
        </w:rPr>
        <w:t xml:space="preserve">Quicksilver Min. Co.,</w:t>
      </w:r>
      <w:r>
        <w:t xml:space="preserve"> </w:t>
      </w:r>
      <w:r>
        <w:t xml:space="preserve">78 N. Y. 159</w:t>
      </w:r>
      <w:r>
        <w:t xml:space="preserve">;</w:t>
      </w:r>
      <w:r>
        <w:t xml:space="preserve"> </w:t>
      </w:r>
      <w:r>
        <w:rPr>
          <w:iCs/>
          <w:i/>
        </w:rPr>
        <w:t xml:space="preserve">Capitol Wine &amp; Spirit Corp.</w:t>
      </w:r>
      <w:r>
        <w:t xml:space="preserve"> </w:t>
      </w:r>
      <w:r>
        <w:t xml:space="preserve">v.</w:t>
      </w:r>
      <w:r>
        <w:t xml:space="preserve"> </w:t>
      </w:r>
      <w:r>
        <w:rPr>
          <w:iCs/>
          <w:i/>
        </w:rPr>
        <w:t xml:space="preserve">Pokrass,</w:t>
      </w:r>
      <w:r>
        <w:t xml:space="preserve"> </w:t>
      </w:r>
      <w:r>
        <w:t xml:space="preserve">277 App. Div. 184</w:t>
      </w:r>
      <w:r>
        <w:t xml:space="preserve">, 187, affd.</w:t>
      </w:r>
      <w:r>
        <w:t xml:space="preserve"> </w:t>
      </w:r>
      <w:r>
        <w:t xml:space="preserve">302 N. Y. 734</w:t>
      </w:r>
      <w:r>
        <w:t xml:space="preserve">.) Upon the other hand, an act which is</w:t>
      </w:r>
      <w:r>
        <w:t xml:space="preserve"> </w:t>
      </w:r>
      <w:r>
        <w:rPr>
          <w:iCs/>
          <w:i/>
        </w:rPr>
        <w:t xml:space="preserve">ultra vires</w:t>
      </w:r>
      <w:r>
        <w:t xml:space="preserve"> </w:t>
      </w:r>
      <w:r>
        <w:t xml:space="preserve">cannot be ratified merely by a majority of the stockholders of a corporation. "</w:t>
      </w:r>
      <w:r>
        <w:t xml:space="preserve"> </w:t>
      </w:r>
      <w:r>
        <w:rPr>
          <w:iCs/>
          <w:i/>
        </w:rPr>
        <w:t xml:space="preserve">(Continental Securities Co.</w:t>
      </w:r>
      <w:r>
        <w:t xml:space="preserve"> </w:t>
      </w:r>
      <w:r>
        <w:t xml:space="preserve">v.</w:t>
      </w:r>
      <w:r>
        <w:t xml:space="preserve"> </w:t>
      </w:r>
      <w:r>
        <w:rPr>
          <w:iCs/>
          <w:i/>
        </w:rPr>
        <w:t xml:space="preserve">Belmont,</w:t>
      </w:r>
      <w:r>
        <w:t xml:space="preserve"> </w:t>
      </w:r>
      <w:r>
        <w:t xml:space="preserve">206 N. Y. 7</w:t>
      </w:r>
      <w:r>
        <w:t xml:space="preserve">;</w:t>
      </w:r>
      <w:r>
        <w:t xml:space="preserve"> </w:t>
      </w:r>
      <w:r>
        <w:rPr>
          <w:iCs/>
          <w:i/>
        </w:rPr>
        <w:t xml:space="preserve">Pollitz</w:t>
      </w:r>
      <w:r>
        <w:t xml:space="preserve"> </w:t>
      </w:r>
      <w:r>
        <w:t xml:space="preserve">v.</w:t>
      </w:r>
      <w:r>
        <w:t xml:space="preserve"> </w:t>
      </w:r>
      <w:r>
        <w:rPr>
          <w:iCs/>
          <w:i/>
        </w:rPr>
        <w:t xml:space="preserve">Wabash R. R. Co.,</w:t>
      </w:r>
      <w:r>
        <w:t xml:space="preserve"> </w:t>
      </w:r>
      <w:r>
        <w:t xml:space="preserve">207 N. Y. 113</w:t>
      </w:r>
      <w:r>
        <w:t xml:space="preserve">;</w:t>
      </w:r>
      <w:r>
        <w:t xml:space="preserve"> </w:t>
      </w:r>
      <w:r>
        <w:rPr>
          <w:iCs/>
          <w:i/>
        </w:rPr>
        <w:t xml:space="preserve">Schwab</w:t>
      </w:r>
      <w:r>
        <w:t xml:space="preserve"> </w:t>
      </w:r>
      <w:r>
        <w:t xml:space="preserve">v.</w:t>
      </w:r>
      <w:r>
        <w:t xml:space="preserve"> </w:t>
      </w:r>
      <w:r>
        <w:rPr>
          <w:iCs/>
          <w:i/>
        </w:rPr>
        <w:t xml:space="preserve">Potter Co.,</w:t>
      </w:r>
      <w:r>
        <w:t xml:space="preserve"> </w:t>
      </w:r>
      <w:r>
        <w:t xml:space="preserve">129 App. Div. 36</w:t>
      </w:r>
      <w:r>
        <w:t xml:space="preserve">;</w:t>
      </w:r>
      <w:r>
        <w:t xml:space="preserve"> </w:t>
      </w:r>
      <w:r>
        <w:rPr>
          <w:iCs/>
          <w:i/>
        </w:rPr>
        <w:t xml:space="preserve">Davis</w:t>
      </w:r>
      <w:r>
        <w:t xml:space="preserve"> </w:t>
      </w:r>
      <w:r>
        <w:t xml:space="preserve">v.</w:t>
      </w:r>
      <w:r>
        <w:t xml:space="preserve"> </w:t>
      </w:r>
      <w:r>
        <w:rPr>
          <w:iCs/>
          <w:i/>
        </w:rPr>
        <w:t xml:space="preserve">Congregation Beth Tephila Israel,</w:t>
      </w:r>
      <w:r>
        <w:t xml:space="preserve"> </w:t>
      </w:r>
      <w:r>
        <w:t xml:space="preserve">40 App. Div. 424</w:t>
      </w:r>
      <w:r>
        <w:t xml:space="preserve">; Fletcher’s Cyclopedia Corporations, §§ 764, 767, 3432, 5795.) In</w:t>
      </w:r>
      <w:r>
        <w:t xml:space="preserve"> </w:t>
      </w:r>
      <w:r>
        <w:rPr>
          <w:iCs/>
          <w:i/>
        </w:rPr>
        <w:t xml:space="preserve">Schwab</w:t>
      </w:r>
      <w:r>
        <w:t xml:space="preserve"> </w:t>
      </w:r>
      <w:r>
        <w:t xml:space="preserve">v.</w:t>
      </w:r>
      <w:r>
        <w:t xml:space="preserve"> </w:t>
      </w:r>
      <w:r>
        <w:rPr>
          <w:iCs/>
          <w:i/>
        </w:rPr>
        <w:t xml:space="preserve">Potter Co. (supra,</w:t>
      </w:r>
      <w:r>
        <w:t xml:space="preserve"> </w:t>
      </w:r>
      <w:r>
        <w:t xml:space="preserve">p. 41) it is said that “ it cannot be'contended successfully that the minority stockholders may not maintain a suit to enjoin the</w:t>
      </w:r>
      <w:r>
        <w:t xml:space="preserve"> </w:t>
      </w:r>
      <w:r>
        <w:rPr>
          <w:iCs/>
          <w:i/>
        </w:rPr>
        <w:t xml:space="preserve">ultra vires</w:t>
      </w:r>
      <w:r>
        <w:t xml:space="preserve"> </w:t>
      </w:r>
      <w:r>
        <w:t xml:space="preserve">acts of their corporation.” It was further held not to be a defense that a majority of the stockholders had adopted a resolution of ratification. In</w:t>
      </w:r>
      <w:r>
        <w:t xml:space="preserve"> </w:t>
      </w:r>
      <w:r>
        <w:rPr>
          <w:iCs/>
          <w:i/>
        </w:rPr>
        <w:t xml:space="preserve">Davis</w:t>
      </w:r>
      <w:r>
        <w:t xml:space="preserve"> </w:t>
      </w:r>
      <w:r>
        <w:t xml:space="preserve">v.</w:t>
      </w:r>
      <w:r>
        <w:t xml:space="preserve"> </w:t>
      </w:r>
      <w:r>
        <w:rPr>
          <w:iCs/>
          <w:i/>
        </w:rPr>
        <w:t xml:space="preserve">Congregation Beth Tephila Israel</w:t>
      </w:r>
      <w:r>
        <w:rPr>
          <w:iCs/>
          <w:i/>
        </w:rPr>
        <w:t xml:space="preserve"> </w:t>
      </w:r>
      <w:r>
        <w:rPr>
          <w:iCs/>
          <w:i/>
        </w:rPr>
        <w:t xml:space="preserve">(supra),</w:t>
      </w:r>
      <w:r>
        <w:t xml:space="preserve"> </w:t>
      </w:r>
      <w:r>
        <w:t xml:space="preserve">it was held that a single dissenting member of a corporation might maintain an action to vacate an</w:t>
      </w:r>
      <w:r>
        <w:t xml:space="preserve"> </w:t>
      </w:r>
      <w:r>
        <w:rPr>
          <w:iCs/>
          <w:i/>
        </w:rPr>
        <w:t xml:space="preserve">ultra vires</w:t>
      </w:r>
      <w:r>
        <w:t xml:space="preserve"> </w:t>
      </w:r>
      <w:r>
        <w:t xml:space="preserve">agreement. In</w:t>
      </w:r>
      <w:r>
        <w:t xml:space="preserve"> </w:t>
      </w:r>
      <w:r>
        <w:rPr>
          <w:iCs/>
          <w:i/>
        </w:rPr>
        <w:t xml:space="preserve">Continental Securities Co.</w:t>
      </w:r>
      <w:r>
        <w:t xml:space="preserve"> </w:t>
      </w:r>
      <w:r>
        <w:t xml:space="preserve">v.</w:t>
      </w:r>
      <w:r>
        <w:t xml:space="preserve"> </w:t>
      </w:r>
      <w:r>
        <w:rPr>
          <w:iCs/>
          <w:i/>
        </w:rPr>
        <w:t xml:space="preserve">Belmont</w:t>
      </w:r>
      <w:r>
        <w:rPr>
          <w:iCs/>
          <w:i/>
        </w:rPr>
        <w:t xml:space="preserve"> </w:t>
      </w:r>
      <w:r>
        <w:rPr>
          <w:iCs/>
          <w:i/>
        </w:rPr>
        <w:t xml:space="preserve">(supra,</w:t>
      </w:r>
      <w:r>
        <w:rPr>
          <w:iCs/>
          <w:i/>
        </w:rPr>
        <w:t xml:space="preserve"> </w:t>
      </w:r>
      <w:r>
        <w:t xml:space="preserve">pp. 18-19</w:t>
      </w:r>
      <w:r>
        <w:t xml:space="preserve">), the court discussed</w:t>
      </w:r>
      <w:r>
        <w:t xml:space="preserve"> </w:t>
      </w:r>
      <w:r>
        <w:rPr>
          <w:iCs/>
          <w:i/>
        </w:rPr>
        <w:t xml:space="preserve">‘1</w:t>
      </w:r>
      <w:r>
        <w:t xml:space="preserve"> </w:t>
      </w:r>
      <w:r>
        <w:t xml:space="preserve">The distinction between acts that can and those that cannot be confirmed and ratified</w:t>
      </w:r>
      <w:r>
        <w:t xml:space="preserve"> </w:t>
      </w:r>
      <w:r>
        <w:rPr>
          <w:iCs/>
          <w:i/>
        </w:rPr>
        <w:t xml:space="preserve">**</w:t>
      </w:r>
      <w:r>
        <w:t xml:space="preserve"> </w:t>
      </w:r>
      <w:r>
        <w:t xml:space="preserve">by the stockholders. Quoting from</w:t>
      </w:r>
      <w:r>
        <w:t xml:space="preserve"> </w:t>
      </w:r>
      <w:r>
        <w:rPr>
          <w:iCs/>
          <w:i/>
        </w:rPr>
        <w:t xml:space="preserve">Bagshaw</w:t>
      </w:r>
      <w:r>
        <w:t xml:space="preserve"> </w:t>
      </w:r>
      <w:r>
        <w:t xml:space="preserve">v.</w:t>
      </w:r>
      <w:r>
        <w:t xml:space="preserve"> </w:t>
      </w:r>
      <w:r>
        <w:rPr>
          <w:iCs/>
          <w:i/>
        </w:rPr>
        <w:t xml:space="preserve">Eastern Union Ry. Co.</w:t>
      </w:r>
      <w:r>
        <w:t xml:space="preserve"> </w:t>
      </w:r>
      <w:r>
        <w:t xml:space="preserve">(7 Hare 114), the court said: ‘“No majority of the shareholders, however large, could sanction the misapplication of this portion of the capital. A single dissenting voice would frustrate the wishes of the majority. ’ ’ ’</w:t>
      </w:r>
    </w:p>
    <w:p>
      <w:pPr>
        <w:pStyle w:val="CaseBody"/>
      </w:pPr>
      <w:r>
        <w:t xml:space="preserve">The familiar rule, applied in those and other decisions, is that merely voidable acts of the directors of a corporation can be ratified by majority stockholder approval, such as contracts between corporations having interlocking directorates</w:t>
      </w:r>
      <w:r>
        <w:t xml:space="preserve"> </w:t>
      </w:r>
      <w:r>
        <w:rPr>
          <w:iCs/>
          <w:i/>
        </w:rPr>
        <w:t xml:space="preserve">(Continental Ins. Co.</w:t>
      </w:r>
      <w:r>
        <w:t xml:space="preserve"> </w:t>
      </w:r>
      <w:r>
        <w:t xml:space="preserve">v.</w:t>
      </w:r>
      <w:r>
        <w:t xml:space="preserve"> </w:t>
      </w:r>
      <w:r>
        <w:rPr>
          <w:iCs/>
          <w:i/>
        </w:rPr>
        <w:t xml:space="preserve">New York &amp; Harlem R. R. Co.,</w:t>
      </w:r>
      <w:r>
        <w:t xml:space="preserve"> </w:t>
      </w:r>
      <w:r>
        <w:t xml:space="preserve">187 N. Y. 225</w:t>
      </w:r>
      <w:r>
        <w:t xml:space="preserve">), loans of surplus funds by a trading corporation</w:t>
      </w:r>
      <w:r>
        <w:t xml:space="preserve"> </w:t>
      </w:r>
      <w:r>
        <w:rPr>
          <w:iCs/>
          <w:i/>
        </w:rPr>
        <w:t xml:space="preserve">(Murray</w:t>
      </w:r>
      <w:r>
        <w:t xml:space="preserve"> </w:t>
      </w:r>
      <w:r>
        <w:t xml:space="preserve">v.</w:t>
      </w:r>
      <w:r>
        <w:t xml:space="preserve"> </w:t>
      </w:r>
      <w:r>
        <w:rPr>
          <w:iCs/>
          <w:i/>
        </w:rPr>
        <w:t xml:space="preserve">Smith,</w:t>
      </w:r>
      <w:r>
        <w:t xml:space="preserve"> </w:t>
      </w:r>
      <w:r>
        <w:t xml:space="preserve">166 App. Div. 528</w:t>
      </w:r>
      <w:r>
        <w:t xml:space="preserve"> </w:t>
      </w:r>
      <w:r>
        <w:t xml:space="preserve">— although not in the case of loans to stockholders in violation of the Stock Corporation Law, § 59), and other irregularities involving acts which are neither</w:t>
      </w:r>
      <w:r>
        <w:t xml:space="preserve"> </w:t>
      </w:r>
      <w:r>
        <w:rPr>
          <w:iCs/>
          <w:i/>
        </w:rPr>
        <w:t xml:space="preserve">ultra vires,</w:t>
      </w:r>
      <w:r>
        <w:t xml:space="preserve"> </w:t>
      </w:r>
      <w:r>
        <w:t xml:space="preserve">fraudulent or illegal.</w:t>
      </w:r>
    </w:p>
    <w:p>
      <w:pPr>
        <w:pStyle w:val="CaseBody"/>
      </w:pPr>
      <w:r>
        <w:t xml:space="preserve">In considering this issue, as in the case of the expenses of the incumbents, we begin with the proposition that this court has already held that it is beyond the power of a corporation to authorize the expenditure of mere campaign expenses in a proxy contest</w:t>
      </w:r>
      <w:r>
        <w:t xml:space="preserve"> </w:t>
      </w:r>
      <w:r>
        <w:rPr>
          <w:iCs/>
          <w:i/>
        </w:rPr>
        <w:t xml:space="preserve">(Lawyers’ Adv. Co.</w:t>
      </w:r>
      <w:r>
        <w:t xml:space="preserve"> </w:t>
      </w:r>
      <w:r>
        <w:t xml:space="preserve">v.</w:t>
      </w:r>
      <w:r>
        <w:t xml:space="preserve"> </w:t>
      </w:r>
      <w:r>
        <w:rPr>
          <w:iCs/>
          <w:i/>
        </w:rPr>
        <w:t xml:space="preserve">Consolidated Ry. Lighting &amp; Refrig. Co., supra)..</w:t>
      </w:r>
      <w:r>
        <w:t xml:space="preserve"> </w:t>
      </w:r>
      <w:r>
        <w:t xml:space="preserve">That decision is not distinguishable upon the ground that those expenditures were made by the secretary of that corporation without previous authorization by its directors. That point was involved, but this court said: ‘ ‘ Thus we have it that the publication of the last three notices was not authorized by the hoard of directors</w:t>
      </w:r>
      <w:r>
        <w:t xml:space="preserve"> </w:t>
      </w:r>
      <w:r>
        <w:rPr>
          <w:iCs/>
          <w:i/>
        </w:rPr>
        <w:t xml:space="preserve">and that it could not have been lawfully authorised even if the attempt were made. They bore upon their face sufficient notice to the plaintiff [the printer suing for printing</w:t>
      </w:r>
      <w:r>
        <w:t xml:space="preserve"> </w:t>
      </w:r>
      <w:r>
        <w:t xml:space="preserve">fees]</w:t>
      </w:r>
      <w:r>
        <w:t xml:space="preserve"> </w:t>
      </w:r>
      <w:r>
        <w:rPr>
          <w:iCs/>
          <w:i/>
        </w:rPr>
        <w:t xml:space="preserve">that they were of a character beyond the limit of anything which could be published in behalf of or at the expense of the corporation</w:t>
      </w:r>
      <w:r>
        <w:t xml:space="preserve"> </w:t>
      </w:r>
      <w:r>
        <w:t xml:space="preserve">” (p. 400; italics supplied). The decision was placed upon both grounds. The statement in the carefully considered opinion written by Judge Hiscock was not dictum that “ it would be altogether too dangerous a rule to permit directors in control of a corporation and engaged in a contest for the perpetuation of their offices and control, to impose upon the corporation the unusual expense ”. In that case, and in all of the other decisions which have been cited with the single exception of a Federal district court decision</w:t>
      </w:r>
      <w:r>
        <w:t xml:space="preserve"> </w:t>
      </w:r>
      <w:r>
        <w:rPr>
          <w:iCs/>
          <w:i/>
        </w:rPr>
        <w:t xml:space="preserve">(Steinberg</w:t>
      </w:r>
      <w:r>
        <w:t xml:space="preserve"> </w:t>
      </w:r>
      <w:r>
        <w:t xml:space="preserve">v.</w:t>
      </w:r>
      <w:r>
        <w:t xml:space="preserve"> </w:t>
      </w:r>
      <w:r>
        <w:rPr>
          <w:iCs/>
          <w:i/>
        </w:rPr>
        <w:t xml:space="preserve">Adams,</w:t>
      </w:r>
      <w:r>
        <w:t xml:space="preserve"> </w:t>
      </w:r>
      <w:r>
        <w:t xml:space="preserve">90 F. Supp. 604</w:t>
      </w:r>
      <w:r>
        <w:t xml:space="preserve">, 606), the question concerned reimbursement of a management group. Moreover, with the exception of an English decision</w:t>
      </w:r>
      <w:r>
        <w:t xml:space="preserve"> </w:t>
      </w:r>
      <w:r>
        <w:rPr>
          <w:iCs/>
          <w:i/>
        </w:rPr>
        <w:t xml:space="preserve">(Peel</w:t>
      </w:r>
      <w:r>
        <w:t xml:space="preserve"> </w:t>
      </w:r>
      <w:r>
        <w:t xml:space="preserve">v.</w:t>
      </w:r>
      <w:r>
        <w:t xml:space="preserve"> </w:t>
      </w:r>
      <w:r>
        <w:rPr>
          <w:iCs/>
          <w:i/>
        </w:rPr>
        <w:t xml:space="preserve">London &amp; North Western Ry. Co.,</w:t>
      </w:r>
      <w:r>
        <w:t xml:space="preserve"> </w:t>
      </w:r>
      <w:r>
        <w:t xml:space="preserve">[1907] 1 Ch. 5), all of the appellate court cases which have been cited, and</w:t>
      </w:r>
      <w:r>
        <w:t xml:space="preserve"> </w:t>
      </w:r>
      <w:r>
        <w:rPr>
          <w:iCs/>
          <w:i/>
        </w:rPr>
        <w:t xml:space="preserve">Steinberg</w:t>
      </w:r>
      <w:r>
        <w:t xml:space="preserve"> </w:t>
      </w:r>
      <w:r>
        <w:t xml:space="preserve">v.</w:t>
      </w:r>
      <w:r>
        <w:t xml:space="preserve"> </w:t>
      </w:r>
      <w:r>
        <w:rPr>
          <w:iCs/>
          <w:i/>
        </w:rPr>
        <w:t xml:space="preserve">Adams</w:t>
      </w:r>
      <w:r>
        <w:rPr>
          <w:iCs/>
          <w:i/>
        </w:rPr>
        <w:t xml:space="preserve"> </w:t>
      </w:r>
      <w:r>
        <w:rPr>
          <w:iCs/>
          <w:i/>
        </w:rPr>
        <w:t xml:space="preserve">(supra),</w:t>
      </w:r>
      <w:r>
        <w:t xml:space="preserve"> </w:t>
      </w:r>
      <w:r>
        <w:t xml:space="preserve">were decided under the law of the State of Delaware. The Delaware law contains more latitude than in New York State, as was recognized by Judge Rifkind in his opinion in</w:t>
      </w:r>
      <w:r>
        <w:t xml:space="preserve"> </w:t>
      </w:r>
      <w:r>
        <w:rPr>
          <w:iCs/>
          <w:i/>
        </w:rPr>
        <w:t xml:space="preserve">Steinberg</w:t>
      </w:r>
      <w:r>
        <w:t xml:space="preserve"> </w:t>
      </w:r>
      <w:r>
        <w:t xml:space="preserve">v.</w:t>
      </w:r>
      <w:r>
        <w:t xml:space="preserve"> </w:t>
      </w:r>
      <w:r>
        <w:rPr>
          <w:iCs/>
          <w:i/>
        </w:rPr>
        <w:t xml:space="preserve">Adams,</w:t>
      </w:r>
      <w:r>
        <w:t xml:space="preserve"> </w:t>
      </w:r>
      <w:r>
        <w:t xml:space="preserve">who said (p. 607):</w:t>
      </w:r>
      <w:r>
        <w:t xml:space="preserve"> </w:t>
      </w:r>
      <w:r>
        <w:rPr>
          <w:iCs/>
          <w:i/>
        </w:rPr>
        <w:t xml:space="preserve">“</w:t>
      </w:r>
      <w:r>
        <w:t xml:space="preserve"> </w:t>
      </w:r>
      <w:r>
        <w:t xml:space="preserve">The instant case is concerned with a Delaware corporation and the law of that state determines the scope of the corporation’s powers. Both parties, as I have indicated, agree that this case is governed by a less stringent rule ” than the ruling by this court in</w:t>
      </w:r>
      <w:r>
        <w:t xml:space="preserve"> </w:t>
      </w:r>
      <w:r>
        <w:rPr>
          <w:iCs/>
          <w:i/>
        </w:rPr>
        <w:t xml:space="preserve">Lawyers’ Adv. Co.</w:t>
      </w:r>
      <w:r>
        <w:t xml:space="preserve"> </w:t>
      </w:r>
      <w:r>
        <w:t xml:space="preserve">v.</w:t>
      </w:r>
      <w:r>
        <w:t xml:space="preserve"> </w:t>
      </w:r>
      <w:r>
        <w:rPr>
          <w:iCs/>
          <w:i/>
        </w:rPr>
        <w:t xml:space="preserve">Consolidated Ry. Lighting &amp; Refrig. Co. (supra).</w:t>
      </w:r>
      <w:r>
        <w:t xml:space="preserve"> </w:t>
      </w:r>
      <w:r>
        <w:t xml:space="preserve">We are called upon to decide whether to abandon the rule as previously established in this State and adopt the less strict doctrine of the State of Delaware.</w:t>
      </w:r>
    </w:p>
    <w:p>
      <w:pPr>
        <w:pStyle w:val="CaseBody"/>
      </w:pPr>
      <w:r>
        <w:t xml:space="preserve">The Delaware cases which are cited consist of</w:t>
      </w:r>
      <w:r>
        <w:t xml:space="preserve"> </w:t>
      </w:r>
      <w:r>
        <w:rPr>
          <w:iCs/>
          <w:i/>
        </w:rPr>
        <w:t xml:space="preserve">Hall</w:t>
      </w:r>
      <w:r>
        <w:t xml:space="preserve"> </w:t>
      </w:r>
      <w:r>
        <w:t xml:space="preserve">v.</w:t>
      </w:r>
      <w:r>
        <w:t xml:space="preserve"> </w:t>
      </w:r>
      <w:r>
        <w:rPr>
          <w:iCs/>
          <w:i/>
        </w:rPr>
        <w:t xml:space="preserve">TransLux Daylight Picture Screen Corp.</w:t>
      </w:r>
      <w:r>
        <w:t xml:space="preserve"> </w:t>
      </w:r>
      <w:r>
        <w:t xml:space="preserve">(</w:t>
      </w:r>
      <w:r>
        <w:t xml:space="preserve">20 Del. Ch. 78</w:t>
      </w:r>
      <w:r>
        <w:t xml:space="preserve">),</w:t>
      </w:r>
      <w:r>
        <w:t xml:space="preserve"> </w:t>
      </w:r>
      <w:r>
        <w:rPr>
          <w:iCs/>
          <w:i/>
        </w:rPr>
        <w:t xml:space="preserve">Empire So. Gas Co.</w:t>
      </w:r>
      <w:r>
        <w:t xml:space="preserve"> </w:t>
      </w:r>
      <w:r>
        <w:t xml:space="preserve">v.</w:t>
      </w:r>
      <w:r>
        <w:t xml:space="preserve"> </w:t>
      </w:r>
      <w:r>
        <w:rPr>
          <w:iCs/>
          <w:i/>
        </w:rPr>
        <w:t xml:space="preserve">Gray</w:t>
      </w:r>
      <w:r>
        <w:t xml:space="preserve"> </w:t>
      </w:r>
      <w:r>
        <w:t xml:space="preserve">(</w:t>
      </w:r>
      <w:r>
        <w:t xml:space="preserve">29 Del. Ch. 95</w:t>
      </w:r>
      <w:r>
        <w:t xml:space="preserve">), and the Federal cases applying</w:t>
      </w:r>
      <w:r>
        <w:t xml:space="preserve"> </w:t>
      </w:r>
      <w:r>
        <w:rPr>
          <w:iCs/>
          <w:i/>
        </w:rPr>
        <w:t xml:space="preserve">Delaware</w:t>
      </w:r>
      <w:r>
        <w:t xml:space="preserve"> </w:t>
      </w:r>
      <w:r>
        <w:t xml:space="preserve">law</w:t>
      </w:r>
      <w:r>
        <w:t xml:space="preserve"> </w:t>
      </w:r>
      <w:r>
        <w:rPr>
          <w:iCs/>
          <w:i/>
        </w:rPr>
        <w:t xml:space="preserve">(Hand</w:t>
      </w:r>
      <w:r>
        <w:t xml:space="preserve"> </w:t>
      </w:r>
      <w:r>
        <w:t xml:space="preserve">v.</w:t>
      </w:r>
      <w:r>
        <w:t xml:space="preserve"> </w:t>
      </w:r>
      <w:r>
        <w:rPr>
          <w:iCs/>
          <w:i/>
        </w:rPr>
        <w:t xml:space="preserve">Missouri-Kansas Pipe Line Co.,</w:t>
      </w:r>
      <w:r>
        <w:t xml:space="preserve"> </w:t>
      </w:r>
      <w:r>
        <w:t xml:space="preserve">54 F. Supp. 649</w:t>
      </w:r>
      <w:r>
        <w:t xml:space="preserve">, and</w:t>
      </w:r>
      <w:r>
        <w:t xml:space="preserve"> </w:t>
      </w:r>
      <w:r>
        <w:rPr>
          <w:iCs/>
          <w:i/>
        </w:rPr>
        <w:t xml:space="preserve">Steinberg</w:t>
      </w:r>
      <w:r>
        <w:t xml:space="preserve"> </w:t>
      </w:r>
      <w:r>
        <w:t xml:space="preserve">v.</w:t>
      </w:r>
      <w:r>
        <w:t xml:space="preserve"> </w:t>
      </w:r>
      <w:r>
        <w:rPr>
          <w:iCs/>
          <w:i/>
        </w:rPr>
        <w:t xml:space="preserve">Adams,</w:t>
      </w:r>
      <w:r>
        <w:rPr>
          <w:iCs/>
          <w:i/>
        </w:rPr>
        <w:t xml:space="preserve"> </w:t>
      </w:r>
      <w:r>
        <w:rPr>
          <w:iCs/>
          <w:i/>
        </w:rPr>
        <w:t xml:space="preserve">supra).</w:t>
      </w:r>
      <w:r>
        <w:t xml:space="preserve"> </w:t>
      </w:r>
      <w:r>
        <w:t xml:space="preserve">The</w:t>
      </w:r>
      <w:r>
        <w:t xml:space="preserve"> </w:t>
      </w:r>
      <w:r>
        <w:rPr>
          <w:iCs/>
          <w:i/>
        </w:rPr>
        <w:t xml:space="preserve">Hand</w:t>
      </w:r>
      <w:r>
        <w:t xml:space="preserve"> </w:t>
      </w:r>
      <w:r>
        <w:t xml:space="preserve">case</w:t>
      </w:r>
      <w:r>
        <w:t xml:space="preserve"> </w:t>
      </w:r>
      <w:r>
        <w:rPr>
          <w:iCs/>
          <w:i/>
        </w:rPr>
        <w:t xml:space="preserve">(supra)</w:t>
      </w:r>
      <w:r>
        <w:t xml:space="preserve"> </w:t>
      </w:r>
      <w:r>
        <w:t xml:space="preserve">merely denied a preliminary injunction to restrain the management from expending corporate funds to hire professional proxy solicitors. There is a difference between hiring-solicitors merely to follow up proxy notices so as to obtain a quorum, and a high pressure campaign to secure votes by personal contact. The district court in the</w:t>
      </w:r>
      <w:r>
        <w:t xml:space="preserve"> </w:t>
      </w:r>
      <w:r>
        <w:rPr>
          <w:iCs/>
          <w:i/>
        </w:rPr>
        <w:t xml:space="preserve">Hand</w:t>
      </w:r>
      <w:r>
        <w:t xml:space="preserve"> </w:t>
      </w:r>
      <w:r>
        <w:t xml:space="preserve">case did not attempt to decide that aspect of the case, merely ruling that it should be determined after trial, and that no irreparable injury had been shown justifying the issuance of a temporary injunction even if the practice were ultimately held to have been</w:t>
      </w:r>
      <w:r>
        <w:t xml:space="preserve"> </w:t>
      </w:r>
      <w:r>
        <w:rPr>
          <w:iCs/>
          <w:i/>
        </w:rPr>
        <w:t xml:space="preserve">ultra vires.</w:t>
      </w:r>
      <w:r>
        <w:t xml:space="preserve"> </w:t>
      </w:r>
      <w:r>
        <w:t xml:space="preserve">In</w:t>
      </w:r>
      <w:r>
        <w:t xml:space="preserve"> </w:t>
      </w:r>
      <w:r>
        <w:rPr>
          <w:iCs/>
          <w:i/>
        </w:rPr>
        <w:t xml:space="preserve">Empire So. Gas Co.</w:t>
      </w:r>
      <w:r>
        <w:t xml:space="preserve"> </w:t>
      </w:r>
      <w:r>
        <w:t xml:space="preserve">v.</w:t>
      </w:r>
      <w:r>
        <w:t xml:space="preserve"> </w:t>
      </w:r>
      <w:r>
        <w:rPr>
          <w:iCs/>
          <w:i/>
        </w:rPr>
        <w:t xml:space="preserve">Gray</w:t>
      </w:r>
      <w:r>
        <w:rPr>
          <w:iCs/>
          <w:i/>
        </w:rPr>
        <w:t xml:space="preserve"> </w:t>
      </w:r>
      <w:r>
        <w:rPr>
          <w:iCs/>
          <w:i/>
        </w:rPr>
        <w:t xml:space="preserve">(supra),</w:t>
      </w:r>
      <w:r>
        <w:t xml:space="preserve"> </w:t>
      </w:r>
      <w:r>
        <w:t xml:space="preserve">it was held that a corporation might sue to enjoin insurgents from soliciting proxies fraudulently by means of a false statement that such solicitation was being made by order of the board of directors. The case most frequently cited and principally relied upon from among these Delaware decisions is</w:t>
      </w:r>
      <w:r>
        <w:t xml:space="preserve"> </w:t>
      </w:r>
      <w:r>
        <w:rPr>
          <w:iCs/>
          <w:i/>
        </w:rPr>
        <w:t xml:space="preserve">Hall</w:t>
      </w:r>
      <w:r>
        <w:t xml:space="preserve"> </w:t>
      </w:r>
      <w:r>
        <w:t xml:space="preserve">v.</w:t>
      </w:r>
      <w:r>
        <w:t xml:space="preserve"> </w:t>
      </w:r>
      <w:r>
        <w:rPr>
          <w:iCs/>
          <w:i/>
        </w:rPr>
        <w:t xml:space="preserve">Trans-Lux Daylight Picture Screen Corp. (supra).</w:t>
      </w:r>
      <w:r>
        <w:t xml:space="preserve"> </w:t>
      </w:r>
      <w:r>
        <w:t xml:space="preserve">There the English case was followed of</w:t>
      </w:r>
      <w:r>
        <w:t xml:space="preserve"> </w:t>
      </w:r>
      <w:r>
        <w:rPr>
          <w:iCs/>
          <w:i/>
        </w:rPr>
        <w:t xml:space="preserve">Peel</w:t>
      </w:r>
      <w:r>
        <w:t xml:space="preserve"> </w:t>
      </w:r>
      <w:r>
        <w:t xml:space="preserve">v.</w:t>
      </w:r>
      <w:r>
        <w:t xml:space="preserve"> </w:t>
      </w:r>
      <w:r>
        <w:rPr>
          <w:iCs/>
          <w:i/>
        </w:rPr>
        <w:t xml:space="preserve">London &amp; North Western Ry. Co. (supra)</w:t>
      </w:r>
      <w:r>
        <w:t xml:space="preserve"> </w:t>
      </w:r>
      <w:r>
        <w:t xml:space="preserve">which distinguished between expenses merely for the purpose of maintaining control, and contests over policy questions of the corporation. In the</w:t>
      </w:r>
      <w:r>
        <w:t xml:space="preserve"> </w:t>
      </w:r>
      <w:r>
        <w:rPr>
          <w:iCs/>
          <w:i/>
        </w:rPr>
        <w:t xml:space="preserve">Hall</w:t>
      </w:r>
      <w:r>
        <w:t xml:space="preserve"> </w:t>
      </w:r>
      <w:r>
        <w:t xml:space="preserve">case the issues concerned a proposed .merger, and a proposed sale of stock of a subsidiary corporation, These were held to be policy questions, and payment of the management campaign expenses was upheld.</w:t>
      </w:r>
    </w:p>
    <w:p>
      <w:pPr>
        <w:pStyle w:val="CaseBody"/>
      </w:pPr>
      <w:r>
        <w:t xml:space="preserve">In our view, the impracticability of such a distinction is illustrated by the statement in the</w:t>
      </w:r>
      <w:r>
        <w:t xml:space="preserve"> </w:t>
      </w:r>
      <w:r>
        <w:rPr>
          <w:iCs/>
          <w:i/>
        </w:rPr>
        <w:t xml:space="preserve">Hall</w:t>
      </w:r>
      <w:r>
        <w:t xml:space="preserve"> </w:t>
      </w:r>
      <w:r>
        <w:t xml:space="preserve">case</w:t>
      </w:r>
      <w:r>
        <w:t xml:space="preserve"> </w:t>
      </w:r>
      <w:r>
        <w:rPr>
          <w:iCs/>
          <w:i/>
        </w:rPr>
        <w:t xml:space="preserve">(supra,</w:t>
      </w:r>
      <w:r>
        <w:t xml:space="preserve"> </w:t>
      </w:r>
      <w:r>
        <w:t xml:space="preserve">p. 85) that “ It is impossible in many cases of intracorporate contests over directors, to sever questions of policy from those of persons ’ ’. This circumstance is stressed in Judge Rifkind’s opinion in the</w:t>
      </w:r>
      <w:r>
        <w:t xml:space="preserve"> </w:t>
      </w:r>
      <w:r>
        <w:rPr>
          <w:iCs/>
          <w:i/>
        </w:rPr>
        <w:t xml:space="preserve">Steinberg</w:t>
      </w:r>
      <w:r>
        <w:t xml:space="preserve"> </w:t>
      </w:r>
      <w:r>
        <w:t xml:space="preserve">case</w:t>
      </w:r>
      <w:r>
        <w:t xml:space="preserve"> </w:t>
      </w:r>
      <w:r>
        <w:rPr>
          <w:iCs/>
          <w:i/>
        </w:rPr>
        <w:t xml:space="preserve">(supra,</w:t>
      </w:r>
      <w:r>
        <w:t xml:space="preserve"> </w:t>
      </w:r>
      <w:r>
        <w:t xml:space="preserve">p. 608):</w:t>
      </w:r>
      <w:r>
        <w:t xml:space="preserve"> </w:t>
      </w:r>
      <w:r>
        <w:rPr>
          <w:iCs/>
          <w:i/>
        </w:rPr>
        <w:t xml:space="preserve">“</w:t>
      </w:r>
      <w:r>
        <w:t xml:space="preserve"> </w:t>
      </w:r>
      <w:r>
        <w:t xml:space="preserve">The simple fact, of course, is that generally policy and personnel do not exist in separate compartments. A change in personnel is sometimes indispensable to a change of policy. A new board may be the symbol of the shift in policy as well as the means of obtaining it.”</w:t>
      </w:r>
    </w:p>
    <w:p>
      <w:pPr>
        <w:pStyle w:val="CaseBody"/>
      </w:pPr>
      <w:r>
        <w:t xml:space="preserve">That may be all very well, but the upshot of this reasoning is that inasmuch as it is generally impossible to distinguish whether “ policy” or “ personnel” is the dominant factor, any averments must be accepted at their face value that questions of policy are dominant. Nowhere do these opinions mention that the converse is equally true and more pervasive, that neither the “ ins ” nor the “ outs ” ever say that they have no program to offer to the shareholders, but just want to acquire or to retain control, as the case may be. In common experience, this distinction is unreal. It was not mentioned by this court in</w:t>
      </w:r>
      <w:r>
        <w:t xml:space="preserve"> </w:t>
      </w:r>
      <w:r>
        <w:rPr>
          <w:iCs/>
          <w:i/>
        </w:rPr>
        <w:t xml:space="preserve">Lawyers’ Adv. Co.</w:t>
      </w:r>
      <w:r>
        <w:t xml:space="preserve"> </w:t>
      </w:r>
      <w:r>
        <w:t xml:space="preserve">v.</w:t>
      </w:r>
      <w:r>
        <w:t xml:space="preserve"> </w:t>
      </w:r>
      <w:r>
        <w:rPr>
          <w:iCs/>
          <w:i/>
        </w:rPr>
        <w:t xml:space="preserve">Consolidated Ry. Lighting &amp; Refrig. Co. (supra).</w:t>
      </w:r>
      <w:r>
        <w:t xml:space="preserve"> </w:t>
      </w:r>
      <w:r>
        <w:t xml:space="preserve">As in political contests, aspirations for control are invariably presented under the guise of policy or principle. A valiant effort was made in the English case of</w:t>
      </w:r>
      <w:r>
        <w:t xml:space="preserve"> </w:t>
      </w:r>
      <w:r>
        <w:rPr>
          <w:iCs/>
          <w:i/>
        </w:rPr>
        <w:t xml:space="preserve">Peel</w:t>
      </w:r>
      <w:r>
        <w:t xml:space="preserve"> </w:t>
      </w:r>
      <w:r>
        <w:t xml:space="preserve">v.</w:t>
      </w:r>
      <w:r>
        <w:t xml:space="preserve"> </w:t>
      </w:r>
      <w:r>
        <w:rPr>
          <w:iCs/>
          <w:i/>
        </w:rPr>
        <w:t xml:space="preserve">London &amp; North Western Ry.</w:t>
      </w:r>
      <w:r>
        <w:rPr>
          <w:iCs/>
          <w:i/>
        </w:rPr>
        <w:t xml:space="preserve"> </w:t>
      </w:r>
      <w:r>
        <w:rPr>
          <w:iCs/>
          <w:i/>
        </w:rPr>
        <w:t xml:space="preserve">(supra,</w:t>
      </w:r>
      <w:r>
        <w:rPr>
          <w:iCs/>
          <w:i/>
        </w:rPr>
        <w:t xml:space="preserve"> </w:t>
      </w:r>
      <w:r>
        <w:t xml:space="preserve">p. 21</w:t>
      </w:r>
      <w:r>
        <w:t xml:space="preserve">) to conserve the distinction in the opinion by Buckley, L. J., who said: “ Those who are conversant with the affairs of joint stock companies are well aware that cases often arise in which the board in power are anxious to maintain themselves in power, to procure their own re-election, or to drive a policy not really in the interests of the corporation, but for some private purpose of their own, down the throats of the corporators at a general meeting, and in which they issue at the expense of the company circulars and proxy papers for the purpose of attaining that object. When a case of that kind comes before the Court, I sincerely trust that the decision of this Court in this case will not be cited as any authority for justifying the action of the directors.”</w:t>
      </w:r>
    </w:p>
    <w:p>
      <w:pPr>
        <w:pStyle w:val="CaseBody"/>
      </w:pPr>
      <w:r>
        <w:t xml:space="preserve">The main question of “ policy ” in the instant corporate election, as is stated in the opinions below and frankly admitted, concerns the long-term contract with pension rights of a former officer and director, Mr. J. Carlton Ward, Jr. The insurgents’ chief claim of benefit to the corporation from their victory consists in the termination of that agreement, resulting in an alleged actuarial saving of $350,000 to $825,000 to the corporation, and the reduction of other salaries and rent by more than $300,000 per year. The insurgents had contended in the proxy contest that these payments should be substantially reduced so ■that members of the incumbent group would not continue to profit personally at the expense of the corporation. If these charges were true, which appear to have been believed by a majority of the shareholders, then the disbursements by the management group in the proxy contest fall under the condemnation of the English and the Delaware rule.</w:t>
      </w:r>
    </w:p>
    <w:p>
      <w:pPr>
        <w:pStyle w:val="CaseBody"/>
      </w:pPr>
      <w:r>
        <w:t xml:space="preserve">These circumstances are mentioned primarily to illustrate how impossible it is to distinguish between “ policy ” and</w:t>
      </w:r>
      <w:r>
        <w:t xml:space="preserve"> </w:t>
      </w:r>
      <w:r>
        <w:rPr>
          <w:iCs/>
          <w:i/>
        </w:rPr>
        <w:t xml:space="preserve">“</w:t>
      </w:r>
      <w:r>
        <w:t xml:space="preserve"> </w:t>
      </w:r>
      <w:r>
        <w:t xml:space="preserve">personnel ”, as Judge Rifkind expressed it, but they also indicate that personal factors are deeply rooted in this contest. That is certainly true insofar as the former management group is concerned. It would be hard to find a case to which the careful reservation made by the English Judge in the</w:t>
      </w:r>
      <w:r>
        <w:t xml:space="preserve"> </w:t>
      </w:r>
      <w:r>
        <w:rPr>
          <w:iCs/>
          <w:i/>
        </w:rPr>
        <w:t xml:space="preserve">Peel</w:t>
      </w:r>
      <w:r>
        <w:t xml:space="preserve"> </w:t>
      </w:r>
      <w:r>
        <w:t xml:space="preserve">case</w:t>
      </w:r>
      <w:r>
        <w:t xml:space="preserve"> </w:t>
      </w:r>
      <w:r>
        <w:rPr>
          <w:iCs/>
          <w:i/>
        </w:rPr>
        <w:t xml:space="preserve">(supra)</w:t>
      </w:r>
      <w:r>
        <w:t xml:space="preserve"> </w:t>
      </w:r>
      <w:r>
        <w:t xml:space="preserve">was more directly applicable.</w:t>
      </w:r>
    </w:p>
    <w:p>
      <w:pPr>
        <w:pStyle w:val="CaseBody"/>
      </w:pPr>
      <w:r>
        <w:t xml:space="preserve">Some expenditures may concededly be made by a corporation represented by its management so as to inform the stockholders, but there is a clear distinction between such expenditures by management and by mere groups of stockholders. The latter are under no legal obligation to assume duties of managing the corporation. They may endeavor to supersede the management for any reason, regardless of whether it be advantageous or detrimental to the corporation but, if they succeed, that is not a determination that the company was previously mismanaged or that it may not be mismanaged in the future. A change in control is in no sense analogous to an adjudication that the former directors have been guilty of misconduct. The analogy of allowing expenses of suit to minority stockholders who have been successful in a derivative action based on misconduct of officers or directors, is entirely without foundation.-</w:t>
      </w:r>
    </w:p>
    <w:p>
      <w:pPr>
        <w:pStyle w:val="CaseBody"/>
      </w:pPr>
      <w:r>
        <w:t xml:space="preserve">Insofar as a management group is concerned, it may charge the corporation with any. expenses within reasonable limits incurred in giving widespread notice to stockholders of questions affecting the welfare of the corporation</w:t>
      </w:r>
      <w:r>
        <w:t xml:space="preserve"> </w:t>
      </w:r>
      <w:r>
        <w:rPr>
          <w:iCs/>
          <w:i/>
        </w:rPr>
        <w:t xml:space="preserve">(Lawyers’ Adv. Co.</w:t>
      </w:r>
      <w:r>
        <w:t xml:space="preserve"> </w:t>
      </w:r>
      <w:r>
        <w:t xml:space="preserve">v.</w:t>
      </w:r>
      <w:r>
        <w:t xml:space="preserve"> </w:t>
      </w:r>
      <w:r>
        <w:rPr>
          <w:iCs/>
          <w:i/>
        </w:rPr>
        <w:t xml:space="preserve">Consolidated Ry. Lighting &amp; Refrig.</w:t>
      </w:r>
      <w:r>
        <w:t xml:space="preserve"> </w:t>
      </w:r>
      <w:r>
        <w:t xml:space="preserve">Co.,</w:t>
      </w:r>
      <w:r>
        <w:t xml:space="preserve"> </w:t>
      </w:r>
      <w:r>
        <w:rPr>
          <w:iCs/>
          <w:i/>
        </w:rPr>
        <w:t xml:space="preserve">supra).</w:t>
      </w:r>
      <w:r>
        <w:t xml:space="preserve"> </w:t>
      </w:r>
      <w:r>
        <w:t xml:space="preserve">Expenditures in excess of these limits are</w:t>
      </w:r>
      <w:r>
        <w:t xml:space="preserve"> </w:t>
      </w:r>
      <w:r>
        <w:rPr>
          <w:iCs/>
          <w:i/>
        </w:rPr>
        <w:t xml:space="preserve">ultra vires.</w:t>
      </w:r>
      <w:r>
        <w:t xml:space="preserve"> </w:t>
      </w:r>
      <w:r>
        <w:t xml:space="preserve">The corporation lacks power to defray them. The corporation lacks power to defray the expenses of the insurgents in their entirety. The insurgents were not charged with responsibility for operating the company. No appellate court case is- cited from any jurisdiction holding otherwise. No contention is made that such disbursements could be made, in any event, without stockholder ratification; they could not be ratified except by unanimous vote if they were</w:t>
      </w:r>
      <w:r>
        <w:t xml:space="preserve"> </w:t>
      </w:r>
      <w:r>
        <w:rPr>
          <w:iCs/>
          <w:i/>
        </w:rPr>
        <w:t xml:space="preserve">ultra vires.</w:t>
      </w:r>
      <w:r>
        <w:t xml:space="preserve"> </w:t>
      </w:r>
      <w:r>
        <w:t xml:space="preserve">The insurgents, in this instance, repeatedly announced to the stockholders in their campaign literature that their proxy contest was being waged at their own personal expense. If reimbursement of such items were permitted upon majority stockholder ratification, no court or other tribunal could pass upon which types of expenditure were</w:t>
      </w:r>
      <w:r>
        <w:t xml:space="preserve"> </w:t>
      </w:r>
      <w:r>
        <w:rPr>
          <w:iCs/>
          <w:i/>
        </w:rPr>
        <w:t xml:space="preserve">“</w:t>
      </w:r>
      <w:r>
        <w:t xml:space="preserve"> </w:t>
      </w:r>
      <w:r>
        <w:t xml:space="preserve">needless ”, to employ the characterization of the Appellate Division in this case. Whether the insurgents should be paid would be made to depend upon whether they win the stockholders election and obtain control of the corporation. It would be entirely irrelevant whether the corporation is</w:t>
      </w:r>
      <w:r>
        <w:t xml:space="preserve"> </w:t>
      </w:r>
      <w:r>
        <w:rPr>
          <w:iCs/>
          <w:i/>
        </w:rPr>
        <w:t xml:space="preserve">“</w:t>
      </w:r>
      <w:r>
        <w:t xml:space="preserve"> </w:t>
      </w:r>
      <w:r>
        <w:t xml:space="preserve">benefited ” by their efforts or by the outcome of such an election. The courts could not indulge in a speculative inquiry into that issue. That would truly be a matter of business judgment. In some instances corporations are better governed by the existing management and in others by some other group which supersedes the existing management. Courts of law have no jurisdiction to decide such questions, and successful insurgent stockholders may confidently be relied upon to reimburse themselves whatever may be the real merits of the controversy. The losers in a proxy fight may understand the interests of the corporation more accurately than their successful adversaries, and agitation of this character may ultimately result in corporate advantage even if there - be no change in management. Nevertheless, under the judgment which is appealed from, success in a proxy contest is the indispensable condition upon which reimbursement of the insurgents depends. Adventurers are not infrequent who are ready to take advantage of economic recessions, reduction of dividends or failure to increase them, or other sources of stockholder discontent to wage contests in order to obtain control of well-managed corporations, so as to divert their funds through legal channels into other corporations in which they may be interested, or to discharge former officers and employees to make room for favored newcomers according to the fashion of political patronage, or for other objectives that are unrelated to the sound prosperity of the enterprise. The way is open and will be kept open for stockholders and groups of stockholders to contest corporate elections, but if the promoters of such movements choose to employ the costly modern media of mass persuasion, they should look for reimbursement to themselves and to the stockholders who are aligned with them. If the law be that they can be recompensed by the corporation in case of success, and only in that event, it will operate as a powerful incentive to persons accustomed to taking calculated risks to increase this form of high-powered salesmanship to such a degree that, action provoking reaction, stockholders’ meetings will be very costly. , To the financial advantages promised by control of a prosperous corporation, would be added the knowledge that the winner takes all insofar as the campaign expenses are concerned. To the victor, indeed, would belong the spoils.</w:t>
      </w:r>
    </w:p>
    <w:p>
      <w:pPr>
        <w:pStyle w:val="CaseBody"/>
      </w:pPr>
      <w:r>
        <w:t xml:space="preserve">The questions involved in this case assume mounting importance as the capital stock of corporations becomes more widely distributed. To an enlarged extent the campaign methods consequently come more to resemble those of political campaigns, but, as in the latter, campaign expenses should be borne by those who are waging the campaign and their followers, instead of being met out of the corporate or the public treasury. Especially is this true when campaign promises have been made that the expenses would not be charged to the corporation.</w:t>
      </w:r>
    </w:p>
    <w:p>
      <w:pPr>
        <w:pStyle w:val="CaseBody"/>
      </w:pPr>
      <w:r>
        <w:t xml:space="preserve">Nothing which is said in this opinion is intended as any reflection upon the motives of the insurgent group in instigating this corporate contest, nor upon the management group. Questions of law are involved which extend beyond the persons and the corporation presently before the court. It is the established law of this State that expenditures may be incurred by management limited to informing the stockholders fully and fairly concerning1 the affairs and policies of the corporation, which may well include an explanation of the reasons on account of which its policies have been undertaken, nor is there any reason on account of which stockholders who have neglected to sign proxies through apathy may not be solicited so as to insure a quorum, which would ordinarily occur in instances where there is no contest, but beyond measures of this character, the purely campaign expenses of a management group do not serve a corporate purpose, and paying them is</w:t>
      </w:r>
      <w:r>
        <w:t xml:space="preserve"> </w:t>
      </w:r>
      <w:r>
        <w:rPr>
          <w:iCs/>
          <w:i/>
        </w:rPr>
        <w:t xml:space="preserve">ultra vires.</w:t>
      </w:r>
      <w:r>
        <w:t xml:space="preserve"> </w:t>
      </w:r>
      <w:r>
        <w:t xml:space="preserve">The same is true of all of the expenses of insurgent stockholders.</w:t>
      </w:r>
    </w:p>
    <w:p>
      <w:pPr>
        <w:pStyle w:val="CaseBody"/>
      </w:pPr>
      <w:r>
        <w:t xml:space="preserve">The release given to J. Carlton Ward, Jr., by the authority of his codirectors, could not have the effect of discharging liability to which they were otherwise subject upon the theory that it operated to release them as joint tort-feasors.</w:t>
      </w:r>
    </w:p>
    <w:p>
      <w:pPr>
        <w:pStyle w:val="CaseBody"/>
      </w:pPr>
      <w:r>
        <w:t xml:space="preserve">The judgment appealed from should be reversed so as to direct respondent Fairchild to pay to the corporation the sum of $118,448.78, with appropriate interest, representing the moneys reimbursed to him by the corporation and, upon his default, the respondent, Allis should be required to pay said sum; respondents Fairchild and Allis should be required to pay to the corporation the sum of $9,107.10, with appropriate interest, representing the amount reimbursed to L. M. Bolton by the corporation; and an interlocutory judgment should be entered for an accounting to determine what part of the $133,966, representing expenses incurred by the old board, was improperly charged to the corporation and requiring the respondents Wilson and McComas to pay to the corporation the sum thereof, and the respondents Allis and Fairchild such amounts thereof as were paid out after July 15, 1949, with costs of the action to the plaintiff in all courts.</w:t>
      </w:r>
    </w:p>
    <w:p>
      <w:pPr>
        <w:pStyle w:val="CaseBody"/>
      </w:pPr>
      <w:r>
        <w:t xml:space="preserve">Conway, Ch. J., and Burke, J., concur with Froessel, J.; Desmond, J., concurs in part in a separate opinion; Van Voorhis, J., dissents in an opinion in which Dye and Fuld, JJ., concur.</w:t>
      </w:r>
    </w:p>
    <w:p>
      <w:pPr>
        <w:pStyle w:val="CaseBody"/>
      </w:pPr>
      <w:r>
        <w:t xml:space="preserve">Judgment affirmed.</w:t>
      </w:r>
    </w:p>
    <w:p>
      <w:pPr>
        <w:pStyle w:val="NodeEnd"/>
      </w:pPr>
      <w:r>
        <w:t xml:space="preserve"> </w:t>
      </w:r>
    </w:p>
    <w:p>
      <w:pPr>
        <w:pStyle w:val="NodeStart"/>
      </w:pPr>
      <w:r>
        <w:t xml:space="preserve"> </w:t>
      </w:r>
    </w:p>
    <w:p>
      <w:pPr>
        <w:pStyle w:val="HeadSeparator"/>
      </w:pPr>
      <w:r>
        <w:t xml:space="preserve"> </w:t>
      </w:r>
    </w:p>
    <w:bookmarkStart w:id="56" w:name="_auto_toc_56"/>
    <w:bookmarkEnd w:id="56"/>
    <w:p>
      <w:pPr>
        <w:pStyle w:val="ResourceNumber"/>
      </w:pPr>
      <w:r>
        <w:t xml:space="preserve">5.1.2</w:t>
      </w:r>
    </w:p>
    <w:p>
      <w:pPr>
        <w:pStyle w:val="ResourceTitle"/>
      </w:pPr>
      <w:r>
        <w:t xml:space="preserve">Schnell v. Chris-Craft Industries, Inc.</w:t>
      </w:r>
    </w:p>
    <w:p>
      <w:pPr>
        <w:pStyle w:val="HeadFieldSeparator"/>
      </w:pPr>
      <w:r>
        <w:t xml:space="preserve"> </w:t>
      </w:r>
    </w:p>
    <w:p>
      <w:pPr>
        <w:pStyle w:val="ResourceHeadnote"/>
      </w:pPr>
      <w:r>
        <w:t xml:space="preserve">Schnell is the classic Supreme Court authority emphasizing the importance of corporate voting, and announcing special judicial vigilance towards anything that interferes with this voting. Pay close attention to the legal reasoning. Is it compelling? We will come back to this often.</w:t>
      </w:r>
    </w:p>
    <w:p>
      <w:pPr>
        <w:pStyle w:val="HeadEnd"/>
      </w:pPr>
      <w:r>
        <w:t xml:space="preserve"> </w:t>
      </w:r>
    </w:p>
    <w:p>
      <w:pPr>
        <w:pStyle w:val="BodyText"/>
      </w:pPr>
      <w:r>
        <w:t xml:space="preserve">285 A.2d 437 (1971)</w:t>
      </w:r>
    </w:p>
    <w:bookmarkStart w:id="74" w:name="X013e8dcb6a057cce24ba0e5a2aedce9459a31cc"/>
    <w:p>
      <w:pPr>
        <w:pStyle w:val="Heading2"/>
      </w:pPr>
      <w:r>
        <w:t xml:space="preserve">Andrew H. SCHNELL, Jr. and Jack Safer, Plaintiffs Below, Appellants,</w:t>
      </w:r>
      <w:r>
        <w:br/>
      </w:r>
      <w:r>
        <w:t xml:space="preserve">v.</w:t>
      </w:r>
      <w:r>
        <w:br/>
      </w:r>
      <w:r>
        <w:t xml:space="preserve">CHRIS-CRAFT INDUSTRIES, INC., a Delaware corporation, Defendant Below, Appellee.</w:t>
      </w:r>
    </w:p>
    <w:p>
      <w:pPr>
        <w:pStyle w:val="FirstParagraph"/>
      </w:pPr>
      <w:r>
        <w:t xml:space="preserve">Supreme Court of Delaware.</w:t>
      </w:r>
      <w:r>
        <w:br/>
      </w:r>
      <w:r>
        <w:t xml:space="preserve">November 29, 1971.</w:t>
      </w:r>
    </w:p>
    <w:p>
      <w:pPr>
        <w:pStyle w:val="BodyText"/>
      </w:pPr>
      <w:r>
        <w:t xml:space="preserve">H. Albert Young and Edward B. Maxwell, 2nd, of Young, Conaway, Stargatt &amp; Taylor, Wilmington, and Carl F. Goodman, New York City, and Jay L. Westbrook, of Surrey, Karasik &amp; Greene, Washington, D. C., for plaintiffs below, appellants.</w:t>
      </w:r>
    </w:p>
    <w:p>
      <w:pPr>
        <w:pStyle w:val="BodyText"/>
      </w:pPr>
      <w:r>
        <w:t xml:space="preserve">David F. Anderson and Charles S. Crompton, Jr., of Potter, Anderson &amp; Corroon, Wilmington, and Arthur L. Liman and Daniel P. Levitt, of Paul, Weiss, Rifkind, Wharton &amp; Garrison, New York City, and Washington, D. C., for defendant below, appellee.</w:t>
      </w:r>
    </w:p>
    <w:p>
      <w:pPr>
        <w:pStyle w:val="BodyText"/>
      </w:pPr>
      <w:r>
        <w:t xml:space="preserve">Before WOLCOTT, Chief Justice, and CAREY and HERRMANN, Associate Justices:</w:t>
      </w:r>
    </w:p>
    <w:bookmarkEnd w:id="74"/>
    <w:bookmarkStart w:id="75" w:name="X7608f23937cbe808ffccfecb0c0e40e1a842d5d"/>
    <w:p>
      <w:pPr>
        <w:pStyle w:val="Heading2"/>
      </w:pPr>
      <w:r>
        <w:t xml:space="preserve">[438] HERRMANN, Justice (for the majority of the Court):</w:t>
      </w:r>
    </w:p>
    <w:p>
      <w:pPr>
        <w:pStyle w:val="FirstParagraph"/>
      </w:pPr>
      <w:r>
        <w:t xml:space="preserve">This is an appeal from the denial by the Court of Chancery of the petition of dissident stockholders for injunctive relief to prevent management</w:t>
      </w:r>
      <w:hyperlink w:anchor="Xc4ec334a43d1550eb54ea8e2c357142d2a81714">
        <w:r>
          <w:rPr>
            <w:rStyle w:val="Hyperlink"/>
            <w:vertAlign w:val="superscript"/>
          </w:rPr>
          <w:t xml:space="preserve">[*]</w:t>
        </w:r>
      </w:hyperlink>
      <w:r>
        <w:t xml:space="preserve"> </w:t>
      </w:r>
      <w:r>
        <w:t xml:space="preserve">from advancing the date of the annual stockholders' meeting from January 11, 1972, as previously set by the by-laws, to December 8, 1971.</w:t>
      </w:r>
    </w:p>
    <w:p>
      <w:pPr>
        <w:pStyle w:val="BodyText"/>
      </w:pPr>
      <w:r>
        <w:t xml:space="preserve">The opinion below is reported at 285 A.2d 430. This opinion is confined to the frame of reference of the opinion below for the sake of brevity and because of the strictures of time imposed by the circumstances of the case.</w:t>
      </w:r>
    </w:p>
    <w:p>
      <w:pPr>
        <w:pStyle w:val="BodyText"/>
      </w:pPr>
      <w:r>
        <w:t xml:space="preserve">It will be seen that the Chancery Court considered all of the reasons stated by management as business reasons for changing the date of the meeting; but that those reasons were rejected by the Court below in making the following findings:</w:t>
      </w:r>
    </w:p>
    <w:p>
      <w:pPr>
        <w:pStyle w:val="BlockText"/>
      </w:pPr>
      <w:r>
        <w:t xml:space="preserve">"I am satisfied, however, in a situation in which present management has disingenuously resisted the production of a list of its stockholders to plaintiffs or their confederates and has otherwise turned a deaf ear to plaintiffs' demands about a change in management designed to lift defendant from its present business [439] doldrums, management has seized on a relatively new section of the Delaware Corporation Law for the purpose of cutting down on the amount of time which would otherwise have been available to plaintiffs and others for the waging of a proxy battle. Management thus enlarged the scope of its scheduled October 18 directors' meeting to include the by-law amendment in controversy after the stockholders committee had filed with the S.E.C. its intention to wage a proxy fight on October 16.</w:t>
      </w:r>
    </w:p>
    <w:p>
      <w:pPr>
        <w:pStyle w:val="BlockText"/>
      </w:pPr>
      <w:r>
        <w:t xml:space="preserve">"Thus plaintiffs reasonably contend that because of the tactics employed by management (which involve the hiring of two established proxy solicitors as well as a refusal to produce a list of its stockholders, coupled with its use of an amendment to the Delaware Corporation Law to limit the time for contest), they are given little chance, because of the exigencies of time, including that required to clear material at the S.E.C., to wage a successful proxy fight between now and December 8. * * *."</w:t>
      </w:r>
    </w:p>
    <w:p>
      <w:pPr>
        <w:pStyle w:val="FirstParagraph"/>
      </w:pPr>
      <w:r>
        <w:t xml:space="preserve">In our view, those conclusions amount to a finding that management has attempted to utilize the corporate machinery and the Delaware Law for the purpose of perpetuating itself in office; and, to that end, for the purpose of obstructing the legitimate efforts of dissident stockholders in the exercise of their rights to undertake a proxy contest against management. These are inequitable purposes, contrary to established principles of corporate democracy. The advancement by directors of the by-law date of a stockholders' meeting, for such purposes, may not be permitted to stand. Compare Condec Corporation v. Lunkenheimer Company, Del.Ch., 230 A.2d 769 (1967).</w:t>
      </w:r>
    </w:p>
    <w:p>
      <w:pPr>
        <w:pStyle w:val="BodyText"/>
      </w:pPr>
      <w:r>
        <w:t xml:space="preserve">When the by-laws of a corporation designate the date of the annual meeting of stockholders, it is to be expected that those who intend to contest the reelection of incumbent management will gear their campaign to the by-law date. It is not to be expected that management will attempt to advance that date in order to obtain an inequitable advantage in the contest.</w:t>
      </w:r>
    </w:p>
    <w:p>
      <w:pPr>
        <w:pStyle w:val="BodyText"/>
      </w:pPr>
      <w:r>
        <w:t xml:space="preserve">Management contends that it has complied strictly with the provisions of the new Delaware Corporation Law in changing the by-law date. The answer to that contention, of course, is that inequitable action does not become permissible simply because it is legally possible.</w:t>
      </w:r>
    </w:p>
    <w:p>
      <w:pPr>
        <w:pStyle w:val="BodyText"/>
      </w:pPr>
      <w:r>
        <w:t xml:space="preserve">Management relies upon American Hardware Corp. v. Savage Arms Corp., 37 Del.Ch. 10, 135 A.2d 725, aff'd 37 Del.Ch. 59, 136 A.2d 690 (1957). That case is inapposite for two reasons: it involved an effort by stockholders, engaged in a proxy contest, to have the stockholders' meeting adjourned and the period for the proxy contest enlarged; and there was no finding there of inequitable action on the part of management. We agree with the rule of</w:t>
      </w:r>
      <w:r>
        <w:t xml:space="preserve"> </w:t>
      </w:r>
      <w:r>
        <w:rPr>
          <w:iCs/>
          <w:i/>
        </w:rPr>
        <w:t xml:space="preserve">American Hardware</w:t>
      </w:r>
      <w:r>
        <w:t xml:space="preserve"> </w:t>
      </w:r>
      <w:r>
        <w:t xml:space="preserve">that, in the absence of fraud or inequitable conduct, the date for a stockholders' meeting and notice thereof, duly established under the by-laws, will not be enlarged by judicial interference at the request of dissident stockholders solely because of the circumstance of a proxy contest. That, of course, is not the case before us.</w:t>
      </w:r>
    </w:p>
    <w:p>
      <w:pPr>
        <w:pStyle w:val="BodyText"/>
      </w:pPr>
      <w:r>
        <w:t xml:space="preserve">We are unable to agree with the conclusion of the Chancery Court that the stockholders' application for injunctive relief here was tardy and came too late. The stockholders learned of the action of management unofficially on Wednesday, October 27, 1971; they filed this action on Monday, November 1, 1971. Until management changed the date of the meeting, the stockholders had no need of judicial assistance in that connection. There is no indication of any prior warning of management's intent to take such action; indeed, it appears that an attempt was made by management to conceal its action as long as possible. Moreover, stockholders may not be charged with the duty of anticipating inequitable action by management, and of seeking anticipatory injunctive relief to foreclose such action, simply because the [440] new Delaware Corporation Law makes such inequitable action legally possible.</w:t>
      </w:r>
    </w:p>
    <w:p>
      <w:pPr>
        <w:pStyle w:val="BodyText"/>
      </w:pPr>
      <w:r>
        <w:t xml:space="preserve">Accordingly, the judgment below must be reversed and the cause remanded, with instructions to nullify the December 8 date as a meeting date for stockholders; to reinstate January 11, 1972 as the sole date of the next annual meeting of the stockholders of the corporation; and to take such other proceedings and action as may be consistent herewith regarding the stock record closing date and any other related matters.</w:t>
      </w:r>
    </w:p>
    <w:bookmarkEnd w:id="75"/>
    <w:bookmarkStart w:id="76" w:name="wolcott-chief-justice-dissenting"/>
    <w:p>
      <w:pPr>
        <w:pStyle w:val="Heading2"/>
      </w:pPr>
      <w:r>
        <w:t xml:space="preserve">WOLCOTT, Chief Justice (dissenting):</w:t>
      </w:r>
    </w:p>
    <w:p>
      <w:pPr>
        <w:pStyle w:val="FirstParagraph"/>
      </w:pPr>
      <w:r>
        <w:t xml:space="preserve">I do not agree with the majority of the Court in its disposition of this appeal. The plaintiff stockholders concerned in this litigation have, for a considerable period of time, sought to obtain control of the defendant corporation. These attempts took various forms.</w:t>
      </w:r>
    </w:p>
    <w:p>
      <w:pPr>
        <w:pStyle w:val="BodyText"/>
      </w:pPr>
      <w:r>
        <w:t xml:space="preserve">In view of the length of time leading up to the immediate events which caused the filing of this action, I agree with the Vice Chancellor that the application for injunctive relief came too late.</w:t>
      </w:r>
    </w:p>
    <w:p>
      <w:pPr>
        <w:pStyle w:val="BodyText"/>
      </w:pPr>
      <w:r>
        <w:t xml:space="preserve">I would affirm the judgment below on the basis of the Vice Chancellor's opinion.</w:t>
      </w:r>
    </w:p>
    <w:p>
      <w:pPr>
        <w:pStyle w:val="BodyText"/>
      </w:pPr>
      <w:hyperlink w:anchor="X1dfe56e6432e41c62e95355bb32fc9f35f7eec7">
        <w:r>
          <w:rPr>
            <w:rStyle w:val="Hyperlink"/>
          </w:rPr>
          <w:t xml:space="preserve">[*]</w:t>
        </w:r>
      </w:hyperlink>
      <w:r>
        <w:t xml:space="preserve"> </w:t>
      </w:r>
      <w:r>
        <w:t xml:space="preserve">We use this word as meaning "managing directors".</w:t>
      </w:r>
    </w:p>
    <w:bookmarkEnd w:id="76"/>
    <w:p>
      <w:pPr>
        <w:pStyle w:val="NodeEnd"/>
      </w:pPr>
      <w:r>
        <w:t xml:space="preserve"> </w:t>
      </w:r>
    </w:p>
    <w:p>
      <w:pPr>
        <w:pStyle w:val="NodeStart"/>
      </w:pPr>
      <w:r>
        <w:t xml:space="preserve"> </w:t>
      </w:r>
    </w:p>
    <w:p>
      <w:pPr>
        <w:pStyle w:val="HeadSeparator"/>
      </w:pPr>
      <w:r>
        <w:t xml:space="preserve"> </w:t>
      </w:r>
    </w:p>
    <w:bookmarkStart w:id="57" w:name="_auto_toc_57"/>
    <w:bookmarkEnd w:id="57"/>
    <w:p>
      <w:pPr>
        <w:pStyle w:val="ResourceNumber"/>
      </w:pPr>
      <w:r>
        <w:t xml:space="preserve">5.1.3</w:t>
      </w:r>
    </w:p>
    <w:p>
      <w:pPr>
        <w:pStyle w:val="ResourceTitle"/>
      </w:pPr>
      <w:r>
        <w:t xml:space="preserve">CA INC. v. AFSCME Employees Pension Plan</w:t>
      </w:r>
    </w:p>
    <w:p>
      <w:pPr>
        <w:pStyle w:val="HeadEnd"/>
      </w:pPr>
      <w:r>
        <w:t xml:space="preserve"> </w:t>
      </w:r>
    </w:p>
    <w:p>
      <w:pPr>
        <w:pStyle w:val="CaseHeader"/>
      </w:pPr>
      <w:r>
        <w:t xml:space="preserve">Delaware Supreme Court</w:t>
      </w:r>
    </w:p>
    <w:p>
      <w:pPr>
        <w:pStyle w:val="CaseHeader"/>
      </w:pPr>
      <w:r>
        <w:t xml:space="preserve">953 A.2d 227</w:t>
      </w:r>
    </w:p>
    <w:p>
      <w:pPr>
        <w:pStyle w:val="CaseHeader"/>
      </w:pPr>
      <w:r>
        <w:t xml:space="preserve">No. 329, 2008</w:t>
      </w:r>
    </w:p>
    <w:p>
      <w:pPr>
        <w:pStyle w:val="CaseHeader"/>
      </w:pPr>
      <w:r>
        <w:t xml:space="preserve">2008-07-17</w:t>
      </w:r>
    </w:p>
    <w:p>
      <w:pPr>
        <w:pStyle w:val="CaseBody"/>
      </w:pPr>
      <w:r>
        <w:t xml:space="preserve">953 A.2d 227 (2008)</w:t>
      </w:r>
    </w:p>
    <w:p>
      <w:pPr>
        <w:pStyle w:val="CaseHeader"/>
      </w:pPr>
      <w:r>
        <w:t xml:space="preserve">CA, INC., a Delaware corporation, Petitioner Below, Appellant,</w:t>
      </w:r>
      <w:r>
        <w:br/>
      </w:r>
      <w:r>
        <w:t xml:space="preserve">v.</w:t>
      </w:r>
      <w:r>
        <w:br/>
      </w:r>
      <w:r>
        <w:t xml:space="preserve">AFSCME EMPLOYEES PENSION PLAN, Respondent Below, Appellee.</w:t>
      </w:r>
    </w:p>
    <w:p>
      <w:pPr>
        <w:pStyle w:val="CaseBody"/>
      </w:pPr>
      <w:r>
        <w:t xml:space="preserve">No. 329, 2008.</w:t>
      </w:r>
    </w:p>
    <w:p>
      <w:pPr>
        <w:pStyle w:val="CaseBody"/>
      </w:pPr>
      <w:r>
        <w:t xml:space="preserve">Supreme Court of Delaware.</w:t>
      </w:r>
    </w:p>
    <w:p>
      <w:pPr>
        <w:pStyle w:val="CaseBody"/>
      </w:pPr>
      <w:r>
        <w:t xml:space="preserve">Submitted: July 9, 2008.</w:t>
      </w:r>
    </w:p>
    <w:p>
      <w:pPr>
        <w:pStyle w:val="CaseBody"/>
      </w:pPr>
      <w:r>
        <w:t xml:space="preserve">Decided: July 17, 2008.</w:t>
      </w:r>
    </w:p>
    <w:p>
      <w:pPr>
        <w:pStyle w:val="CaseBody"/>
      </w:pPr>
      <w:r>
        <w:t xml:space="preserve">Modified: August 15, 2008.</w:t>
      </w:r>
    </w:p>
    <w:p>
      <w:pPr>
        <w:pStyle w:val="CaseBody"/>
      </w:pPr>
      <w:r>
        <w:rPr>
          <w:rStyle w:val="Elision"/>
        </w:rPr>
        <w:t xml:space="preserve">[ … ]</w:t>
      </w:r>
    </w:p>
    <w:bookmarkStart w:id="77" w:name="jacobs-justice."/>
    <w:p>
      <w:pPr>
        <w:pStyle w:val="Heading2"/>
      </w:pPr>
      <w:r>
        <w:t xml:space="preserve">JACOBS, Justice.</w:t>
      </w:r>
    </w:p>
    <w:p>
      <w:pPr>
        <w:pStyle w:val="CaseBody"/>
      </w:pPr>
      <w:r>
        <w:t xml:space="preserve">This proceeding arises from a certification by the United States Securities and Exchange Commission (the "SEC"), to this Court, of two questions of law pursuant to Article IV, Section 11(8) of the Delaware Constitution</w:t>
      </w:r>
      <w:hyperlink w:anchor="X4cb4fef2adf77f92e40349727fcce0989ad7e6f">
        <w:r>
          <w:rPr>
            <w:rStyle w:val="Hyperlink"/>
            <w:vertAlign w:val="superscript"/>
          </w:rPr>
          <w:t xml:space="preserve">[1]</w:t>
        </w:r>
      </w:hyperlink>
      <w:r>
        <w:t xml:space="preserve"> </w:t>
      </w:r>
      <w:r>
        <w:t xml:space="preserve">and Supreme Court Rule 41. On June 27, 2008, the SEC asked this Court to address two questions of Delaware law regarding a proposed stockholder bylaw submitted by the AFSCME Employees Pension Plan ("AFSCME") for inclusion in the proxy materials of CA, Inc. ("CA" or the "Company") for CA's 2008 annual stockholders' meeting. This Court accepted certification on July 1, 2008, and after expedited briefing, the matter was argued on July 9, 2008. This is the decision of the Court on the certified questions.</w:t>
      </w:r>
    </w:p>
    <w:bookmarkEnd w:id="77"/>
    <w:bookmarkStart w:id="78" w:name="i.-facts-1"/>
    <w:p>
      <w:pPr>
        <w:pStyle w:val="Heading2"/>
      </w:pPr>
      <w:r>
        <w:t xml:space="preserve">I.</w:t>
      </w:r>
      <w:r>
        <w:t xml:space="preserve"> </w:t>
      </w:r>
      <w:r>
        <w:rPr>
          <w:iCs/>
          <w:i/>
        </w:rPr>
        <w:t xml:space="preserve">FACTS</w:t>
      </w:r>
    </w:p>
    <w:p>
      <w:pPr>
        <w:pStyle w:val="CaseBody"/>
      </w:pPr>
      <w:r>
        <w:t xml:space="preserve">CA is a Delaware corporation whose board of directors consists of twelve persons, all of whom sit for reelection each year. CA's annual meeting of stockholders is scheduled to be held on September 9, 2008. CA intends to file its definitive proxy materials with the SEC on or about July 24, 2008 in connection with that meeting.</w:t>
      </w:r>
    </w:p>
    <w:p>
      <w:pPr>
        <w:pStyle w:val="CaseBody"/>
      </w:pPr>
      <w:r>
        <w:t xml:space="preserve">AFSCME, a CA stockholder, is associated with the American Federation of State, County and Municipal Employees. On March 13, 2008, AFSCME submitted a proposed stockholder bylaw (the "Bylaw" or "proposed Bylaw") for inclusion in the Company's proxy materials for its 2008 annual meeting of stockholders. The Bylaw, if adopted by CA stockholders, would amend the Company's bylaws to provide as follows:</w:t>
      </w:r>
    </w:p>
    <w:p>
      <w:pPr>
        <w:pStyle w:val="BlockText"/>
      </w:pPr>
      <w:r>
        <w:t xml:space="preserve">RESOLVED, that pursuant to section 109 of the Delaware General Corporation Law and Article IX of the bylaws of CA, Inc., stockholders of CA hereby amend the bylaws to add the following Section 14 to Article II:</w:t>
      </w:r>
    </w:p>
    <w:p>
      <w:pPr>
        <w:pStyle w:val="BlockText"/>
      </w:pPr>
      <w:r>
        <w:t xml:space="preserve">[230] The board of directors shall cause the corporation to reimburse a stockholder or group of stockholders (together, the "Nominator") for reasonable expenses ("Expenses") incurred in connection with nominating one or more candidates in a contested election of directors to the corporation's board of directors, including, without limitation, printing, mailing, legal, solicitation, travel, advertising and public relations expenses, so long as (a) the election of fewer than 50% of the directors to be elected is contested in the election, (b) one or more candidates nominated by the Nominator are elected to the corporation's board of directors, (c) stockholders are not permitted to cumulate their votes for directors, and (d) the election occurred, and the Expenses were incurred, after this bylaw's adoption. The amount paid to a Nominator under this bylaw in respect of a contested election shall not exceed the amount expended by the corporation in connection with such election.</w:t>
      </w:r>
    </w:p>
    <w:p>
      <w:pPr>
        <w:pStyle w:val="CaseBody"/>
      </w:pPr>
      <w:r>
        <w:t xml:space="preserve">CA's current bylaws and Certificate of Incorporation have no provision that specifically addresses the reimbursement of proxy expenses. Of more general relevance, however, is Article SEVENTH, Section (1) of CA's Certificate of Incorporation, which tracks the language of 8</w:t>
      </w:r>
      <w:r>
        <w:t xml:space="preserve"> </w:t>
      </w:r>
      <w:r>
        <w:rPr>
          <w:iCs/>
          <w:i/>
        </w:rPr>
        <w:t xml:space="preserve">Del. C.</w:t>
      </w:r>
      <w:r>
        <w:t xml:space="preserve"> </w:t>
      </w:r>
      <w:r>
        <w:t xml:space="preserve">§ 141(a) and provides that:</w:t>
      </w:r>
    </w:p>
    <w:p>
      <w:pPr>
        <w:pStyle w:val="BlockText"/>
      </w:pPr>
      <w:r>
        <w:t xml:space="preserve">The management of the business and the conduct of the affairs of the corporation shall be vested in [CA's] Board of Directors.</w:t>
      </w:r>
    </w:p>
    <w:p>
      <w:pPr>
        <w:pStyle w:val="CaseBody"/>
      </w:pPr>
      <w:r>
        <w:t xml:space="preserve">It is undisputed that the decision whether to reimburse election expenses is presently vested in the discretion of CA's board of directors, subject to their fiduciary duties and applicable Delaware law.</w:t>
      </w:r>
    </w:p>
    <w:p>
      <w:pPr>
        <w:pStyle w:val="CaseBody"/>
      </w:pPr>
      <w:r>
        <w:t xml:space="preserve">On April 18, 2008, CA notified the SEC's Division of Corporation Finance (the "Division") of its intention to exclude the proposed Bylaw from its 2008 proxy materials. The Company requested from the Division a "no-action letter" stating that the Division would not recommend any enforcement action to the SEC if CA excluded the AFSCME proposal.</w:t>
      </w:r>
      <w:hyperlink w:anchor="X04f19dbddf54fff3d3960eff64c28f45145d1f4">
        <w:r>
          <w:rPr>
            <w:rStyle w:val="Hyperlink"/>
            <w:vertAlign w:val="superscript"/>
          </w:rPr>
          <w:t xml:space="preserve">[2]</w:t>
        </w:r>
      </w:hyperlink>
      <w:r>
        <w:t xml:space="preserve"> </w:t>
      </w:r>
      <w:r>
        <w:t xml:space="preserve">CA's request for a no-action letter was accompanied by an opinion from its Delaware counsel, Richards Layton &amp; Finger, P.A. ("RL &amp; F"). The RL &amp; F opinion concluded that the proposed Bylaw is not a proper subject for stockholder action, and that if implemented, the Bylaw would violate the Delaware General Corporation Law ("DGCL").</w:t>
      </w:r>
    </w:p>
    <w:p>
      <w:pPr>
        <w:pStyle w:val="CaseBody"/>
      </w:pPr>
      <w:r>
        <w:t xml:space="preserve">On May 21, 2008, AFSCME responded to CA's no-action request with a letter taking the opposite legal position. The AFSCME letter was accompanied by an opinion from AFSCME's Delaware counsel, Grant &amp; Eisenhofer, P.A. ("G &amp; E"). The G &amp; E opinion concluded that the proposed Bylaw is a proper subject for shareholder action and that if adopted, would be permitted under Delaware law.</w:t>
      </w:r>
    </w:p>
    <w:p>
      <w:pPr>
        <w:pStyle w:val="CaseBody"/>
      </w:pPr>
      <w:r>
        <w:t xml:space="preserve">The Division was thus confronted with two conflicting legal opinions on Delaware law. Whether or not the Division would determine that CA may exclude the proposed Bylaw from its 2008 proxy materials would depend upon which of these conflicting views is legally correct. To obtain guidance, the SEC, at the Division's request, certified two questions of Delaware law to this Court. Given the short timeframe for the filing of CA's proxy materials, [231] we concluded that "there are important and urgent reasons for an immediate determination of the questions certified," and accepted those questions for review on July 1, 2008.</w:t>
      </w:r>
    </w:p>
    <w:bookmarkEnd w:id="78"/>
    <w:bookmarkStart w:id="79" w:name="ii.-the-certified-questions"/>
    <w:p>
      <w:pPr>
        <w:pStyle w:val="Heading2"/>
      </w:pPr>
      <w:r>
        <w:t xml:space="preserve">II.</w:t>
      </w:r>
      <w:r>
        <w:t xml:space="preserve"> </w:t>
      </w:r>
      <w:r>
        <w:rPr>
          <w:iCs/>
          <w:i/>
        </w:rPr>
        <w:t xml:space="preserve">THE CERTIFIED QUESTIONS</w:t>
      </w:r>
    </w:p>
    <w:p>
      <w:pPr>
        <w:pStyle w:val="CaseBody"/>
      </w:pPr>
      <w:r>
        <w:t xml:space="preserve">The two questions certified to us by the SEC are as follows:</w:t>
      </w:r>
    </w:p>
    <w:p>
      <w:pPr>
        <w:pStyle w:val="BlockText"/>
      </w:pPr>
      <w:r>
        <w:t xml:space="preserve">1. Is the AFSCME Proposal a proper subject for action by shareholders as a matter of Delaware law?</w:t>
      </w:r>
    </w:p>
    <w:p>
      <w:pPr>
        <w:pStyle w:val="BlockText"/>
      </w:pPr>
      <w:r>
        <w:t xml:space="preserve">2. Would the AFSCME Proposal, if adopted, cause CA to violate any Delaware law to which it is subject?</w:t>
      </w:r>
    </w:p>
    <w:p>
      <w:pPr>
        <w:pStyle w:val="CaseBody"/>
      </w:pPr>
      <w:r>
        <w:t xml:space="preserve">The questions presented are issues of law which this Court decides</w:t>
      </w:r>
      <w:r>
        <w:t xml:space="preserve"> </w:t>
      </w:r>
      <w:r>
        <w:rPr>
          <w:iCs/>
          <w:i/>
        </w:rPr>
        <w:t xml:space="preserve">de novo.</w:t>
      </w:r>
      <w:hyperlink w:anchor="X83e070955dd5cf718365a73b8bd1751fbbac1da">
        <w:r>
          <w:rPr>
            <w:rStyle w:val="Hyperlink"/>
            <w:vertAlign w:val="superscript"/>
          </w:rPr>
          <w:t xml:space="preserve">[3]</w:t>
        </w:r>
      </w:hyperlink>
    </w:p>
    <w:bookmarkEnd w:id="79"/>
    <w:bookmarkStart w:id="80" w:name="iii.-the-first-question"/>
    <w:p>
      <w:pPr>
        <w:pStyle w:val="Heading2"/>
      </w:pPr>
      <w:r>
        <w:t xml:space="preserve">III.</w:t>
      </w:r>
      <w:r>
        <w:t xml:space="preserve"> </w:t>
      </w:r>
      <w:r>
        <w:rPr>
          <w:iCs/>
          <w:i/>
        </w:rPr>
        <w:t xml:space="preserve">THE FIRST QUESTION</w:t>
      </w:r>
    </w:p>
    <w:bookmarkEnd w:id="80"/>
    <w:bookmarkStart w:id="81" w:name="a.-preliminary-comments"/>
    <w:p>
      <w:pPr>
        <w:pStyle w:val="Heading2"/>
      </w:pPr>
      <w:r>
        <w:rPr>
          <w:iCs/>
          <w:i/>
        </w:rPr>
        <w:t xml:space="preserve">A. Preliminary Comments</w:t>
      </w:r>
    </w:p>
    <w:p>
      <w:pPr>
        <w:pStyle w:val="CaseBody"/>
      </w:pPr>
      <w:r>
        <w:t xml:space="preserve">The first question presented is whether the Bylaw is a proper subject for shareholder action, more precisely, whether the Bylaw may be proposed and enacted by shareholders without the concurrence of the Company's board of directors. Before proceeding further, we make some preliminary comments in an effort to delineate a framework within which to begin our analysis.</w:t>
      </w:r>
    </w:p>
    <w:p>
      <w:pPr>
        <w:pStyle w:val="CaseBody"/>
      </w:pPr>
      <w:r>
        <w:rPr>
          <w:iCs/>
          <w:i/>
        </w:rPr>
        <w:t xml:space="preserve">First,</w:t>
      </w:r>
      <w:r>
        <w:t xml:space="preserve"> </w:t>
      </w:r>
      <w:r>
        <w:t xml:space="preserve">the DGCL empowers both the board of directors and the shareholders of a Delaware corporation to adopt, amend or repeal the corporation's bylaws. 8</w:t>
      </w:r>
      <w:r>
        <w:t xml:space="preserve"> </w:t>
      </w:r>
      <w:r>
        <w:rPr>
          <w:iCs/>
          <w:i/>
        </w:rPr>
        <w:t xml:space="preserve">Del. C.</w:t>
      </w:r>
      <w:r>
        <w:t xml:space="preserve"> </w:t>
      </w:r>
      <w:r>
        <w:t xml:space="preserve">§ 109(a) relevantly provides that:</w:t>
      </w:r>
    </w:p>
    <w:p>
      <w:pPr>
        <w:pStyle w:val="BlockText"/>
      </w:pPr>
      <w:r>
        <w:t xml:space="preserve">After a corporation has received any payment for any of its stock, the power to adopt, amend or repeal bylaws shall be in the stockholders entitled to vote...; provided, however, any corporation may, in its certificate of incorporation, confer the power to adopt, amend or repeal bylaws upon the directors.... The fact that such power has been so conferred upon the directors ... shall not divest the stockholders ... of the power, nor limit their power to adopt, amend or repeal bylaws.</w:t>
      </w:r>
    </w:p>
    <w:p>
      <w:pPr>
        <w:pStyle w:val="CaseBody"/>
      </w:pPr>
      <w:r>
        <w:t xml:space="preserve">Pursuant to Section 109(a), CA's Certificate of Incorporation confers the power to adopt, amend or repeal the bylaws upon the Company's board of directors.</w:t>
      </w:r>
      <w:hyperlink w:anchor="X32457a5b69be51a69594b5d0e12323e9ac60a6a">
        <w:r>
          <w:rPr>
            <w:rStyle w:val="Hyperlink"/>
            <w:vertAlign w:val="superscript"/>
          </w:rPr>
          <w:t xml:space="preserve">[4]</w:t>
        </w:r>
      </w:hyperlink>
      <w:r>
        <w:t xml:space="preserve"> </w:t>
      </w:r>
      <w:r>
        <w:t xml:space="preserve">Because the statute commands that that conferral "shall not divest the stockholders... of ... nor limit" their power, both the board and the shareholders of CA, independently and concurrently, possess the power to adopt, amend and repeal the bylaws.</w:t>
      </w:r>
    </w:p>
    <w:p>
      <w:pPr>
        <w:pStyle w:val="CaseBody"/>
      </w:pPr>
      <w:r>
        <w:rPr>
          <w:iCs/>
          <w:i/>
        </w:rPr>
        <w:t xml:space="preserve">Second,</w:t>
      </w:r>
      <w:r>
        <w:t xml:space="preserve"> </w:t>
      </w:r>
      <w:r>
        <w:t xml:space="preserve">the vesting of that concurrent power in both the board and the shareholders raises the issue of whether the stockholders' power is coextensive with that of the board, and vice versa. As a purely theoretical matter that is possible, and were that the case, then the first certified question would be easily answered. That is, under such a regime any proposal to adopt, amend or repeal a bylaw would be a proper subject for either shareholder or board action, without distinction. But the DGCL has not allocated to the board and the shareholders the identical, coextensive power to adopt, amend and repeal the bylaws. Therefore, how that power is allocated between those two decision-making bodies requires an analysis that is more complex.</w:t>
      </w:r>
    </w:p>
    <w:p>
      <w:pPr>
        <w:pStyle w:val="CaseBody"/>
      </w:pPr>
      <w:r>
        <w:t xml:space="preserve">[232] Moving from the theoretical to this case, by its terms Section 109(a) vests in the shareholders a power to adopt, amend or repeal bylaws that is legally sacrosanct,</w:t>
      </w:r>
      <w:r>
        <w:t xml:space="preserve"> </w:t>
      </w:r>
      <w:r>
        <w:rPr>
          <w:iCs/>
          <w:i/>
        </w:rPr>
        <w:t xml:space="preserve">i.e.,</w:t>
      </w:r>
      <w:r>
        <w:t xml:space="preserve"> </w:t>
      </w:r>
      <w:r>
        <w:t xml:space="preserve">the power cannot be non-consensually eliminated or limited by anyone other than the legislature itself. If viewed in isolation, Section 109(a) could be read to make the board's and the shareholders' power to adopt, amend or repeal bylaws identical and coextensive, but Section 109(a) does not exist in a vacuum. It must be read together with 8</w:t>
      </w:r>
      <w:r>
        <w:t xml:space="preserve"> </w:t>
      </w:r>
      <w:r>
        <w:rPr>
          <w:iCs/>
          <w:i/>
        </w:rPr>
        <w:t xml:space="preserve">Del. C.</w:t>
      </w:r>
      <w:r>
        <w:t xml:space="preserve"> </w:t>
      </w:r>
      <w:r>
        <w:t xml:space="preserve">§ 141(a), which pertinently provides that:</w:t>
      </w:r>
    </w:p>
    <w:p>
      <w:pPr>
        <w:pStyle w:val="BlockText"/>
      </w:pPr>
      <w:r>
        <w:t xml:space="preserve">The business and affairs of every corporation organized under this chapter shall be managed by or under the direction of a board of directors, except as may be otherwise provided in this chapter or in its certificate of incorporation.</w:t>
      </w:r>
      <w:hyperlink w:anchor="X284e84a644c34c4f330f1e8444002f574bf8742">
        <w:r>
          <w:rPr>
            <w:rStyle w:val="Hyperlink"/>
            <w:vertAlign w:val="superscript"/>
          </w:rPr>
          <w:t xml:space="preserve">[5]</w:t>
        </w:r>
      </w:hyperlink>
    </w:p>
    <w:p>
      <w:pPr>
        <w:pStyle w:val="CaseBody"/>
      </w:pPr>
      <w:r>
        <w:t xml:space="preserve">No such broad management power is statutorily allocated to the shareholders. Indeed, it is well-established that stockholders of a corporation subject to the DGCL may not directly manage the business and affairs of the corporation, at least without specific authorization in either the statute or the certificate of incorporation.</w:t>
      </w:r>
      <w:hyperlink w:anchor="Xa4fa997e3eb0513e761c89828bb5e96a7b91ce2">
        <w:r>
          <w:rPr>
            <w:rStyle w:val="Hyperlink"/>
            <w:vertAlign w:val="superscript"/>
          </w:rPr>
          <w:t xml:space="preserve">[6]</w:t>
        </w:r>
      </w:hyperlink>
      <w:r>
        <w:t xml:space="preserve"> </w:t>
      </w:r>
      <w:r>
        <w:t xml:space="preserve">Therefore, the shareholders' statutory power to adopt, amend or repeal bylaws is not coextensive with the board's concurrent power and is limited by the board's management prerogatives under Section 141(a).</w:t>
      </w:r>
      <w:hyperlink w:anchor="X18cc20f4f01ff6f033f0aa73cd0c26a31096682">
        <w:r>
          <w:rPr>
            <w:rStyle w:val="Hyperlink"/>
            <w:vertAlign w:val="superscript"/>
          </w:rPr>
          <w:t xml:space="preserve">[7]</w:t>
        </w:r>
      </w:hyperlink>
    </w:p>
    <w:p>
      <w:pPr>
        <w:pStyle w:val="CaseBody"/>
      </w:pPr>
      <w:r>
        <w:rPr>
          <w:iCs/>
          <w:i/>
        </w:rPr>
        <w:t xml:space="preserve">Third,</w:t>
      </w:r>
      <w:r>
        <w:t xml:space="preserve"> </w:t>
      </w:r>
      <w:r>
        <w:t xml:space="preserve">it follows that, to decide whether the Bylaw proposed by AFSCME is a proper subject for shareholder action under Delaware law, we must first determine: (1) the scope or reach of the shareholders' power to adopt, alter or repeal the bylaws of a Delaware corporation, and then (2) whether the Bylaw at issue here falls within that permissible scope. Where, as here, the proposed bylaw is one that limits director authority, that is an elusively difficult task. As one noted scholar has put it, "the efforts to distinguish by-laws that permissibly limit director authority from by-laws that impermissibly do so have failed to provide a coherent analytical structure, and the pertinent statutes provide no guidelines for distinction at all."</w:t>
      </w:r>
      <w:hyperlink w:anchor="X58624285777c560582ed41c83ec5d7f6ae1e444">
        <w:r>
          <w:rPr>
            <w:rStyle w:val="Hyperlink"/>
            <w:vertAlign w:val="superscript"/>
          </w:rPr>
          <w:t xml:space="preserve">[8]</w:t>
        </w:r>
      </w:hyperlink>
      <w:r>
        <w:t xml:space="preserve"> </w:t>
      </w:r>
      <w:r>
        <w:t xml:space="preserve">The tools that are [233] available to this Court to answer those questions are other provisions of the DGCL</w:t>
      </w:r>
      <w:hyperlink w:anchor="X65b735036ea0a1a886ff535feb78c6b1bbcb07a">
        <w:r>
          <w:rPr>
            <w:rStyle w:val="Hyperlink"/>
            <w:vertAlign w:val="superscript"/>
          </w:rPr>
          <w:t xml:space="preserve">[9]</w:t>
        </w:r>
      </w:hyperlink>
      <w:r>
        <w:t xml:space="preserve"> </w:t>
      </w:r>
      <w:r>
        <w:t xml:space="preserve">and Delaware judicial decisions that can be brought to bear on this question.</w:t>
      </w:r>
    </w:p>
    <w:bookmarkEnd w:id="81"/>
    <w:bookmarkStart w:id="82" w:name="b.-analysis"/>
    <w:p>
      <w:pPr>
        <w:pStyle w:val="Heading2"/>
      </w:pPr>
      <w:r>
        <w:t xml:space="preserve">B.</w:t>
      </w:r>
      <w:r>
        <w:t xml:space="preserve"> </w:t>
      </w:r>
      <w:r>
        <w:rPr>
          <w:iCs/>
          <w:i/>
        </w:rPr>
        <w:t xml:space="preserve">Analysis</w:t>
      </w:r>
    </w:p>
    <w:bookmarkEnd w:id="82"/>
    <w:bookmarkStart w:id="83" w:name="section-1"/>
    <w:p>
      <w:pPr>
        <w:pStyle w:val="Heading2"/>
      </w:pPr>
      <w:r>
        <w:t xml:space="preserve">1.</w:t>
      </w:r>
    </w:p>
    <w:p>
      <w:pPr>
        <w:pStyle w:val="CaseBody"/>
      </w:pPr>
      <w:r>
        <w:t xml:space="preserve">Two other provisions of the DGCL, 8</w:t>
      </w:r>
      <w:r>
        <w:t xml:space="preserve"> </w:t>
      </w:r>
      <w:r>
        <w:rPr>
          <w:iCs/>
          <w:i/>
        </w:rPr>
        <w:t xml:space="preserve">Del. C.</w:t>
      </w:r>
      <w:r>
        <w:t xml:space="preserve"> </w:t>
      </w:r>
      <w:r>
        <w:t xml:space="preserve">§§ 109(b) and 102(b)(1), bear importantly on the first question and form the basis of contentions advanced by each side. Section 109(b), which deals generally with bylaws and what they must or may contain, provides that:</w:t>
      </w:r>
    </w:p>
    <w:p>
      <w:pPr>
        <w:pStyle w:val="BlockText"/>
      </w:pPr>
      <w:r>
        <w:t xml:space="preserve">The bylaws may contain any provision, not inconsistent with law or with the certificate of incorporation, relating to the business of the corporation, the conduct of its affairs, and its rights or powers or the rights or powers of its stockholders, directors, officers or employees.</w:t>
      </w:r>
    </w:p>
    <w:p>
      <w:pPr>
        <w:pStyle w:val="CaseBody"/>
      </w:pPr>
      <w:r>
        <w:t xml:space="preserve">And Section 102(b)(1), which is part of a broader provision that addresses what the certificate of incorporation must or may contain, relevantly states that:</w:t>
      </w:r>
    </w:p>
    <w:p>
      <w:pPr>
        <w:pStyle w:val="BlockText"/>
      </w:pPr>
      <w:r>
        <w:t xml:space="preserve">(b) In addition to the matters required to be set forth in the certificate of incorporation by subsection (a) of this section, the certificate of incorporation may also contain any or all of the following matters:</w:t>
      </w:r>
    </w:p>
    <w:p>
      <w:pPr>
        <w:pStyle w:val="BlockText"/>
      </w:pPr>
      <w:r>
        <w:t xml:space="preserve">(1) Any provision for the management of the business and for the conduct of the affairs of the corporation, and any provision creating, defining, limiting and regulating the powers of the corporation, the directors and the stockholders, or any class of the stockholders....; if such provisions are not contrary to the laws of this State. Any provision which is required or permitted by any section of this chapter to be stated in the bylaws may instead be stated in the certificate of incorporation.</w:t>
      </w:r>
    </w:p>
    <w:p>
      <w:pPr>
        <w:pStyle w:val="CaseBody"/>
      </w:pPr>
      <w:r>
        <w:t xml:space="preserve">AFSCME relies heavily upon the language of Section 109(b), which permits the bylaws of a corporation to contain "any provision ... relating to the ... rights or powers of its stockholders [and] directors...." The Bylaw, AFSCME argues, "relates to" the right of the stockholders meaningfully to participate in the process of electing directors, a right that necessarily "includes the right to nominate an opposing slate."</w:t>
      </w:r>
      <w:hyperlink w:anchor="Xeaee6dfe8a1a67ad516c96cc02a5f2bb41fe334">
        <w:r>
          <w:rPr>
            <w:rStyle w:val="Hyperlink"/>
            <w:vertAlign w:val="superscript"/>
          </w:rPr>
          <w:t xml:space="preserve">[10]</w:t>
        </w:r>
      </w:hyperlink>
    </w:p>
    <w:p>
      <w:pPr>
        <w:pStyle w:val="CaseBody"/>
      </w:pPr>
      <w:r>
        <w:t xml:space="preserve">CA argues, in response, that Section 109(b) is not dispositive, because it cannot be read in isolation from, and without regard to, Section 102(b)(1). CA's argument [234] runs as follows: the Bylaw would limit the substantive decision-making authority of CA's board to decide whether or not to expend corporate funds for a particular purpose, here, reimbursing director election expenses. Section 102(b)(1) contemplates that any provision that limits the broad statutory power of the directors must be contained in the certificate of incorporation.</w:t>
      </w:r>
      <w:hyperlink w:anchor="Xfb7172d6f98cc9e553ab4fa7622223703432fd0">
        <w:r>
          <w:rPr>
            <w:rStyle w:val="Hyperlink"/>
            <w:vertAlign w:val="superscript"/>
          </w:rPr>
          <w:t xml:space="preserve">[11]</w:t>
        </w:r>
      </w:hyperlink>
      <w:r>
        <w:t xml:space="preserve"> </w:t>
      </w:r>
      <w:r>
        <w:t xml:space="preserve">Therefore, the proposed Bylaw can only be in CA's Certificate of Incorporation, as distinguished from its bylaws. Accordingly, the proposed bylaw falls outside the universe of permissible bylaws authorized by Section 109(b).</w:t>
      </w:r>
      <w:hyperlink w:anchor="X3b8df0489497e7e3bcfc949fbc3790c012bcb2a">
        <w:r>
          <w:rPr>
            <w:rStyle w:val="Hyperlink"/>
            <w:vertAlign w:val="superscript"/>
          </w:rPr>
          <w:t xml:space="preserve">[12]</w:t>
        </w:r>
      </w:hyperlink>
    </w:p>
    <w:p>
      <w:pPr>
        <w:pStyle w:val="CaseBody"/>
      </w:pPr>
      <w:r>
        <w:t xml:space="preserve">Implicit in CA's argument is the premise that</w:t>
      </w:r>
      <w:r>
        <w:t xml:space="preserve"> </w:t>
      </w:r>
      <w:r>
        <w:rPr>
          <w:iCs/>
          <w:i/>
        </w:rPr>
        <w:t xml:space="preserve">any</w:t>
      </w:r>
      <w:r>
        <w:t xml:space="preserve"> </w:t>
      </w:r>
      <w:r>
        <w:t xml:space="preserve">bylaw that in</w:t>
      </w:r>
      <w:r>
        <w:t xml:space="preserve"> </w:t>
      </w:r>
      <w:r>
        <w:rPr>
          <w:iCs/>
          <w:i/>
        </w:rPr>
        <w:t xml:space="preserve">any</w:t>
      </w:r>
      <w:r>
        <w:t xml:space="preserve"> </w:t>
      </w:r>
      <w:r>
        <w:t xml:space="preserve">respect might be viewed as limiting or restricting the power of the board of directors automatically falls outside the scope of permissible bylaws. That simply cannot be. That reasoning, taken to its logical extreme, would result in eliminating altogether the shareholders' statutory right to adopt, amend or repeal bylaws. Bylaws, by their very nature, set down rules and procedures that bind a corporation's board and its shareholders. In that sense, most, if not all, bylaws could be said to limit the otherwise unlimited discretionary power of the board. Yet Section 109(a) carves out an area of shareholder power to adopt, amend or repeal bylaws that is expressly inviolate.</w:t>
      </w:r>
      <w:hyperlink w:anchor="X388190ab9c3098f69e3e88fcbf0e03535342219">
        <w:r>
          <w:rPr>
            <w:rStyle w:val="Hyperlink"/>
            <w:vertAlign w:val="superscript"/>
          </w:rPr>
          <w:t xml:space="preserve">[13]</w:t>
        </w:r>
      </w:hyperlink>
      <w:r>
        <w:t xml:space="preserve"> </w:t>
      </w:r>
      <w:r>
        <w:t xml:space="preserve">Therefore, to argue that the Bylaw at issue here limits the board's power to manage the business and affairs of the Company only begins, but cannot end, the analysis needed to decide whether the Bylaw is a proper subject for shareholder action. The question left unanswered is what is the scope of shareholder action that Section 109(b) permits yet does not improperly intrude upon the directors' power to manage corporation's business and affairs under Section 141(a).</w:t>
      </w:r>
    </w:p>
    <w:p>
      <w:pPr>
        <w:pStyle w:val="CaseBody"/>
      </w:pPr>
      <w:r>
        <w:t xml:space="preserve">It is at this juncture that the statutory language becomes only marginally helpful in determining what the Delaware legislature intended to be the lawful scope of the shareholders' power to adopt, amend and repeal bylaws. To resolve that issue, the Court must resort to different tools, namely, decisions of this Court and of the Court of Chancery that bear on this question. Those tools do not enable us to articulate with doctrinal exactitude a bright line that divides those bylaws that shareholders may unilaterally adopt under Section 109(b) from those which they may not under Section 141(a). They do, however, enable us to decide the issue presented in this specific case.</w:t>
      </w:r>
      <w:hyperlink w:anchor="X9037844dab05c29814bfa2f8b26c2a7a8f4e452">
        <w:r>
          <w:rPr>
            <w:rStyle w:val="Hyperlink"/>
            <w:vertAlign w:val="superscript"/>
          </w:rPr>
          <w:t xml:space="preserve">[14]</w:t>
        </w:r>
      </w:hyperlink>
    </w:p>
    <w:bookmarkEnd w:id="83"/>
    <w:bookmarkStart w:id="84" w:name="section-2"/>
    <w:p>
      <w:pPr>
        <w:pStyle w:val="Heading2"/>
      </w:pPr>
      <w:r>
        <w:t xml:space="preserve">2.</w:t>
      </w:r>
    </w:p>
    <w:p>
      <w:pPr>
        <w:pStyle w:val="CaseBody"/>
      </w:pPr>
      <w:r>
        <w:t xml:space="preserve">It is well-established Delaware law that a proper function of bylaws is not to mandate [235] how the board should decide specific substantive business decisions, but rather, to define the process and procedures by which those decisions are made. As the Court of Chancery has noted:</w:t>
      </w:r>
    </w:p>
    <w:p>
      <w:pPr>
        <w:pStyle w:val="BlockText"/>
      </w:pPr>
      <w:r>
        <w:t xml:space="preserve">Traditionally, the bylaws have been the corporate instrument used to set forth the rules by which the corporate board conducts its business. To this end, the DGCL is replete with specific provisions authorizing the bylaws to establish the procedures through which board and committee action is taken.... [T]here is a general consensus that bylaws that regulate the process by which the board acts are statutorily authorized.</w:t>
      </w:r>
      <w:hyperlink w:anchor="X1c4d80db05e03941ca35ec2209f5209dfab441e">
        <w:r>
          <w:rPr>
            <w:rStyle w:val="Hyperlink"/>
            <w:vertAlign w:val="superscript"/>
          </w:rPr>
          <w:t xml:space="preserve">[15]</w:t>
        </w:r>
      </w:hyperlink>
    </w:p>
    <w:p>
      <w:pPr>
        <w:pStyle w:val="BlockText"/>
      </w:pPr>
      <w:r>
        <w:t xml:space="preserve">* * *</w:t>
      </w:r>
    </w:p>
    <w:p>
      <w:pPr>
        <w:pStyle w:val="BlockText"/>
      </w:pPr>
      <w:r>
        <w:t xml:space="preserve">... I reject International's argument that that provision in the Bylaw Amendments impermissibly interferes with the board's authority under § 141(a) to manage the business and affairs of the corporation. Sections 109 and 141, taken in totality,.... make clear that bylaws may pervasively and strictly regulate the process by which boards act, subject to the constraints of equity.</w:t>
      </w:r>
      <w:hyperlink w:anchor="X758822a34615cf06fed7dc453fd1a6bdb73197c">
        <w:r>
          <w:rPr>
            <w:rStyle w:val="Hyperlink"/>
            <w:vertAlign w:val="superscript"/>
          </w:rPr>
          <w:t xml:space="preserve">[16]</w:t>
        </w:r>
      </w:hyperlink>
    </w:p>
    <w:p>
      <w:pPr>
        <w:pStyle w:val="CaseBody"/>
      </w:pPr>
      <w:r>
        <w:t xml:space="preserve">Examples of the procedural, process-oriented nature of bylaws are found in both the DGCL and the case law. For example, 8</w:t>
      </w:r>
      <w:r>
        <w:t xml:space="preserve"> </w:t>
      </w:r>
      <w:r>
        <w:rPr>
          <w:iCs/>
          <w:i/>
        </w:rPr>
        <w:t xml:space="preserve">Del. C.</w:t>
      </w:r>
      <w:r>
        <w:t xml:space="preserve"> </w:t>
      </w:r>
      <w:r>
        <w:t xml:space="preserve">§ 141(b) authorizes bylaws that fix the number of directors on the board, the number of directors required for a quorum (with certain limitations), and the vote requirements for board action. 8</w:t>
      </w:r>
      <w:r>
        <w:t xml:space="preserve"> </w:t>
      </w:r>
      <w:r>
        <w:rPr>
          <w:iCs/>
          <w:i/>
        </w:rPr>
        <w:t xml:space="preserve">Del. C.</w:t>
      </w:r>
      <w:r>
        <w:t xml:space="preserve"> </w:t>
      </w:r>
      <w:r>
        <w:t xml:space="preserve">§ 141(f) authorizes bylaws that preclude board action without a meeting.</w:t>
      </w:r>
      <w:hyperlink w:anchor="X6a3e54c030d42070d9f274b6eb9928b032c9934">
        <w:r>
          <w:rPr>
            <w:rStyle w:val="Hyperlink"/>
            <w:vertAlign w:val="superscript"/>
          </w:rPr>
          <w:t xml:space="preserve">[17]</w:t>
        </w:r>
      </w:hyperlink>
      <w:r>
        <w:t xml:space="preserve"> </w:t>
      </w:r>
      <w:r>
        <w:t xml:space="preserve">And, almost three decades ago this Court upheld a shareholder-enacted bylaw requiring unanimous board attendance and board approval for any board action, and unanimous ratification of any committee action.</w:t>
      </w:r>
      <w:hyperlink w:anchor="X672f3df0f589fb3b25dd3e5b3e69c6f859b4aca">
        <w:r>
          <w:rPr>
            <w:rStyle w:val="Hyperlink"/>
            <w:vertAlign w:val="superscript"/>
          </w:rPr>
          <w:t xml:space="preserve">[18]</w:t>
        </w:r>
      </w:hyperlink>
      <w:r>
        <w:t xml:space="preserve"> </w:t>
      </w:r>
      <w:r>
        <w:t xml:space="preserve">Such purely procedural bylaws do not improperly encroach upon the board's managerial authority under Section 141(a).</w:t>
      </w:r>
    </w:p>
    <w:p>
      <w:pPr>
        <w:pStyle w:val="CaseBody"/>
      </w:pPr>
      <w:r>
        <w:t xml:space="preserve">The process-creating function of bylaws provides a starting point to address the Bylaw at issue. It enables us to frame the issue in terms of whether the Bylaw is one that establishes or regulates a process for substantive director decision-making, or one that mandates the decision itself. Not surprisingly, the parties sharply divide on that question. We conclude that the Bylaw, even though infelicitously couched as [236] a substantive-sounding mandate to expend corporate funds, has both the intent and the effect of regulating the process for electing directors of CA. Therefore, we determine that the Bylaw is a proper subject for shareholder action, and set forth our reasoning below.</w:t>
      </w:r>
    </w:p>
    <w:p>
      <w:pPr>
        <w:pStyle w:val="CaseBody"/>
      </w:pPr>
      <w:r>
        <w:t xml:space="preserve">Although CA concedes that "restrictive procedural bylaws (such as those requiring the presence of all directors and unanimous board consent to take action) are acceptable," it points out that even facially procedural bylaws can unduly intrude upon board authority. The Bylaw being proposed here is unduly intrusive, CA claims, because, by mandating reimbursement of a stockholder's proxy expenses, it limits the board's broad discretionary authority to decide whether to grant reimbursement at all. CA further claims that because (in defined circumstances) the Bylaw mandates the expenditure of corporate funds, its subject matter is necessarily substantive, not process-oriented, and, therefore falls outside the scope of what Section 109(b) permits.</w:t>
      </w:r>
      <w:hyperlink w:anchor="X4ecc319b6362e7abf108c7dc1acd93dd00ef8f8">
        <w:r>
          <w:rPr>
            <w:rStyle w:val="Hyperlink"/>
            <w:vertAlign w:val="superscript"/>
          </w:rPr>
          <w:t xml:space="preserve">[19]</w:t>
        </w:r>
      </w:hyperlink>
    </w:p>
    <w:p>
      <w:pPr>
        <w:pStyle w:val="CaseBody"/>
      </w:pPr>
      <w:r>
        <w:t xml:space="preserve">Because the Bylaw is couched as a command to reimburse ("The board of directors shall cause the corporation to reimburse a stockholder"), it lends itself to CA's criticism. But the Bylaw's wording, although relevant, is not dispositive of whether or not it is process-related. The Bylaw could easily have been worded differently, to emphasize its process, as distinguished from its mandatory payment, component.</w:t>
      </w:r>
      <w:hyperlink w:anchor="Xd9504263e9dbfa7fea33e89597822ad024e4799">
        <w:r>
          <w:rPr>
            <w:rStyle w:val="Hyperlink"/>
            <w:vertAlign w:val="superscript"/>
          </w:rPr>
          <w:t xml:space="preserve">[20]</w:t>
        </w:r>
      </w:hyperlink>
      <w:r>
        <w:t xml:space="preserve"> </w:t>
      </w:r>
      <w:r>
        <w:t xml:space="preserve">By saying this we do not mean to suggest that this Bylaw's reimbursement component can be ignored. What we do suggest is that a bylaw that requires the expenditure of corporate funds does not, for that reason alone, become automatically deprived of its process-related character. A hypothetical example illustrates the point. Suppose that the directors of a corporation live in different states and at a considerable distance from the corporation's headquarters. Suppose also that the shareholders enact a bylaw that requires all meetings of directors to take place in person at the corporation's headquarters. Such a bylaw would be clearly process-related, yet it cannot be supposed that the shareholders would lack the power to adopt the bylaw because it would require the corporation to expend its funds to reimburse the directors' travel expenses. Whether or not a bylaw is process-related [237] must necessarily be determined in light of its context and purpose.</w:t>
      </w:r>
    </w:p>
    <w:p>
      <w:pPr>
        <w:pStyle w:val="CaseBody"/>
      </w:pPr>
      <w:r>
        <w:t xml:space="preserve">The context of the Bylaw at issue here is the process for electing directors—a subject in which shareholders of Delaware corporations have a legitimate and protected interest.</w:t>
      </w:r>
      <w:hyperlink w:anchor="Xe59743de508ec7606a742e5d8b8464cdba08695">
        <w:r>
          <w:rPr>
            <w:rStyle w:val="Hyperlink"/>
            <w:vertAlign w:val="superscript"/>
          </w:rPr>
          <w:t xml:space="preserve">[21]</w:t>
        </w:r>
      </w:hyperlink>
      <w:r>
        <w:t xml:space="preserve"> </w:t>
      </w:r>
      <w:r>
        <w:t xml:space="preserve">The purpose of the Bylaw is to promote the integrity of that electoral process by facilitating the nomination of director candidates by stockholders or groups of stockholders. Generally, and under the current framework for electing directors in contested elections, only board-sponsored nominees for election are reimbursed for their election expenses. Dissident candidates are not, unless they succeed in replacing at least a majority of the entire board. The Bylaw would encourage the nomination of non-management board candidates by promising reimbursement of the nominating stockholders' proxy expenses if one or more of its candidates are elected. In that the shareholders also have a legitimate interest, because the Bylaw would facilitate the exercise of their right to participate in selecting the contestants. The Court of Chancery has so recognized:</w:t>
      </w:r>
    </w:p>
    <w:p>
      <w:pPr>
        <w:pStyle w:val="BlockText"/>
      </w:pPr>
      <w:r>
        <w:t xml:space="preserve">[T]he unadorned right to cast a ballot in a contest for [corporate] office ... is meaningless without the right to participate in selecting the contestants. As the nominating process circumscribes the range of choice to be made, it is a fundamental and outcome-determinative step in the election of officeholders. To allow for voting while maintaining a closed selection process thus renders the former an empty exercise.</w:t>
      </w:r>
      <w:hyperlink w:anchor="X31e89ab7d47a823c3f1190e2df81c315d46d920">
        <w:r>
          <w:rPr>
            <w:rStyle w:val="Hyperlink"/>
            <w:vertAlign w:val="superscript"/>
          </w:rPr>
          <w:t xml:space="preserve">[22]</w:t>
        </w:r>
      </w:hyperlink>
    </w:p>
    <w:p>
      <w:pPr>
        <w:pStyle w:val="BlockText"/>
      </w:pPr>
      <w:r>
        <w:t xml:space="preserve">* * *</w:t>
      </w:r>
    </w:p>
    <w:p>
      <w:pPr>
        <w:pStyle w:val="CaseBody"/>
      </w:pPr>
      <w:r>
        <w:t xml:space="preserve">The shareholders of a Delaware corporation have the right "to participate in selecting the contestants" for election to the board. The shareholders are entitled to facilitate the exercise of that right by proposing a bylaw that would encourage candidates other than board-sponsored nominees to stand for election. The Bylaw would accomplish that by committing the corporation to reimburse the election expenses of shareholders whose candidates are successfully elected. That the implementation of that proposal would require the expenditure of corporate funds will not, in and of itself, make such a bylaw an improper subject matter for shareholder action. Accordingly, we answer the first question certified to us in the affirmative.</w:t>
      </w:r>
    </w:p>
    <w:p>
      <w:pPr>
        <w:pStyle w:val="CaseBody"/>
      </w:pPr>
      <w:r>
        <w:t xml:space="preserve">That, however, concludes only part of the analysis. The DGCL also requires that the Bylaw be "not inconsistent with law."</w:t>
      </w:r>
      <w:hyperlink w:anchor="X860ed1979b82867963cf9530dfcb61bfab7c181">
        <w:r>
          <w:rPr>
            <w:rStyle w:val="Hyperlink"/>
            <w:vertAlign w:val="superscript"/>
          </w:rPr>
          <w:t xml:space="preserve">[23]</w:t>
        </w:r>
      </w:hyperlink>
      <w:r>
        <w:t xml:space="preserve"> </w:t>
      </w:r>
      <w:r>
        <w:t xml:space="preserve">Accordingly, we turn to the second certified question, which is whether the proposed Bylaw, if adopted, would cause CA to violate any Delaware law to which it is subject.</w:t>
      </w:r>
    </w:p>
    <w:bookmarkEnd w:id="84"/>
    <w:bookmarkStart w:id="85" w:name="iv.-the-second-question"/>
    <w:p>
      <w:pPr>
        <w:pStyle w:val="Heading2"/>
      </w:pPr>
      <w:r>
        <w:t xml:space="preserve">[238] IV.</w:t>
      </w:r>
      <w:r>
        <w:t xml:space="preserve"> </w:t>
      </w:r>
      <w:r>
        <w:rPr>
          <w:iCs/>
          <w:i/>
        </w:rPr>
        <w:t xml:space="preserve">THE SECOND QUESTION</w:t>
      </w:r>
    </w:p>
    <w:p>
      <w:pPr>
        <w:pStyle w:val="CaseBody"/>
      </w:pPr>
      <w:r>
        <w:t xml:space="preserve">In answering the first question, we have already determined that the Bylaw does not facially violate any provision of the DGCL or of CA's Certificate of Incorporation. The question thus becomes whether the Bylaw would violate any common law rule or precept. Were this issue being presented in the course of litigation involving the application of the Bylaw to a specific set of facts, we would start with the presumption that the Bylaw is valid and, if possible, construe it in a manner consistent with the law.</w:t>
      </w:r>
      <w:hyperlink w:anchor="X27513f76e3235a6e7e45363839eec9db46b9765">
        <w:r>
          <w:rPr>
            <w:rStyle w:val="Hyperlink"/>
            <w:vertAlign w:val="superscript"/>
          </w:rPr>
          <w:t xml:space="preserve">[24]</w:t>
        </w:r>
      </w:hyperlink>
      <w:r>
        <w:t xml:space="preserve"> </w:t>
      </w:r>
      <w:r>
        <w:t xml:space="preserve">The factual context in which the Bylaw was challenged would inform our analysis, and we would "exercise caution [before] invalidating corporate acts based upon hypothetical injuries...."</w:t>
      </w:r>
      <w:hyperlink w:anchor="X606fd8244c7886e2431b53924f6d3c6822b30f0">
        <w:r>
          <w:rPr>
            <w:rStyle w:val="Hyperlink"/>
            <w:vertAlign w:val="superscript"/>
          </w:rPr>
          <w:t xml:space="preserve">[25]</w:t>
        </w:r>
      </w:hyperlink>
      <w:r>
        <w:t xml:space="preserve"> </w:t>
      </w:r>
      <w:r>
        <w:t xml:space="preserve">The certified questions, however, request a determination of the validity of the Bylaw in the abstract. Therefore, in response to the second question, we must necessarily consider any possible circumstance under which a board of directors might be required to act. Under at least one such hypothetical, the board of directors would breach their fiduciary duties if they complied with the Bylaw. Accordingly, we conclude that the Bylaw, as drafted, would violate the prohibition, which our decisions have derived from Section 141(a), against contractual arrangements that commit the board of directors to a course of action that would preclude them from fully discharging their fiduciary duties to the corporation and its shareholders.</w:t>
      </w:r>
      <w:hyperlink w:anchor="X60fc6eaa7aecb5c7826351ea7913764d1cf0915">
        <w:r>
          <w:rPr>
            <w:rStyle w:val="Hyperlink"/>
            <w:vertAlign w:val="superscript"/>
          </w:rPr>
          <w:t xml:space="preserve">[26]</w:t>
        </w:r>
      </w:hyperlink>
    </w:p>
    <w:p>
      <w:pPr>
        <w:pStyle w:val="CaseBody"/>
      </w:pPr>
      <w:r>
        <w:t xml:space="preserve">This Court has previously invalidated contracts that would require a board to act or not act in such a fashion that would limit the exercise of their fiduciary duties. In</w:t>
      </w:r>
      <w:r>
        <w:t xml:space="preserve"> </w:t>
      </w:r>
      <w:r>
        <w:rPr>
          <w:iCs/>
          <w:i/>
        </w:rPr>
        <w:t xml:space="preserve">Paramount Communications, Inc. v. QVC Network, Inc.,</w:t>
      </w:r>
      <w:hyperlink w:anchor="X77bb2c402c09e55de9aa3596eefa9451b637412">
        <w:r>
          <w:rPr>
            <w:rStyle w:val="Hyperlink"/>
            <w:vertAlign w:val="superscript"/>
          </w:rPr>
          <w:t xml:space="preserve">[27]</w:t>
        </w:r>
      </w:hyperlink>
      <w:r>
        <w:t xml:space="preserve"> </w:t>
      </w:r>
      <w:r>
        <w:t xml:space="preserve">we invalidated a "no shop" provision of a merger agreement with a favored bidder (Viacom) that prevented the directors of the target company (Paramount) from communicating with a competing bidder (QVC) the terms of its competing bid in an effort to obtain the highest available value for shareholders. We held that:</w:t>
      </w:r>
    </w:p>
    <w:p>
      <w:pPr>
        <w:pStyle w:val="BlockText"/>
      </w:pPr>
      <w:r>
        <w:t xml:space="preserve">The No-Shop Provision could not validly define or limit the fiduciary duties of the Paramount directors. To the extent that a contract, or a provision thereof, purports to require a board to act or not act in such a fashion as to limit the exercise of fiduciary duties, it is invalid and unenforceable. [ ... ] [T]he Paramount directors could not contract away their fiduciary obligations. Since the No-Shop Provision was invalid, Viacom never had any vested contract rights in the provision.</w:t>
      </w:r>
      <w:hyperlink w:anchor="X27994794c08cf14bdff4af4f0ad7c0ee53cd2d2">
        <w:r>
          <w:rPr>
            <w:rStyle w:val="Hyperlink"/>
            <w:vertAlign w:val="superscript"/>
          </w:rPr>
          <w:t xml:space="preserve">[28]</w:t>
        </w:r>
      </w:hyperlink>
    </w:p>
    <w:p>
      <w:pPr>
        <w:pStyle w:val="CaseBody"/>
      </w:pPr>
      <w:r>
        <w:t xml:space="preserve">Similarly, in</w:t>
      </w:r>
      <w:r>
        <w:t xml:space="preserve"> </w:t>
      </w:r>
      <w:r>
        <w:rPr>
          <w:iCs/>
          <w:i/>
        </w:rPr>
        <w:t xml:space="preserve">Quickturn Design Systems, Inc. v. Shapiro,</w:t>
      </w:r>
      <w:hyperlink w:anchor="X2e8d05ced69a66d7f8ee6ae1bec8cc7bf037ebe">
        <w:r>
          <w:rPr>
            <w:rStyle w:val="Hyperlink"/>
            <w:vertAlign w:val="superscript"/>
          </w:rPr>
          <w:t xml:space="preserve">[29]</w:t>
        </w:r>
      </w:hyperlink>
      <w:r>
        <w:t xml:space="preserve"> </w:t>
      </w:r>
      <w:r>
        <w:t xml:space="preserve">the directors of the target company (Quickturn) adopted a "poison pill" rights plan that contained a so-called "delayed redemption provision" as a defense against a hostile takeover bid, as part of which the bidder (Mentor Graphics) intended to wage a proxy contest to replace the target company board. The delayed redemption provision was intended to deter that effort, by preventing any [239] newly elected board from redeeming the poison pill for six months. This Court invalidated that provision, because it would "impermissibly deprive any newly elected board of both its statutory authority to manage the corporation under 8</w:t>
      </w:r>
      <w:r>
        <w:t xml:space="preserve"> </w:t>
      </w:r>
      <w:r>
        <w:rPr>
          <w:iCs/>
          <w:i/>
        </w:rPr>
        <w:t xml:space="preserve">Del. C.</w:t>
      </w:r>
      <w:r>
        <w:t xml:space="preserve"> </w:t>
      </w:r>
      <w:r>
        <w:t xml:space="preserve">§ 141(a) and its concomitant fiduciary duty pursuant to that statutory mandate."</w:t>
      </w:r>
      <w:hyperlink w:anchor="X964614a05ce45d05842f4fc9ea3351227bb2bda">
        <w:r>
          <w:rPr>
            <w:rStyle w:val="Hyperlink"/>
            <w:vertAlign w:val="superscript"/>
          </w:rPr>
          <w:t xml:space="preserve">[30]</w:t>
        </w:r>
      </w:hyperlink>
      <w:r>
        <w:t xml:space="preserve"> </w:t>
      </w:r>
      <w:r>
        <w:t xml:space="preserve">We held that:</w:t>
      </w:r>
    </w:p>
    <w:p>
      <w:pPr>
        <w:pStyle w:val="BlockText"/>
      </w:pPr>
      <w:r>
        <w:t xml:space="preserve">One of the most basic tenets of Delaware corporate law is that the board of directors has the ultimate responsibility for managing the business and affairs of a corporation. [ ... ] The Quickturn certificate of incorporation contains no provision purporting to limit the authority of the board in any way. The Delayed Redemption Provision, however, would prevent a newly elected board of directors from</w:t>
      </w:r>
      <w:r>
        <w:t xml:space="preserve"> </w:t>
      </w:r>
      <w:r>
        <w:rPr>
          <w:iCs/>
          <w:i/>
        </w:rPr>
        <w:t xml:space="preserve">completely</w:t>
      </w:r>
      <w:r>
        <w:t xml:space="preserve"> </w:t>
      </w:r>
      <w:r>
        <w:t xml:space="preserve">discharging its fundamental management duties to the corporation and its stockholders for six months. While the Delayed Redemption Provision limits the board of directors' authority in only one respect, the suspension of the Rights Plan, it nonetheless restricts the board's power in an area of fundamental importance to the shareholders—negotiating a possible sale of the corporation. Therefore, we hold that the Delayed Redemption Provision is invalid under Section 141(a), which confers upon any newly elected board of directors</w:t>
      </w:r>
      <w:r>
        <w:t xml:space="preserve"> </w:t>
      </w:r>
      <w:r>
        <w:rPr>
          <w:iCs/>
          <w:i/>
        </w:rPr>
        <w:t xml:space="preserve">full</w:t>
      </w:r>
      <w:r>
        <w:t xml:space="preserve"> </w:t>
      </w:r>
      <w:r>
        <w:t xml:space="preserve">power to manage and direct the business and affairs of a Delaware corporation.</w:t>
      </w:r>
      <w:hyperlink w:anchor="X80cc075bbb5c5e15c6a4a1d51f695ee8d120580">
        <w:r>
          <w:rPr>
            <w:rStyle w:val="Hyperlink"/>
            <w:vertAlign w:val="superscript"/>
          </w:rPr>
          <w:t xml:space="preserve">[31]</w:t>
        </w:r>
      </w:hyperlink>
    </w:p>
    <w:p>
      <w:pPr>
        <w:pStyle w:val="CaseBody"/>
      </w:pPr>
      <w:r>
        <w:t xml:space="preserve">Both</w:t>
      </w:r>
      <w:r>
        <w:t xml:space="preserve"> </w:t>
      </w:r>
      <w:r>
        <w:rPr>
          <w:iCs/>
          <w:i/>
        </w:rPr>
        <w:t xml:space="preserve">QVC</w:t>
      </w:r>
      <w:r>
        <w:t xml:space="preserve"> </w:t>
      </w:r>
      <w:r>
        <w:t xml:space="preserve">and</w:t>
      </w:r>
      <w:r>
        <w:t xml:space="preserve"> </w:t>
      </w:r>
      <w:r>
        <w:rPr>
          <w:iCs/>
          <w:i/>
        </w:rPr>
        <w:t xml:space="preserve">Quickturn</w:t>
      </w:r>
      <w:r>
        <w:t xml:space="preserve"> </w:t>
      </w:r>
      <w:r>
        <w:t xml:space="preserve">involved binding contractual arrangements that the board of directors had voluntarily imposed upon themselves. This case involves a binding bylaw that the shareholders seek to impose involuntarily on the directors in the specific area of election expense reimbursement. Although this case is distinguishable in that respect, the distinction is one without a difference. The reason is that the internal governance contract— which here takes the form of a bylaw—is one that would also prevent the directors from exercising their full managerial power in circumstances where their fiduciary duties would otherwise require them to deny reimbursement to a dissident slate. That this limitation would be imposed by a majority vote of the shareholders rather than by the directors themselves, does not, in our view, legally matter.</w:t>
      </w:r>
      <w:hyperlink w:anchor="Xd8472b4ecb03000908c7473088838bddf85caf2">
        <w:r>
          <w:rPr>
            <w:rStyle w:val="Hyperlink"/>
            <w:vertAlign w:val="superscript"/>
          </w:rPr>
          <w:t xml:space="preserve">[32]</w:t>
        </w:r>
      </w:hyperlink>
    </w:p>
    <w:p>
      <w:pPr>
        <w:pStyle w:val="CaseBody"/>
      </w:pPr>
      <w:r>
        <w:t xml:space="preserve">AFSCME contends that it is improper to use the doctrine articulated in</w:t>
      </w:r>
      <w:r>
        <w:t xml:space="preserve"> </w:t>
      </w:r>
      <w:r>
        <w:rPr>
          <w:iCs/>
          <w:i/>
        </w:rPr>
        <w:t xml:space="preserve">QVC</w:t>
      </w:r>
      <w:r>
        <w:t xml:space="preserve"> </w:t>
      </w:r>
      <w:r>
        <w:t xml:space="preserve">and</w:t>
      </w:r>
      <w:r>
        <w:t xml:space="preserve"> </w:t>
      </w:r>
      <w:r>
        <w:rPr>
          <w:iCs/>
          <w:i/>
        </w:rPr>
        <w:t xml:space="preserve">Quickturn</w:t>
      </w:r>
      <w:r>
        <w:t xml:space="preserve"> </w:t>
      </w:r>
      <w:r>
        <w:t xml:space="preserve">as the measure of the validity of the Bylaw. Because the Bylaw would remove the subject of election expense reimbursement (in circumstances as defined by the Bylaw) entirely from the CA's board's discretion (AFSCME argues), it cannot fairly be claimed that the directors would be precluded from discharging their fiduciary duty. Stated differently, AFSCME argues that it is unfair to claim that the Bylaw prevents the CA board from discharging its fiduciary duty where the effect of the Bylaw is to relieve the board entirely of those duties in this specific area.</w:t>
      </w:r>
    </w:p>
    <w:p>
      <w:pPr>
        <w:pStyle w:val="CaseBody"/>
      </w:pPr>
      <w:r>
        <w:t xml:space="preserve">That response, in our view, is more semantical than substantive. No matter how artfully it may be phrased, the argument concedes the very proposition that renders the Bylaw, as written, invalid: [240] the Bylaw mandates reimbursement of election expenses in circumstances that a proper application of fiduciary principles could preclude. That such circumstances could arise is not far fetched. Under Delaware law, a board may expend corporate funds to reimburse proxy expenses "[w]here the controversy is concerned with a question of policy as distinguished from personnel o[r] management."</w:t>
      </w:r>
      <w:hyperlink w:anchor="Xd98c08342261ce347851b35528a6b3845acaabb">
        <w:r>
          <w:rPr>
            <w:rStyle w:val="Hyperlink"/>
            <w:vertAlign w:val="superscript"/>
          </w:rPr>
          <w:t xml:space="preserve">[33]</w:t>
        </w:r>
      </w:hyperlink>
      <w:r>
        <w:t xml:space="preserve"> </w:t>
      </w:r>
      <w:r>
        <w:t xml:space="preserve">But in a situation where the proxy contest is motivated by personal or petty concerns, or to promote interests that do not further, or are adverse to, those of the corporation, the board's fiduciary duty could compel that reimbursement be denied altogether.</w:t>
      </w:r>
      <w:hyperlink w:anchor="X9753cc2e981ec8a164dfe7f4eba1b9c60364355">
        <w:r>
          <w:rPr>
            <w:rStyle w:val="Hyperlink"/>
            <w:vertAlign w:val="superscript"/>
          </w:rPr>
          <w:t xml:space="preserve">[34]</w:t>
        </w:r>
      </w:hyperlink>
    </w:p>
    <w:p>
      <w:pPr>
        <w:pStyle w:val="CaseBody"/>
      </w:pPr>
      <w:r>
        <w:t xml:space="preserve">It is in this respect that the proposed Bylaw, as written, would violate Delaware law if enacted by CA's shareholders. As presently drafted, the Bylaw would afford CA's directors full discretion to determine what</w:t>
      </w:r>
      <w:r>
        <w:t xml:space="preserve"> </w:t>
      </w:r>
      <w:r>
        <w:rPr>
          <w:iCs/>
          <w:i/>
        </w:rPr>
        <w:t xml:space="preserve">amount</w:t>
      </w:r>
      <w:r>
        <w:t xml:space="preserve"> </w:t>
      </w:r>
      <w:r>
        <w:t xml:space="preserve">of reimbursement is appropriate, because the directors would be obligated to grant only the "reasonable" expenses of a successful short slate. Unfortunately, that does not go far enough, because the Bylaw contains no language or provision that would reserve to CA's directors their full power to exercise their fiduciary duty to decide whether or not it would be appropriate, in a specific case, to award reimbursement at all.</w:t>
      </w:r>
      <w:hyperlink w:anchor="X497a31c69df43a14fdf9f32e30c75ce560a2cde">
        <w:r>
          <w:rPr>
            <w:rStyle w:val="Hyperlink"/>
            <w:vertAlign w:val="superscript"/>
          </w:rPr>
          <w:t xml:space="preserve">[35]</w:t>
        </w:r>
      </w:hyperlink>
    </w:p>
    <w:bookmarkEnd w:id="85"/>
    <w:bookmarkStart w:id="86" w:name="section-3"/>
    <w:p>
      <w:pPr>
        <w:pStyle w:val="Heading2"/>
      </w:pPr>
      <w:r>
        <w:t xml:space="preserve">* * *</w:t>
      </w:r>
    </w:p>
    <w:p>
      <w:pPr>
        <w:pStyle w:val="CaseBody"/>
      </w:pPr>
      <w:r>
        <w:t xml:space="preserve">In arriving at this conclusion, we express no view on whether the Bylaw as currently drafted, would create a better governance scheme from a policy standpoint. We decide only what is, and is not, legally permitted under the DGCL. That statute, as currently drafted, is the expression of policy as decreed by the Delaware legislature. Those who believe that CA's shareholders should be permitted to make the proposed Bylaw as drafted part of CA's governance scheme, have two alternatives. They may seek to amend the Certificate of Incorporation to include the substance of the Bylaw;</w:t>
      </w:r>
      <w:r>
        <w:t xml:space="preserve"> </w:t>
      </w:r>
      <w:r>
        <w:rPr>
          <w:iCs/>
          <w:i/>
        </w:rPr>
        <w:t xml:space="preserve">or</w:t>
      </w:r>
      <w:r>
        <w:t xml:space="preserve"> </w:t>
      </w:r>
      <w:r>
        <w:t xml:space="preserve">they may seek recourse from the Delaware General Assembly.</w:t>
      </w:r>
    </w:p>
    <w:p>
      <w:pPr>
        <w:pStyle w:val="CaseBody"/>
      </w:pPr>
      <w:r>
        <w:t xml:space="preserve">Accordingly, we answer the second question certified to us in the affirmative.</w:t>
      </w:r>
    </w:p>
    <w:p>
      <w:pPr>
        <w:pStyle w:val="CaseBody"/>
      </w:pPr>
      <w:r>
        <w:rPr>
          <w:rStyle w:val="Elision"/>
        </w:rPr>
        <w:t xml:space="preserve">[ … ]</w:t>
      </w:r>
    </w:p>
    <w:bookmarkEnd w:id="86"/>
    <w:p>
      <w:pPr>
        <w:pStyle w:val="NodeEnd"/>
      </w:pPr>
      <w:r>
        <w:t xml:space="preserve"> </w:t>
      </w:r>
    </w:p>
    <w:p>
      <w:pPr>
        <w:pStyle w:val="NodeStart"/>
      </w:pPr>
      <w:r>
        <w:t xml:space="preserve"> </w:t>
      </w:r>
    </w:p>
    <w:p>
      <w:pPr>
        <w:pStyle w:val="HeadSeparator"/>
      </w:pPr>
      <w:r>
        <w:t xml:space="preserve"> </w:t>
      </w:r>
    </w:p>
    <w:bookmarkStart w:id="58" w:name="_auto_toc_58"/>
    <w:bookmarkEnd w:id="58"/>
    <w:p>
      <w:pPr>
        <w:pStyle w:val="SectionNumber"/>
      </w:pPr>
      <w:r>
        <w:t xml:space="preserve">5.2</w:t>
      </w:r>
    </w:p>
    <w:p>
      <w:pPr>
        <w:pStyle w:val="SectionTitle"/>
      </w:pPr>
      <w:r>
        <w:t xml:space="preserve">Reference 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59" w:name="_auto_toc_59"/>
    <w:bookmarkEnd w:id="59"/>
    <w:p>
      <w:pPr>
        <w:pStyle w:val="ResourceNumber"/>
      </w:pPr>
      <w:r>
        <w:t xml:space="preserve">5.2.1</w:t>
      </w:r>
    </w:p>
    <w:p>
      <w:pPr>
        <w:pStyle w:val="ResourceTitle"/>
      </w:pPr>
      <w:r>
        <w:t xml:space="preserve">Aprahamian v. HBO &amp; Co.</w:t>
      </w:r>
    </w:p>
    <w:p>
      <w:pPr>
        <w:pStyle w:val="HeadEnd"/>
      </w:pPr>
      <w:r>
        <w:t xml:space="preserve"> </w:t>
      </w:r>
    </w:p>
    <w:p>
      <w:pPr>
        <w:pStyle w:val="CaseHeader"/>
      </w:pPr>
      <w:r>
        <w:t xml:space="preserve">Delaware Court of Chancery</w:t>
      </w:r>
    </w:p>
    <w:p>
      <w:pPr>
        <w:pStyle w:val="CaseHeader"/>
      </w:pPr>
      <w:r>
        <w:t xml:space="preserve">531 A.2d 1204</w:t>
      </w:r>
    </w:p>
    <w:p>
      <w:pPr>
        <w:pStyle w:val="CaseHeader"/>
      </w:pPr>
      <w:r>
        <w:t xml:space="preserve">Civ. A. No. 8989</w:t>
      </w:r>
    </w:p>
    <w:p>
      <w:pPr>
        <w:pStyle w:val="CaseHeader"/>
      </w:pPr>
      <w:r>
        <w:t xml:space="preserve">1987-05-14</w:t>
      </w:r>
    </w:p>
    <w:p>
      <w:pPr>
        <w:pStyle w:val="CaseBody"/>
      </w:pPr>
      <w:r>
        <w:t xml:space="preserve">Submitted: May 11, 1987.</w:t>
      </w:r>
    </w:p>
    <w:p>
      <w:pPr>
        <w:pStyle w:val="CaseBody"/>
      </w:pPr>
      <w:r>
        <w:t xml:space="preserve">Revised: May 28, 1987.</w:t>
      </w:r>
    </w:p>
    <w:p>
      <w:pPr>
        <w:pStyle w:val="CaseBody"/>
      </w:pPr>
      <w:r>
        <w:t xml:space="preserve">Grover C. Brown, Henry N. Herndon, Jr., Edward M. McNally and Lewis H. Lazarus, Morris, James, Hitchens &amp; Williams, Wilmington (Hogan &amp; Hartson, Washington, D.C., of counsel), for plaintiffs.</w:t>
      </w:r>
    </w:p>
    <w:p>
      <w:pPr>
        <w:pStyle w:val="CaseBody"/>
      </w:pPr>
      <w:r>
        <w:t xml:space="preserve">Charles S. Crompton, Jr., Donald J. Wolfe, Jr., William J. Marsden, Jr., Kathleen T. Furey, and Laurie A. Silverstein, Potter, Anderson &amp; Corroon, Wilmington (Hansell &amp; Post, Atlanta, Ga., of counsel), for defendants.</w:t>
      </w:r>
    </w:p>
    <w:p>
      <w:pPr>
        <w:pStyle w:val="CaseBody"/>
      </w:pPr>
      <w:r>
        <w:t xml:space="preserve">HARTNETT, Vice Chancellor.</w:t>
      </w:r>
    </w:p>
    <w:p>
      <w:pPr>
        <w:pStyle w:val="CaseBody"/>
      </w:pPr>
      <w:r>
        <w:t xml:space="preserve">Plaintiffs, in effect, seek a preliminary injunction preventing defendants from further postponing the annual ’meeting of the stockholders of HBO &amp; Company (“HBO”), a Delaware corporation, which was originally scheduled to be held on April 30, 1987, but has been rescheduled by the directors for September 22,1987. I find that the meeting must go forward.</w:t>
      </w:r>
    </w:p>
    <w:p>
      <w:pPr>
        <w:pStyle w:val="CaseBody"/>
      </w:pPr>
      <w:r>
        <w:t xml:space="preserve">I</w:t>
      </w:r>
    </w:p>
    <w:p>
      <w:pPr>
        <w:pStyle w:val="CaseBody"/>
      </w:pPr>
      <w:r>
        <w:t xml:space="preserve">In the brief time available to consider this matter, it is not possible to set forth all the background facts, but the essential facts, which are uncontroverted, are as set forth.</w:t>
      </w:r>
    </w:p>
    <w:p>
      <w:pPr>
        <w:pStyle w:val="CaseBody"/>
      </w:pPr>
      <w:r>
        <w:t xml:space="preserve">On February 10, 1987 the Board of HBO designated that the annual meeting of the corporation be held on April 30, 1987, at 9:00 a.m., with March 15, 1987, as the record date for determining the stockholders entitled to vote. Public announcement of the meeting was made on March 20, 1987, with the distribution of the annual meeting proxy materials by the corporation. Management recommended reelection of the incumbent Board.</w:t>
      </w:r>
    </w:p>
    <w:p>
      <w:pPr>
        <w:pStyle w:val="CaseBody"/>
      </w:pPr>
      <w:r>
        <w:t xml:space="preserve">On March 28, 1987, plaintiffs formed a committee to oppose the reelection of the six directors of the corporation and on March 30, 1987, the Committee filed its preliminary proxy solicitation materials with the Federal Securities and Exchange Commission, proposing an alternate slate of directors. On April 10, 1987, the Committee mailed its initial proxy solicitation materials in which it proposed its own slate of directors and proposed a program which would allegedly maximize the value of the corporation by the creation of a special committee which would propose transactions, including the possible sale of the corporation.</w:t>
      </w:r>
    </w:p>
    <w:p>
      <w:pPr>
        <w:pStyle w:val="CaseBody"/>
      </w:pPr>
      <w:r>
        <w:t xml:space="preserve">The incumbent directors of the corporation, who along with the corporation are the defendants, thereupon issued additional proxy materials opposing the proposals and opposing any near term actions to increase the value of the stock of the corporation.</w:t>
      </w:r>
    </w:p>
    <w:p>
      <w:pPr>
        <w:pStyle w:val="CaseBody"/>
      </w:pPr>
      <w:r>
        <w:t xml:space="preserve">On Saturday, April 25, 1987, three business days before the scheduled date of the annual meeting, the incumbent Board of HBO decided to embrace plaintiffs’ platform and undertook to convince the stockholders of the corporation that the Board would now pursue a plan similar to plaintiffs’ and that the present management was better qualified to successfully complete a plan than would be the plaintiffs.</w:t>
      </w:r>
    </w:p>
    <w:p>
      <w:pPr>
        <w:pStyle w:val="CaseBody"/>
      </w:pPr>
      <w:r>
        <w:t xml:space="preserve">On Monday, April 27, 1987, the incumbent directors placed an advertisement in</w:t>
      </w:r>
      <w:r>
        <w:t xml:space="preserve"> </w:t>
      </w:r>
      <w:r>
        <w:rPr>
          <w:iCs/>
          <w:i/>
        </w:rPr>
        <w:t xml:space="preserve">The Wall Street Journal</w:t>
      </w:r>
      <w:r>
        <w:t xml:space="preserve"> </w:t>
      </w:r>
      <w:r>
        <w:t xml:space="preserve">announcing that they had decided to appoint a special committee of two incumbent directors to seek a sale of the corporation or propose other transactions which would enhance the value of the stock of the corporation.</w:t>
      </w:r>
    </w:p>
    <w:p>
      <w:pPr>
        <w:pStyle w:val="CaseBody"/>
      </w:pPr>
      <w:r>
        <w:t xml:space="preserve">In the late afternoon of April 29, 1987 (the day before the scheduled date for the annual meeting), the directors received information from their proxy solicitor that the election result was too close to call. At the same time, plaintiffs were receiving reports that they would win.</w:t>
      </w:r>
    </w:p>
    <w:p>
      <w:pPr>
        <w:pStyle w:val="CaseBody"/>
      </w:pPr>
      <w:r>
        <w:t xml:space="preserve">The incumbent Board, upon receiving the preliminary report of its proxy solicitor, acted to postpone the annual stockholders meeting until September 22, 1987, with an August 1987, record date.</w:t>
      </w:r>
    </w:p>
    <w:p>
      <w:pPr>
        <w:pStyle w:val="CaseBody"/>
      </w:pPr>
      <w:r>
        <w:t xml:space="preserve">The previous annual meeting was held on September 22, 1986, only seven months ago, but the traditional date for the annual meeting of the corporation has been in April.</w:t>
      </w:r>
    </w:p>
    <w:p>
      <w:pPr>
        <w:pStyle w:val="CaseBody"/>
      </w:pPr>
      <w:r>
        <w:t xml:space="preserve">Almo.t two years ago, in July of 1985, defendant Walter S. Huff, Jr., the present Chairman of the Board and a director of HBO, sold 500,000 shares of the corporation’s stock to the corporation for $23,125 per share. Ever since that time the value of the stock has declined — eventually reaching a low of $8.50 per share during December of 1986.</w:t>
      </w:r>
    </w:p>
    <w:p>
      <w:pPr>
        <w:pStyle w:val="CaseBody"/>
      </w:pPr>
      <w:r>
        <w:t xml:space="preserve">If the annual meeting does not convene by May 15, 1987, the proxies submitted by the stockholders may expire because of the provisions of 8</w:t>
      </w:r>
      <w:r>
        <w:t xml:space="preserve"> </w:t>
      </w:r>
      <w:r>
        <w:rPr>
          <w:iCs/>
          <w:i/>
        </w:rPr>
        <w:t xml:space="preserve">Del. C.</w:t>
      </w:r>
      <w:r>
        <w:t xml:space="preserve"> </w:t>
      </w:r>
      <w:r>
        <w:t xml:space="preserve">§ 213 which provide that a record date shall not be fixed for a date more than 60 days before the date of the annual meeting. It is therefore argued by plaintiffs that if the annual meeting does not convene before May 16, 1987, a new record date, will be fixed which will invalidate the proxies solicited by plaintiffs.</w:t>
      </w:r>
    </w:p>
    <w:p>
      <w:pPr>
        <w:pStyle w:val="CaseBody"/>
      </w:pPr>
      <w:r>
        <w:t xml:space="preserve">Plaintiffs seek a preliminary injunction preventing defendants from continuing to postpone the convening of the annual meeting past May 15, 1987.</w:t>
      </w:r>
    </w:p>
    <w:p>
      <w:pPr>
        <w:pStyle w:val="CaseBody"/>
      </w:pPr>
      <w:r>
        <w:t xml:space="preserve">II</w:t>
      </w:r>
    </w:p>
    <w:p>
      <w:pPr>
        <w:pStyle w:val="CaseBody"/>
      </w:pPr>
      <w:r>
        <w:t xml:space="preserve">Plaintiffs rely heavily on</w:t>
      </w:r>
      <w:r>
        <w:t xml:space="preserve"> </w:t>
      </w:r>
      <w:r>
        <w:rPr>
          <w:iCs/>
          <w:i/>
        </w:rPr>
        <w:t xml:space="preserve">Gries v. Ever-skarp, Inc.,</w:t>
      </w:r>
      <w:r>
        <w:t xml:space="preserve"> </w:t>
      </w:r>
      <w:r>
        <w:t xml:space="preserve">Del.Supr.,</w:t>
      </w:r>
      <w:r>
        <w:t xml:space="preserve"> </w:t>
      </w:r>
      <w:r>
        <w:t xml:space="preserve">69 A.2d 922</w:t>
      </w:r>
      <w:r>
        <w:t xml:space="preserve"> </w:t>
      </w:r>
      <w:r>
        <w:t xml:space="preserve">(1949) in which the Delaware Supreme Court held that the directors of a corporation could not postpone the scheduled annual meeting as long as it was possible to hold the meeting at the time originally scheduled. The Court pointed out that a different holding would “authorize directors to change a meeting date for any year, at any time in advance of a meeting, for any reason of convenience to the directors, provided no fraud, bad faith, or improper motive was shown.”</w:t>
      </w:r>
    </w:p>
    <w:p>
      <w:pPr>
        <w:pStyle w:val="CaseBody"/>
      </w:pPr>
      <w:r>
        <w:t xml:space="preserve">Defendants assert that the holding in</w:t>
      </w:r>
      <w:r>
        <w:t xml:space="preserve"> </w:t>
      </w:r>
      <w:r>
        <w:rPr>
          <w:iCs/>
          <w:i/>
        </w:rPr>
        <w:t xml:space="preserve">Gries</w:t>
      </w:r>
      <w:r>
        <w:t xml:space="preserve"> </w:t>
      </w:r>
      <w:r>
        <w:t xml:space="preserve">is no longer applicable because of subsequent amendments to the statutes relating to annual meetings. The amendments to the statutes since</w:t>
      </w:r>
      <w:r>
        <w:t xml:space="preserve"> </w:t>
      </w:r>
      <w:r>
        <w:rPr>
          <w:iCs/>
          <w:i/>
        </w:rPr>
        <w:t xml:space="preserve">Gries,</w:t>
      </w:r>
      <w:r>
        <w:t xml:space="preserve"> </w:t>
      </w:r>
      <w:r>
        <w:t xml:space="preserve">however, merely give greater flexibility to the board in selecting the date and place for the annual meeting and are still silent as to whether the directors have the power to postpone an annual meeting once the date has been designated.</w:t>
      </w:r>
    </w:p>
    <w:p>
      <w:pPr>
        <w:pStyle w:val="CaseBody"/>
      </w:pPr>
      <w:r>
        <w:t xml:space="preserve">8</w:t>
      </w:r>
      <w:r>
        <w:t xml:space="preserve"> </w:t>
      </w:r>
      <w:r>
        <w:rPr>
          <w:iCs/>
          <w:i/>
        </w:rPr>
        <w:t xml:space="preserve">Del.C.</w:t>
      </w:r>
      <w:r>
        <w:t xml:space="preserve"> </w:t>
      </w:r>
      <w:r>
        <w:t xml:space="preserve">§ 211 now provides that “an annual meeting of stockholders shall be held for the election of directors on a date and at a time designated by or in the manner provided in the bylaws.” HBO’s bylaws provide that the annual meetings of the stockholders shall be held at such place, within or without the State of Delaware, in April or as shall be provided from time to time by the board of directors. The amendments to the statutes since</w:t>
      </w:r>
      <w:r>
        <w:t xml:space="preserve"> </w:t>
      </w:r>
      <w:r>
        <w:rPr>
          <w:iCs/>
          <w:i/>
        </w:rPr>
        <w:t xml:space="preserve">Gries</w:t>
      </w:r>
      <w:r>
        <w:t xml:space="preserve"> </w:t>
      </w:r>
      <w:r>
        <w:t xml:space="preserve">therefore do not change its holding.</w:t>
      </w:r>
    </w:p>
    <w:p>
      <w:pPr>
        <w:pStyle w:val="CaseBody"/>
      </w:pPr>
      <w:r>
        <w:t xml:space="preserve">Defendants also urge that the holding in</w:t>
      </w:r>
      <w:r>
        <w:t xml:space="preserve"> </w:t>
      </w:r>
      <w:r>
        <w:rPr>
          <w:iCs/>
          <w:i/>
        </w:rPr>
        <w:t xml:space="preserve">Gries</w:t>
      </w:r>
      <w:r>
        <w:t xml:space="preserve"> </w:t>
      </w:r>
      <w:r>
        <w:t xml:space="preserve">has been superseded by recent Delaware cases ascribing new vitality to the business judgment rule especially where an independent committee recommends a course of conduct. See,</w:t>
      </w:r>
      <w:r>
        <w:t xml:space="preserve"> </w:t>
      </w:r>
      <w:r>
        <w:rPr>
          <w:iCs/>
          <w:i/>
        </w:rPr>
        <w:t xml:space="preserve">Weinberger v. UOP, Inc.,</w:t>
      </w:r>
      <w:r>
        <w:t xml:space="preserve"> </w:t>
      </w:r>
      <w:r>
        <w:t xml:space="preserve">Del.Supr.,</w:t>
      </w:r>
      <w:r>
        <w:t xml:space="preserve"> </w:t>
      </w:r>
      <w:r>
        <w:t xml:space="preserve">457 A.2d 701</w:t>
      </w:r>
      <w:r>
        <w:t xml:space="preserve"> </w:t>
      </w:r>
      <w:r>
        <w:t xml:space="preserve">(1983); and</w:t>
      </w:r>
      <w:r>
        <w:t xml:space="preserve"> </w:t>
      </w:r>
      <w:r>
        <w:rPr>
          <w:iCs/>
          <w:i/>
        </w:rPr>
        <w:t xml:space="preserve">Unocal Corp. v. Mesa,</w:t>
      </w:r>
      <w:r>
        <w:t xml:space="preserve"> </w:t>
      </w:r>
      <w:r>
        <w:t xml:space="preserve">Del.Supr.,</w:t>
      </w:r>
      <w:r>
        <w:t xml:space="preserve"> </w:t>
      </w:r>
      <w:r>
        <w:t xml:space="preserve">493 A.2d 946</w:t>
      </w:r>
      <w:r>
        <w:t xml:space="preserve"> </w:t>
      </w:r>
      <w:r>
        <w:t xml:space="preserve">(1985).</w:t>
      </w:r>
    </w:p>
    <w:p>
      <w:pPr>
        <w:pStyle w:val="CaseBody"/>
      </w:pPr>
      <w:r>
        <w:t xml:space="preserve">Defendants point out that the postponement of the annual meeting was recommended by a special committee recently appointed by the incumbent board to examine alternatives for maximizing stockholder value and therefore the court should defer to its recommendation. This argument is not valid, however, because the special committee consisted of two incumbent directors, both of whom are seeking reelection. They are obviously interested in the outcome of the election and the business judgment rule cannot be a shield as to acts taken by an interested director.</w:t>
      </w:r>
      <w:r>
        <w:t xml:space="preserve"> </w:t>
      </w:r>
      <w:r>
        <w:rPr>
          <w:iCs/>
          <w:i/>
        </w:rPr>
        <w:t xml:space="preserve">Aronson v. Lewis,</w:t>
      </w:r>
      <w:r>
        <w:t xml:space="preserve"> </w:t>
      </w:r>
      <w:r>
        <w:t xml:space="preserve">Del.Supr.,</w:t>
      </w:r>
      <w:r>
        <w:t xml:space="preserve"> </w:t>
      </w:r>
      <w:r>
        <w:t xml:space="preserve">473 A.2d 805</w:t>
      </w:r>
      <w:r>
        <w:t xml:space="preserve"> </w:t>
      </w:r>
      <w:r>
        <w:t xml:space="preserve">(1984).</w:t>
      </w:r>
    </w:p>
    <w:p>
      <w:pPr>
        <w:pStyle w:val="CaseBody"/>
      </w:pPr>
      <w:r>
        <w:t xml:space="preserve">In terming these directors “interested” I am not ascribing any improprieties to them. A candidate for office, whether as an elected official or as a director of a corporation, is likely to prefer to be elected rather than defeated. He therefore has a personal interest in the outcome of the election even if the interest is not financial and he seeks to serve from the best of motives.</w:t>
      </w:r>
    </w:p>
    <w:p>
      <w:pPr>
        <w:pStyle w:val="CaseBody"/>
      </w:pPr>
      <w:r>
        <w:t xml:space="preserve">The corporate election process, if it is to have any validity, must be conducted with scrupulous fairness and without any advantage being conferred or denied to any candidate or slate of candidates. In the interests of corporate democracy, those in charge of the election machinery of a corporation must be held to the highest standards in providing for and conducting corporate elections. The business judgment rule therefore does not confer any presumption of propriety on the acts of the directors in postponing the annual meeting. Quite to the contrary. When the election machinery appears, at least facially, to have been manipulated, those in charge of the election have the burden of persuasion to justify their actions.</w:t>
      </w:r>
    </w:p>
    <w:p>
      <w:pPr>
        <w:pStyle w:val="CaseBody"/>
      </w:pPr>
      <w:r>
        <w:t xml:space="preserve">I, therefore, hold that the holding in</w:t>
      </w:r>
      <w:r>
        <w:t xml:space="preserve"> </w:t>
      </w:r>
      <w:r>
        <w:rPr>
          <w:iCs/>
          <w:i/>
        </w:rPr>
        <w:t xml:space="preserve">Gries</w:t>
      </w:r>
      <w:r>
        <w:t xml:space="preserve"> </w:t>
      </w:r>
      <w:r>
        <w:t xml:space="preserve">is still binding on this court.</w:t>
      </w:r>
    </w:p>
    <w:p>
      <w:pPr>
        <w:pStyle w:val="CaseBody"/>
      </w:pPr>
      <w:r>
        <w:t xml:space="preserve">Ill</w:t>
      </w:r>
    </w:p>
    <w:p>
      <w:pPr>
        <w:pStyle w:val="CaseBody"/>
      </w:pPr>
      <w:r>
        <w:t xml:space="preserve">In</w:t>
      </w:r>
      <w:r>
        <w:t xml:space="preserve"> </w:t>
      </w:r>
      <w:r>
        <w:rPr>
          <w:iCs/>
          <w:i/>
        </w:rPr>
        <w:t xml:space="preserve">Gries</w:t>
      </w:r>
      <w:r>
        <w:t xml:space="preserve"> </w:t>
      </w:r>
      <w:r>
        <w:t xml:space="preserve">the court did not address the issue of whether an annual meeting, after being designated, could be postponed if it was in the interests of the stockholders.</w:t>
      </w:r>
    </w:p>
    <w:p>
      <w:pPr>
        <w:pStyle w:val="CaseBody"/>
      </w:pPr>
      <w:r>
        <w:t xml:space="preserve">This issue, however, was faced in</w:t>
      </w:r>
      <w:r>
        <w:t xml:space="preserve"> </w:t>
      </w:r>
      <w:r>
        <w:rPr>
          <w:iCs/>
          <w:i/>
        </w:rPr>
        <w:t xml:space="preserve">Steinberg v. American Bantam,</w:t>
      </w:r>
      <w:r>
        <w:t xml:space="preserve"> </w:t>
      </w:r>
      <w:r>
        <w:t xml:space="preserve">W.D.Pa.,</w:t>
      </w:r>
      <w:r>
        <w:t xml:space="preserve"> </w:t>
      </w:r>
      <w:r>
        <w:t xml:space="preserve">76 F.Supp. 426</w:t>
      </w:r>
      <w:r>
        <w:t xml:space="preserve"> </w:t>
      </w:r>
      <w:r>
        <w:t xml:space="preserve">(1948),</w:t>
      </w:r>
      <w:r>
        <w:t xml:space="preserve"> </w:t>
      </w:r>
      <w:r>
        <w:rPr>
          <w:iCs/>
          <w:i/>
        </w:rPr>
        <w:t xml:space="preserve">app. dis.,</w:t>
      </w:r>
      <w:r>
        <w:t xml:space="preserve"> </w:t>
      </w:r>
      <w:r>
        <w:t xml:space="preserve">3rd Cir.,</w:t>
      </w:r>
      <w:r>
        <w:t xml:space="preserve"> </w:t>
      </w:r>
      <w:r>
        <w:t xml:space="preserve">173 F.2d 179</w:t>
      </w:r>
      <w:r>
        <w:t xml:space="preserve"> </w:t>
      </w:r>
      <w:r>
        <w:t xml:space="preserve">(1949), and that court held that an annual meeting could be postponed if necessary in the interests of the stockholders. See also,</w:t>
      </w:r>
      <w:r>
        <w:t xml:space="preserve"> </w:t>
      </w:r>
      <w:r>
        <w:rPr>
          <w:iCs/>
          <w:i/>
        </w:rPr>
        <w:t xml:space="preserve">Thompson v. Enstar,</w:t>
      </w:r>
      <w:r>
        <w:t xml:space="preserve"> </w:t>
      </w:r>
      <w:r>
        <w:t xml:space="preserve">Del.Ch.,</w:t>
      </w:r>
      <w:r>
        <w:t xml:space="preserve"> </w:t>
      </w:r>
      <w:r>
        <w:t xml:space="preserve">509 A.2d 578</w:t>
      </w:r>
      <w:r>
        <w:t xml:space="preserve"> </w:t>
      </w:r>
      <w:r>
        <w:t xml:space="preserve">(1984).</w:t>
      </w:r>
    </w:p>
    <w:p>
      <w:pPr>
        <w:pStyle w:val="CaseBody"/>
      </w:pPr>
      <w:r>
        <w:t xml:space="preserve">The burden of persuasion, however, must be upon those seeking to postpone the annual meeting to show that the postponement is in the best interests of the stockholders. The incumbent directors here assert that the annual meeting must be postponed because of the need of the stockholders to examine the incumbents’ last-minute proposal, and because they will appoint a special committee to seek the enhancement of the value of the corporation. They also urge that they are better qualified to oversee the transactions necessary to enhance the value of the corporation and that plaintiffs (or some of them) have interests which will jeopardize their impartiality as board members.</w:t>
      </w:r>
    </w:p>
    <w:p>
      <w:pPr>
        <w:pStyle w:val="CaseBody"/>
      </w:pPr>
      <w:r>
        <w:t xml:space="preserve">I quite agree with defendants that it is vitally important that stockholders be fully informed when voting for directors. 5 FLETCHER</w:t>
      </w:r>
      <w:r>
        <w:t xml:space="preserve"> </w:t>
      </w:r>
      <w:r>
        <w:rPr>
          <w:iCs/>
          <w:i/>
        </w:rPr>
        <w:t xml:space="preserve">Cyclopedia of Corporations</w:t>
      </w:r>
      <w:r>
        <w:t xml:space="preserve"> </w:t>
      </w:r>
      <w:r>
        <w:t xml:space="preserve">§ 2008.</w:t>
      </w:r>
    </w:p>
    <w:p>
      <w:pPr>
        <w:pStyle w:val="CaseBody"/>
      </w:pPr>
      <w:r>
        <w:t xml:space="preserve">Here, however, the incumbent directors' belated plan is not substantially different from the plan put forth by the plaintiffs. If the incumbent directors were truly sincere in their desire to make sure that the stockholders are fully informed before voting, they would have postponed the annual meeting at the time they put forth their new proposal on April 25 and not have waited until the evening before the meeting date.</w:t>
      </w:r>
    </w:p>
    <w:p>
      <w:pPr>
        <w:pStyle w:val="CaseBody"/>
      </w:pPr>
      <w:r>
        <w:t xml:space="preserve">Defendants have had ample opportunity to advise the stockholders about the relative qualifications of the competing slates and have done so. While it appears that some of the plaintiffs may be motivated by a desire to purchase the corporation for themselves, this does not seem to be much different from Mr. Huff’s actions in selling his shares to the corporation in 1985.</w:t>
      </w:r>
    </w:p>
    <w:p>
      <w:pPr>
        <w:pStyle w:val="CaseBody"/>
      </w:pPr>
      <w:r>
        <w:t xml:space="preserve">It is also obvious that the stock is now heavily owned by sophisticated institutional investors and arbitrageurs who are likely to be well-informed about what is happening in this on-going proxy contest.</w:t>
      </w:r>
    </w:p>
    <w:p>
      <w:pPr>
        <w:pStyle w:val="CaseBody"/>
      </w:pPr>
      <w:r>
        <w:t xml:space="preserve">Incumbent directors do not have any preemptory right to continue to serve as directors. The present record does not reveal that one proposed slate of directors is any better, or more sincerely interested in the welfare of the stockholders, than is the other.</w:t>
      </w:r>
    </w:p>
    <w:p>
      <w:pPr>
        <w:pStyle w:val="CaseBody"/>
      </w:pPr>
      <w:r>
        <w:t xml:space="preserve">There is therefore no reason evident in the present record to have the annual meeting postponed.</w:t>
      </w:r>
    </w:p>
    <w:p>
      <w:pPr>
        <w:pStyle w:val="CaseBody"/>
      </w:pPr>
      <w:r>
        <w:t xml:space="preserve">IV</w:t>
      </w:r>
    </w:p>
    <w:p>
      <w:pPr>
        <w:pStyle w:val="CaseBody"/>
      </w:pPr>
      <w:r>
        <w:t xml:space="preserve">Defendants also rely heavily on the unreported decision in</w:t>
      </w:r>
      <w:r>
        <w:t xml:space="preserve"> </w:t>
      </w:r>
      <w:r>
        <w:rPr>
          <w:iCs/>
          <w:i/>
        </w:rPr>
        <w:t xml:space="preserve">Huffington v. Enstar,</w:t>
      </w:r>
      <w:r>
        <w:t xml:space="preserve"> </w:t>
      </w:r>
      <w:r>
        <w:t xml:space="preserve">Del.Ch., C.A. No. 7543-NC, Longobardi, V.C. (April 25, 1984). In that opinion the court refused to require the directors of Enstar to reinstate a stockholders meeting scheduled but later postponed. An unreported decision, while entitled to great deference, is not necessarily</w:t>
      </w:r>
      <w:r>
        <w:t xml:space="preserve"> </w:t>
      </w:r>
      <w:r>
        <w:rPr>
          <w:iCs/>
          <w:i/>
        </w:rPr>
        <w:t xml:space="preserve">stare decis. State v. Phillips,</w:t>
      </w:r>
      <w:r>
        <w:t xml:space="preserve"> </w:t>
      </w:r>
      <w:r>
        <w:t xml:space="preserve">Del.Ch.,</w:t>
      </w:r>
      <w:r>
        <w:t xml:space="preserve"> </w:t>
      </w:r>
      <w:r>
        <w:t xml:space="preserve">400 A.2d 299</w:t>
      </w:r>
      <w:r>
        <w:t xml:space="preserve">, 308 (1979). This is especially so as to issues not fully considered or discussed. In</w:t>
      </w:r>
      <w:r>
        <w:t xml:space="preserve"> </w:t>
      </w:r>
      <w:r>
        <w:rPr>
          <w:iCs/>
          <w:i/>
        </w:rPr>
        <w:t xml:space="preserve">Enstar</w:t>
      </w:r>
      <w:r>
        <w:t xml:space="preserve"> </w:t>
      </w:r>
      <w:r>
        <w:t xml:space="preserve">the court stated:</w:t>
      </w:r>
    </w:p>
    <w:p>
      <w:pPr>
        <w:pStyle w:val="BlockText"/>
      </w:pPr>
      <w:r>
        <w:t xml:space="preserve">“Applying the principles of</w:t>
      </w:r>
      <w:r>
        <w:t xml:space="preserve"> </w:t>
      </w:r>
      <w:r>
        <w:rPr>
          <w:iCs/>
          <w:i/>
        </w:rPr>
        <w:t xml:space="preserve">Schnell [v. Chris-Craft Industries, Inc.,</w:t>
      </w:r>
      <w:r>
        <w:t xml:space="preserve"> </w:t>
      </w:r>
      <w:r>
        <w:t xml:space="preserve">Del.Supr.,</w:t>
      </w:r>
      <w:r>
        <w:t xml:space="preserve"> </w:t>
      </w:r>
      <w:r>
        <w:t xml:space="preserve">285 A.2d 437</w:t>
      </w:r>
      <w:r>
        <w:t xml:space="preserve"> </w:t>
      </w:r>
      <w:r>
        <w:t xml:space="preserve">(1971),] and</w:t>
      </w:r>
      <w:r>
        <w:t xml:space="preserve"> </w:t>
      </w:r>
      <w:r>
        <w:rPr>
          <w:iCs/>
          <w:i/>
        </w:rPr>
        <w:t xml:space="preserve">Lerman [v.</w:t>
      </w:r>
      <w:r>
        <w:t xml:space="preserve"> </w:t>
      </w:r>
      <w:r>
        <w:rPr>
          <w:iCs/>
          <w:i/>
        </w:rPr>
        <w:t xml:space="preserve">Diagnostic Data, Inc.,</w:t>
      </w:r>
      <w:r>
        <w:t xml:space="preserve"> </w:t>
      </w:r>
      <w:r>
        <w:t xml:space="preserve">Del.Ch.,</w:t>
      </w:r>
      <w:r>
        <w:t xml:space="preserve"> </w:t>
      </w:r>
      <w:r>
        <w:t xml:space="preserve">421 A.2d 906</w:t>
      </w:r>
      <w:r>
        <w:t xml:space="preserve"> </w:t>
      </w:r>
      <w:r>
        <w:t xml:space="preserve">(1980),] to the facts of the case</w:t>
      </w:r>
      <w:r>
        <w:t xml:space="preserve"> </w:t>
      </w:r>
      <w:r>
        <w:rPr>
          <w:iCs/>
          <w:i/>
        </w:rPr>
        <w:t xml:space="preserve">sub judice,</w:t>
      </w:r>
      <w:r>
        <w:t xml:space="preserve"> </w:t>
      </w:r>
      <w:r>
        <w:t xml:space="preserve">one must consider that the lengthening of time in which to conduct the proxy contest must be viewed in the context of the particular circumstances of this case. In other words, the</w:t>
      </w:r>
      <w:r>
        <w:t xml:space="preserve"> </w:t>
      </w:r>
      <w:r>
        <w:rPr>
          <w:iCs/>
          <w:i/>
        </w:rPr>
        <w:t xml:space="preserve">Schnell</w:t>
      </w:r>
      <w:r>
        <w:t xml:space="preserve"> </w:t>
      </w:r>
      <w:r>
        <w:t xml:space="preserve">principle could be applicable in a time shortening or a time lengthening situation. Admittedly, if the action of the Board in this case is to be condemned, it must be based on attendant circumstances that make it reasonably probable to assume that management intended to frustrate the vote of dissident stockholders.”</w:t>
      </w:r>
    </w:p>
    <w:p>
      <w:pPr>
        <w:pStyle w:val="CaseBody"/>
      </w:pPr>
      <w:r>
        <w:t xml:space="preserve">As I read the opinion, it merely holds that stockholder meeting dates can be changed for cause. Cf.</w:t>
      </w:r>
      <w:r>
        <w:t xml:space="preserve"> </w:t>
      </w:r>
      <w:r>
        <w:rPr>
          <w:iCs/>
          <w:i/>
        </w:rPr>
        <w:t xml:space="preserve">Steinberg v. American Bantam,</w:t>
      </w:r>
      <w:r>
        <w:t xml:space="preserve"> </w:t>
      </w:r>
      <w:r>
        <w:t xml:space="preserve">supra, and</w:t>
      </w:r>
      <w:r>
        <w:t xml:space="preserve"> </w:t>
      </w:r>
      <w:r>
        <w:rPr>
          <w:iCs/>
          <w:i/>
        </w:rPr>
        <w:t xml:space="preserve">Tweedy Browne &amp; Knapp v. Cambridge Fund,</w:t>
      </w:r>
      <w:r>
        <w:t xml:space="preserve"> </w:t>
      </w:r>
      <w:r>
        <w:t xml:space="preserve">Del.Ch.,</w:t>
      </w:r>
      <w:r>
        <w:t xml:space="preserve"> </w:t>
      </w:r>
      <w:r>
        <w:t xml:space="preserve">318 A.2d 635</w:t>
      </w:r>
      <w:r>
        <w:t xml:space="preserve"> </w:t>
      </w:r>
      <w:r>
        <w:t xml:space="preserve">(1974). In any event</w:t>
      </w:r>
      <w:r>
        <w:t xml:space="preserve"> </w:t>
      </w:r>
      <w:r>
        <w:rPr>
          <w:iCs/>
          <w:i/>
        </w:rPr>
        <w:t xml:space="preserve">Enstar,</w:t>
      </w:r>
      <w:r>
        <w:t xml:space="preserve"> </w:t>
      </w:r>
      <w:r>
        <w:t xml:space="preserve">an opinion of this court, cannot overrule the Delaware Supreme Court’s decision in</w:t>
      </w:r>
      <w:r>
        <w:t xml:space="preserve"> </w:t>
      </w:r>
      <w:r>
        <w:rPr>
          <w:iCs/>
          <w:i/>
        </w:rPr>
        <w:t xml:space="preserve">Gries.</w:t>
      </w:r>
      <w:r>
        <w:t xml:space="preserve"> </w:t>
      </w:r>
      <w:r>
        <w:t xml:space="preserve">I therefore do not find that the ruling in</w:t>
      </w:r>
      <w:r>
        <w:t xml:space="preserve"> </w:t>
      </w:r>
      <w:r>
        <w:rPr>
          <w:iCs/>
          <w:i/>
        </w:rPr>
        <w:t xml:space="preserve">Enstar</w:t>
      </w:r>
      <w:r>
        <w:t xml:space="preserve"> </w:t>
      </w:r>
      <w:r>
        <w:t xml:space="preserve">compels me to allow the annual meeting of HBO to be postponed.</w:t>
      </w:r>
    </w:p>
    <w:p>
      <w:pPr>
        <w:pStyle w:val="CaseBody"/>
      </w:pPr>
      <w:r>
        <w:t xml:space="preserve">V</w:t>
      </w:r>
    </w:p>
    <w:p>
      <w:pPr>
        <w:pStyle w:val="CaseBody"/>
      </w:pPr>
      <w:r>
        <w:t xml:space="preserve">Defendants’ reliance on 8</w:t>
      </w:r>
      <w:r>
        <w:t xml:space="preserve"> </w:t>
      </w:r>
      <w:r>
        <w:rPr>
          <w:iCs/>
          <w:i/>
        </w:rPr>
        <w:t xml:space="preserve">Del. C.</w:t>
      </w:r>
      <w:r>
        <w:t xml:space="preserve"> </w:t>
      </w:r>
      <w:r>
        <w:t xml:space="preserve">§ 222(c) is also misplaced. That subsection states:</w:t>
      </w:r>
    </w:p>
    <w:p>
      <w:pPr>
        <w:pStyle w:val="BlockText"/>
      </w:pPr>
      <w:r>
        <w:t xml:space="preserve">“(c) When a meeting is adjourned to another time or place, unless the bylaws otherwise require, notice need not be given of the adjourned meeting if the time and place thereof are announced at the meeting at which the adjournment is taken. At the adjourned meeting the corporation may transact any business which might have been transacted at the original meeting. If the adjournment is for more than 30 days, or if after the adjournment a new record date is fixed for the adjourned meeting, a notice of the adjourned meeting shall be given to each stockholder of record entitled to vote at the meeting.”</w:t>
      </w:r>
    </w:p>
    <w:p>
      <w:pPr>
        <w:pStyle w:val="CaseBody"/>
      </w:pPr>
      <w:r>
        <w:t xml:space="preserve">This language obviously refers to an adjournment after a meeting has convened and is not relevant to the issue of a postponement of a meeting after it has been designated, but before it is convened.</w:t>
      </w:r>
    </w:p>
    <w:p>
      <w:pPr>
        <w:pStyle w:val="CaseBody"/>
      </w:pPr>
      <w:r>
        <w:t xml:space="preserve">VI</w:t>
      </w:r>
    </w:p>
    <w:p>
      <w:pPr>
        <w:pStyle w:val="CaseBody"/>
      </w:pPr>
      <w:r>
        <w:t xml:space="preserve">In order to prevail at the preliminary injunction stage plaintiffs bear the burden, of showing that there is a reasonable probability that they will prevail on the ultimate merits of their claims, that they will suffer irreparable harm if the relief is not granted and that the hardship to the defendants, if the relief requested is granted, does not outweigh the hardship to plaintiffs if the relief is denied.</w:t>
      </w:r>
      <w:r>
        <w:t xml:space="preserve"> </w:t>
      </w:r>
      <w:r>
        <w:rPr>
          <w:iCs/>
          <w:i/>
        </w:rPr>
        <w:t xml:space="preserve">Bayard v. Martin,</w:t>
      </w:r>
      <w:r>
        <w:t xml:space="preserve"> </w:t>
      </w:r>
      <w:r>
        <w:t xml:space="preserve">Del.Supr.,</w:t>
      </w:r>
      <w:r>
        <w:t xml:space="preserve"> </w:t>
      </w:r>
      <w:r>
        <w:t xml:space="preserve">101 A.2d 329</w:t>
      </w:r>
      <w:r>
        <w:t xml:space="preserve"> </w:t>
      </w:r>
      <w:r>
        <w:t xml:space="preserve">(1953);</w:t>
      </w:r>
      <w:r>
        <w:t xml:space="preserve"> </w:t>
      </w:r>
      <w:r>
        <w:rPr>
          <w:iCs/>
          <w:i/>
        </w:rPr>
        <w:t xml:space="preserve">Gimbel v. Signal Companies,</w:t>
      </w:r>
      <w:r>
        <w:t xml:space="preserve"> </w:t>
      </w:r>
      <w:r>
        <w:t xml:space="preserve">Del.Ch.,</w:t>
      </w:r>
      <w:r>
        <w:t xml:space="preserve"> </w:t>
      </w:r>
      <w:r>
        <w:t xml:space="preserve">316 A.2d 599</w:t>
      </w:r>
      <w:r>
        <w:t xml:space="preserve">,</w:t>
      </w:r>
      <w:r>
        <w:t xml:space="preserve"> </w:t>
      </w:r>
      <w:r>
        <w:rPr>
          <w:iCs/>
          <w:i/>
        </w:rPr>
        <w:t xml:space="preserve">aff'd,</w:t>
      </w:r>
      <w:r>
        <w:t xml:space="preserve"> </w:t>
      </w:r>
      <w:r>
        <w:t xml:space="preserve">Del.Supr.,</w:t>
      </w:r>
      <w:r>
        <w:t xml:space="preserve"> </w:t>
      </w:r>
      <w:r>
        <w:t xml:space="preserve">316 A.2d 619</w:t>
      </w:r>
      <w:r>
        <w:t xml:space="preserve"> </w:t>
      </w:r>
      <w:r>
        <w:t xml:space="preserve">(1974);</w:t>
      </w:r>
      <w:r>
        <w:t xml:space="preserve"> </w:t>
      </w:r>
      <w:r>
        <w:rPr>
          <w:iCs/>
          <w:i/>
        </w:rPr>
        <w:t xml:space="preserve">Wylain, Inc. v. TRE Corp.,</w:t>
      </w:r>
      <w:r>
        <w:t xml:space="preserve"> </w:t>
      </w:r>
      <w:r>
        <w:t xml:space="preserve">Del.Ch.,</w:t>
      </w:r>
      <w:r>
        <w:t xml:space="preserve"> </w:t>
      </w:r>
      <w:r>
        <w:t xml:space="preserve">412 A.2d 338</w:t>
      </w:r>
      <w:r>
        <w:t xml:space="preserve"> </w:t>
      </w:r>
      <w:r>
        <w:t xml:space="preserve">(1979),</w:t>
      </w:r>
      <w:r>
        <w:t xml:space="preserve"> </w:t>
      </w:r>
      <w:r>
        <w:rPr>
          <w:iCs/>
          <w:i/>
        </w:rPr>
        <w:t xml:space="preserve">app. ref.,</w:t>
      </w:r>
      <w:r>
        <w:t xml:space="preserve"> </w:t>
      </w:r>
      <w:r>
        <w:t xml:space="preserve">411 A.2d 611</w:t>
      </w:r>
      <w:r>
        <w:t xml:space="preserve">.</w:t>
      </w:r>
    </w:p>
    <w:p>
      <w:pPr>
        <w:pStyle w:val="CaseBody"/>
      </w:pPr>
      <w:r>
        <w:t xml:space="preserve">The uncontroverted facts show that the incumbent directors, having designated the date for the annual meeting and having solicited proxies on their behalf, on the eve of the meeting, upon learning that they might be turned out of office, postponed the meeting for several months. An examination of the uncontroverted facts does not show that any significant interests of the stockholders will be served by the postponement. Plaintiffs have therefore more than borne their burden of showing the reasonable probability of success on the merits.</w:t>
      </w:r>
    </w:p>
    <w:p>
      <w:pPr>
        <w:pStyle w:val="CaseBody"/>
      </w:pPr>
      <w:r>
        <w:t xml:space="preserve">Plaintiffs have expended considerable sums of money on this proxy contest. If the meeting is postponed, arguably, the proxies solicited and returned in good faith by the stockholders will, become void and a postponement may well defeat the efforts of plaintiffs and the will of the majority of the stockholders. Irreparable harm may be assumed in such a case.</w:t>
      </w:r>
    </w:p>
    <w:p>
      <w:pPr>
        <w:pStyle w:val="CaseBody"/>
      </w:pPr>
      <w:r>
        <w:t xml:space="preserve">Finally, there is little possibility of hardship to the individual defendants. The incumbent directors have no vested right to continue to serve as directors and therefore will suffer no harm if they are defeated. If the will of the stockholders is thwarted, however, there may be considerable hardship to the stockholders and their corporation.</w:t>
      </w:r>
    </w:p>
    <w:p>
      <w:pPr>
        <w:pStyle w:val="CaseBody"/>
      </w:pPr>
      <w:r>
        <w:t xml:space="preserve">Plaintiffs therefore are entitled to a preliminary injunction enjoining defendants from further postponing the annual meeting.</w:t>
      </w:r>
    </w:p>
    <w:p>
      <w:pPr>
        <w:pStyle w:val="CaseBody"/>
      </w:pPr>
      <w:r>
        <w:t xml:space="preserve">The real issue here, of course, is not when the annual meeting will convene but rather whether the proxies solicited by plaintiffs will be rendered void on May 16, 1987.</w:t>
      </w:r>
    </w:p>
    <w:p>
      <w:pPr>
        <w:pStyle w:val="CaseBody"/>
      </w:pPr>
      <w:r>
        <w:t xml:space="preserve">The sudden postponement of the annual meeting and this resulting litigation has obviously left some stockholders bewildered. In order to protect the interests of all the stockholders (which both sides claim is their primary interest), I will direct that the annual meeting be convened on May 15, 1987 to protect the record date and then be immediately adjourned without any further action being taken until the meeting reconvenes. The meeting shall be reconvened not later than June 3, 1987, after at least 10 days’ notice to all the stockholders. Upon the reconvening of the annual meeting, the election and other business properly before the meeting shall be completed.</w:t>
      </w:r>
    </w:p>
    <w:p>
      <w:pPr>
        <w:pStyle w:val="NodeEnd"/>
      </w:pPr>
      <w:r>
        <w:t xml:space="preserve"> </w:t>
      </w:r>
    </w:p>
    <w:p>
      <w:pPr>
        <w:pStyle w:val="NodeStart"/>
      </w:pPr>
      <w:r>
        <w:t xml:space="preserve"> </w:t>
      </w:r>
    </w:p>
    <w:p>
      <w:pPr>
        <w:pStyle w:val="HeadSeparator"/>
      </w:pPr>
      <w:r>
        <w:t xml:space="preserve"> </w:t>
      </w:r>
    </w:p>
    <w:p>
      <w:pPr>
        <w:pStyle w:val="ChapterSpacer"/>
        <w:sectPr>
          <w:footerReference w:type="even" r:id="rId14"/>
          <w:footerReference w:type="default" r:id="rId14"/>
          <w:headerReference w:type="even" r:id="rId11"/>
          <w:headerReference w:type="default" r:id="rId12"/>
          <w:pgSz w:h="15840" w:w="12240"/>
          <w:pgMar w:bottom="1440" w:gutter="720" w:header="1440" w:left="1440" w:right="1440" w:top="1800"/>
          <w:pgNumType w:pgNumType="decimal"/>
        </w:sectPr>
      </w:pPr>
      <w:r>
        <w:t xml:space="preserve"> </w:t>
      </w:r>
    </w:p>
    <w:bookmarkStart w:id="60" w:name="_auto_toc_60"/>
    <w:bookmarkEnd w:id="60"/>
    <w:p>
      <w:pPr>
        <w:pStyle w:val="ChapterNumber"/>
      </w:pPr>
      <w:r>
        <w:t xml:space="preserve">6</w:t>
      </w:r>
    </w:p>
    <w:p>
      <w:pPr>
        <w:pStyle w:val="ChapterTitle"/>
      </w:pPr>
      <w:r>
        <w:t xml:space="preserve">Public (SEC-registered) companies and federally mandated reporting by private companies</w:t>
      </w:r>
    </w:p>
    <w:p>
      <w:pPr>
        <w:pStyle w:val="HeadEnd"/>
        <w:sectPr>
          <w:footerReference w:type="even" r:id="rId14"/>
          <w:footerReference w:type="default" r:id="rId14"/>
          <w:headerReference w:type="even" r:id="rId11"/>
          <w:headerReference w:type="default" r:id="rId12"/>
          <w:type w:val="oddPage"/>
          <w:pgSz w:h="15840" w:w="12240"/>
          <w:pgMar w:bottom="1440" w:gutter="720" w:header="1440" w:left="1440" w:right="1440" w:top="1800"/>
          <w:pgNumType w:pgNumType="decimal"/>
        </w:sectPr>
      </w:pPr>
      <w:r>
        <w:t xml:space="preserve"> </w:t>
      </w:r>
    </w:p>
    <w:p>
      <w:pPr>
        <w:pStyle w:val="NodeEnd"/>
      </w:pPr>
      <w:r>
        <w:t xml:space="preserve"> </w:t>
      </w:r>
    </w:p>
    <w:p>
      <w:pPr>
        <w:pStyle w:val="NodeStart"/>
      </w:pPr>
      <w:r>
        <w:t xml:space="preserve"> </w:t>
      </w:r>
    </w:p>
    <w:p>
      <w:pPr>
        <w:pStyle w:val="HeadSeparator"/>
      </w:pPr>
      <w:r>
        <w:t xml:space="preserve"> </w:t>
      </w:r>
    </w:p>
    <w:bookmarkStart w:id="61" w:name="_auto_toc_61"/>
    <w:bookmarkEnd w:id="61"/>
    <w:p>
      <w:pPr>
        <w:pStyle w:val="SectionNumber"/>
      </w:pPr>
      <w:r>
        <w:t xml:space="preserve">6.1</w:t>
      </w:r>
    </w:p>
    <w:p>
      <w:pPr>
        <w:pStyle w:val="SectionTitle"/>
      </w:pPr>
      <w:r>
        <w:t xml:space="preserve">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62" w:name="_auto_toc_62"/>
    <w:bookmarkEnd w:id="62"/>
    <w:p>
      <w:pPr>
        <w:pStyle w:val="ResourceNumber"/>
      </w:pPr>
      <w:r>
        <w:t xml:space="preserve">6.1.1</w:t>
      </w:r>
    </w:p>
    <w:p>
      <w:pPr>
        <w:pStyle w:val="ResourceTitle"/>
      </w:pPr>
      <w:r>
        <w:t xml:space="preserve">Basic Inc. et al. v. Levinson et al.</w:t>
      </w:r>
    </w:p>
    <w:p>
      <w:pPr>
        <w:pStyle w:val="HeadFieldSeparator"/>
      </w:pPr>
      <w:r>
        <w:t xml:space="preserve"> </w:t>
      </w:r>
    </w:p>
    <w:p>
      <w:pPr>
        <w:numPr>
          <w:ilvl w:val="0"/>
          <w:numId w:val="1041"/>
        </w:numPr>
        <w:pStyle w:val="HeadnoteText"/>
      </w:pPr>
      <w:r>
        <w:t xml:space="preserve">How does the fraud-on-the-market theory relate to reliance? Why is this important for class certification?</w:t>
      </w:r>
    </w:p>
    <w:p>
      <w:pPr>
        <w:numPr>
          <w:ilvl w:val="0"/>
          <w:numId w:val="1041"/>
        </w:numPr>
        <w:pStyle w:val="HeadnoteText"/>
      </w:pPr>
      <w:r>
        <w:t xml:space="preserve">According to the fraud-on-the-market theory, who relies on what? Why do they trade?</w:t>
      </w:r>
    </w:p>
    <w:p>
      <w:pPr>
        <w:numPr>
          <w:ilvl w:val="0"/>
          <w:numId w:val="1041"/>
        </w:numPr>
        <w:pStyle w:val="HeadnoteText"/>
      </w:pPr>
      <w:r>
        <w:t xml:space="preserve">What social good, if any, do private securities fraud class actions generate? In other words, what is the policy justification, if any, for allowing this costly litigation to proceed?</w:t>
      </w:r>
    </w:p>
    <w:p>
      <w:pPr>
        <w:numPr>
          <w:ilvl w:val="0"/>
          <w:numId w:val="1041"/>
        </w:numPr>
        <w:pStyle w:val="HeadnoteText"/>
      </w:pPr>
      <w:r>
        <w:t xml:space="preserve">In particular, how does the measure of damages relate to the social harm (as opposed to the private harm suffered by a subset of traders)?</w:t>
      </w:r>
    </w:p>
    <w:p>
      <w:pPr>
        <w:pStyle w:val="HeadEnd"/>
      </w:pPr>
      <w:r>
        <w:t xml:space="preserve"> </w:t>
      </w:r>
    </w:p>
    <w:p>
      <w:pPr>
        <w:pStyle w:val="CaseHeader"/>
      </w:pPr>
      <w:r>
        <w:t xml:space="preserve">Supreme Court of the United States</w:t>
      </w:r>
    </w:p>
    <w:p>
      <w:pPr>
        <w:pStyle w:val="CaseHeader"/>
      </w:pPr>
      <w:r>
        <w:t xml:space="preserve">485 U.S. 224, 99 L. Ed. 2d 194, 108 S. Ct. 978, SCDB 1987-046, 1988 U.S. LEXIS 1197</w:t>
      </w:r>
    </w:p>
    <w:p>
      <w:pPr>
        <w:pStyle w:val="CaseHeader"/>
      </w:pPr>
      <w:r>
        <w:t xml:space="preserve">No. 86-279</w:t>
      </w:r>
    </w:p>
    <w:p>
      <w:pPr>
        <w:pStyle w:val="CaseHeader"/>
      </w:pPr>
      <w:r>
        <w:t xml:space="preserve">1988-03-07</w:t>
      </w:r>
    </w:p>
    <w:p>
      <w:pPr>
        <w:pStyle w:val="CaseBody"/>
      </w:pPr>
      <w:r>
        <w:t xml:space="preserve">485 U.S. 224 (1988)</w:t>
      </w:r>
    </w:p>
    <w:p>
      <w:pPr>
        <w:pStyle w:val="CaseHeader"/>
      </w:pPr>
      <w:r>
        <w:t xml:space="preserve">BASIC INC. ET AL.</w:t>
      </w:r>
      <w:r>
        <w:br/>
      </w:r>
      <w:r>
        <w:t xml:space="preserve">v.</w:t>
      </w:r>
      <w:r>
        <w:br/>
      </w:r>
      <w:r>
        <w:t xml:space="preserve">LEVINSON ET AL.</w:t>
      </w:r>
    </w:p>
    <w:p>
      <w:pPr>
        <w:pStyle w:val="CaseBody"/>
      </w:pPr>
      <w:r>
        <w:rPr>
          <w:rStyle w:val="Elision"/>
        </w:rPr>
        <w:t xml:space="preserve">[ … ]</w:t>
      </w:r>
    </w:p>
    <w:p>
      <w:pPr>
        <w:pStyle w:val="CaseBody"/>
      </w:pPr>
      <w:r>
        <w:rPr>
          <w:iCs/>
          <w:i/>
        </w:rPr>
        <w:t xml:space="preserve">.</w:t>
      </w:r>
    </w:p>
    <w:bookmarkStart w:id="87" w:name="X3a7425ac43e2eae8f19ba8977424861d791de7e"/>
    <w:p>
      <w:pPr>
        <w:pStyle w:val="Heading2"/>
      </w:pPr>
      <w:r>
        <w:t xml:space="preserve">JUSTICE BLACKMUN delivered the opinion of the Court.</w:t>
      </w:r>
    </w:p>
    <w:p>
      <w:pPr>
        <w:pStyle w:val="CaseBody"/>
      </w:pPr>
      <w:r>
        <w:t xml:space="preserve">This case requires us to apply the materiality requirement of § 10(b) of the Securities Exchange Act of 1934 (1934 Act), 48 Stat. 881, as amended, 15 U. S. C. § 78a</w:t>
      </w:r>
      <w:r>
        <w:t xml:space="preserve"> </w:t>
      </w:r>
      <w:r>
        <w:rPr>
          <w:iCs/>
          <w:i/>
        </w:rPr>
        <w:t xml:space="preserve">et seq.,</w:t>
      </w:r>
      <w:r>
        <w:t xml:space="preserve"> </w:t>
      </w:r>
      <w:r>
        <w:t xml:space="preserve">and the Securities and Exchange Commission's Rule 10b-5, 17 CFR § 240.10b-5 (1987), promulgated thereunder, in the context of preliminary corporate merger discussions. We must also determine whether a person who traded a corporation's shares on a securities exchange after the issuance of a materially misleading statement by the corporation may invoke a rebuttable presumption that, in trading, he relied on the integrity of the price set by the market.</w:t>
      </w:r>
    </w:p>
    <w:bookmarkEnd w:id="87"/>
    <w:bookmarkStart w:id="88" w:name="i"/>
    <w:p>
      <w:pPr>
        <w:pStyle w:val="Heading2"/>
      </w:pPr>
      <w:r>
        <w:t xml:space="preserve">I</w:t>
      </w:r>
    </w:p>
    <w:p>
      <w:pPr>
        <w:pStyle w:val="CaseBody"/>
      </w:pPr>
      <w:r>
        <w:t xml:space="preserve">Prior to December 20, 1978, Basic Incorporated was a publicly traded company primarily engaged in the business of manufacturing chemical refractories for the steel industry. As early as 1965 or 1966, Combustion Engineering, Inc., a company producing mostly alumina-based refractories, expressed some interest in acquiring Basic, but was deterred from pursuing this inclination seriously because of antitrust concerns it then entertained. See App. 81-83. In 1976, however, regulatory action opened the way to a renewal of [227] Combustion's interest.</w:t>
      </w:r>
      <w:hyperlink w:anchor="X1942b9527e4f8c9098f7b5a342e0002cc5f580d">
        <w:r>
          <w:rPr>
            <w:rStyle w:val="Hyperlink"/>
            <w:vertAlign w:val="superscript"/>
          </w:rPr>
          <w:t xml:space="preserve">[1]</w:t>
        </w:r>
      </w:hyperlink>
      <w:r>
        <w:t xml:space="preserve"> </w:t>
      </w:r>
      <w:r>
        <w:t xml:space="preserve">The "Strategic Plan," dated October 25, 1976, for Combustion's Industrial Products Group included the objective: "Acquire Basic Inc. $30 million." App. 337.</w:t>
      </w:r>
    </w:p>
    <w:p>
      <w:pPr>
        <w:pStyle w:val="CaseBody"/>
      </w:pPr>
      <w:r>
        <w:t xml:space="preserve">Beginning in September 1976, Combustion representatives had meetings and telephone conversations with Basic officers and directors, including petitioners here,</w:t>
      </w:r>
      <w:hyperlink w:anchor="Xf3c5c5393c676622f52a705589ef2283209c1c7">
        <w:r>
          <w:rPr>
            <w:rStyle w:val="Hyperlink"/>
            <w:vertAlign w:val="superscript"/>
          </w:rPr>
          <w:t xml:space="preserve">[2]</w:t>
        </w:r>
      </w:hyperlink>
      <w:r>
        <w:t xml:space="preserve"> </w:t>
      </w:r>
      <w:r>
        <w:t xml:space="preserve">concerning the possibility of a merger.</w:t>
      </w:r>
      <w:hyperlink w:anchor="X7c3acc4aeb3eb85c0beb23f0721e37c0b0410a4">
        <w:r>
          <w:rPr>
            <w:rStyle w:val="Hyperlink"/>
            <w:vertAlign w:val="superscript"/>
          </w:rPr>
          <w:t xml:space="preserve">[3]</w:t>
        </w:r>
      </w:hyperlink>
      <w:r>
        <w:t xml:space="preserve"> </w:t>
      </w:r>
      <w:r>
        <w:t xml:space="preserve">During 1977 and 1978, Basic made three public statements denying that it was engaged in merger negotiations.</w:t>
      </w:r>
      <w:hyperlink w:anchor="Xb4ac93edc9358c0a8980b10098723fc1c5c9210">
        <w:r>
          <w:rPr>
            <w:rStyle w:val="Hyperlink"/>
            <w:vertAlign w:val="superscript"/>
          </w:rPr>
          <w:t xml:space="preserve">[4]</w:t>
        </w:r>
      </w:hyperlink>
      <w:r>
        <w:t xml:space="preserve"> </w:t>
      </w:r>
      <w:r>
        <w:t xml:space="preserve">On December 18, 1978, Basic asked [228] the New York Stock Exchange to suspend trading in its shares and issued a release stating that it had been "approached" by another company concerning a merger.</w:t>
      </w:r>
      <w:r>
        <w:t xml:space="preserve"> </w:t>
      </w:r>
      <w:r>
        <w:rPr>
          <w:iCs/>
          <w:i/>
        </w:rPr>
        <w:t xml:space="preserve">Id.,</w:t>
      </w:r>
      <w:r>
        <w:t xml:space="preserve"> </w:t>
      </w:r>
      <w:r>
        <w:t xml:space="preserve">at 413. On December 19, Basic's board endorsed Combustion's offer of $46 per share for its common stock,</w:t>
      </w:r>
      <w:r>
        <w:t xml:space="preserve"> </w:t>
      </w:r>
      <w:r>
        <w:rPr>
          <w:iCs/>
          <w:i/>
        </w:rPr>
        <w:t xml:space="preserve">id.,</w:t>
      </w:r>
      <w:r>
        <w:t xml:space="preserve"> </w:t>
      </w:r>
      <w:r>
        <w:t xml:space="preserve">at 335, 414-416, and on the following day publicly announced its approval of Combustion's tender offer for all outstanding shares.</w:t>
      </w:r>
    </w:p>
    <w:p>
      <w:pPr>
        <w:pStyle w:val="CaseBody"/>
      </w:pPr>
      <w:r>
        <w:t xml:space="preserve">Respondents are former Basic shareholders who sold their stock after Basic's first public statement of October 21, 1977, and before the suspension of trading in December 1978. Respondents brought a class action against Basic and its directors, asserting that the defendants issued three false or misleading public statements and thereby were in violation of § 10(b) of the 1934 Act and of Rule 10b-5. Respondents alleged that they were injured by selling Basic shares at artificially depressed prices in a market affected by petitioners' misleading statements and in reliance thereon.</w:t>
      </w:r>
    </w:p>
    <w:p>
      <w:pPr>
        <w:pStyle w:val="CaseBody"/>
      </w:pPr>
      <w:r>
        <w:t xml:space="preserve">The District Court adopted a presumption of reliance by members of the plaintiff class upon petitioners' public statements that enabled the court to conclude that common questions of fact or law predominated over particular questions pertaining to individual plaintiffs. See Fed. Rule Civ. Proc. 23(b)(3). The District Court therefore certified respondents' class.</w:t>
      </w:r>
      <w:hyperlink w:anchor="Xbafe60379cea5bbc9ffce1715602c83e833395d">
        <w:r>
          <w:rPr>
            <w:rStyle w:val="Hyperlink"/>
            <w:vertAlign w:val="superscript"/>
          </w:rPr>
          <w:t xml:space="preserve">[5]</w:t>
        </w:r>
      </w:hyperlink>
      <w:r>
        <w:t xml:space="preserve"> </w:t>
      </w:r>
      <w:r>
        <w:t xml:space="preserve">On the merits, however, the District Court granted [229] summary judgment for the defendants. It held that, as a matter of law, any misstatements were immaterial: there were no negotiations ongoing at the time of the first statement, and although negotiations were taking place when the second and third statements were issued, those negotiations were not "destined, with reasonable certainty, to become a merger agreement in principle." App. to Pet. for Cert. 103a.</w:t>
      </w:r>
    </w:p>
    <w:p>
      <w:pPr>
        <w:pStyle w:val="CaseBody"/>
      </w:pPr>
      <w:r>
        <w:t xml:space="preserve">The United States Court of Appeals for the Sixth Circuit affirmed the class certification, but reversed the District Court's summary judgment, and remanded the case. 786 F. 2d 741 (1986). The court reasoned that while petitioners were under no general duty to disclose their discussions with Combustion, any statement the company voluntarily released could not be " `so incomplete as to mislead.' "</w:t>
      </w:r>
      <w:r>
        <w:t xml:space="preserve"> </w:t>
      </w:r>
      <w:r>
        <w:rPr>
          <w:iCs/>
          <w:i/>
        </w:rPr>
        <w:t xml:space="preserve">Id.,</w:t>
      </w:r>
      <w:r>
        <w:t xml:space="preserve"> </w:t>
      </w:r>
      <w:r>
        <w:t xml:space="preserve">at 746, quoting</w:t>
      </w:r>
      <w:r>
        <w:t xml:space="preserve"> </w:t>
      </w:r>
      <w:r>
        <w:rPr>
          <w:iCs/>
          <w:i/>
        </w:rPr>
        <w:t xml:space="preserve">SEC</w:t>
      </w:r>
      <w:r>
        <w:t xml:space="preserve"> </w:t>
      </w:r>
      <w:r>
        <w:t xml:space="preserve">v.</w:t>
      </w:r>
      <w:r>
        <w:t xml:space="preserve"> </w:t>
      </w:r>
      <w:r>
        <w:rPr>
          <w:iCs/>
          <w:i/>
        </w:rPr>
        <w:t xml:space="preserve">Texas Gulf Sulphur Co.,</w:t>
      </w:r>
      <w:r>
        <w:t xml:space="preserve"> </w:t>
      </w:r>
      <w:r>
        <w:t xml:space="preserve">401 F. 2d 833, 862 (CA2 1968) (en banc), cert. denied</w:t>
      </w:r>
      <w:r>
        <w:t xml:space="preserve"> </w:t>
      </w:r>
      <w:r>
        <w:rPr>
          <w:iCs/>
          <w:i/>
        </w:rPr>
        <w:t xml:space="preserve">sub nom.</w:t>
      </w:r>
      <w:r>
        <w:t xml:space="preserve"> </w:t>
      </w:r>
      <w:r>
        <w:rPr>
          <w:iCs/>
          <w:i/>
        </w:rPr>
        <w:t xml:space="preserve">Coates</w:t>
      </w:r>
      <w:r>
        <w:t xml:space="preserve"> </w:t>
      </w:r>
      <w:r>
        <w:t xml:space="preserve">v.</w:t>
      </w:r>
      <w:r>
        <w:t xml:space="preserve"> </w:t>
      </w:r>
      <w:r>
        <w:rPr>
          <w:iCs/>
          <w:i/>
        </w:rPr>
        <w:t xml:space="preserve">SEC,</w:t>
      </w:r>
      <w:r>
        <w:t xml:space="preserve"> </w:t>
      </w:r>
      <w:r>
        <w:t xml:space="preserve">394 U. S. 976 (1969). In the Court of Appeals' view, Basic's statements that no negotiations were taking place, and that it knew of no corporate developments to account for the heavy trading activity, were misleading. With respect to materiality, the court rejected the argument that preliminary merger discussions are immaterial as a matter of law, and held that "once a statement is made denying the existence of any discussions, even discussions that might not have been material in absence of the denial are material because they make the statement made untrue." 786 F. 2d, at 749.</w:t>
      </w:r>
    </w:p>
    <w:p>
      <w:pPr>
        <w:pStyle w:val="CaseBody"/>
      </w:pPr>
      <w:r>
        <w:t xml:space="preserve">The Court of Appeals joined a number of other Circuits in accepting the "fraud-on-the-market theory" to create a rebuttable presumption that respondents relied on petitioners' material [230] misrepresentations, noting that without the presumption it would be impractical to certify a class under Federal Rule of Civil Procedure 23(b)(3). See 786 F. 2d, at 750-751.</w:t>
      </w:r>
    </w:p>
    <w:p>
      <w:pPr>
        <w:pStyle w:val="CaseBody"/>
      </w:pPr>
      <w:r>
        <w:t xml:space="preserve">We granted certiorari, 479 U. S. 1083 (1987), to resolve the split, see Part III,</w:t>
      </w:r>
      <w:r>
        <w:t xml:space="preserve"> </w:t>
      </w:r>
      <w:r>
        <w:rPr>
          <w:iCs/>
          <w:i/>
        </w:rPr>
        <w:t xml:space="preserve">infra,</w:t>
      </w:r>
      <w:r>
        <w:t xml:space="preserve"> </w:t>
      </w:r>
      <w:r>
        <w:t xml:space="preserve">among the Courts of Appeals as to the standard of materiality applicable to preliminary merger discussions, and to determine whether the courts below properly applied a presumption of reliance in certifying the class, rather than requiring each class member to show direct reliance on Basic's statements.</w:t>
      </w:r>
    </w:p>
    <w:bookmarkEnd w:id="88"/>
    <w:bookmarkStart w:id="89" w:name="ii"/>
    <w:p>
      <w:pPr>
        <w:pStyle w:val="Heading2"/>
      </w:pPr>
      <w:r>
        <w:t xml:space="preserve">II</w:t>
      </w:r>
    </w:p>
    <w:p>
      <w:pPr>
        <w:pStyle w:val="CaseBody"/>
      </w:pPr>
      <w:r>
        <w:t xml:space="preserve">The 1934 Act was designed to protect investors against manipulation of stock prices. See S. Rep. No. 792, 73d Cong., 2d Sess., 1-5 (1934). Underlying the adoption of extensive disclosure requirements was a legislative philosophy: "There cannot be honest markets without honest publicity. Manipulation and dishonest practices of the market place thrive upon mystery and secrecy." H. R. Rep. No. 1383, 73d Cong., 2d Sess., 11 (1934). This Court "repeatedly has described the `fundamental purpose' of the Act as implementing a `philosophy of full disclosure.' "</w:t>
      </w:r>
      <w:r>
        <w:t xml:space="preserve"> </w:t>
      </w:r>
      <w:r>
        <w:rPr>
          <w:iCs/>
          <w:i/>
        </w:rPr>
        <w:t xml:space="preserve">Santa Fe Industries, Inc.</w:t>
      </w:r>
      <w:r>
        <w:t xml:space="preserve"> </w:t>
      </w:r>
      <w:r>
        <w:t xml:space="preserve">v.</w:t>
      </w:r>
      <w:r>
        <w:t xml:space="preserve"> </w:t>
      </w:r>
      <w:r>
        <w:rPr>
          <w:iCs/>
          <w:i/>
        </w:rPr>
        <w:t xml:space="preserve">Green,</w:t>
      </w:r>
      <w:r>
        <w:t xml:space="preserve"> </w:t>
      </w:r>
      <w:r>
        <w:t xml:space="preserve">430 U. S. 462, 477-478 (1977), quoting</w:t>
      </w:r>
      <w:r>
        <w:t xml:space="preserve"> </w:t>
      </w:r>
      <w:r>
        <w:rPr>
          <w:iCs/>
          <w:i/>
        </w:rPr>
        <w:t xml:space="preserve">SEC</w:t>
      </w:r>
      <w:r>
        <w:t xml:space="preserve"> </w:t>
      </w:r>
      <w:r>
        <w:t xml:space="preserve">v.</w:t>
      </w:r>
      <w:r>
        <w:t xml:space="preserve"> </w:t>
      </w:r>
      <w:r>
        <w:rPr>
          <w:iCs/>
          <w:i/>
        </w:rPr>
        <w:t xml:space="preserve">Capital Gains Research Bureau, Inc.,</w:t>
      </w:r>
      <w:r>
        <w:t xml:space="preserve"> </w:t>
      </w:r>
      <w:r>
        <w:t xml:space="preserve">375 U. S. 180, 186 (1963).</w:t>
      </w:r>
    </w:p>
    <w:p>
      <w:pPr>
        <w:pStyle w:val="CaseBody"/>
      </w:pPr>
      <w:r>
        <w:t xml:space="preserve">Pursuant to its authority under § 10(b) of the 1934 Act, 15 U. S. C. § 78j, the Securities and Exchange Commission promulgated Rule 10b-5.</w:t>
      </w:r>
      <w:hyperlink w:anchor="X286c3dedb09d4989677af85d1dd76ad5fa4104d">
        <w:r>
          <w:rPr>
            <w:rStyle w:val="Hyperlink"/>
            <w:vertAlign w:val="superscript"/>
          </w:rPr>
          <w:t xml:space="preserve">[6]</w:t>
        </w:r>
      </w:hyperlink>
      <w:r>
        <w:t xml:space="preserve"> </w:t>
      </w:r>
      <w:r>
        <w:t xml:space="preserve">Judicial interpretation and application, [231] legislative acquiescence, and the passage of time have removed any doubt that a private cause of action exists for a violation of § 10(b) and Rule 10b-5, and constitutes an essential tool for enforcement of the 1934 Act's requirements.</w:t>
      </w:r>
      <w:r>
        <w:rPr>
          <w:rStyle w:val="Elision"/>
        </w:rPr>
        <w:t xml:space="preserve">[ … ]</w:t>
      </w:r>
    </w:p>
    <w:p>
      <w:pPr>
        <w:pStyle w:val="CaseBody"/>
      </w:pPr>
      <w:r>
        <w:t xml:space="preserve">. The Court also explicitly has defined a standard of materiality under the securities laws, see</w:t>
      </w:r>
      <w:r>
        <w:t xml:space="preserve"> </w:t>
      </w:r>
      <w:r>
        <w:rPr>
          <w:iCs/>
          <w:i/>
        </w:rPr>
        <w:t xml:space="preserve">TSC Industries, Inc.</w:t>
      </w:r>
      <w:r>
        <w:t xml:space="preserve"> </w:t>
      </w:r>
      <w:r>
        <w:t xml:space="preserve">v.</w:t>
      </w:r>
      <w:r>
        <w:t xml:space="preserve"> </w:t>
      </w:r>
      <w:r>
        <w:rPr>
          <w:iCs/>
          <w:i/>
        </w:rPr>
        <w:t xml:space="preserve">Northway, Inc.,</w:t>
      </w:r>
      <w:r>
        <w:t xml:space="preserve"> </w:t>
      </w:r>
      <w:r>
        <w:t xml:space="preserve">426 U. S. 438 (1976), concluding in the proxy-solicitation context that "[a]n omitted fact is material if there is a substantial likelihood that a reasonable shareholder would consider it important in deciding how to vote."</w:t>
      </w:r>
      <w:r>
        <w:t xml:space="preserve"> </w:t>
      </w:r>
      <w:r>
        <w:rPr>
          <w:iCs/>
          <w:i/>
        </w:rPr>
        <w:t xml:space="preserve">Id.,</w:t>
      </w:r>
      <w:r>
        <w:t xml:space="preserve"> </w:t>
      </w:r>
      <w:r>
        <w:t xml:space="preserve">at 449.</w:t>
      </w:r>
      <w:hyperlink w:anchor="Xf2844aeb7ec68d58e92b54687af3931ca90ec93">
        <w:r>
          <w:rPr>
            <w:rStyle w:val="Hyperlink"/>
            <w:vertAlign w:val="superscript"/>
          </w:rPr>
          <w:t xml:space="preserve">[7]</w:t>
        </w:r>
      </w:hyperlink>
      <w:r>
        <w:t xml:space="preserve"> </w:t>
      </w:r>
      <w:r>
        <w:t xml:space="preserve">Acknowledging that certain information concerning corporate developments could well be of "dubious significance,"</w:t>
      </w:r>
      <w:r>
        <w:t xml:space="preserve"> </w:t>
      </w:r>
      <w:r>
        <w:rPr>
          <w:iCs/>
          <w:i/>
        </w:rPr>
        <w:t xml:space="preserve">id.,</w:t>
      </w:r>
      <w:r>
        <w:t xml:space="preserve"> </w:t>
      </w:r>
      <w:r>
        <w:t xml:space="preserve">at 448, the Court was careful not to set too low a standard of materiality; it was concerned that a minimal standard might bring an overabundance of information within its reach, and lead management "simply to bury the shareholders in an avalanche of trivial information — a result that is hardly conducive to informed decisionmaking."</w:t>
      </w:r>
      <w:r>
        <w:t xml:space="preserve"> </w:t>
      </w:r>
      <w:r>
        <w:rPr>
          <w:iCs/>
          <w:i/>
        </w:rPr>
        <w:t xml:space="preserve">Id.,</w:t>
      </w:r>
      <w:r>
        <w:t xml:space="preserve"> </w:t>
      </w:r>
      <w:r>
        <w:t xml:space="preserve">at 448-449. It further explained that to fulfill the materiality requirement "there must be a substantial likelihood that the disclosure of the omitted fact would have been viewed by the [232] reasonable investor as having significantly altered the `total mix' of information made available."</w:t>
      </w:r>
      <w:r>
        <w:t xml:space="preserve"> </w:t>
      </w:r>
      <w:r>
        <w:rPr>
          <w:iCs/>
          <w:i/>
        </w:rPr>
        <w:t xml:space="preserve">Id.,</w:t>
      </w:r>
      <w:r>
        <w:t xml:space="preserve"> </w:t>
      </w:r>
      <w:r>
        <w:t xml:space="preserve">at 449. We now expressly adopt the</w:t>
      </w:r>
      <w:r>
        <w:t xml:space="preserve"> </w:t>
      </w:r>
      <w:r>
        <w:rPr>
          <w:iCs/>
          <w:i/>
        </w:rPr>
        <w:t xml:space="preserve">TSC Industries</w:t>
      </w:r>
      <w:r>
        <w:t xml:space="preserve"> </w:t>
      </w:r>
      <w:r>
        <w:t xml:space="preserve">standard of materiality for the § 10(b) and Rule 10b-5 context.</w:t>
      </w:r>
      <w:hyperlink w:anchor="X730ff5920e65cd7d5c643a5e171271213b242c1">
        <w:r>
          <w:rPr>
            <w:rStyle w:val="Hyperlink"/>
            <w:vertAlign w:val="superscript"/>
          </w:rPr>
          <w:t xml:space="preserve">[8]</w:t>
        </w:r>
      </w:hyperlink>
    </w:p>
    <w:bookmarkEnd w:id="89"/>
    <w:bookmarkStart w:id="90" w:name="iii"/>
    <w:p>
      <w:pPr>
        <w:pStyle w:val="Heading2"/>
      </w:pPr>
      <w:r>
        <w:t xml:space="preserve">III</w:t>
      </w:r>
    </w:p>
    <w:p>
      <w:pPr>
        <w:pStyle w:val="CaseBody"/>
      </w:pPr>
      <w:r>
        <w:t xml:space="preserve">The application of this materiality standard to preliminary merger discussions is not self-evident. Where the impact of the corporate development on the target's fortune is certain and clear, the</w:t>
      </w:r>
      <w:r>
        <w:t xml:space="preserve"> </w:t>
      </w:r>
      <w:r>
        <w:rPr>
          <w:iCs/>
          <w:i/>
        </w:rPr>
        <w:t xml:space="preserve">TSC Industries</w:t>
      </w:r>
      <w:r>
        <w:t xml:space="preserve"> </w:t>
      </w:r>
      <w:r>
        <w:t xml:space="preserve">materiality definition admits straightforward application. Where, on the other hand, the event is contingent or speculative in nature, it is difficult to ascertain whether the "reasonable investor" would have considered the omitted information significant at the time. Merger negotiations, because of the ever-present possibility that the contemplated transaction will not be effectuated, fall into the latter category.</w:t>
      </w:r>
      <w:hyperlink w:anchor="X59afd77b42ce12ac139d0fec8491bc9f9cad5c8">
        <w:r>
          <w:rPr>
            <w:rStyle w:val="Hyperlink"/>
            <w:vertAlign w:val="superscript"/>
          </w:rPr>
          <w:t xml:space="preserve">[9]</w:t>
        </w:r>
      </w:hyperlink>
    </w:p>
    <w:bookmarkEnd w:id="90"/>
    <w:bookmarkStart w:id="91" w:name="a"/>
    <w:p>
      <w:pPr>
        <w:pStyle w:val="Heading2"/>
      </w:pPr>
      <w:r>
        <w:t xml:space="preserve">A</w:t>
      </w:r>
    </w:p>
    <w:p>
      <w:pPr>
        <w:pStyle w:val="CaseBody"/>
      </w:pPr>
      <w:r>
        <w:t xml:space="preserve">Petitioners urge upon us a Third Circuit test for resolving this difficulty</w:t>
      </w:r>
      <w:r>
        <w:rPr>
          <w:rStyle w:val="Elision"/>
        </w:rPr>
        <w:t xml:space="preserve">[ … ]</w:t>
      </w:r>
      <w:r>
        <w:t xml:space="preserve"> </w:t>
      </w:r>
      <w:r>
        <w:t xml:space="preserve">Under this [233] approach, preliminary merger discussions do not become material until "agreement-in-principle" as to the price and structure of the transaction has been reached between the would-be merger partners.</w:t>
      </w:r>
      <w:r>
        <w:rPr>
          <w:rStyle w:val="Elision"/>
        </w:rPr>
        <w:t xml:space="preserve">[ … ]</w:t>
      </w:r>
      <w:r>
        <w:t xml:space="preserve">.</w:t>
      </w:r>
    </w:p>
    <w:p>
      <w:pPr>
        <w:pStyle w:val="CaseBody"/>
      </w:pPr>
      <w:r>
        <w:t xml:space="preserve">Three rationales have been offered in support of the "agreement-in-principle" test. The first derives from the concern expressed in</w:t>
      </w:r>
      <w:r>
        <w:t xml:space="preserve"> </w:t>
      </w:r>
      <w:r>
        <w:rPr>
          <w:iCs/>
          <w:i/>
        </w:rPr>
        <w:t xml:space="preserve">TSC Industries</w:t>
      </w:r>
      <w:r>
        <w:t xml:space="preserve"> </w:t>
      </w:r>
      <w:r>
        <w:t xml:space="preserve">that an investor not be overwhelmed by excessively detailed and trivial information, and focuses on the substantial risk that preliminary merger discussions may collapse: because such discussions are inherently tentative, disclosure of their existence itself could mislead investors and foster false optimism.</w:t>
      </w:r>
      <w:r>
        <w:rPr>
          <w:rStyle w:val="Elision"/>
        </w:rPr>
        <w:t xml:space="preserve">[ … ]</w:t>
      </w:r>
      <w:r>
        <w:t xml:space="preserve">. The other two justifications for the agreement-in-principle standard are based on management concerns: because the requirement of "agreement-in-principle" limits the scope of disclosure obligations, it helps preserve the confidentiality of merger discussions where earlier disclosure might prejudice the negotiations; and the test also provides a usable, bright-line rule for determining when disclosure must be made.</w:t>
      </w:r>
      <w:r>
        <w:rPr>
          <w:rStyle w:val="Elision"/>
        </w:rPr>
        <w:t xml:space="preserve">[ … ]</w:t>
      </w:r>
    </w:p>
    <w:p>
      <w:pPr>
        <w:pStyle w:val="CaseBody"/>
      </w:pPr>
      <w:r>
        <w:t xml:space="preserve">. The first rationale,</w:t>
      </w:r>
      <w:r>
        <w:rPr>
          <w:rStyle w:val="Elision"/>
        </w:rPr>
        <w:t xml:space="preserve">[ … ]</w:t>
      </w:r>
      <w:r>
        <w:t xml:space="preserve"> </w:t>
      </w:r>
      <w:r>
        <w:t xml:space="preserve">assumes that investors are nitwits, unable to appreciate — even when told — that mergers are risky propositions up until the closing."</w:t>
      </w:r>
      <w:r>
        <w:t xml:space="preserve"> </w:t>
      </w:r>
      <w:r>
        <w:rPr>
          <w:iCs/>
          <w:i/>
        </w:rPr>
        <w:t xml:space="preserve">Flamm</w:t>
      </w:r>
      <w:r>
        <w:t xml:space="preserve"> </w:t>
      </w:r>
      <w:r>
        <w:t xml:space="preserve">v.</w:t>
      </w:r>
      <w:r>
        <w:t xml:space="preserve"> </w:t>
      </w:r>
      <w:r>
        <w:rPr>
          <w:iCs/>
          <w:i/>
        </w:rPr>
        <w:t xml:space="preserve">Eberstadt,</w:t>
      </w:r>
      <w:r>
        <w:t xml:space="preserve"> </w:t>
      </w:r>
      <w:r>
        <w:t xml:space="preserve">814 F. 2d, at 1175. Disclosure, and not paternalistic withholding of accurate information, is the policy chosen and expressed by Congress. We have recognized time and again, a "fundamental purpose" of the various Securities Acts, "was to substitute a philosophy of full disclosure for the philosophy of</w:t>
      </w:r>
      <w:r>
        <w:t xml:space="preserve"> </w:t>
      </w:r>
      <w:r>
        <w:rPr>
          <w:iCs/>
          <w:i/>
        </w:rPr>
        <w:t xml:space="preserve">caveat emptor</w:t>
      </w:r>
      <w:r>
        <w:t xml:space="preserve"> </w:t>
      </w:r>
      <w:r>
        <w:t xml:space="preserve">and thus to achieve a high standard of business ethics in the securities industry."</w:t>
      </w:r>
      <w:r>
        <w:rPr>
          <w:rStyle w:val="Elision"/>
        </w:rPr>
        <w:t xml:space="preserve">[ … ]</w:t>
      </w:r>
      <w:r>
        <w:t xml:space="preserve">. The role of the materiality requirement is not to "attribute to investors a child-like simplicity, and inability to grasp the probabilistic significance of negotiations,"</w:t>
      </w:r>
      <w:r>
        <w:t xml:space="preserve"> </w:t>
      </w:r>
      <w:r>
        <w:rPr>
          <w:iCs/>
          <w:i/>
        </w:rPr>
        <w:t xml:space="preserve">Flamm</w:t>
      </w:r>
      <w:r>
        <w:t xml:space="preserve"> </w:t>
      </w:r>
      <w:r>
        <w:t xml:space="preserve">v.</w:t>
      </w:r>
      <w:r>
        <w:t xml:space="preserve"> </w:t>
      </w:r>
      <w:r>
        <w:rPr>
          <w:iCs/>
          <w:i/>
        </w:rPr>
        <w:t xml:space="preserve">Eberstadt,</w:t>
      </w:r>
      <w:r>
        <w:t xml:space="preserve"> </w:t>
      </w:r>
      <w:r>
        <w:t xml:space="preserve">814 F. 2d, at 1175, but to filter out essentially useless information that a reasonable investor would not consider significant, even as part of a larger "mix" of factors to consider in making his investment decision.</w:t>
      </w:r>
      <w:r>
        <w:t xml:space="preserve"> </w:t>
      </w:r>
      <w:r>
        <w:rPr>
          <w:iCs/>
          <w:i/>
        </w:rPr>
        <w:t xml:space="preserve">TSC Industries, Inc.</w:t>
      </w:r>
      <w:r>
        <w:t xml:space="preserve"> </w:t>
      </w:r>
      <w:r>
        <w:t xml:space="preserve">v.</w:t>
      </w:r>
      <w:r>
        <w:t xml:space="preserve"> </w:t>
      </w:r>
      <w:r>
        <w:rPr>
          <w:iCs/>
          <w:i/>
        </w:rPr>
        <w:t xml:space="preserve">Northway, Inc.,</w:t>
      </w:r>
      <w:r>
        <w:t xml:space="preserve"> </w:t>
      </w:r>
      <w:r>
        <w:t xml:space="preserve">426 U. S., at 448-449.</w:t>
      </w:r>
    </w:p>
    <w:p>
      <w:pPr>
        <w:pStyle w:val="CaseBody"/>
      </w:pPr>
      <w:r>
        <w:t xml:space="preserve">The second rationale, the importance of secrecy during the early stages of merger discussions, also seems irrelevant to an assessment whether their existence is significant to the trading decision of a reasonable investor.</w:t>
      </w:r>
      <w:r>
        <w:rPr>
          <w:rStyle w:val="Elision"/>
        </w:rPr>
        <w:t xml:space="preserve">[ … ]</w:t>
      </w:r>
    </w:p>
    <w:p>
      <w:pPr>
        <w:pStyle w:val="CaseBody"/>
      </w:pPr>
      <w:r>
        <w:t xml:space="preserve">. Arguments based on the premise that some disclosure would be "premature" in a sense are more properly considered under the rubric of an issuer's duty to disclose. The "secrecy" rationale is simply inapposite to the definition of materiality.</w:t>
      </w:r>
    </w:p>
    <w:p>
      <w:pPr>
        <w:pStyle w:val="CaseBody"/>
      </w:pPr>
      <w:r>
        <w:t xml:space="preserve">[236] The final justification offered in support of the agreement-in-principle test seems to be directed solely at the comfort of corporate managers. A bright-line rule indeed is easier to follow than a standard that requires the exercise of judgment in the light of all the circumstances. But ease of application alone is not an excuse for ignoring the purposes of the Securities Acts and Congress' policy decisions. Any approach that designates a single fact or occurrence as always determinative of an inherently fact-specific finding such as materiality, must necessarily be overinclusive or underinclusive. In</w:t>
      </w:r>
      <w:r>
        <w:t xml:space="preserve"> </w:t>
      </w:r>
      <w:r>
        <w:rPr>
          <w:iCs/>
          <w:i/>
        </w:rPr>
        <w:t xml:space="preserve">TSC Industries</w:t>
      </w:r>
      <w:r>
        <w:t xml:space="preserve"> </w:t>
      </w:r>
      <w:r>
        <w:t xml:space="preserve">this Court explained: "The determination [of materiality] requires delicate assessments of the inferences a `reasonable shareholder' would draw from a given set of facts and the significance of those inferences to him . . . ." 426 U. S., at 450. After much study, the Advisory Committee on Corporate Disclosure cautioned the SEC against administratively confining materiality to a rigid formula.</w:t>
      </w:r>
      <w:hyperlink w:anchor="Xa9310b6dae8bc006701ddc04949d00b3dde8d1e">
        <w:r>
          <w:rPr>
            <w:rStyle w:val="Hyperlink"/>
            <w:vertAlign w:val="superscript"/>
          </w:rPr>
          <w:t xml:space="preserve">[14]</w:t>
        </w:r>
      </w:hyperlink>
      <w:r>
        <w:t xml:space="preserve"> </w:t>
      </w:r>
      <w:r>
        <w:t xml:space="preserve">Courts also would do well to heed this advice.</w:t>
      </w:r>
    </w:p>
    <w:p>
      <w:pPr>
        <w:pStyle w:val="CaseBody"/>
      </w:pPr>
      <w:r>
        <w:t xml:space="preserve">We therefore find no valid justification for artificially excluding from the definition of materiality information concerning merger discussions, which would otherwise be considered significant to the trading decision of a reasonable investor, merely because agreement-in-principle as to price and structure has not yet been reached by the parties or their representatives.</w:t>
      </w:r>
    </w:p>
    <w:bookmarkEnd w:id="91"/>
    <w:bookmarkStart w:id="92" w:name="b"/>
    <w:p>
      <w:pPr>
        <w:pStyle w:val="Heading2"/>
      </w:pPr>
      <w:r>
        <w:t xml:space="preserve">B</w:t>
      </w:r>
    </w:p>
    <w:p>
      <w:pPr>
        <w:pStyle w:val="CaseBody"/>
      </w:pPr>
      <w:r>
        <w:t xml:space="preserve">[237] The Sixth Circuit explicitly rejected the agreement-in-principle test, as we do today, but in its place adopted a rule that, if taken literally, would be equally insensitive, in our view, to the distinction between materiality and the other elements of an action under Rule 10b-5:</w:t>
      </w:r>
    </w:p>
    <w:p>
      <w:pPr>
        <w:pStyle w:val="BlockText"/>
      </w:pPr>
      <w:r>
        <w:t xml:space="preserve">"When a company whose stock is publicly traded makes a statement, as Basic did, that `no negotiations' are underway, and that the corporation knows of `no reason for the stock's activity,' and that `management is unaware of any present or pending corporate development that would result in the abnormally heavy trading activity,' information concerning ongoing acquisition discussions becomes material</w:t>
      </w:r>
      <w:r>
        <w:t xml:space="preserve"> </w:t>
      </w:r>
      <w:r>
        <w:rPr>
          <w:iCs/>
          <w:i/>
        </w:rPr>
        <w:t xml:space="preserve">by virtue of the statement denying their existence.</w:t>
      </w:r>
      <w:r>
        <w:t xml:space="preserve"> </w:t>
      </w:r>
      <w:r>
        <w:t xml:space="preserve">. . .</w:t>
      </w:r>
    </w:p>
    <w:p>
      <w:pPr>
        <w:pStyle w:val="BlockText"/>
      </w:pPr>
      <w:r>
        <w:t xml:space="preserve">.....</w:t>
      </w:r>
    </w:p>
    <w:p>
      <w:pPr>
        <w:pStyle w:val="BlockText"/>
      </w:pPr>
      <w:r>
        <w:t xml:space="preserve">". . . In analyzing whether information regarding merger discussions is material such that it must be affirmatively disclosed to avoid a violation of Rule 10b-5, the discussions and their progress are the primary considerations. However, once a statement is made denying the existence of any discussions, even discussions that might not have been material in absence of the denial are material because they make the statement made untrue." 786 F. 2d, at 748-749 (emphasis in original).</w:t>
      </w:r>
      <w:hyperlink w:anchor="Xcd2f9774cd334bf54a735726b431b03401485b3">
        <w:r>
          <w:rPr>
            <w:rStyle w:val="Hyperlink"/>
            <w:vertAlign w:val="superscript"/>
          </w:rPr>
          <w:t xml:space="preserve">[15]</w:t>
        </w:r>
      </w:hyperlink>
    </w:p>
    <w:p>
      <w:pPr>
        <w:pStyle w:val="CaseBody"/>
      </w:pPr>
      <w:r>
        <w:t xml:space="preserve">[238] This approach, however, fails to recognize that, in order to prevail on a Rule 10b-5 claim, a plaintiff must show that the statements were</w:t>
      </w:r>
      <w:r>
        <w:t xml:space="preserve"> </w:t>
      </w:r>
      <w:r>
        <w:rPr>
          <w:iCs/>
          <w:i/>
        </w:rPr>
        <w:t xml:space="preserve">misleading</w:t>
      </w:r>
      <w:r>
        <w:t xml:space="preserve"> </w:t>
      </w:r>
      <w:r>
        <w:t xml:space="preserve">as to a</w:t>
      </w:r>
      <w:r>
        <w:t xml:space="preserve"> </w:t>
      </w:r>
      <w:r>
        <w:rPr>
          <w:iCs/>
          <w:i/>
        </w:rPr>
        <w:t xml:space="preserve">material</w:t>
      </w:r>
      <w:r>
        <w:t xml:space="preserve"> </w:t>
      </w:r>
      <w:r>
        <w:t xml:space="preserve">fact. It is not enough that a statement is false or incomplete, if the misrepresented fact is otherwise insignificant.</w:t>
      </w:r>
    </w:p>
    <w:bookmarkEnd w:id="92"/>
    <w:bookmarkStart w:id="93" w:name="c"/>
    <w:p>
      <w:pPr>
        <w:pStyle w:val="Heading2"/>
      </w:pPr>
      <w:r>
        <w:t xml:space="preserve">C</w:t>
      </w:r>
    </w:p>
    <w:p>
      <w:pPr>
        <w:pStyle w:val="CaseBody"/>
      </w:pPr>
      <w:r>
        <w:t xml:space="preserve">Even before this Court's decision in</w:t>
      </w:r>
      <w:r>
        <w:t xml:space="preserve"> </w:t>
      </w:r>
      <w:r>
        <w:rPr>
          <w:iCs/>
          <w:i/>
        </w:rPr>
        <w:t xml:space="preserve">TSC Industries,</w:t>
      </w:r>
      <w:r>
        <w:t xml:space="preserve"> </w:t>
      </w:r>
      <w:r>
        <w:t xml:space="preserve">the Second Circuit had explained the role of the materiality requirement of Rule 10b-5, with respect to contingent or speculative information or events, in a manner that gave that term meaning that is independent of the other provisions of the Rule. Under such circumstances, materiality "will depend at any given time upon a balancing of both the indicated probability that the event will occur and the anticipated magnitude of the event in light of the totality of the company activity."</w:t>
      </w:r>
      <w:r>
        <w:t xml:space="preserve"> </w:t>
      </w:r>
      <w:r>
        <w:rPr>
          <w:iCs/>
          <w:i/>
        </w:rPr>
        <w:t xml:space="preserve">SEC</w:t>
      </w:r>
      <w:r>
        <w:t xml:space="preserve"> </w:t>
      </w:r>
      <w:r>
        <w:t xml:space="preserve">v.</w:t>
      </w:r>
      <w:r>
        <w:t xml:space="preserve"> </w:t>
      </w:r>
      <w:r>
        <w:rPr>
          <w:iCs/>
          <w:i/>
        </w:rPr>
        <w:t xml:space="preserve">Texas Gulf Sulphur Co.,</w:t>
      </w:r>
      <w:r>
        <w:t xml:space="preserve"> </w:t>
      </w:r>
      <w:r>
        <w:t xml:space="preserve">401 F. 2d, at 849.</w:t>
      </w:r>
      <w:r>
        <w:rPr>
          <w:rStyle w:val="Elision"/>
        </w:rPr>
        <w:t xml:space="preserve">[ … ]</w:t>
      </w:r>
      <w:r>
        <w:t xml:space="preserve">.</w:t>
      </w:r>
    </w:p>
    <w:p>
      <w:pPr>
        <w:pStyle w:val="CaseBody"/>
      </w:pPr>
      <w:r>
        <w:t xml:space="preserve">In a subsequent decision, the late Judge Friendly, writing for a Second Circuit panel, applied the</w:t>
      </w:r>
      <w:r>
        <w:t xml:space="preserve"> </w:t>
      </w:r>
      <w:r>
        <w:rPr>
          <w:iCs/>
          <w:i/>
        </w:rPr>
        <w:t xml:space="preserve">Texas Gulf Sulphur</w:t>
      </w:r>
      <w:r>
        <w:t xml:space="preserve"> </w:t>
      </w:r>
      <w:r>
        <w:t xml:space="preserve">probability/magnitude approach in the specific context of preliminary merger negotiations. After acknowledging that materiality is something to be determined on the basis of the particular facts of each case, he stated:</w:t>
      </w:r>
    </w:p>
    <w:p>
      <w:pPr>
        <w:pStyle w:val="BlockText"/>
      </w:pPr>
      <w:r>
        <w:t xml:space="preserve">"Since a merger in which it is bought out is the most important event that can occur in a small corporation's life, to wit, its death, we think that inside information, as regards a merger of this sort, can become material at an earlier stage than would be the case as regards lesser transactions — and this even though the mortality rate of mergers in such formative stages is doubtless high."</w:t>
      </w:r>
      <w:r>
        <w:t xml:space="preserve"> </w:t>
      </w:r>
      <w:r>
        <w:rPr>
          <w:iCs/>
          <w:i/>
        </w:rPr>
        <w:t xml:space="preserve">SEC</w:t>
      </w:r>
      <w:r>
        <w:t xml:space="preserve"> </w:t>
      </w:r>
      <w:r>
        <w:t xml:space="preserve">v.</w:t>
      </w:r>
      <w:r>
        <w:t xml:space="preserve"> </w:t>
      </w:r>
      <w:r>
        <w:rPr>
          <w:iCs/>
          <w:i/>
        </w:rPr>
        <w:t xml:space="preserve">Geon Industries, Inc.,</w:t>
      </w:r>
      <w:r>
        <w:t xml:space="preserve"> </w:t>
      </w:r>
      <w:r>
        <w:t xml:space="preserve">531 F. 2d 39, 47-48 (1976).</w:t>
      </w:r>
    </w:p>
    <w:p>
      <w:pPr>
        <w:pStyle w:val="CaseBody"/>
      </w:pPr>
      <w:r>
        <w:t xml:space="preserve">[239] We agree with that analysis.</w:t>
      </w:r>
      <w:hyperlink w:anchor="X7df0ef3df31083c6e1c3cb2d72eb5af014396a8">
        <w:r>
          <w:rPr>
            <w:rStyle w:val="Hyperlink"/>
            <w:vertAlign w:val="superscript"/>
          </w:rPr>
          <w:t xml:space="preserve">[16]</w:t>
        </w:r>
      </w:hyperlink>
    </w:p>
    <w:p>
      <w:pPr>
        <w:pStyle w:val="CaseBody"/>
      </w:pPr>
      <w:r>
        <w:t xml:space="preserve">Whether merger discussions in any particular case are material therefore depends on the facts. Generally, in order to assess the probability that the event will occur, a factfinder will need to look to indicia of interest in the transaction at the highest corporate levels. Without attempting to catalog all such possible factors, we note by way of example that board resolutions, instructions to investment bankers, and actual negotiations between principals or their intermediaries may serve as indicia of interest. To assess the magnitude of the transaction to the issuer of the securities allegedly manipulated, a factfinder will need to consider such facts as the size of the two corporate entities and of the potential premiums over market value. No particular event or factor short of closing the transaction need be either necessary or sufficient by itself to render merger discussions material</w:t>
      </w:r>
      <w:r>
        <w:rPr>
          <w:rStyle w:val="Elision"/>
        </w:rPr>
        <w:t xml:space="preserve">[ … ]</w:t>
      </w:r>
    </w:p>
    <w:p>
      <w:pPr>
        <w:pStyle w:val="CaseBody"/>
      </w:pPr>
      <w:hyperlink w:anchor="X7c678d83e23353cb0bb23000b47c6c07a33e6cd">
        <w:r>
          <w:rPr>
            <w:rStyle w:val="Hyperlink"/>
            <w:vertAlign w:val="superscript"/>
          </w:rPr>
          <w:t xml:space="preserve">]</w:t>
        </w:r>
      </w:hyperlink>
    </w:p>
    <w:bookmarkEnd w:id="93"/>
    <w:bookmarkStart w:id="94" w:name="iv"/>
    <w:p>
      <w:pPr>
        <w:pStyle w:val="Heading2"/>
      </w:pPr>
      <w:r>
        <w:t xml:space="preserve">IV</w:t>
      </w:r>
    </w:p>
    <w:bookmarkEnd w:id="94"/>
    <w:bookmarkStart w:id="95" w:name="a-1"/>
    <w:p>
      <w:pPr>
        <w:pStyle w:val="Heading2"/>
      </w:pPr>
      <w:r>
        <w:t xml:space="preserve">A</w:t>
      </w:r>
    </w:p>
    <w:p>
      <w:pPr>
        <w:pStyle w:val="CaseBody"/>
      </w:pPr>
      <w:r>
        <w:t xml:space="preserve">We turn to the question of reliance and the fraud-on-the-market theory. Succinctly put:</w:t>
      </w:r>
    </w:p>
    <w:p>
      <w:pPr>
        <w:pStyle w:val="BlockText"/>
      </w:pPr>
      <w:r>
        <w:t xml:space="preserve">"The fraud on the market theory is based on the hypothesis that, in an open and developed securities market, the price of a company's stock is determined by the available material information regarding the company and its business. . . . Misleading statements will therefore [242] defraud purchasers of stock even if the purchasers do not directly rely on the misstatements. . . . The causal connection between the defendants' fraud and the plaintiffs' purchase of stock in such a case is no less significant than in a case of direct reliance on misrepresentations."</w:t>
      </w:r>
      <w:r>
        <w:t xml:space="preserve"> </w:t>
      </w:r>
      <w:r>
        <w:rPr>
          <w:iCs/>
          <w:i/>
        </w:rPr>
        <w:t xml:space="preserve">Peil</w:t>
      </w:r>
      <w:r>
        <w:t xml:space="preserve"> </w:t>
      </w:r>
      <w:r>
        <w:t xml:space="preserve">v.</w:t>
      </w:r>
      <w:r>
        <w:t xml:space="preserve"> </w:t>
      </w:r>
      <w:r>
        <w:rPr>
          <w:iCs/>
          <w:i/>
        </w:rPr>
        <w:t xml:space="preserve">Speiser,</w:t>
      </w:r>
      <w:r>
        <w:t xml:space="preserve"> </w:t>
      </w:r>
      <w:r>
        <w:t xml:space="preserve">806 F. 2d 1154, 1160-1161 (CA3 1986).</w:t>
      </w:r>
    </w:p>
    <w:p>
      <w:pPr>
        <w:pStyle w:val="CaseBody"/>
      </w:pPr>
      <w:r>
        <w:t xml:space="preserve">Our task, of course, is not to assess the general validity of the theory, but to consider whether it was proper for the courts below to apply a rebuttable presumption of reliance, supported in part by the fraud-on-the-market theory. Cf. the comments of the dissent,</w:t>
      </w:r>
      <w:r>
        <w:t xml:space="preserve"> </w:t>
      </w:r>
      <w:r>
        <w:rPr>
          <w:iCs/>
          <w:i/>
        </w:rPr>
        <w:t xml:space="preserve">post,</w:t>
      </w:r>
      <w:r>
        <w:t xml:space="preserve"> </w:t>
      </w:r>
      <w:r>
        <w:t xml:space="preserve">at 252-255.</w:t>
      </w:r>
    </w:p>
    <w:p>
      <w:pPr>
        <w:pStyle w:val="CaseBody"/>
      </w:pPr>
      <w:r>
        <w:t xml:space="preserve">This case required resolution of several common questions of law and fact concerning the falsity or misleading nature of the three public statements made by Basic, the presence or absence of scienter, and the materiality of the misrepresentations, if any. In their amended complaint, the named plaintiffs alleged that in reliance on Basic's statements they sold their shares of Basic stock in the depressed market created by petitioners.</w:t>
      </w:r>
      <w:r>
        <w:rPr>
          <w:rStyle w:val="Elision"/>
        </w:rPr>
        <w:t xml:space="preserve">[ … ]</w:t>
      </w:r>
      <w:r>
        <w:t xml:space="preserve">. Requiring proof of individualized reliance from each member of the proposed plaintiff class effectively would have prevented respondents from proceeding with a class action, since individual issues then would have overwhelmed the common ones. The District Court found that the presumption of reliance created by the fraud-on-the-market theory provided "a practical resolution to the problem of balancing the substantive requirement of proof of reliance in securities cases against the procedural requisites of [Federal Rule of Civil Procedure] 23." The District Court thus concluded that with reference to each public statement and its impact upon the open market for Basic shares, common questions predominated over individual questions, as required by Federal Rules of Civil Procedure 23(a)(2) and (b)(3).</w:t>
      </w:r>
    </w:p>
    <w:p>
      <w:pPr>
        <w:pStyle w:val="CaseBody"/>
      </w:pPr>
      <w:r>
        <w:t xml:space="preserve">[243] Petitioners and their</w:t>
      </w:r>
      <w:r>
        <w:t xml:space="preserve"> </w:t>
      </w:r>
      <w:r>
        <w:rPr>
          <w:iCs/>
          <w:i/>
        </w:rPr>
        <w:t xml:space="preserve">amici</w:t>
      </w:r>
      <w:r>
        <w:t xml:space="preserve"> </w:t>
      </w:r>
      <w:r>
        <w:t xml:space="preserve">complain that the fraud-on-the-market theory effectively eliminates the requirement that a plaintiff asserting a claim under Rule 10b-5 prove reliance. They note that reliance is and long has been an element of common-law fraud,</w:t>
      </w:r>
      <w:r>
        <w:rPr>
          <w:rStyle w:val="Elision"/>
        </w:rPr>
        <w:t xml:space="preserve">[ … ]</w:t>
      </w:r>
      <w:r>
        <w:t xml:space="preserve">, and argue that because the analogous express right of action includes a reliance requirement, see,</w:t>
      </w:r>
      <w:r>
        <w:t xml:space="preserve"> </w:t>
      </w:r>
      <w:r>
        <w:rPr>
          <w:iCs/>
          <w:i/>
        </w:rPr>
        <w:t xml:space="preserve">e. g.,</w:t>
      </w:r>
      <w:r>
        <w:t xml:space="preserve"> </w:t>
      </w:r>
      <w:r>
        <w:t xml:space="preserve">§ 18(a) of the 1934 Act, as amended, 15 U. S. C. § 78r(a), so too must an action implied under § 10(b).</w:t>
      </w:r>
    </w:p>
    <w:p>
      <w:pPr>
        <w:pStyle w:val="CaseBody"/>
      </w:pPr>
      <w:r>
        <w:t xml:space="preserve">We agree that reliance is an element of a Rule 10b-5 cause of action. See</w:t>
      </w:r>
      <w:r>
        <w:t xml:space="preserve"> </w:t>
      </w:r>
      <w:r>
        <w:rPr>
          <w:iCs/>
          <w:i/>
        </w:rPr>
        <w:t xml:space="preserve">Ernst &amp; Ernst</w:t>
      </w:r>
      <w:r>
        <w:t xml:space="preserve"> </w:t>
      </w:r>
      <w:r>
        <w:t xml:space="preserve">v.</w:t>
      </w:r>
      <w:r>
        <w:t xml:space="preserve"> </w:t>
      </w:r>
      <w:r>
        <w:rPr>
          <w:iCs/>
          <w:i/>
        </w:rPr>
        <w:t xml:space="preserve">Hochfelder,</w:t>
      </w:r>
      <w:r>
        <w:t xml:space="preserve"> </w:t>
      </w:r>
      <w:r>
        <w:t xml:space="preserve">425 U. S., at 206 (quoting Senate Report). Reliance provides the requisite causal connection between a defendant's misrepresentation and a plaintiff's injury.</w:t>
      </w:r>
      <w:r>
        <w:rPr>
          <w:rStyle w:val="Elision"/>
        </w:rPr>
        <w:t xml:space="preserve">[ … ]</w:t>
      </w:r>
      <w:r>
        <w:t xml:space="preserve"> </w:t>
      </w:r>
      <w:r>
        <w:t xml:space="preserve">There is, however, more than one way to demonstrate the causal connection.</w:t>
      </w:r>
      <w:r>
        <w:rPr>
          <w:rStyle w:val="Elision"/>
        </w:rPr>
        <w:t xml:space="preserve">[ … ]</w:t>
      </w:r>
      <w:r>
        <w:t xml:space="preserve">.</w:t>
      </w:r>
    </w:p>
    <w:p>
      <w:pPr>
        <w:pStyle w:val="CaseBody"/>
      </w:pPr>
      <w:r>
        <w:t xml:space="preserve">The modern securities markets, literally involving millions of shares changing hands daily, differ from the face-to-face [244] transactions contemplated by early fraud cases,</w:t>
      </w:r>
      <w:hyperlink w:anchor="X5f7b337ea61846491118c972eb488b3901109aa">
        <w:r>
          <w:rPr>
            <w:rStyle w:val="Hyperlink"/>
            <w:vertAlign w:val="superscript"/>
          </w:rPr>
          <w:t xml:space="preserve">[21]</w:t>
        </w:r>
      </w:hyperlink>
      <w:r>
        <w:t xml:space="preserve"> </w:t>
      </w:r>
      <w:r>
        <w:t xml:space="preserve">and our understanding of Rule 10b-5's reliance requirement must encompass these differences.</w:t>
      </w:r>
      <w:hyperlink w:anchor="X9244c9a6b89afba6d004211864bea95caa2e86c">
        <w:r>
          <w:rPr>
            <w:rStyle w:val="Hyperlink"/>
            <w:vertAlign w:val="superscript"/>
          </w:rPr>
          <w:t xml:space="preserve">[22]</w:t>
        </w:r>
      </w:hyperlink>
    </w:p>
    <w:p>
      <w:pPr>
        <w:pStyle w:val="BlockText"/>
      </w:pPr>
      <w:r>
        <w:t xml:space="preserve">"In face-to-face transactions, the inquiry into an investor's reliance upon information is into the subjective pricing of that information by that investor. With the presence of a market, the market is interposed between seller and buyer and, ideally, transmits information to the investor in the processed form of a market price. Thus the market is performing a substantial part of the valuation process performed by the investor in a face-to-face transaction. The market is acting as the unpaid agent of the investor, informing him that given all the information available to it, the value of the stock is worth the market price."</w:t>
      </w:r>
      <w:r>
        <w:t xml:space="preserve"> </w:t>
      </w:r>
      <w:r>
        <w:rPr>
          <w:iCs/>
          <w:i/>
        </w:rPr>
        <w:t xml:space="preserve">In re LTV Securities Litigation,</w:t>
      </w:r>
      <w:r>
        <w:t xml:space="preserve"> </w:t>
      </w:r>
      <w:r>
        <w:t xml:space="preserve">88 F. R. D. 134, 143 (ND Tex. 1980)</w:t>
      </w:r>
      <w:r>
        <w:rPr>
          <w:rStyle w:val="Elision"/>
        </w:rPr>
        <w:t xml:space="preserve">[ … ]</w:t>
      </w:r>
    </w:p>
    <w:p>
      <w:pPr>
        <w:pStyle w:val="CaseBody"/>
      </w:pPr>
      <w:r>
        <w:t xml:space="preserve">.</w:t>
      </w:r>
    </w:p>
    <w:bookmarkEnd w:id="95"/>
    <w:bookmarkStart w:id="96" w:name="b-1"/>
    <w:p>
      <w:pPr>
        <w:pStyle w:val="Heading2"/>
      </w:pPr>
      <w:r>
        <w:t xml:space="preserve">B</w:t>
      </w:r>
    </w:p>
    <w:p>
      <w:pPr>
        <w:pStyle w:val="CaseBody"/>
      </w:pPr>
      <w:r>
        <w:t xml:space="preserve">Presumptions typically serve to assist courts in managing circumstances in which direct proof, for one reason or another, is rendered difficult. See,</w:t>
      </w:r>
      <w:r>
        <w:t xml:space="preserve"> </w:t>
      </w:r>
      <w:r>
        <w:rPr>
          <w:iCs/>
          <w:i/>
        </w:rPr>
        <w:t xml:space="preserve">e. g.,</w:t>
      </w:r>
      <w:r>
        <w:t xml:space="preserve"> </w:t>
      </w:r>
      <w:r>
        <w:t xml:space="preserve">1 D. Louisell &amp; C. Mueller, Federal Evidence 541-542 (1977). The courts below accepted a presumption, created by the fraud-on-the-market theory and subject to rebuttal by petitioners, that persons who had traded Basic shares had done so in reliance on the integrity of the price set by the market, but because of petitioners' material misrepresentations that price had been fraudulently depressed. Requiring a plaintiff to show a speculative state of facts,</w:t>
      </w:r>
      <w:r>
        <w:t xml:space="preserve"> </w:t>
      </w:r>
      <w:r>
        <w:rPr>
          <w:iCs/>
          <w:i/>
        </w:rPr>
        <w:t xml:space="preserve">i. e.,</w:t>
      </w:r>
      <w:r>
        <w:t xml:space="preserve"> </w:t>
      </w:r>
      <w:r>
        <w:t xml:space="preserve">how he would have acted if omitted material information had been disclosed, see</w:t>
      </w:r>
      <w:r>
        <w:t xml:space="preserve"> </w:t>
      </w:r>
      <w:r>
        <w:rPr>
          <w:iCs/>
          <w:i/>
        </w:rPr>
        <w:t xml:space="preserve">Affiliated Ute Citizens</w:t>
      </w:r>
      <w:r>
        <w:t xml:space="preserve"> </w:t>
      </w:r>
      <w:r>
        <w:t xml:space="preserve">v.</w:t>
      </w:r>
      <w:r>
        <w:t xml:space="preserve"> </w:t>
      </w:r>
      <w:r>
        <w:rPr>
          <w:iCs/>
          <w:i/>
        </w:rPr>
        <w:t xml:space="preserve">United States,</w:t>
      </w:r>
      <w:r>
        <w:t xml:space="preserve"> </w:t>
      </w:r>
      <w:r>
        <w:t xml:space="preserve">406 U. S., at 153-154, or if the misrepresentation had not been made, see</w:t>
      </w:r>
      <w:r>
        <w:t xml:space="preserve"> </w:t>
      </w:r>
      <w:r>
        <w:rPr>
          <w:iCs/>
          <w:i/>
        </w:rPr>
        <w:t xml:space="preserve">Sharp</w:t>
      </w:r>
      <w:r>
        <w:t xml:space="preserve"> </w:t>
      </w:r>
      <w:r>
        <w:t xml:space="preserve">v.</w:t>
      </w:r>
      <w:r>
        <w:t xml:space="preserve"> </w:t>
      </w:r>
      <w:r>
        <w:rPr>
          <w:iCs/>
          <w:i/>
        </w:rPr>
        <w:t xml:space="preserve">Coopers &amp; Lybrand,</w:t>
      </w:r>
      <w:r>
        <w:t xml:space="preserve"> </w:t>
      </w:r>
      <w:r>
        <w:t xml:space="preserve">649 F. 2d 175, 188 (CA3 1981), cert. denied, 455 U. S. 938 (1982), would place an unnecessarily unrealistic evidentiary burden on the Rule 10b-5 plaintiff who has traded on an impersonal market. Cf.</w:t>
      </w:r>
      <w:r>
        <w:t xml:space="preserve"> </w:t>
      </w:r>
      <w:r>
        <w:rPr>
          <w:iCs/>
          <w:i/>
        </w:rPr>
        <w:t xml:space="preserve">Mills</w:t>
      </w:r>
      <w:r>
        <w:t xml:space="preserve"> </w:t>
      </w:r>
      <w:r>
        <w:t xml:space="preserve">v.</w:t>
      </w:r>
      <w:r>
        <w:t xml:space="preserve"> </w:t>
      </w:r>
      <w:r>
        <w:rPr>
          <w:iCs/>
          <w:i/>
        </w:rPr>
        <w:t xml:space="preserve">Electric Auto-Lite Co.,</w:t>
      </w:r>
      <w:r>
        <w:t xml:space="preserve"> </w:t>
      </w:r>
      <w:r>
        <w:t xml:space="preserve">396 U. S., at 385.</w:t>
      </w:r>
    </w:p>
    <w:p>
      <w:pPr>
        <w:pStyle w:val="CaseBody"/>
      </w:pPr>
      <w:r>
        <w:t xml:space="preserve">Arising out of considerations of fairness, public policy, and probability, as well as judicial economy, presumptions are also useful devices for allocating the burdens of proof between parties. See E. Cleary, McCormick on Evidence 968-969 (3d ed. 1984); see also Fed. Rule Evid. 301 and Advisory Committee Notes, 28 U. S. C. App., p. 685. The presumption of reliance employed in this case is consistent with, and, by facilitating Rule 10b-5 litigation, supports, the congressional policy embodied in the 1934 Act. In drafting that Act, [246] Congress expressly relied on the premise that securities markets are affected by information, and enacted legislation to facilitate an investor's reliance on the integrity of those markets:</w:t>
      </w:r>
    </w:p>
    <w:p>
      <w:pPr>
        <w:pStyle w:val="BlockText"/>
      </w:pPr>
      <w:r>
        <w:t xml:space="preserve">"No investor, no speculator, can safely buy and sell securities upon the exchanges without having an intelligent basis for forming his judgment as to the value of the securities he buys or sells. The idea of a free and open public market is built upon the theory that competing judgments of buyers and sellers as to the fair price of a security brings</w:t>
      </w:r>
      <w:r>
        <w:t xml:space="preserve"> </w:t>
      </w:r>
      <w:r>
        <w:rPr>
          <w:iCs/>
          <w:i/>
        </w:rPr>
        <w:t xml:space="preserve">[sic]</w:t>
      </w:r>
      <w:r>
        <w:t xml:space="preserve"> </w:t>
      </w:r>
      <w:r>
        <w:t xml:space="preserve">about a situation where the market price reflects as nearly as possible a just price. Just as artificial manipulation tends to upset the true function of an open market, so the hiding and secreting of important information obstructs the operation of the markets as indices of real value." H. R. Rep. No. 1383, at 11</w:t>
      </w:r>
      <w:r>
        <w:rPr>
          <w:rStyle w:val="Elision"/>
        </w:rPr>
        <w:t xml:space="preserve">[ … ]</w:t>
      </w:r>
    </w:p>
    <w:p>
      <w:pPr>
        <w:pStyle w:val="CaseBody"/>
      </w:pPr>
      <w:hyperlink w:anchor="Xcf5ed5d689dddfff7e76dc7354770032a6a1b37">
        <w:r>
          <w:rPr>
            <w:rStyle w:val="Hyperlink"/>
            <w:vertAlign w:val="superscript"/>
          </w:rPr>
          <w:t xml:space="preserve">]</w:t>
        </w:r>
      </w:hyperlink>
    </w:p>
    <w:p>
      <w:pPr>
        <w:pStyle w:val="CaseBody"/>
      </w:pPr>
      <w:r>
        <w:t xml:space="preserve">The presumption is also supported by common sense and probability. Recent empirical studies have tended to confirm Congress' premise that the market price of shares traded on well-developed markets reflects all publicly available information, and, hence, any material misrepresentations.</w:t>
      </w:r>
      <w:hyperlink w:anchor="X5c4af77e9e3a536e4509fbfe706a0f060a79b44">
        <w:r>
          <w:rPr>
            <w:rStyle w:val="Hyperlink"/>
            <w:vertAlign w:val="superscript"/>
          </w:rPr>
          <w:t xml:space="preserve">[24]</w:t>
        </w:r>
      </w:hyperlink>
      <w:r>
        <w:t xml:space="preserve"> </w:t>
      </w:r>
      <w:r>
        <w:t xml:space="preserve">It has been noted that "it is hard to imagine that [247] there ever is a buyer or seller who does not rely on market integrity. Who would knowingly roll the dice in a crooked crap game?"</w:t>
      </w:r>
      <w:r>
        <w:rPr>
          <w:rStyle w:val="Elision"/>
        </w:rPr>
        <w:t xml:space="preserve">[ … ]</w:t>
      </w:r>
      <w:r>
        <w:t xml:space="preserve">.</w:t>
      </w:r>
    </w:p>
    <w:bookmarkEnd w:id="96"/>
    <w:bookmarkStart w:id="97" w:name="section-4"/>
    <w:p>
      <w:pPr>
        <w:pStyle w:val="Heading2"/>
      </w:pPr>
      <w:r>
        <w:rPr>
          <w:rStyle w:val="Elision"/>
        </w:rPr>
        <w:t xml:space="preserve">[ … ]</w:t>
      </w:r>
    </w:p>
    <w:p>
      <w:pPr>
        <w:pStyle w:val="CaseBody"/>
      </w:pPr>
      <w:r>
        <w:t xml:space="preserve">.</w:t>
      </w:r>
    </w:p>
    <w:p>
      <w:pPr>
        <w:pStyle w:val="CaseBody"/>
      </w:pPr>
      <w:r>
        <w:t xml:space="preserve">Any showing that severs the link between the alleged misrepresentation and either the price received (or paid) by the plaintiff, or his decision to trade at a fair market price, will be sufficient to rebut the presumption of reliance. For example, if petitioners could show that the "market makers" were privy to the truth about the merger discussions here with Combustion, and thus that the market price would not have been affected by their misrepresentation, the causal connection could be broken: the basis for finding that the fraud had been transmitted through market price would be gone.</w:t>
      </w:r>
      <w:hyperlink w:anchor="X35548be24acadc55289f1f755e0d8b22459a30d">
        <w:r>
          <w:rPr>
            <w:rStyle w:val="Hyperlink"/>
            <w:vertAlign w:val="superscript"/>
          </w:rPr>
          <w:t xml:space="preserve">[28]</w:t>
        </w:r>
      </w:hyperlink>
      <w:r>
        <w:t xml:space="preserve"> </w:t>
      </w:r>
      <w:r>
        <w:t xml:space="preserve">Similarly, if, despite petitioners' allegedly fraudulent attempt [249] to manipulate market price, news of the merger discussions credibly entered the market and dissipated the effects of the misstatements, those who traded Basic shares after the corrective statements would have no direct or indirect connection with the fraud.</w:t>
      </w:r>
      <w:hyperlink w:anchor="Xb909a8fe04cf7d82b33d0ddb43017e972a2bbe2">
        <w:r>
          <w:rPr>
            <w:rStyle w:val="Hyperlink"/>
            <w:vertAlign w:val="superscript"/>
          </w:rPr>
          <w:t xml:space="preserve">[29]</w:t>
        </w:r>
      </w:hyperlink>
      <w:r>
        <w:t xml:space="preserve"> </w:t>
      </w:r>
      <w:r>
        <w:t xml:space="preserve">Petitioners also could rebut the presumption of reliance as to plaintiffs who would have divested themselves of their Basic shares without relying on the integrity of the market. For example, a plaintiff who believed that Basic's statements were false and that Basic was indeed engaged in merger discussions, and who consequently believed that Basic stock was artificially underpriced, but sold his shares nevertheless because of other unrelated concerns,</w:t>
      </w:r>
      <w:r>
        <w:t xml:space="preserve"> </w:t>
      </w:r>
      <w:r>
        <w:rPr>
          <w:iCs/>
          <w:i/>
        </w:rPr>
        <w:t xml:space="preserve">e. g.,</w:t>
      </w:r>
      <w:r>
        <w:t xml:space="preserve"> </w:t>
      </w:r>
      <w:r>
        <w:t xml:space="preserve">potential antitrust problems, or political pressures to divest from shares of certain businesses, could not be said to have relied on the integrity of a price he knew had been manipulated.</w:t>
      </w:r>
    </w:p>
    <w:bookmarkEnd w:id="97"/>
    <w:bookmarkStart w:id="98" w:name="v"/>
    <w:p>
      <w:pPr>
        <w:pStyle w:val="Heading2"/>
      </w:pPr>
      <w:r>
        <w:t xml:space="preserve">V</w:t>
      </w:r>
    </w:p>
    <w:p>
      <w:pPr>
        <w:pStyle w:val="CaseBody"/>
      </w:pPr>
      <w:r>
        <w:t xml:space="preserve">In summary:</w:t>
      </w:r>
    </w:p>
    <w:p>
      <w:pPr>
        <w:pStyle w:val="CaseBody"/>
      </w:pPr>
      <w:r>
        <w:t xml:space="preserve">1. We specifically adopt, for the § 10(b) and Rule 10b-5 context, the standard of materiality set forth in</w:t>
      </w:r>
      <w:r>
        <w:t xml:space="preserve"> </w:t>
      </w:r>
      <w:r>
        <w:rPr>
          <w:iCs/>
          <w:i/>
        </w:rPr>
        <w:t xml:space="preserve">TSC Industries, Inc.</w:t>
      </w:r>
      <w:r>
        <w:t xml:space="preserve"> </w:t>
      </w:r>
      <w:r>
        <w:t xml:space="preserve">v.</w:t>
      </w:r>
      <w:r>
        <w:t xml:space="preserve"> </w:t>
      </w:r>
      <w:r>
        <w:rPr>
          <w:iCs/>
          <w:i/>
        </w:rPr>
        <w:t xml:space="preserve">Northway, Inc.,</w:t>
      </w:r>
      <w:r>
        <w:t xml:space="preserve"> </w:t>
      </w:r>
      <w:r>
        <w:t xml:space="preserve">426 U. S., at 449.</w:t>
      </w:r>
    </w:p>
    <w:p>
      <w:pPr>
        <w:pStyle w:val="CaseBody"/>
      </w:pPr>
      <w:r>
        <w:t xml:space="preserve">2. We reject "agreement-in-principle as to price and structure" as the bright-line rule for materiality.</w:t>
      </w:r>
    </w:p>
    <w:p>
      <w:pPr>
        <w:pStyle w:val="CaseBody"/>
      </w:pPr>
      <w:r>
        <w:t xml:space="preserve">3. We also reject the proposition that "information becomes material by virtue of a public statement denying it."</w:t>
      </w:r>
    </w:p>
    <w:p>
      <w:pPr>
        <w:pStyle w:val="CaseBody"/>
      </w:pPr>
      <w:r>
        <w:t xml:space="preserve">[250] 4. Materiality in the merger context depends on the probability that the transaction will be consummated, and its significance to the issuer of the securities. Materiality depends on the facts and thus is to be determined on a case-by-case basis.</w:t>
      </w:r>
    </w:p>
    <w:p>
      <w:pPr>
        <w:pStyle w:val="CaseBody"/>
      </w:pPr>
      <w:r>
        <w:t xml:space="preserve">5. It is not inappropriate to apply a presumption of reliance supported by the fraud-on-the-market theory.</w:t>
      </w:r>
    </w:p>
    <w:p>
      <w:pPr>
        <w:pStyle w:val="CaseBody"/>
      </w:pPr>
      <w:r>
        <w:t xml:space="preserve">6. That presumption, however, is rebuttable.</w:t>
      </w:r>
    </w:p>
    <w:p>
      <w:pPr>
        <w:pStyle w:val="CaseBody"/>
      </w:pPr>
      <w:r>
        <w:t xml:space="preserve">7. The District Court's certification of the class here was appropriate when made but is subject on remand to such adjustment, if any, as developing circumstances demand.</w:t>
      </w:r>
    </w:p>
    <w:p>
      <w:pPr>
        <w:pStyle w:val="CaseBody"/>
      </w:pPr>
      <w:r>
        <w:t xml:space="preserve">The judgment of the Court of Appeals is vacated, and the case is remanded to that court for further proceedings consistent with this opinion.</w:t>
      </w:r>
    </w:p>
    <w:p>
      <w:pPr>
        <w:pStyle w:val="CaseBody"/>
      </w:pPr>
      <w:r>
        <w:rPr>
          <w:iCs/>
          <w:i/>
        </w:rPr>
        <w:t xml:space="preserve">It is so ordered.</w:t>
      </w:r>
    </w:p>
    <w:p>
      <w:pPr>
        <w:pStyle w:val="CaseBody"/>
      </w:pPr>
      <w:r>
        <w:t xml:space="preserve">THE CHIEF JUSTICE, JUSTICE SCALIA, and JUSTICE KENNEDY took no part in the consideration or decision of this case.</w:t>
      </w:r>
    </w:p>
    <w:bookmarkEnd w:id="98"/>
    <w:bookmarkStart w:id="99" w:name="X1fdbde8c770e1ab42f440a82d4e4d2921467bf3"/>
    <w:p>
      <w:pPr>
        <w:pStyle w:val="Heading2"/>
      </w:pPr>
      <w:r>
        <w:t xml:space="preserve">JUSTICE WHITE, with whom JUSTICE O'CONNOR joins, concurring in part and dissenting in part.</w:t>
      </w:r>
    </w:p>
    <w:p>
      <w:pPr>
        <w:pStyle w:val="CaseBody"/>
      </w:pPr>
      <w:r>
        <w:t xml:space="preserve">I join Parts I-III of the Court's opinion,</w:t>
      </w:r>
      <w:r>
        <w:rPr>
          <w:rStyle w:val="Elision"/>
        </w:rPr>
        <w:t xml:space="preserve">[ … ]</w:t>
      </w:r>
      <w:r>
        <w:t xml:space="preserve">. But I dissent from the remainder of the Court's holding because I do not agree that the "fraud-on-the-market" theory should be applied in this case.</w:t>
      </w:r>
    </w:p>
    <w:bookmarkEnd w:id="99"/>
    <w:bookmarkStart w:id="100" w:name="section-5"/>
    <w:p>
      <w:pPr>
        <w:pStyle w:val="Heading2"/>
      </w:pPr>
      <w:r>
        <w:rPr>
          <w:rStyle w:val="Elision"/>
        </w:rPr>
        <w:t xml:space="preserve">[ … ]</w:t>
      </w:r>
    </w:p>
    <w:p>
      <w:pPr>
        <w:pStyle w:val="CaseBody"/>
      </w:pPr>
      <w:r>
        <w:t xml:space="preserve">.</w:t>
      </w:r>
    </w:p>
    <w:bookmarkEnd w:id="100"/>
    <w:bookmarkStart w:id="101" w:name="a-2"/>
    <w:p>
      <w:pPr>
        <w:pStyle w:val="Heading2"/>
      </w:pPr>
      <w:r>
        <w:t xml:space="preserve">A</w:t>
      </w:r>
    </w:p>
    <w:p>
      <w:pPr>
        <w:pStyle w:val="CaseBody"/>
      </w:pPr>
      <w:r>
        <w:t xml:space="preserve">At the outset, I note that there are portions of the Court's fraud-on-the-market holding with which I am in agreement.</w:t>
      </w:r>
      <w:r>
        <w:rPr>
          <w:rStyle w:val="Elision"/>
        </w:rPr>
        <w:t xml:space="preserve">[ … ]</w:t>
      </w:r>
      <w:r>
        <w:t xml:space="preserve"> </w:t>
      </w:r>
      <w:r>
        <w:t xml:space="preserve">I agree with the Court that if Rule 10b-5's reliance requirement is to be left with any content at all, the fraud-on-the-market presumption must be capable of being rebutted by a showing that a plaintiff did not "rely" on the market price.</w:t>
      </w:r>
      <w:r>
        <w:rPr>
          <w:rStyle w:val="Elision"/>
        </w:rPr>
        <w:t xml:space="preserve">[ … ]</w:t>
      </w:r>
    </w:p>
    <w:p>
      <w:pPr>
        <w:pStyle w:val="CaseBody"/>
      </w:pPr>
      <w:r>
        <w:t xml:space="preserve">. A nonrebuttable presumption of reliance</w:t>
      </w:r>
      <w:r>
        <w:rPr>
          <w:rStyle w:val="Elision"/>
        </w:rPr>
        <w:t xml:space="preserve">[ … ]</w:t>
      </w:r>
      <w:r>
        <w:t xml:space="preserve">— would effectively convert Rule 10b-5 into "a scheme of investor's insurance</w:t>
      </w:r>
      <w:r>
        <w:rPr>
          <w:rStyle w:val="ReplacementText"/>
        </w:rPr>
        <w:t xml:space="preserve">."</w:t>
      </w:r>
      <w:r>
        <w:rPr>
          <w:rStyle w:val="Elision"/>
        </w:rPr>
        <w:t xml:space="preserve">[ … ]</w:t>
      </w:r>
      <w:r>
        <w:t xml:space="preserve">.</w:t>
      </w:r>
    </w:p>
    <w:bookmarkEnd w:id="101"/>
    <w:bookmarkStart w:id="102" w:name="b-2"/>
    <w:p>
      <w:pPr>
        <w:pStyle w:val="Heading2"/>
      </w:pPr>
      <w:r>
        <w:t xml:space="preserve">B</w:t>
      </w:r>
    </w:p>
    <w:p>
      <w:pPr>
        <w:pStyle w:val="CaseBody"/>
      </w:pPr>
      <w:r>
        <w:t xml:space="preserve">But even as the Court attempts to limit the fraud-on-the-market theory it endorses today, the pitfalls in its approach are revealed by previous uses by the lower courts of the broader versions of the theory.</w:t>
      </w:r>
      <w:r>
        <w:rPr>
          <w:rStyle w:val="Elision"/>
        </w:rPr>
        <w:t xml:space="preserve">[ … ]</w:t>
      </w:r>
    </w:p>
    <w:p>
      <w:pPr>
        <w:pStyle w:val="CaseBody"/>
      </w:pPr>
      <w:hyperlink w:anchor="X9956483dea765659491f772bfd3358773e753c6">
        <w:r>
          <w:rPr>
            <w:rStyle w:val="Hyperlink"/>
            <w:vertAlign w:val="superscript"/>
          </w:rPr>
          <w:t xml:space="preserve">]</w:t>
        </w:r>
      </w:hyperlink>
    </w:p>
    <w:p>
      <w:pPr>
        <w:pStyle w:val="CaseBody"/>
      </w:pPr>
      <w:r>
        <w:t xml:space="preserve">The "wrong turns" in those Court of Appeals and District Court fraud-on-the-market decisions which the Court implicitly rejects as going too far should be ample illustration of the dangers when economic theories replace legal rules as the basis for recovery. Yet the Court today ventures into this area beyond its expertise, beyond — by its own admission — the confines of our previous fraud cases. See</w:t>
      </w:r>
      <w:r>
        <w:t xml:space="preserve"> </w:t>
      </w:r>
      <w:r>
        <w:rPr>
          <w:iCs/>
          <w:i/>
        </w:rPr>
        <w:t xml:space="preserve">ante,</w:t>
      </w:r>
      <w:r>
        <w:t xml:space="preserve"> </w:t>
      </w:r>
      <w:r>
        <w:t xml:space="preserve">at 243-244. Even if I agreed with the Court that "modern securities [254] markets . . . involving millions of shares changing hands daily" require that the "understanding of Rule 10b-5's reliance requirement" be changed,</w:t>
      </w:r>
      <w:r>
        <w:t xml:space="preserve"> </w:t>
      </w:r>
      <w:r>
        <w:rPr>
          <w:iCs/>
          <w:i/>
        </w:rPr>
        <w:t xml:space="preserve">ibid.,</w:t>
      </w:r>
      <w:r>
        <w:t xml:space="preserve"> </w:t>
      </w:r>
      <w:r>
        <w:t xml:space="preserve">I prefer that such changes come from Congress in amending § 10(b).</w:t>
      </w:r>
      <w:r>
        <w:rPr>
          <w:rStyle w:val="Elision"/>
        </w:rPr>
        <w:t xml:space="preserve">[ … ]</w:t>
      </w:r>
    </w:p>
    <w:p>
      <w:pPr>
        <w:pStyle w:val="CaseBody"/>
      </w:pPr>
      <w:r>
        <w:t xml:space="preserve">.</w:t>
      </w:r>
    </w:p>
    <w:bookmarkEnd w:id="102"/>
    <w:bookmarkStart w:id="103" w:name="c-1"/>
    <w:p>
      <w:pPr>
        <w:pStyle w:val="Heading2"/>
      </w:pPr>
      <w:r>
        <w:t xml:space="preserve">C</w:t>
      </w:r>
    </w:p>
    <w:p>
      <w:pPr>
        <w:pStyle w:val="CaseBody"/>
      </w:pPr>
      <w:r>
        <w:t xml:space="preserve">At the bottom of the Court's conclusion that the fraud-on-the-market theory sustains a presumption of reliance is the assumption that individuals rely "on the integrity of the market price" when buying or selling stock in "impersonal, well-developed market[s] for securities."</w:t>
      </w:r>
      <w:r>
        <w:t xml:space="preserve"> </w:t>
      </w:r>
      <w:r>
        <w:rPr>
          <w:iCs/>
          <w:i/>
        </w:rPr>
        <w:t xml:space="preserve">Ante,</w:t>
      </w:r>
      <w:r>
        <w:t xml:space="preserve"> </w:t>
      </w:r>
      <w:r>
        <w:t xml:space="preserve">at 247. Even if I was prepared to accept (as a matter of common sense or general understanding) the assumption that most persons buying or selling stock do so in response to the market price, the fraud-on-the-market theory goes further. For in adopting a "presumption of reliance," the Court</w:t>
      </w:r>
      <w:r>
        <w:t xml:space="preserve"> </w:t>
      </w:r>
      <w:r>
        <w:rPr>
          <w:iCs/>
          <w:i/>
        </w:rPr>
        <w:t xml:space="preserve">also</w:t>
      </w:r>
      <w:r>
        <w:t xml:space="preserve"> </w:t>
      </w:r>
      <w:r>
        <w:t xml:space="preserve">assumes that buyers and sellers rely — not just on the market price — but on the</w:t>
      </w:r>
      <w:r>
        <w:t xml:space="preserve"> </w:t>
      </w:r>
      <w:r>
        <w:rPr>
          <w:iCs/>
          <w:i/>
        </w:rPr>
        <w:t xml:space="preserve">"integrity"</w:t>
      </w:r>
      <w:r>
        <w:t xml:space="preserve"> </w:t>
      </w:r>
      <w:r>
        <w:t xml:space="preserve">of that price. It is this aspect of the fraud-on-the-market hypothesis which most mystifies me.</w:t>
      </w:r>
    </w:p>
    <w:p>
      <w:pPr>
        <w:pStyle w:val="CaseBody"/>
      </w:pPr>
      <w:r>
        <w:t xml:space="preserve">To define the term "integrity of the market price," the majority quotes approvingly from cases which suggest that investors are entitled to " `rely on the price of a stock as a reflection of its value.' "</w:t>
      </w:r>
      <w:r>
        <w:t xml:space="preserve"> </w:t>
      </w:r>
      <w:r>
        <w:rPr>
          <w:iCs/>
          <w:i/>
        </w:rPr>
        <w:t xml:space="preserve">Ante,</w:t>
      </w:r>
      <w:r>
        <w:t xml:space="preserve"> </w:t>
      </w:r>
      <w:r>
        <w:t xml:space="preserve">at 244 (quoting</w:t>
      </w:r>
      <w:r>
        <w:t xml:space="preserve"> </w:t>
      </w:r>
      <w:r>
        <w:rPr>
          <w:iCs/>
          <w:i/>
        </w:rPr>
        <w:t xml:space="preserve">Peil</w:t>
      </w:r>
      <w:r>
        <w:t xml:space="preserve"> </w:t>
      </w:r>
      <w:r>
        <w:t xml:space="preserve">v.</w:t>
      </w:r>
      <w:r>
        <w:t xml:space="preserve"> </w:t>
      </w:r>
      <w:r>
        <w:rPr>
          <w:iCs/>
          <w:i/>
        </w:rPr>
        <w:t xml:space="preserve">Speiser,</w:t>
      </w:r>
      <w:r>
        <w:t xml:space="preserve"> </w:t>
      </w:r>
      <w:r>
        <w:t xml:space="preserve">806 F. 2d 1154, 1161 (CA3 1986)). But the meaning of this phrase eludes me, for it implicitly suggests that stocks have some "true value" that is measurable by a standard other than their market price. While the scholastics of medieval times professed a means to make such a valuation of a commodity's "worth,"</w:t>
      </w:r>
      <w:hyperlink w:anchor="Xdfae4718dc7b0ba14933c46d7b363a8d7e8aac6">
        <w:r>
          <w:rPr>
            <w:rStyle w:val="Hyperlink"/>
            <w:vertAlign w:val="superscript"/>
          </w:rPr>
          <w:t xml:space="preserve">[6]</w:t>
        </w:r>
      </w:hyperlink>
      <w:r>
        <w:t xml:space="preserve"> </w:t>
      </w:r>
      <w:r>
        <w:t xml:space="preserve">I doubt that the federal courts of our day are similarly equipped.</w:t>
      </w:r>
    </w:p>
    <w:p>
      <w:pPr>
        <w:pStyle w:val="CaseBody"/>
      </w:pPr>
      <w:r>
        <w:t xml:space="preserve">[256] Even if securities had some "value" — knowable and distinct from the market price of a stock — investors do not always share the Court's presumption that a stock's price is a "reflection of [this] value." Indeed, "many investors purchase or sell stock because they believe the price</w:t>
      </w:r>
      <w:r>
        <w:t xml:space="preserve"> </w:t>
      </w:r>
      <w:r>
        <w:rPr>
          <w:iCs/>
          <w:i/>
        </w:rPr>
        <w:t xml:space="preserve">inaccurately</w:t>
      </w:r>
      <w:r>
        <w:t xml:space="preserve"> </w:t>
      </w:r>
      <w:r>
        <w:t xml:space="preserve">reflects the corporation's worth." See Black, Fraud on the Market: A Criticism of Dispensing with Reliance Requirements in Certain Open Market Transactions, 62 N. C. L. Rev. 435, 455 (1984) (emphasis added). If investors really believed that stock prices reflected a stock's "value," many sellers would never sell, and many buyers never buy (given the time and cost associated with executing a stock transaction).</w:t>
      </w:r>
      <w:r>
        <w:rPr>
          <w:rStyle w:val="Elision"/>
        </w:rPr>
        <w:t xml:space="preserve">[ … ]</w:t>
      </w:r>
    </w:p>
    <w:p>
      <w:pPr>
        <w:pStyle w:val="CaseBody"/>
      </w:pPr>
      <w:r>
        <w:t xml:space="preserve">.</w:t>
      </w:r>
    </w:p>
    <w:bookmarkEnd w:id="103"/>
    <w:bookmarkStart w:id="104" w:name="iii-1"/>
    <w:p>
      <w:pPr>
        <w:pStyle w:val="Heading2"/>
      </w:pPr>
      <w:r>
        <w:t xml:space="preserve">III</w:t>
      </w:r>
    </w:p>
    <w:p>
      <w:pPr>
        <w:pStyle w:val="CaseBody"/>
      </w:pPr>
      <w:r>
        <w:t xml:space="preserve">Finally, the particular facts of this case make it an exceedingly poor candidate for the Court's fraud-on-the-market theory, [260] and illustrate the illogic achieved by that theory's application in many cases.</w:t>
      </w:r>
    </w:p>
    <w:p>
      <w:pPr>
        <w:pStyle w:val="CaseBody"/>
      </w:pPr>
      <w:r>
        <w:t xml:space="preserve">Respondents here are a class of sellers who sold Basic stock between October 1977 and December 1978, a 14-month period. At the time the class period began, Basic's stock was trading at $20 a share (at the time, an all-time high); the last members of the class to sell their Basic stock got a price of just over $30 a share. App. 363, 423. It is indisputable that virtually every member of the class made money from his or her sale of Basic stock.</w:t>
      </w:r>
    </w:p>
    <w:p>
      <w:pPr>
        <w:pStyle w:val="CaseBody"/>
      </w:pPr>
      <w:r>
        <w:t xml:space="preserve">The oddities of applying the fraud-on-the-market theory in this case are manifest. First, there are the facts that the plaintiffs are sellers and the class period is so lengthy — both are virtually without precedent in prior fraud-on-the-market cases.</w:t>
      </w:r>
      <w:hyperlink w:anchor="X1959222e4af0731cc7e8fdbfe35039f8d91af98">
        <w:r>
          <w:rPr>
            <w:rStyle w:val="Hyperlink"/>
            <w:vertAlign w:val="superscript"/>
          </w:rPr>
          <w:t xml:space="preserve">[9]</w:t>
        </w:r>
      </w:hyperlink>
      <w:r>
        <w:t xml:space="preserve"> </w:t>
      </w:r>
      <w:r>
        <w:t xml:space="preserve">For reasons I discuss in the margin, I think these two facts render this case less apt to application of the fraud-on-the-market hypothesis.</w:t>
      </w:r>
    </w:p>
    <w:p>
      <w:pPr>
        <w:pStyle w:val="CaseBody"/>
      </w:pPr>
      <w:r>
        <w:t xml:space="preserve">Second, there is the fact that in this case, there is no evidence that petitioner Basic's officials made the troublesome misstatements for the purpose of manipulating stock prices, or with any intent to engage in underhanded trading of Basic stock. Indeed, during the class period, petitioners do not [261] appear to have purchased or sold</w:t>
      </w:r>
      <w:r>
        <w:t xml:space="preserve"> </w:t>
      </w:r>
      <w:r>
        <w:rPr>
          <w:iCs/>
          <w:i/>
        </w:rPr>
        <w:t xml:space="preserve">any</w:t>
      </w:r>
      <w:r>
        <w:t xml:space="preserve"> </w:t>
      </w:r>
      <w:r>
        <w:t xml:space="preserve">Basic stock whatsoever. App. to Pet. for Cert. 27a. I agree with</w:t>
      </w:r>
      <w:r>
        <w:t xml:space="preserve"> </w:t>
      </w:r>
      <w:r>
        <w:rPr>
          <w:iCs/>
          <w:i/>
        </w:rPr>
        <w:t xml:space="preserve">amicus</w:t>
      </w:r>
      <w:r>
        <w:t xml:space="preserve"> </w:t>
      </w:r>
      <w:r>
        <w:t xml:space="preserve">who argues that "[i]mposition of damages liability under Rule 10b-5 makes little sense . . . where a defendant is neither a purchaser nor a seller of securities." See Brief for American Corporate Counsel Association as</w:t>
      </w:r>
      <w:r>
        <w:t xml:space="preserve"> </w:t>
      </w:r>
      <w:r>
        <w:rPr>
          <w:iCs/>
          <w:i/>
        </w:rPr>
        <w:t xml:space="preserve">Amicus Curiae</w:t>
      </w:r>
      <w:r>
        <w:t xml:space="preserve"> </w:t>
      </w:r>
      <w:r>
        <w:t xml:space="preserve">13. In fact, in previous cases, we had recognized that Rule 10b-5 is concerned primarily with cases where the fraud is committed by one trading the security at issue. See,</w:t>
      </w:r>
      <w:r>
        <w:t xml:space="preserve"> </w:t>
      </w:r>
      <w:r>
        <w:rPr>
          <w:iCs/>
          <w:i/>
        </w:rPr>
        <w:t xml:space="preserve">e. g.,</w:t>
      </w:r>
      <w:r>
        <w:t xml:space="preserve"> </w:t>
      </w:r>
      <w:r>
        <w:rPr>
          <w:iCs/>
          <w:i/>
        </w:rPr>
        <w:t xml:space="preserve">Blue Chip Stamps</w:t>
      </w:r>
      <w:r>
        <w:t xml:space="preserve"> </w:t>
      </w:r>
      <w:r>
        <w:t xml:space="preserve">v.</w:t>
      </w:r>
      <w:r>
        <w:t xml:space="preserve"> </w:t>
      </w:r>
      <w:r>
        <w:rPr>
          <w:iCs/>
          <w:i/>
        </w:rPr>
        <w:t xml:space="preserve">Manor Drug Stores,</w:t>
      </w:r>
      <w:r>
        <w:t xml:space="preserve"> </w:t>
      </w:r>
      <w:r>
        <w:t xml:space="preserve">421 U. S. 723, 736, n. 8 (1975). And it is difficult to square liability in this case with § 10(b)'s express provision that it prohibits fraud "</w:t>
      </w:r>
      <w:r>
        <w:rPr>
          <w:iCs/>
          <w:i/>
        </w:rPr>
        <w:t xml:space="preserve">in connection with</w:t>
      </w:r>
      <w:r>
        <w:t xml:space="preserve"> </w:t>
      </w:r>
      <w:r>
        <w:t xml:space="preserve">the purchase or sale of any security." See 15 U. S. C. § 78j(b) (emphasis added).</w:t>
      </w:r>
    </w:p>
    <w:p>
      <w:pPr>
        <w:pStyle w:val="CaseBody"/>
      </w:pPr>
      <w:r>
        <w:t xml:space="preserve">Third, there are the peculiarities of what kinds of investors will be able to recover in this case. As I read the District Court's class certification order, App. to Pet. for Cert. 123a-126a;</w:t>
      </w:r>
      <w:r>
        <w:t xml:space="preserve"> </w:t>
      </w:r>
      <w:r>
        <w:rPr>
          <w:iCs/>
          <w:i/>
        </w:rPr>
        <w:t xml:space="preserve">ante,</w:t>
      </w:r>
      <w:r>
        <w:t xml:space="preserve"> </w:t>
      </w:r>
      <w:r>
        <w:t xml:space="preserve">at 228-229, n. 5, there are potentially many persons who did not purchase Basic stock until</w:t>
      </w:r>
      <w:r>
        <w:t xml:space="preserve"> </w:t>
      </w:r>
      <w:r>
        <w:rPr>
          <w:iCs/>
          <w:i/>
        </w:rPr>
        <w:t xml:space="preserve">after</w:t>
      </w:r>
      <w:r>
        <w:t xml:space="preserve"> </w:t>
      </w:r>
      <w:r>
        <w:t xml:space="preserve">the first false statement (October 1977), but who nonetheless</w:t>
      </w:r>
      <w:r>
        <w:t xml:space="preserve"> </w:t>
      </w:r>
      <w:r>
        <w:rPr>
          <w:iCs/>
          <w:i/>
        </w:rPr>
        <w:t xml:space="preserve">will</w:t>
      </w:r>
      <w:r>
        <w:t xml:space="preserve"> </w:t>
      </w:r>
      <w:r>
        <w:t xml:space="preserve">be able to recover under the Court's fraud-on-the-market theory. Thus, it is possible that a person who heard the first corporate misstatement and</w:t>
      </w:r>
      <w:r>
        <w:t xml:space="preserve"> </w:t>
      </w:r>
      <w:r>
        <w:rPr>
          <w:iCs/>
          <w:i/>
        </w:rPr>
        <w:t xml:space="preserve">disbelieved</w:t>
      </w:r>
      <w:r>
        <w:t xml:space="preserve"> </w:t>
      </w:r>
      <w:r>
        <w:t xml:space="preserve">it —</w:t>
      </w:r>
      <w:r>
        <w:t xml:space="preserve"> </w:t>
      </w:r>
      <w:r>
        <w:rPr>
          <w:iCs/>
          <w:i/>
        </w:rPr>
        <w:t xml:space="preserve">i. e.,</w:t>
      </w:r>
      <w:r>
        <w:t xml:space="preserve"> </w:t>
      </w:r>
      <w:r>
        <w:t xml:space="preserve">someone who purchased Basic stock thinking that petitioners' statement was false — may still be included in the plaintiff-class on remand. How a person who undertook such a speculative stock-investing strategy — and made $10 a share doing so (if he bought on October 22, 1977, and sold on December 15, 1978) — can say that he was "defrauded" by virtue of his reliance on the "integrity" of the market price is beyond me.</w:t>
      </w:r>
      <w:hyperlink w:anchor="X4f0599d7cddc026b36f07a6f63a0cb4e1ad502e">
        <w:r>
          <w:rPr>
            <w:rStyle w:val="Hyperlink"/>
            <w:vertAlign w:val="superscript"/>
          </w:rPr>
          <w:t xml:space="preserve">[10]</w:t>
        </w:r>
      </w:hyperlink>
      <w:r>
        <w:t xml:space="preserve"> </w:t>
      </w:r>
      <w:r>
        <w:t xml:space="preserve">[262] And such speculators may not be uncommon, at least in this case. See App. to Pet. for Cert. 125a.</w:t>
      </w:r>
    </w:p>
    <w:p>
      <w:pPr>
        <w:pStyle w:val="CaseBody"/>
      </w:pPr>
      <w:r>
        <w:t xml:space="preserve">Indeed, the facts of this case lead a casual observer to the almost inescapable conclusion that many of those who bought or sold Basic stock during the period in question flatly disbelieved the statements which are alleged to have been "materially misleading." Despite three statements denying that merger negotiations were underway, Basic stock hit record-high after record-high during the 14-month class period. It seems quite possible that, like Casca's knowing disbelief of Caesar's "thrice refusal" of the Crown,</w:t>
      </w:r>
      <w:hyperlink w:anchor="Xe1b08432fe68bb4b77120bd2ac1790239c172a0">
        <w:r>
          <w:rPr>
            <w:rStyle w:val="Hyperlink"/>
            <w:vertAlign w:val="superscript"/>
          </w:rPr>
          <w:t xml:space="preserve">[11]</w:t>
        </w:r>
      </w:hyperlink>
      <w:r>
        <w:t xml:space="preserve"> </w:t>
      </w:r>
      <w:r>
        <w:t xml:space="preserve">clever investors were skeptical of petitioners' three denials that merger talks were going on. Yet such investors, the saviest of the savvy, will be able to recover under the Court's opinion, as long as they now claim that they believed in the "integrity of the market price" when they sold their stock (between September and December 1978).</w:t>
      </w:r>
      <w:hyperlink w:anchor="X4663f2cf9080d4a69f5e919bc965edf99e11af9">
        <w:r>
          <w:rPr>
            <w:rStyle w:val="Hyperlink"/>
            <w:vertAlign w:val="superscript"/>
          </w:rPr>
          <w:t xml:space="preserve">[12]</w:t>
        </w:r>
      </w:hyperlink>
      <w:r>
        <w:t xml:space="preserve"> </w:t>
      </w:r>
      <w:r>
        <w:t xml:space="preserve">Thus, persons who bought after hearing and relying on the</w:t>
      </w:r>
      <w:r>
        <w:t xml:space="preserve"> </w:t>
      </w:r>
      <w:r>
        <w:rPr>
          <w:iCs/>
          <w:i/>
        </w:rPr>
        <w:t xml:space="preserve">falsity</w:t>
      </w:r>
      <w:r>
        <w:t xml:space="preserve"> </w:t>
      </w:r>
      <w:r>
        <w:t xml:space="preserve">of petitioners' statements may be able to prevail and recover money damages on remand.</w:t>
      </w:r>
    </w:p>
    <w:p>
      <w:pPr>
        <w:pStyle w:val="CaseBody"/>
      </w:pPr>
      <w:r>
        <w:t xml:space="preserve">And who will pay the judgments won in such actions? I suspect that all too often the majority's rule will "lead to large judgments, payable in the last analysis by innocent investors, for the benefit of speculators and their lawyers."</w:t>
      </w:r>
      <w:r>
        <w:rPr>
          <w:rStyle w:val="Elision"/>
        </w:rPr>
        <w:t xml:space="preserve">[ … ]</w:t>
      </w:r>
    </w:p>
    <w:p>
      <w:pPr>
        <w:pStyle w:val="CaseBody"/>
      </w:pPr>
      <w:r>
        <w:t xml:space="preserve">.</w:t>
      </w:r>
    </w:p>
    <w:p>
      <w:pPr>
        <w:pStyle w:val="CaseBody"/>
      </w:pPr>
      <w:r>
        <w:t xml:space="preserve">It has been suggested that given current market practices, a "no comment" statement is tantamount to an admission that merger discussions are underway. See</w:t>
      </w:r>
      <w:r>
        <w:t xml:space="preserve"> </w:t>
      </w:r>
      <w:r>
        <w:rPr>
          <w:iCs/>
          <w:i/>
        </w:rPr>
        <w:t xml:space="preserve">Flamm</w:t>
      </w:r>
      <w:r>
        <w:t xml:space="preserve"> </w:t>
      </w:r>
      <w:r>
        <w:t xml:space="preserve">v.</w:t>
      </w:r>
      <w:r>
        <w:t xml:space="preserve"> </w:t>
      </w:r>
      <w:r>
        <w:rPr>
          <w:iCs/>
          <w:i/>
        </w:rPr>
        <w:t xml:space="preserve">Eberstadt,</w:t>
      </w:r>
      <w:r>
        <w:t xml:space="preserve"> </w:t>
      </w:r>
      <w:r>
        <w:t xml:space="preserve">814 F. 2d, at 1178. That may well hold true to the extent that issuers adopt a policy of truthfully denying merger rumors when no discussions are underway, and of issuing "no comment" statements when they are in the midst of negotiations. There are, of course, other statement policies firms could adopt; we need not now advise issuers as to what kind of practice to follow, within the range permitted by law. Perhaps more importantly, we think that creating an exception to a regulatory scheme founded on a prodisclosure legislative philosophy, because complying with the regulation might be "bad for business," is a role for Congress, not this Court.</w:t>
      </w:r>
      <w:r>
        <w:rPr>
          <w:rStyle w:val="Elision"/>
        </w:rPr>
        <w:t xml:space="preserve">[ … ]</w:t>
      </w:r>
    </w:p>
    <w:p>
      <w:pPr>
        <w:pStyle w:val="CaseBody"/>
      </w:pPr>
      <w:r>
        <w:rPr>
          <w:iCs/>
          <w:i/>
        </w:rPr>
        <w:t xml:space="preserve">.</w:t>
      </w:r>
    </w:p>
    <w:bookmarkEnd w:id="104"/>
    <w:p>
      <w:pPr>
        <w:pStyle w:val="NodeEnd"/>
      </w:pPr>
      <w:r>
        <w:t xml:space="preserve"> </w:t>
      </w:r>
    </w:p>
    <w:p>
      <w:pPr>
        <w:pStyle w:val="NodeStart"/>
      </w:pPr>
      <w:r>
        <w:t xml:space="preserve"> </w:t>
      </w:r>
    </w:p>
    <w:p>
      <w:pPr>
        <w:pStyle w:val="HeadSeparator"/>
      </w:pPr>
      <w:r>
        <w:t xml:space="preserve"> </w:t>
      </w:r>
    </w:p>
    <w:bookmarkStart w:id="63" w:name="_auto_toc_63"/>
    <w:bookmarkEnd w:id="63"/>
    <w:p>
      <w:pPr>
        <w:pStyle w:val="ResourceNumber"/>
      </w:pPr>
      <w:r>
        <w:t xml:space="preserve">6.1.2</w:t>
      </w:r>
    </w:p>
    <w:p>
      <w:pPr>
        <w:pStyle w:val="ResourceTitle"/>
      </w:pPr>
      <w:r>
        <w:t xml:space="preserve">Santa Fe Industries, Inc. v. Green</w:t>
      </w:r>
    </w:p>
    <w:p>
      <w:pPr>
        <w:pStyle w:val="HeadFieldSeparator"/>
      </w:pPr>
      <w:r>
        <w:t xml:space="preserve"> </w:t>
      </w:r>
    </w:p>
    <w:p>
      <w:pPr>
        <w:pStyle w:val="ResourceHeadnote"/>
      </w:pPr>
      <w:r>
        <w:t xml:space="preserve">Don't worry overmuch about the technical elements of the transaction involved here (short-form merger) or the reference to "appraisal," both topics we will cover later in the course.</w:t>
      </w:r>
    </w:p>
    <w:p>
      <w:pPr>
        <w:pStyle w:val="ResourceHeadnote"/>
      </w:pPr>
      <w:r>
        <w:t xml:space="preserve">Do, however, consider the implications for the relative roles of state (corporate) and federal (securities) law assumed or implied by the court's analysis.</w:t>
      </w:r>
    </w:p>
    <w:p>
      <w:pPr>
        <w:pStyle w:val="HeadEnd"/>
      </w:pPr>
      <w:r>
        <w:t xml:space="preserve"> </w:t>
      </w:r>
    </w:p>
    <w:p>
      <w:pPr>
        <w:pStyle w:val="CaseHeader"/>
      </w:pPr>
      <w:r>
        <w:t xml:space="preserve">Supreme Court of the United States</w:t>
      </w:r>
    </w:p>
    <w:p>
      <w:pPr>
        <w:pStyle w:val="CaseHeader"/>
      </w:pPr>
      <w:r>
        <w:t xml:space="preserve">430 U.S. 462, 51 L. Ed. 2d 480, 97 S. Ct. 1292, SCDB 1976-076, 1977 U.S. LEXIS 66</w:t>
      </w:r>
    </w:p>
    <w:p>
      <w:pPr>
        <w:pStyle w:val="CaseHeader"/>
      </w:pPr>
      <w:r>
        <w:t xml:space="preserve">No. 75-1753</w:t>
      </w:r>
    </w:p>
    <w:p>
      <w:pPr>
        <w:pStyle w:val="CaseHeader"/>
      </w:pPr>
      <w:r>
        <w:t xml:space="preserve">1977-03-23</w:t>
      </w:r>
    </w:p>
    <w:p>
      <w:pPr>
        <w:pStyle w:val="CaseBody"/>
      </w:pPr>
      <w:r>
        <w:rPr>
          <w:rStyle w:val="Elision"/>
        </w:rPr>
        <w:t xml:space="preserve">[ … ]</w:t>
      </w:r>
    </w:p>
    <w:p>
      <w:pPr>
        <w:pStyle w:val="CaseBody"/>
      </w:pPr>
      <w:r>
        <w:t xml:space="preserve">The issue in this case involves the reach and coverage of § 10 (b) of the Securities Exchange Act of 1934 and Rule 10b-5</w:t>
      </w:r>
      <w:r>
        <w:rPr>
          <w:rStyle w:val="FootnoteReference"/>
        </w:rPr>
        <w:footnoteReference w:customMarkFollows="1" w:id="16"/>
        <w:t xml:space="preserve">1</w:t>
      </w:r>
      <w:r>
        <w:t xml:space="preserve"> </w:t>
      </w:r>
      <w:r>
        <w:t xml:space="preserve">thereunder in the context of a Delaware short-form merger transaction used by the majority stockholder of a corporation to eliminate the minority interest.</w:t>
      </w:r>
    </w:p>
    <w:p>
      <w:pPr>
        <w:pStyle w:val="CaseBody"/>
      </w:pPr>
      <w:r>
        <w:t xml:space="preserve">I</w:t>
      </w:r>
    </w:p>
    <w:p>
      <w:pPr>
        <w:pStyle w:val="CaseBody"/>
      </w:pPr>
      <w:r>
        <w:t xml:space="preserve">In 1936, petitioner Santa Fe Industries, Inc. (Santa Fe), acquired control of 60% of the stock of Kirby Lumber Corp. (Kirby), a Delaware corporation. Through a series of purchases over the succeeding years, Santa Fe increased its control of Kirby’s stock to 95%; the purchase prices during the period 1968-1973 ranged from $65 to $92.50 per share.</w:t>
      </w:r>
      <w:r>
        <w:rPr>
          <w:rStyle w:val="FootnoteReference"/>
        </w:rPr>
        <w:footnoteReference w:customMarkFollows="1" w:id="47"/>
        <w:t xml:space="preserve">2</w:t>
      </w:r>
      <w:r>
        <w:t xml:space="preserve"> </w:t>
      </w:r>
      <w:r>
        <w:t xml:space="preserve">In 1974, wishing to acquire 100% ownership of Kirby, Santa Fe availed itself of § 253 of the Delaware Corporation Law, known as the “short-form merger” statute. Section 253 permits a parent corporation owning at least 90% of the stock of a subsidiary to merge with that subsidiary, upon approval by the parent’s board of directors, and to make payment in cash for the shares of the minority stockholders. The statute does not require the consent of, or advance notice to, the minority stockholders. However, notice of the merger must be given within 10 days after its effective date, and any stockholder who is dissatisfied with the terms of the merger may petition the Delaware Court of Chancery for a decree ordering the surviving corporation to pay him the fair value of his shares, as determined by a court-appointed appraiser subject to review by the court. Del. Code Ann., Tit. 8, §§ 253, 262 (1975 ed. and Supp. 1976).</w:t>
      </w:r>
    </w:p>
    <w:p>
      <w:pPr>
        <w:pStyle w:val="CaseBody"/>
      </w:pPr>
      <w:r>
        <w:t xml:space="preserve">Santa Fe obtained independent appraisals of the physical assets of Kirby—land, timber, buildings, and machinery—and of Kirby’s oil, gas, and mineral interests. These appraisals, together with other financial information, were submitted to Morgan Stanley &amp; Co. (Morgan Stanley), an investment banking firm retained to appraise the fair market value of Kirby stock.</w:t>
      </w:r>
      <w:r>
        <w:t xml:space="preserve"> </w:t>
      </w:r>
      <w:r>
        <w:rPr>
          <w:rStyle w:val="HighlightedText"/>
        </w:rPr>
        <w:t xml:space="preserve">Kirby’s physical assets were appraised at $320 million (amounting to $640 for each of the 500,000 shares); Kirby’s stock was valued by Morgan Stanley at $125 per share. Under the terms of the merger, minority stockholders were offered $150 per share.</w:t>
      </w:r>
    </w:p>
    <w:p>
      <w:pPr>
        <w:pStyle w:val="CaseBody"/>
      </w:pPr>
      <w:r>
        <w:t xml:space="preserve">The provisions of the short-form merger statute were fully complied with.</w:t>
      </w:r>
      <w:r>
        <w:rPr>
          <w:rStyle w:val="FootnoteReference"/>
        </w:rPr>
        <w:footnoteReference w:customMarkFollows="1" w:id="75"/>
        <w:t xml:space="preserve">3</w:t>
      </w:r>
      <w:r>
        <w:t xml:space="preserve"> </w:t>
      </w:r>
      <w:r>
        <w:t xml:space="preserve">The minority stockholders of Kirby were notified the day after the merger became effective and were advised of their right to obtain an appraisal in Delaware court if dissatisfied with the offer of $150 per share. They also received an information statement containing, in addition to the relevant financial data about Kirby, the appraisals of the value of Kirby’s assets and the Morgan Stanley appraisal concluding that the fair market value of the stock was $125 per share.</w:t>
      </w:r>
    </w:p>
    <w:p>
      <w:pPr>
        <w:pStyle w:val="CaseBody"/>
      </w:pPr>
      <w:r>
        <w:t xml:space="preserve">Respondents, minority stockholders of Kirby, objected to the terms of the merger, but did not pursue their appraisal remedy in the Delaware Court of Chancery.</w:t>
      </w:r>
      <w:r>
        <w:rPr>
          <w:rStyle w:val="FootnoteReference"/>
        </w:rPr>
        <w:footnoteReference w:customMarkFollows="1" w:id="100"/>
        <w:t xml:space="preserve">4</w:t>
      </w:r>
      <w:r>
        <w:t xml:space="preserve"> </w:t>
      </w:r>
      <w:r>
        <w:t xml:space="preserve">Instead, they brought this action in federal court on behalf of the corporation and other minority stockholders, seeking to set aside the merger or to recover what they claimed to be the fair value of their shares. The amended complaint asserted that, based on the fair market value of Kirby’s physical assets as revealed by the appraisal included in the information statement sent to minority shareholders, Kirby’s stock was worth at least $772 per share.</w:t>
      </w:r>
      <w:r>
        <w:rPr>
          <w:rStyle w:val="FootnoteReference"/>
        </w:rPr>
        <w:footnoteReference w:customMarkFollows="1" w:id="123"/>
        <w:t xml:space="preserve">5</w:t>
      </w:r>
      <w:r>
        <w:t xml:space="preserve"> </w:t>
      </w:r>
      <w:r>
        <w:t xml:space="preserve">The complaint alleged further that the merger took place without prior notice to minority stockholders; that the purpose of the merger was to appropriate the difference between the “conceded pro rata value of the physical assets,” App. 103a, and the offer of $150 per share—to “freez[e] out the minority stockholders at a wholly inadequate price,”</w:t>
      </w:r>
      <w:r>
        <w:t xml:space="preserve"> </w:t>
      </w:r>
      <w:r>
        <w:rPr>
          <w:iCs/>
          <w:i/>
        </w:rPr>
        <w:t xml:space="preserve">id.,</w:t>
      </w:r>
      <w:r>
        <w:t xml:space="preserve"> </w:t>
      </w:r>
      <w:r>
        <w:t xml:space="preserve">at 100a; and that Santa Fe, knowing the appraised value of the physical assets, obtained a “fraudulent appraisal” of the stock from Morgan Stanley and offered $25 above that appraisal “in order to lull the minority stockholders into erroneously believing that [Santa Fe was] generous.”</w:t>
      </w:r>
      <w:r>
        <w:t xml:space="preserve"> </w:t>
      </w:r>
      <w:r>
        <w:rPr>
          <w:iCs/>
          <w:i/>
        </w:rPr>
        <w:t xml:space="preserve">Id.,</w:t>
      </w:r>
      <w:r>
        <w:t xml:space="preserve"> </w:t>
      </w:r>
      <w:r>
        <w:t xml:space="preserve">at 103a. This course of conduct was alleged to be “a violation of Rule 10b-5 because defendants employed a 'device, scheme, or artifice to defraud’ and engaged in an 'act, practice or course of business which operates or would operate as a fraud or deceit upon any person, in connection with the purchase or sale of any security.' ”</w:t>
      </w:r>
      <w:r>
        <w:t xml:space="preserve"> </w:t>
      </w:r>
      <w:r>
        <w:rPr>
          <w:iCs/>
          <w:i/>
        </w:rPr>
        <w:t xml:space="preserve">Ibid.</w:t>
      </w:r>
      <w:r>
        <w:t xml:space="preserve"> </w:t>
      </w:r>
      <w:r>
        <w:t xml:space="preserve"> </w:t>
      </w:r>
      <w:r>
        <w:t xml:space="preserve"> </w:t>
      </w:r>
      <w:r>
        <w:t xml:space="preserve">Morgan Stanley assertedly participated in the fraud as an accessory by submitting its appraisal of $125 per share although knowing the appraised value of the physical assets.</w:t>
      </w:r>
    </w:p>
    <w:p>
      <w:pPr>
        <w:pStyle w:val="CaseBody"/>
      </w:pPr>
      <w:r>
        <w:rPr>
          <w:rStyle w:val="Elision"/>
        </w:rPr>
        <w:t xml:space="preserve">[ … ]</w:t>
      </w:r>
    </w:p>
    <w:p>
      <w:pPr>
        <w:pStyle w:val="CaseBody"/>
      </w:pPr>
      <w:r>
        <w:rPr>
          <w:rStyle w:val="Elision"/>
        </w:rPr>
        <w:t xml:space="preserve">[ … ]</w:t>
      </w:r>
    </w:p>
    <w:p>
      <w:pPr>
        <w:pStyle w:val="CaseBody"/>
      </w:pPr>
      <w:r>
        <w:t xml:space="preserve">II</w:t>
      </w:r>
    </w:p>
    <w:p>
      <w:pPr>
        <w:pStyle w:val="CaseBody"/>
      </w:pPr>
      <w:r>
        <w:t xml:space="preserve">Section 10 (b) of the 1934 Act makes it “unlawful for any person ... to use or employ . . . any manipulative or deceptive device or contrivance in contravention of [Securities and Exchange Commission rules]</w:t>
      </w:r>
      <w:r>
        <w:rPr>
          <w:iCs/>
          <w:i/>
        </w:rPr>
        <w:t xml:space="preserve">”;</w:t>
      </w:r>
      <w:r>
        <w:t xml:space="preserve"> </w:t>
      </w:r>
      <w:r>
        <w:t xml:space="preserve">Rule 10b-5, promulgated by the SEC under § 10 (b), prohibits, in addition to nondisclosure and misrepresentation, any “artifice to defraud” or any act “which operates or would operate as a fraud or deceit.”</w:t>
      </w:r>
      <w:r>
        <w:rPr>
          <w:rStyle w:val="FootnoteReference"/>
        </w:rPr>
        <w:footnoteReference w:customMarkFollows="1" w:id="224"/>
        <w:t xml:space="preserve">10</w:t>
      </w:r>
      <w:r>
        <w:t xml:space="preserve"> </w:t>
      </w:r>
      <w:r>
        <w:t xml:space="preserve">The court below construed the term “fraud” in Rule 10b-5 by adverting to the use of the term in several of this Court’s decisions in contexts other than the 1934 Act and the related Securities Act of 1933, 15 U. S. C. § 77a</w:t>
      </w:r>
      <w:r>
        <w:t xml:space="preserve"> </w:t>
      </w:r>
      <w:r>
        <w:rPr>
          <w:iCs/>
          <w:i/>
        </w:rPr>
        <w:t xml:space="preserve">et seq.</w:t>
      </w:r>
      <w:r>
        <w:t xml:space="preserve"> </w:t>
      </w:r>
      <w:r>
        <w:t xml:space="preserve"> </w:t>
      </w:r>
      <w:r>
        <w:t xml:space="preserve"> </w:t>
      </w:r>
      <w:r>
        <w:t xml:space="preserve">The Court of Appeals’ approach to the interpretation of Rule 10b-5 is inconsistent with that taken by the Court last Term in</w:t>
      </w:r>
      <w:r>
        <w:t xml:space="preserve"> </w:t>
      </w:r>
      <w:r>
        <w:rPr>
          <w:iCs/>
          <w:i/>
        </w:rPr>
        <w:t xml:space="preserve">Ernst &amp; Ernst</w:t>
      </w:r>
      <w:r>
        <w:t xml:space="preserve"> </w:t>
      </w:r>
      <w:r>
        <w:t xml:space="preserve">v.</w:t>
      </w:r>
      <w:r>
        <w:t xml:space="preserve"> </w:t>
      </w:r>
      <w:r>
        <w:rPr>
          <w:iCs/>
          <w:i/>
        </w:rPr>
        <w:t xml:space="preserve">Hochfelder,</w:t>
      </w:r>
      <w:r>
        <w:t xml:space="preserve"> </w:t>
      </w:r>
      <w:r>
        <w:t xml:space="preserve">425 U. S. 185</w:t>
      </w:r>
      <w:r>
        <w:t xml:space="preserve"> </w:t>
      </w:r>
      <w:r>
        <w:t xml:space="preserve">(1976).</w:t>
      </w:r>
    </w:p>
    <w:p>
      <w:pPr>
        <w:pStyle w:val="CaseBody"/>
      </w:pPr>
      <w:r>
        <w:rPr>
          <w:iCs/>
          <w:i/>
        </w:rPr>
        <w:t xml:space="preserve">Ernst &amp; Ernst</w:t>
      </w:r>
      <w:r>
        <w:t xml:space="preserve"> </w:t>
      </w:r>
      <w:r>
        <w:t xml:space="preserve">makes clear that in deciding whether a complaint states a cause of action for “fraud” under Rule 10b-5, “we turn first to the language of § 10 (b), for ‘[t]he starting point in every case involving construction of a statute is the language itself.’ ”</w:t>
      </w:r>
      <w:r>
        <w:rPr>
          <w:rStyle w:val="Elision"/>
        </w:rPr>
        <w:t xml:space="preserve">[ … ]</w:t>
      </w:r>
      <w:r>
        <w:t xml:space="preserve">. In holding that a cause of action under Rule 10b-5 does not lie for mere negligence, the Court began with the principle that “[ascertainment of congressional intent with respect to the standard of liability created by a particular section of the [1933 and 1934] Acts must . . . rest primarily on the language of that section,”</w:t>
      </w:r>
      <w:r>
        <w:t xml:space="preserve"> </w:t>
      </w:r>
      <w:r>
        <w:t xml:space="preserve">425 U. S., at 200</w:t>
      </w:r>
      <w:r>
        <w:t xml:space="preserve">, and then focused on the statutory language of § 10 (b)—“[t]he words ‘manipulative or deceptive’ used in conjunction with ‘device or contrivance.’ ”</w:t>
      </w:r>
      <w:r>
        <w:t xml:space="preserve"> </w:t>
      </w:r>
      <w:r>
        <w:rPr>
          <w:iCs/>
          <w:i/>
        </w:rPr>
        <w:t xml:space="preserve">Id.,</w:t>
      </w:r>
      <w:r>
        <w:rPr>
          <w:iCs/>
          <w:i/>
        </w:rPr>
        <w:t xml:space="preserve"> </w:t>
      </w:r>
      <w:r>
        <w:t xml:space="preserve">at 197</w:t>
      </w:r>
      <w:r>
        <w:t xml:space="preserve">. The same language and the same principle apply to this case.</w:t>
      </w:r>
    </w:p>
    <w:p>
      <w:pPr>
        <w:pStyle w:val="CaseBody"/>
      </w:pPr>
      <w:r>
        <w:t xml:space="preserve">To the extent that the Court of Appeals would rely on the use of the term “fraud” in Rule 10b-5 to bring within the ambit of the Rule all breaches of fiduciary duty in connection with a securities transaction, its interpretation would, like the interpretation rejected by the Court in</w:t>
      </w:r>
      <w:r>
        <w:t xml:space="preserve"> </w:t>
      </w:r>
      <w:r>
        <w:rPr>
          <w:iCs/>
          <w:i/>
        </w:rPr>
        <w:t xml:space="preserve">Ernst &amp; Ernst, “add</w:t>
      </w:r>
      <w:r>
        <w:t xml:space="preserve"> </w:t>
      </w:r>
      <w:r>
        <w:t xml:space="preserve">a gloss to the operative language of the statute quite different from its commonly accepted meaning.”</w:t>
      </w:r>
      <w:r>
        <w:t xml:space="preserve"> </w:t>
      </w:r>
      <w:r>
        <w:rPr>
          <w:iCs/>
          <w:i/>
        </w:rPr>
        <w:t xml:space="preserve">Id.,</w:t>
      </w:r>
      <w:r>
        <w:rPr>
          <w:iCs/>
          <w:i/>
        </w:rPr>
        <w:t xml:space="preserve"> </w:t>
      </w:r>
      <w:r>
        <w:t xml:space="preserve">at 199</w:t>
      </w:r>
      <w:r>
        <w:t xml:space="preserve">. But, as the Court there held, the language of the statute must control the interpretation of the Rule:</w:t>
      </w:r>
    </w:p>
    <w:p>
      <w:pPr>
        <w:pStyle w:val="BlockText"/>
      </w:pPr>
      <w:r>
        <w:t xml:space="preserve">“Rule 10b-5 was adopted pursuant to authority granted the [Securities and Exchange] Commission under § 10 (b). The rulemaking power granted to an administrative agency charged with the administration of a federal statute is not the power to make law. Rather, it is ‘ “the power to adopt regulations to carry into effect the will of Congress as expressed by the statute.” ’. . . [The scope of the Rule] cannot exceed the power granted the Commission by Congress under § 10 (b).”</w:t>
      </w:r>
      <w:r>
        <w:t xml:space="preserve"> </w:t>
      </w:r>
      <w:r>
        <w:rPr>
          <w:iCs/>
          <w:i/>
        </w:rPr>
        <w:t xml:space="preserve">Id.,</w:t>
      </w:r>
      <w:r>
        <w:rPr>
          <w:iCs/>
          <w:i/>
        </w:rPr>
        <w:t xml:space="preserve"> </w:t>
      </w:r>
      <w:r>
        <w:t xml:space="preserve">at 212—214</w:t>
      </w:r>
      <w:r>
        <w:t xml:space="preserve">.</w:t>
      </w:r>
      <w:r>
        <w:rPr>
          <w:rStyle w:val="FootnoteReference"/>
        </w:rPr>
        <w:footnoteReference w:customMarkFollows="1" w:id="257"/>
        <w:t xml:space="preserve">12</w:t>
      </w:r>
    </w:p>
    <w:p>
      <w:pPr>
        <w:pStyle w:val="CaseBody"/>
      </w:pPr>
      <w:r>
        <w:rPr>
          <w:rStyle w:val="HighlightedText"/>
        </w:rPr>
        <w:t xml:space="preserve">The language of § 10 (b) gives no indication that Congress meant to prohibit any conduct not involving manipulation or deception.</w:t>
      </w:r>
      <w:r>
        <w:t xml:space="preserve"> </w:t>
      </w:r>
      <w:r>
        <w:t xml:space="preserve">Nor have we been cited to any evidence in the legislative history that would support a departure from the language of the statute.</w:t>
      </w:r>
      <w:r>
        <w:rPr>
          <w:rStyle w:val="FootnoteReference"/>
        </w:rPr>
        <w:footnoteReference w:customMarkFollows="1" w:id="273"/>
        <w:t xml:space="preserve">13</w:t>
      </w:r>
      <w:r>
        <w:t xml:space="preserve"> </w:t>
      </w:r>
      <w:r>
        <w:t xml:space="preserve">“When a statute speaks so specifically in terms of manipulation and deception, . . . and when its history reflects no more expansive intent, we are quite unwilling to extend the scope of the statute . . ."</w:t>
      </w:r>
      <w:r>
        <w:t xml:space="preserve"> </w:t>
      </w:r>
      <w:r>
        <w:rPr>
          <w:iCs/>
          <w:i/>
        </w:rPr>
        <w:t xml:space="preserve">Id.,</w:t>
      </w:r>
      <w:r>
        <w:rPr>
          <w:iCs/>
          <w:i/>
        </w:rPr>
        <w:t xml:space="preserve"> </w:t>
      </w:r>
      <w:r>
        <w:t xml:space="preserve">at 214</w:t>
      </w:r>
      <w:r>
        <w:t xml:space="preserve">. Thus the claim of fraud and fiduciary breach in this complaint states a cause of action under any part of Rule 10b-5 only if the conduct alleged can be fairly viewed as “manipulative or deceptive” within the meaning of the statute.</w:t>
      </w:r>
    </w:p>
    <w:p>
      <w:pPr>
        <w:pStyle w:val="CaseBody"/>
      </w:pPr>
      <w:r>
        <w:t xml:space="preserve">III</w:t>
      </w:r>
    </w:p>
    <w:p>
      <w:pPr>
        <w:pStyle w:val="CaseBody"/>
      </w:pPr>
      <w:r>
        <w:t xml:space="preserve">It is our judgment that the transaction, if carried out as alleged in the complaint, was neither deceptive nor manipulative and therefore did not violate either § 10 (b) of the Act or Rule 10b-5.</w:t>
      </w:r>
    </w:p>
    <w:p>
      <w:pPr>
        <w:pStyle w:val="CaseBody"/>
      </w:pPr>
      <w:r>
        <w:t xml:space="preserve">As we have indicated, the case comes to us on the premise that the complaint failed to allege a material misrepresentation or material failure to disclose. The finding of the District Court, undisturbed by the Court of Appeals, was that there was no “omission” or “misstatement” in the information statement accompanying the notice of merger. On the basis of the information provided, minority shareholders could either accept the price offered or reject it and seek an appraisal in the Delaware Court of Chancery. Their choice was fairly presented, and they were furnished with all relevant information on which to base their decision.</w:t>
      </w:r>
      <w:r>
        <w:rPr>
          <w:rStyle w:val="FootnoteReference"/>
        </w:rPr>
        <w:footnoteReference w:customMarkFollows="1" w:id="289"/>
        <w:t xml:space="preserve">14</w:t>
      </w:r>
    </w:p>
    <w:p>
      <w:pPr>
        <w:pStyle w:val="CaseBody"/>
      </w:pPr>
      <w:r>
        <w:t xml:space="preserve">We therefore find inapposite the cases relied upon by respondents and the court below, in which the breaches of fiduciary duty held violative of Rule 10b-5 included some element of deception.</w:t>
      </w:r>
      <w:r>
        <w:rPr>
          <w:rStyle w:val="FootnoteReference"/>
        </w:rPr>
        <w:footnoteReference w:customMarkFollows="1" w:id="305"/>
        <w:t xml:space="preserve">15</w:t>
      </w:r>
      <w:r>
        <w:t xml:space="preserve"> </w:t>
      </w:r>
      <w:r>
        <w:t xml:space="preserve">Those cases forcefully reflect the principle that “[§] 10 (b) must be read flexibly, not technically and restrictively” and that the statute provides a cause of action for any plaintiff who “suffer[s] an injury as a result of deceptive practices touching its sale [or purchase] of securities . . ."</w:t>
      </w:r>
      <w:r>
        <w:t xml:space="preserve"> </w:t>
      </w:r>
      <w:r>
        <w:rPr>
          <w:iCs/>
          <w:i/>
        </w:rPr>
        <w:t xml:space="preserve">Superintendent of Insurance</w:t>
      </w:r>
      <w:r>
        <w:t xml:space="preserve"> </w:t>
      </w:r>
      <w:r>
        <w:t xml:space="preserve">v.</w:t>
      </w:r>
      <w:r>
        <w:t xml:space="preserve"> </w:t>
      </w:r>
      <w:r>
        <w:rPr>
          <w:iCs/>
          <w:i/>
        </w:rPr>
        <w:t xml:space="preserve">Bankers Life</w:t>
      </w:r>
      <w:r>
        <w:t xml:space="preserve"> </w:t>
      </w:r>
      <w:r>
        <w:t xml:space="preserve">&amp;</w:t>
      </w:r>
      <w:r>
        <w:t xml:space="preserve"> </w:t>
      </w:r>
      <w:r>
        <w:rPr>
          <w:iCs/>
          <w:i/>
        </w:rPr>
        <w:t xml:space="preserve">Cas. Co.,</w:t>
      </w:r>
      <w:r>
        <w:t xml:space="preserve"> </w:t>
      </w:r>
      <w:r>
        <w:t xml:space="preserve">404 U. S. 6</w:t>
      </w:r>
      <w:r>
        <w:t xml:space="preserve">, 12-13 (1971). But the cases do not support the proposition, adopted by the Court of Appeals below and urged by respondents here, that a breach of fiduciary duty by majority stockholders, without any deception, misrepresentation, or nondisclosure, violates the statute and the Rule.</w:t>
      </w:r>
    </w:p>
    <w:p>
      <w:pPr>
        <w:pStyle w:val="CaseBody"/>
      </w:pPr>
      <w:r>
        <w:t xml:space="preserve">It is also readily apparent that the conduct alleged in the complaint was not “manipulative” within the meaning of the statute. “Manipulation” is “virtually a term of art when used in connection with securities markets.”</w:t>
      </w:r>
      <w:r>
        <w:t xml:space="preserve"> </w:t>
      </w:r>
      <w:r>
        <w:rPr>
          <w:rStyle w:val="Elision"/>
        </w:rPr>
        <w:t xml:space="preserve">[ … ]</w:t>
      </w:r>
      <w:r>
        <w:t xml:space="preserve">The term refers generally to practices, such as wash sales, matched orders, or rigged prices, that are intended to mislead investors by artificially affecting market activity. See,</w:t>
      </w:r>
      <w:r>
        <w:t xml:space="preserve"> </w:t>
      </w:r>
      <w:r>
        <w:rPr>
          <w:iCs/>
          <w:i/>
        </w:rPr>
        <w:t xml:space="preserve">e. g.,</w:t>
      </w:r>
      <w:r>
        <w:t xml:space="preserve"> </w:t>
      </w:r>
      <w:r>
        <w:t xml:space="preserve">§ 9 of the 1934 Act, 15 U. S. C. § 78i (prohibiting specific manipulative</w:t>
      </w:r>
      <w:r>
        <w:t xml:space="preserve"> </w:t>
      </w:r>
      <w:r>
        <w:rPr>
          <w:iCs/>
          <w:i/>
        </w:rPr>
        <w:t xml:space="preserve">practices);</w:t>
      </w:r>
      <w:r>
        <w:t xml:space="preserve"> </w:t>
      </w:r>
      <w:r>
        <w:rPr>
          <w:rStyle w:val="Elision"/>
        </w:rPr>
        <w:t xml:space="preserve">[ … ]</w:t>
      </w:r>
      <w:r>
        <w:t xml:space="preserve">Section 10 (b)’s general prohibition of practices deemed by the SEC to be “manipulative”—in this technical sense of artificially affecting market activity in order to mislead investors—is fully consistent with the fundamental purpose of the 1934 Act “‘to substitute a philosophy of full disclosure for the philosophy of</w:t>
      </w:r>
      <w:r>
        <w:t xml:space="preserve"> </w:t>
      </w:r>
      <w:r>
        <w:rPr>
          <w:iCs/>
          <w:i/>
        </w:rPr>
        <w:t xml:space="preserve">caveat emptor</w:t>
      </w:r>
      <w:r>
        <w:t xml:space="preserve"> </w:t>
      </w:r>
      <w:r>
        <w:rPr>
          <w:rStyle w:val="Elision"/>
        </w:rPr>
        <w:t xml:space="preserve">[ … ]</w:t>
      </w:r>
      <w:r>
        <w:t xml:space="preserve"> </w:t>
      </w:r>
      <w:r>
        <w:t xml:space="preserve">Indeed, nondisclosure is usually essential to the success of a manipulative scheme.</w:t>
      </w:r>
      <w:r>
        <w:t xml:space="preserve"> </w:t>
      </w:r>
      <w:r>
        <w:rPr>
          <w:rStyle w:val="Elision"/>
        </w:rPr>
        <w:t xml:space="preserve">[ … ]</w:t>
      </w:r>
      <w:r>
        <w:t xml:space="preserve"> </w:t>
      </w:r>
      <w:r>
        <w:t xml:space="preserve">No doubt Congress meant to prohibit the full range of ingenious devices that might be used to manipulate securities prices. But we do not think it would have chosen this “term of art” if it had meant to bring within the scope of § 10 (b) instances of corporate mismanagement such as this, in which the essence of the complaint is that shareholders were treated unfairly by a fiduciary.</w:t>
      </w:r>
    </w:p>
    <w:p>
      <w:pPr>
        <w:pStyle w:val="CaseBody"/>
      </w:pPr>
      <w:r>
        <w:t xml:space="preserve">IV</w:t>
      </w:r>
    </w:p>
    <w:p>
      <w:pPr>
        <w:pStyle w:val="CaseBody"/>
      </w:pPr>
      <w:r>
        <w:t xml:space="preserve">The language of the statute is, we think, “sufficiently clear in its context” to be dispositive here,</w:t>
      </w:r>
      <w:r>
        <w:t xml:space="preserve"> </w:t>
      </w:r>
      <w:r>
        <w:rPr>
          <w:rStyle w:val="Elision"/>
        </w:rPr>
        <w:t xml:space="preserve">[ … ]</w:t>
      </w:r>
      <w:r>
        <w:t xml:space="preserve">but even if it were not, there are additional considerations that weigh heavily against permitting a cause of action under Rule 10b-5 for the breach of corporate fiduciary duty alleged in this complaint. Congress did not expressly provide a private cause of action for violations of § 10 (b). Although we have recognized an implied cause of action under that section in some circumstances,</w:t>
      </w:r>
      <w:r>
        <w:t xml:space="preserve"> </w:t>
      </w:r>
      <w:r>
        <w:rPr>
          <w:rStyle w:val="Elision"/>
        </w:rPr>
        <w:t xml:space="preserve">[ … ]</w:t>
      </w:r>
      <w:r>
        <w:t xml:space="preserve">we have also recognized that a private cause of action under the antifraud provisions of the Securities Exchange Act should not be implied where it is “unnecessary to ensure the fulfillment of Congress’ purposes” in adopting the Act.</w:t>
      </w:r>
      <w:r>
        <w:t xml:space="preserve"> </w:t>
      </w:r>
      <w:r>
        <w:rPr>
          <w:rStyle w:val="Elision"/>
        </w:rPr>
        <w:t xml:space="preserve">[ … ]</w:t>
      </w:r>
      <w:r>
        <w:t xml:space="preserve">As we noted earlier,</w:t>
      </w:r>
      <w:r>
        <w:t xml:space="preserve"> </w:t>
      </w:r>
      <w:r>
        <w:rPr>
          <w:iCs/>
          <w:i/>
        </w:rPr>
        <w:t xml:space="preserve">supra,</w:t>
      </w:r>
      <w:r>
        <w:t xml:space="preserve"> </w:t>
      </w:r>
      <w:r>
        <w:t xml:space="preserve">this page, the Court repeatedly has described the “fundamental purpose” of the Act as implementing a “philosophy of full disclosure”; once full and fair disclosure has occurred, the fairness of the terms of the transaction is at most a tangential concern of the statute.</w:t>
      </w:r>
      <w:r>
        <w:t xml:space="preserve"> </w:t>
      </w:r>
      <w:r>
        <w:rPr>
          <w:rStyle w:val="Elision"/>
        </w:rPr>
        <w:t xml:space="preserve">[ … ]</w:t>
      </w:r>
      <w:r>
        <w:rPr>
          <w:rStyle w:val="Elision"/>
        </w:rPr>
        <w:t xml:space="preserve">[ … ]</w:t>
      </w:r>
      <w:r>
        <w:t xml:space="preserve">we are reluctant to recognize a cause of action here to serve what is “at best a subsidiary purpose” of the federal legislation.</w:t>
      </w:r>
    </w:p>
    <w:p>
      <w:pPr>
        <w:pStyle w:val="CaseBody"/>
      </w:pPr>
      <w:r>
        <w:t xml:space="preserve">A second factor in determining whether Congress intended to create a federal cause of action in these circumstances is “whether ‘the cause of action [is] one traditionally relegated to state law</w:t>
      </w:r>
      <w:r>
        <w:t xml:space="preserve"> </w:t>
      </w:r>
      <w:r>
        <w:rPr>
          <w:rStyle w:val="Elision"/>
        </w:rPr>
        <w:t xml:space="preserve">[ … ]</w:t>
      </w:r>
      <w:r>
        <w:t xml:space="preserve"> </w:t>
      </w:r>
      <w:r>
        <w:t xml:space="preserve">The Delaware Legislature has supplied minority shareholders with a cause of action in the Delaware Court of Chancery to recover the fair value of shares allegedly undervalued in a short-form merger. See</w:t>
      </w:r>
      <w:r>
        <w:t xml:space="preserve"> </w:t>
      </w:r>
      <w:r>
        <w:rPr>
          <w:iCs/>
          <w:i/>
        </w:rPr>
        <w:t xml:space="preserve">supra,</w:t>
      </w:r>
      <w:r>
        <w:t xml:space="preserve"> </w:t>
      </w:r>
      <w:r>
        <w:t xml:space="preserve">at 465-466. Of course, the existence of a particular state-law remedy is not dispositive of the question whether Congress meant to provide a similar federal remedy, but as in</w:t>
      </w:r>
      <w:r>
        <w:t xml:space="preserve"> </w:t>
      </w:r>
      <w:r>
        <w:rPr>
          <w:iCs/>
          <w:i/>
        </w:rPr>
        <w:t xml:space="preserve">Cort</w:t>
      </w:r>
      <w:r>
        <w:t xml:space="preserve"> </w:t>
      </w:r>
      <w:r>
        <w:t xml:space="preserve">and</w:t>
      </w:r>
      <w:r>
        <w:t xml:space="preserve"> </w:t>
      </w:r>
      <w:r>
        <w:rPr>
          <w:iCs/>
          <w:i/>
        </w:rPr>
        <w:t xml:space="preserve">Piper,</w:t>
      </w:r>
      <w:r>
        <w:t xml:space="preserve"> </w:t>
      </w:r>
      <w:r>
        <w:t xml:space="preserve">we conclude that “it is entirely appropriate in this instance to relegate respondent and others in his situation to whatever remedy is created by state law.”</w:t>
      </w:r>
      <w:r>
        <w:rPr>
          <w:rStyle w:val="Elision"/>
        </w:rPr>
        <w:t xml:space="preserve">[ … ]</w:t>
      </w:r>
    </w:p>
    <w:p>
      <w:pPr>
        <w:pStyle w:val="CaseBody"/>
      </w:pPr>
      <w:r>
        <w:t xml:space="preserve">The reasoning behind a holding that the complaint in this case alleged fraud under Rule 10b-5 could not be easily contained. It is difficult to imagine how a court could distinguish, for purposes of Rule 10b-5 fraud, between a majority stockholder’s use of a short-form merger to eliminate the minority at an unfair price and the use of some other device, such as a long-form merger, tender offer, or liquidation, to achieve the same result; or indeed how a court could distinguish the alleged abuses in these going private transactions from other types of fiduciary self-dealing involving transactions in securities. The result would be to bring within the Rule a wide variety of corporate conduct traditionally left to state regulation. In addition to posing a “danger of vexatious litigation which could result from a widely expanded class of plaintiffs under Rule 10b-5,”</w:t>
      </w:r>
      <w:r>
        <w:t xml:space="preserve"> </w:t>
      </w:r>
      <w:r>
        <w:rPr>
          <w:rStyle w:val="Elision"/>
        </w:rPr>
        <w:t xml:space="preserve">[ … ]</w:t>
      </w:r>
      <w:r>
        <w:t xml:space="preserve">this extension of the federal securities laws would overlap and quite possibly interfere with state corporate law. Federal courts applying a “federal fiduciary principle” under Rule 10b-5 could be expected to depart from state fiduciary standards at least to the extent necessary to ensure uniformity within the federal system.</w:t>
      </w:r>
      <w:r>
        <w:rPr>
          <w:rStyle w:val="FootnoteReference"/>
        </w:rPr>
        <w:footnoteReference w:customMarkFollows="1" w:id="320"/>
        <w:t xml:space="preserve">16</w:t>
      </w:r>
      <w:r>
        <w:t xml:space="preserve"> </w:t>
      </w:r>
      <w:r>
        <w:t xml:space="preserve">Absent a clear indication of congressional intent, we are reluctant to federalize the substantial portion of the law of corporations that deals with transactions in securities, particularly where established state policies of corporate regulation would be overridden.</w:t>
      </w:r>
      <w:r>
        <w:t xml:space="preserve"> </w:t>
      </w:r>
      <w:r>
        <w:rPr>
          <w:rStyle w:val="Elision"/>
        </w:rPr>
        <w:t xml:space="preserve">[ … ]</w:t>
      </w:r>
      <w:r>
        <w:rPr>
          <w:rStyle w:val="HighlightedText"/>
        </w:rPr>
        <w:t xml:space="preserve">“Corporations are creatures of state law, and investors commit their funds to corporate directors on the understanding that, except where federal law</w:t>
      </w:r>
      <w:r>
        <w:rPr>
          <w:rStyle w:val="HighlightedText"/>
        </w:rPr>
        <w:t xml:space="preserve"> </w:t>
      </w:r>
      <w:r>
        <w:rPr>
          <w:rStyle w:val="HighlightedText"/>
          <w:iCs/>
          <w:i/>
        </w:rPr>
        <w:t xml:space="preserve">expressly</w:t>
      </w:r>
      <w:r>
        <w:rPr>
          <w:rStyle w:val="HighlightedText"/>
          <w:iCs/>
          <w:i/>
        </w:rPr>
        <w:t xml:space="preserve"> </w:t>
      </w:r>
      <w:r>
        <w:rPr>
          <w:rStyle w:val="HighlightedText"/>
        </w:rPr>
        <w:t xml:space="preserve">requires certain responsibilities of directors with respect to stockholders, state law will govern the internal affairs of the corporation.</w:t>
      </w:r>
      <w:r>
        <w:t xml:space="preserve">”</w:t>
      </w:r>
      <w:r>
        <w:t xml:space="preserve"> </w:t>
      </w:r>
      <w:r>
        <w:rPr>
          <w:rStyle w:val="Elision"/>
        </w:rPr>
        <w:t xml:space="preserve">[ … ]</w:t>
      </w:r>
    </w:p>
    <w:p>
      <w:pPr>
        <w:pStyle w:val="CaseBody"/>
      </w:pPr>
      <w:r>
        <w:t xml:space="preserve">We thus adhere to the position that “Congress by § 10 (b) did not seek to regulate transactions which constitute no more than internal corporate mismanagement.”</w:t>
      </w:r>
      <w:r>
        <w:t xml:space="preserve"> </w:t>
      </w:r>
      <w:r>
        <w:rPr>
          <w:rStyle w:val="Elision"/>
        </w:rPr>
        <w:t xml:space="preserve">[ … ]</w:t>
      </w:r>
      <w:r>
        <w:t xml:space="preserve"> </w:t>
      </w:r>
      <w:r>
        <w:t xml:space="preserve">There may well be a need for uniform federal fiduciary standards to govern mergers such as that challenged in this complaint. But those standards should not be supplied by judicial extension of § 10 (b) and Rule 10b-5 to “cover the corporate universe.”</w:t>
      </w:r>
      <w:r>
        <w:rPr>
          <w:rStyle w:val="FootnoteReference"/>
        </w:rPr>
        <w:footnoteReference w:customMarkFollows="1" w:id="334"/>
        <w:t xml:space="preserve">17</w:t>
      </w:r>
    </w:p>
    <w:p>
      <w:pPr>
        <w:pStyle w:val="CaseBody"/>
      </w:pPr>
      <w:r>
        <w:t xml:space="preserve">The judgment of the Court of Appeals is reversed, and the case is remanded for further proceedings consistent with this opinion.</w:t>
      </w:r>
    </w:p>
    <w:p>
      <w:pPr>
        <w:pStyle w:val="CaseBody"/>
      </w:pPr>
      <w:r>
        <w:rPr>
          <w:iCs/>
          <w:i/>
        </w:rPr>
        <w:t xml:space="preserve">So ordered.</w:t>
      </w:r>
    </w:p>
    <w:p>
      <w:pPr>
        <w:pStyle w:val="CaseBody"/>
      </w:pPr>
      <w:r>
        <w:t xml:space="preserve">Mr. Justice Brennan dissents and would affirm for substantially the reasons stated in the majority and concurring opinions in the Court of Appeals,</w:t>
      </w:r>
      <w:r>
        <w:t xml:space="preserve"> </w:t>
      </w:r>
      <w:r>
        <w:rPr>
          <w:rStyle w:val="Elision"/>
        </w:rPr>
        <w:t xml:space="preserve">[ … ]</w:t>
      </w:r>
    </w:p>
    <w:p>
      <w:pPr>
        <w:pStyle w:val="CaseBody"/>
      </w:pPr>
      <w:r>
        <w:t xml:space="preserve">Mr. Justice Blackmun,</w:t>
      </w:r>
    </w:p>
    <w:p>
      <w:pPr>
        <w:pStyle w:val="CaseBody"/>
      </w:pPr>
      <w:r>
        <w:t xml:space="preserve">concurring in part.</w:t>
      </w:r>
    </w:p>
    <w:p>
      <w:pPr>
        <w:pStyle w:val="CaseBody"/>
      </w:pPr>
      <w:r>
        <w:t xml:space="preserve">Like Mr. Justice Stevens, I refrain from joining Part IV of the Court’s opinion. I, too, regard that part as unnecessary for the decision in the instant case and, indeed, as exacerbating the concerns I expressed in my dissents in</w:t>
      </w:r>
      <w:r>
        <w:t xml:space="preserve"> </w:t>
      </w:r>
      <w:r>
        <w:rPr>
          <w:iCs/>
          <w:i/>
        </w:rPr>
        <w:t xml:space="preserve">Blue Chip Stamps</w:t>
      </w:r>
      <w:r>
        <w:t xml:space="preserve"> </w:t>
      </w:r>
      <w:r>
        <w:t xml:space="preserve">v.</w:t>
      </w:r>
      <w:r>
        <w:t xml:space="preserve"> </w:t>
      </w:r>
      <w:r>
        <w:rPr>
          <w:iCs/>
          <w:i/>
        </w:rPr>
        <w:t xml:space="preserve">Manor Drug Stores,</w:t>
      </w:r>
      <w:r>
        <w:t xml:space="preserve"> </w:t>
      </w:r>
      <w:r>
        <w:t xml:space="preserve">421 U. S. 723</w:t>
      </w:r>
      <w:r>
        <w:t xml:space="preserve">, 761 (1975), and in</w:t>
      </w:r>
      <w:r>
        <w:t xml:space="preserve"> </w:t>
      </w:r>
      <w:r>
        <w:rPr>
          <w:iCs/>
          <w:i/>
        </w:rPr>
        <w:t xml:space="preserve">Ernst &amp; Ernst</w:t>
      </w:r>
      <w:r>
        <w:t xml:space="preserve"> </w:t>
      </w:r>
      <w:r>
        <w:t xml:space="preserve">v.</w:t>
      </w:r>
      <w:r>
        <w:t xml:space="preserve"> </w:t>
      </w:r>
      <w:r>
        <w:rPr>
          <w:iCs/>
          <w:i/>
        </w:rPr>
        <w:t xml:space="preserve">Hochfelder,</w:t>
      </w:r>
      <w:r>
        <w:t xml:space="preserve"> </w:t>
      </w:r>
      <w:r>
        <w:t xml:space="preserve">425 U. S. 185</w:t>
      </w:r>
      <w:r>
        <w:t xml:space="preserve">, 215 (1976). I, however, join the remainder of the Court’s opinion and its judgment.</w:t>
      </w:r>
    </w:p>
    <w:p>
      <w:pPr>
        <w:pStyle w:val="CaseBody"/>
      </w:pPr>
      <w:r>
        <w:t xml:space="preserve">Mr. Justice Stevens,</w:t>
      </w:r>
    </w:p>
    <w:p>
      <w:pPr>
        <w:pStyle w:val="CaseBody"/>
      </w:pPr>
      <w:r>
        <w:t xml:space="preserve">concurring in part.</w:t>
      </w:r>
    </w:p>
    <w:p>
      <w:pPr>
        <w:pStyle w:val="CaseBody"/>
      </w:pPr>
      <w:r>
        <w:t xml:space="preserve">For the reasons stated by Mr. Justice Blackmun in his dissenting opinion in</w:t>
      </w:r>
      <w:r>
        <w:t xml:space="preserve"> </w:t>
      </w:r>
      <w:r>
        <w:rPr>
          <w:iCs/>
          <w:i/>
        </w:rPr>
        <w:t xml:space="preserve">Blue Chip Stamps</w:t>
      </w:r>
      <w:r>
        <w:t xml:space="preserve"> </w:t>
      </w:r>
      <w:r>
        <w:t xml:space="preserve">v.</w:t>
      </w:r>
      <w:r>
        <w:t xml:space="preserve"> </w:t>
      </w:r>
      <w:r>
        <w:rPr>
          <w:iCs/>
          <w:i/>
        </w:rPr>
        <w:t xml:space="preserve">Manor Drug Stores,</w:t>
      </w:r>
      <w:r>
        <w:t xml:space="preserve"> </w:t>
      </w:r>
      <w:r>
        <w:t xml:space="preserve">421 U. S. 723</w:t>
      </w:r>
      <w:r>
        <w:t xml:space="preserve">, 761,</w:t>
      </w:r>
      <w:r>
        <w:rPr>
          <w:rStyle w:val="FootnoteReference"/>
        </w:rPr>
        <w:footnoteReference w:customMarkFollows="1" w:id="17"/>
        <w:t xml:space="preserve">1</w:t>
      </w:r>
      <w:r>
        <w:t xml:space="preserve"> </w:t>
      </w:r>
      <w:r>
        <w:t xml:space="preserve">and those stated in my dissent in</w:t>
      </w:r>
      <w:r>
        <w:t xml:space="preserve"> </w:t>
      </w:r>
      <w:r>
        <w:rPr>
          <w:iCs/>
          <w:i/>
        </w:rPr>
        <w:t xml:space="preserve">Piper</w:t>
      </w:r>
      <w:r>
        <w:t xml:space="preserve"> </w:t>
      </w:r>
      <w:r>
        <w:t xml:space="preserve">v.</w:t>
      </w:r>
      <w:r>
        <w:t xml:space="preserve"> </w:t>
      </w:r>
      <w:r>
        <w:rPr>
          <w:iCs/>
          <w:i/>
        </w:rPr>
        <w:t xml:space="preserve">Chris-Craft Industries, ante,</w:t>
      </w:r>
      <w:r>
        <w:t xml:space="preserve"> </w:t>
      </w:r>
      <w:r>
        <w:t xml:space="preserve">p. 53, I believe both of those cases were incorrectly decided. I foresee some danger that Part IV of the Court's opinion in this case may incorrectly be read as extending the holdings of those cases. Moreover, the entire discussion in Part IV is unnecessary to the decision of this case. Accordingly, I join only Parts I, II, and III of the Court’s opinion. I would also add further emphasis to the fact that the controlling stockholders in this case did not breach any duty owed to the minority shareholders because (a) there was complete disclosure of the relevant facts, and (b) the minority are entitled to receive the fair value of their shares.</w:t>
      </w:r>
      <w:r>
        <w:rPr>
          <w:rStyle w:val="FootnoteReference"/>
        </w:rPr>
        <w:footnoteReference w:customMarkFollows="1" w:id="48"/>
        <w:t xml:space="preserve">2</w:t>
      </w:r>
      <w:r>
        <w:t xml:space="preserve"> </w:t>
      </w:r>
      <w:r>
        <w:t xml:space="preserve">The facts alleged in the complaint do not constitute “fraud” within the meaning of Rule 10b-5.</w:t>
      </w:r>
    </w:p>
    <w:bookmarkStart w:id="64" w:name="_auto_toc_64"/>
    <w:bookmarkEnd w:id="64"/>
    <w:p>
      <w:pPr>
        <w:pStyle w:val="ResourceNumber"/>
      </w:pPr>
      <w:r>
        <w:t xml:space="preserve">6.1.3</w:t>
      </w:r>
    </w:p>
    <w:p>
      <w:pPr>
        <w:pStyle w:val="ResourceTitle"/>
      </w:pPr>
      <w:r>
        <w:t xml:space="preserve">SEC v. Texas Gulf Sulphur Co.</w:t>
      </w:r>
    </w:p>
    <w:p>
      <w:pPr>
        <w:pStyle w:val="HeadFieldSeparator"/>
      </w:pPr>
      <w:r>
        <w:t xml:space="preserve"> </w:t>
      </w:r>
    </w:p>
    <w:p>
      <w:pPr>
        <w:pStyle w:val="ResourceHeadnote"/>
      </w:pPr>
      <w:r>
        <w:t xml:space="preserve">The following case, Texas Gulf Sulphur is an early federal insider trading case. In TGS, the court starts from the position that insiders, as fiduciaries, have an obligation not to use the corporation’s information for their personal benefit. As fiduciaries, insiders have an obligation to “disclose” the confidential inside information, or “abstain from trading” while in possession of the corporation’s material, confidential inside information. Questions arise as to what information is material and when is information no longer confidential such that an insider may freely trade on it.</w:t>
      </w:r>
    </w:p>
    <w:p>
      <w:pPr>
        <w:pStyle w:val="HeadEnd"/>
      </w:pPr>
      <w:r>
        <w:t xml:space="preserve"> </w:t>
      </w:r>
    </w:p>
    <w:p>
      <w:pPr>
        <w:pStyle w:val="CaseHeader"/>
      </w:pPr>
      <w:r>
        <w:t xml:space="preserve">United States Court of Appeals for the Second Circuit</w:t>
      </w:r>
    </w:p>
    <w:p>
      <w:pPr>
        <w:pStyle w:val="CaseHeader"/>
      </w:pPr>
      <w:r>
        <w:t xml:space="preserve">401 F.2d 833</w:t>
      </w:r>
    </w:p>
    <w:p>
      <w:pPr>
        <w:pStyle w:val="CaseHeader"/>
      </w:pPr>
      <w:r>
        <w:t xml:space="preserve">No. 296, Docket 30882</w:t>
      </w:r>
    </w:p>
    <w:p>
      <w:pPr>
        <w:pStyle w:val="CaseHeader"/>
      </w:pPr>
      <w:r>
        <w:t xml:space="preserve">1968-08-13</w:t>
      </w:r>
    </w:p>
    <w:p>
      <w:pPr>
        <w:pStyle w:val="CaseBody"/>
      </w:pPr>
      <w:r>
        <w:t xml:space="preserve">401 F.2d 833 (1968)</w:t>
      </w:r>
    </w:p>
    <w:p>
      <w:pPr>
        <w:pStyle w:val="CaseHeader"/>
      </w:pPr>
      <w:r>
        <w:t xml:space="preserve">SECURITIES AND EXCHANGE COMMISSION</w:t>
      </w:r>
      <w:r>
        <w:rPr>
          <w:rStyle w:val="ReplacementText"/>
        </w:rPr>
        <w:t xml:space="preserve"> </w:t>
      </w:r>
      <w:r>
        <w:rPr>
          <w:rStyle w:val="ReplacementText"/>
        </w:rPr>
        <w:t xml:space="preserve">v. TEXAS GULF SULPHUR CO.</w:t>
      </w:r>
    </w:p>
    <w:bookmarkStart w:id="106" w:name="the-factual-setting"/>
    <w:p>
      <w:pPr>
        <w:pStyle w:val="Heading2"/>
      </w:pPr>
      <w:r>
        <w:t xml:space="preserve">THE FACTUAL SETTING</w:t>
      </w:r>
    </w:p>
    <w:p>
      <w:pPr>
        <w:pStyle w:val="CaseBody"/>
      </w:pPr>
      <w:r>
        <w:t xml:space="preserve">This action derives from the exploratory activities of TGS begun in 1957 on the Canadian Shield in eastern Canada. In March of 1959, aerial geophysical surveys were conducted over more than 15,000 square miles of this area by a group led by defendant Mollison, a mining engineer and a Vice President of TGS. The group included defendant Holyk, TGS's chief geologist, defendant Clayton, an electrical engineer and geophysicist, and defendant Darke, a geologist. These operations resulted in the detection of numerous anomalies, i. e., extraordinary variations in the conductivity of rocks, one of which was on the Kidd 55 segment of land located near Timmins, Ontario.</w:t>
      </w:r>
    </w:p>
    <w:p>
      <w:pPr>
        <w:pStyle w:val="CaseBody"/>
      </w:pPr>
      <w:r>
        <w:t xml:space="preserve">On October 29 and 30, 1963, Clayton conducted a ground geophysical survey on the northeast portion of the Kidd 55 segment which confirmed the presence of an anomaly and indicated the necessity of diamond core drilling for further evaluation. Drilling of the initial hole, K-55-1, at the strongest part of the anomaly was commenced on November 8 and terminated on November 12 at a depth of 655 feet. Visual estimates by Holyk of the core of K-55-1 indicated an average copper content of 1.15% and an average zinc content of 8.64% over a length of 599 feet. This visual estimate convinced TGS that it was desirable to acquire the remainder of the Kidd 55 segment, and in order to facilitate this acquisition TGS President Stephens instructed the exploration group to keep the results of K-55-1 confidential and undisclosed even as to other officers, directors, and employees of TGS. The hole was concealed and a barren core was intentionally drilled off the anomaly. Meanwhile, the core of K-55-1 had been shipped to Utah for chemical assay which, when received in early December, revealed an average mineral content of 1.18% copper, 8.26% zinc, and 3.94% ounces of silver per ton over a length of 602 feet. These results were so remarkable that neither Clayton, an experienced geophysicist, nor four other TGS expert witnesses, had ever seen or heard of a comparable initial exploratory drill hole in a base metal deposit. So, the trial court concluded, "There is no doubt that the drill core of K-55-1 was unusually [844] good and that it excited the interest and speculation of those who knew about it." Id. at 282. By March 27, 1964, TGS decided that the land acquisition program had advanced to such a point that the company might well resume drilling, and drilling was resumed on March 31.</w:t>
      </w:r>
    </w:p>
    <w:p>
      <w:pPr>
        <w:pStyle w:val="CaseBody"/>
      </w:pPr>
      <w:r>
        <w:t xml:space="preserve">During this period, from November 12, 1963 when K-55-1 was completed, to March 31, 1964 when drilling was resumed, certain of the individual defendants listed in fn. 2, supra, and persons listed in fn. 4, supra, said to have received "tips" from them, purchased TGS stock or calls thereon. Prior to these transactions these persons had owned 1135 shares of TGS stock and possessed no calls; thereafter they owned a total of 8235 shares and possessed 12,300 calls.</w:t>
      </w:r>
    </w:p>
    <w:p>
      <w:pPr>
        <w:pStyle w:val="CaseBody"/>
      </w:pPr>
      <w:r>
        <w:rPr>
          <w:rStyle w:val="Elision"/>
        </w:rPr>
        <w:t xml:space="preserve">[ … ]</w:t>
      </w:r>
    </w:p>
    <w:p>
      <w:pPr>
        <w:pStyle w:val="CaseBody"/>
      </w:pPr>
      <w:r>
        <w:t xml:space="preserve">Meanwhile, rumors that a major ore strike was in the making had been circulating throughout Canada. On the morning of Saturday, April 11, Stephens at his home in Greenwich, Conn. read in the New York Herald Tribune and in the New York Times unauthorized reports of the TGS drilling which seemed to infer a rich strike from the fact that the drill cores had been flown to the United States for chemical assay. Stephens immediately contacted Fogarty at his [845] home in Rye, N. Y., who in turn telephoned and later that day visited Mollison at Mollison's home in Greenwich to obtain a current report and evaluation of the drilling progress.</w:t>
      </w:r>
      <w:hyperlink w:anchor="X1c56c09243a2b0844f0560c6819d1794a867077">
        <w:r>
          <w:rPr>
            <w:rStyle w:val="Hyperlink"/>
            <w:vertAlign w:val="superscript"/>
          </w:rPr>
          <w:t xml:space="preserve">[7]</w:t>
        </w:r>
      </w:hyperlink>
      <w:r>
        <w:t xml:space="preserve"> </w:t>
      </w:r>
      <w:r>
        <w:t xml:space="preserve">The following morning, Sunday, Fogarty again telephoned Mollison, inquiring whether Mollison had any further information and told him to return to Timmins with Holyk, the TGS Chief Geologist, as soon as possible "to move things along." With the aid of one Carroll, a public relations consultant, Fogarty drafted a press release designed to quell the rumors, which release, after having been channeled through Stephens and Huntington, a TGS attorney, was issued at 3:00 P. M. on Sunday, April 12, and which appeared in the morning newspapers of general circulation on Monday, April 13. It read in pertinent part as follows:</w:t>
      </w:r>
    </w:p>
    <w:p>
      <w:pPr>
        <w:pStyle w:val="BlockText"/>
      </w:pPr>
      <w:r>
        <w:t xml:space="preserve">NEW YORK, April 12 — The following statement was made today by Dr. Charles F. Fogarty, executive vice president of Texas Gulf Sulphur Company, in regard to the company's drilling operations near Timmins, Ontario, Canada. Dr. Fogarty said:</w:t>
      </w:r>
    </w:p>
    <w:p>
      <w:pPr>
        <w:pStyle w:val="BlockText"/>
      </w:pPr>
      <w:r>
        <w:t xml:space="preserve">"During the past few days, the exploration activities of Texas Gulf Sulphur in the area of Timmins, Ontario, have been widely reported in the press, coupled with rumors of a substantial copper discovery there. These reports exaggerate the scale of operations, and mention plans and statistics of size and grade of ore that are without factual basis and have evidently originated by speculation of people not connected with TGS.</w:t>
      </w:r>
    </w:p>
    <w:p>
      <w:pPr>
        <w:pStyle w:val="BlockText"/>
      </w:pPr>
      <w:r>
        <w:t xml:space="preserve">"The facts are as follows. TGS has been exploring in the Timmins area for six years as part of its overall search in Canada and elsewhere for various minerals — lead, copper, zinc, etc. During the course of this work, in Timmins as well as in Eastern Canada, TGS has conducted exploration entirely on its own, without the participation by others. Numerous prospects have been investigated by geophysical means and a large number of selected ones have been core-drilled. These cores are sent to the United States for assay and detailed examination as a matter of routine and on advice of expert Canadian legal counsel. No inferences as to grade can be drawn from this procedure.</w:t>
      </w:r>
    </w:p>
    <w:p>
      <w:pPr>
        <w:pStyle w:val="BlockText"/>
      </w:pPr>
      <w:r>
        <w:t xml:space="preserve">"Most of the areas drilled in Eastern Canada have revealed either barren pyrite or graphite without value; a few have resulted in discoveries of small or marginal sulphide ore bodies.</w:t>
      </w:r>
    </w:p>
    <w:p>
      <w:pPr>
        <w:pStyle w:val="BlockText"/>
      </w:pPr>
      <w:r>
        <w:t xml:space="preserve">"Recent drilling on one property near Timmins has led to preliminary indications that more drilling would be required for proper evaluation of this prospect. The drilling done to date has not been conclusive, but the statements made by many outside quarters are unreliable and include information and figures that are not available to TGS.</w:t>
      </w:r>
    </w:p>
    <w:p>
      <w:pPr>
        <w:pStyle w:val="BlockText"/>
      </w:pPr>
      <w:r>
        <w:t xml:space="preserve">"The work done to date has not been sufficient to reach definite conclusions and any statement as to size and grade of ore would be premature and possibly misleading. When we have progressed to the point where reasonable and logical conclusions can be made, TGS will issue a definite statement to its stockholders and to the public in order to clarify the Timmins project."</w:t>
      </w:r>
    </w:p>
    <w:p>
      <w:pPr>
        <w:pStyle w:val="BlockText"/>
      </w:pPr>
      <w:r>
        <w:t xml:space="preserve">* * * * * *</w:t>
      </w:r>
    </w:p>
    <w:p>
      <w:pPr>
        <w:pStyle w:val="CaseBody"/>
      </w:pPr>
      <w:r>
        <w:t xml:space="preserve">The release purported to give the Timmins drilling results as of the release date, April 12. From Mollison Fogarty had been told of the developments through 7:00 P. M. on April 10, and of [846] the remarkable discoveries made up to that time, detailed supra, which discoveries, according to the calculations of the experts who testified for the SEC at the hearing, demonstrated that TGS had already discovered 6.2 to 8.3 million tons of proven ore having gross assay values from $26 to $29 per ton. TGS experts, on the other hand, denied at the hearing that proven or probable ore could have been calculated on April 11 or 12 because there was then no assurance of continuity in the mineralized zone.</w:t>
      </w:r>
    </w:p>
    <w:p>
      <w:pPr>
        <w:pStyle w:val="CaseBody"/>
      </w:pPr>
      <w:r>
        <w:t xml:space="preserve">The evidence as to the effect of this release on the investing public was equivocal and less than abundant. On April 13 the New York Herald Tribune in an article head-noted "Copper Rumor Deflated" quoted from the TGS release of April 12 and backtracked from its original April 11 report of a major strike but nevertheless inferred from the TGS release that "recent mineral exploratory activity near Timmins, Ontario, has provided preliminary favorable results, sufficient at least to require a step-up in drilling operations." Some witnesses who testified at the hearing stated that they found the release encouraging. On the other hand, a Canadian mining security specialist, Roche, stated that "earlier in the week [before April 16] we had a Dow Jones saying that they [TGS] didn't have anything basically" and a TGS stock specialist for the Midwest Stock Exchange became concerned about his long position in the stock after reading the release. The trial court stated only that "While, in retrospect, the press release may appear gloomy or incomplete, this does not make it misleading or deceptive on the basis of the facts then known." Id. at 296.</w:t>
      </w:r>
    </w:p>
    <w:p>
      <w:pPr>
        <w:pStyle w:val="CaseBody"/>
      </w:pPr>
      <w:r>
        <w:t xml:space="preserve">Meanwhile, drilling operations continued.</w:t>
      </w:r>
      <w:r>
        <w:t xml:space="preserve"> </w:t>
      </w:r>
      <w:r>
        <w:rPr>
          <w:rStyle w:val="Elision"/>
        </w:rPr>
        <w:t xml:space="preserve">[ … ]</w:t>
      </w:r>
    </w:p>
    <w:p>
      <w:pPr>
        <w:pStyle w:val="CaseBody"/>
      </w:pPr>
      <w:r>
        <w:t xml:space="preserve">While drilling activity ensued to completion, TGC officials were taking steps toward ultimate disclosure of the discovery. On April 13, a previously-invited reporter for The Northern Miner, a Canadian mining industry journal, visited the drillsite, interviewed Mollison, Holyk and Darke, and prepared an article which confirmed a 10 million ton ore strike. This report, after having been submitted to Mollison and returned to the reporter unamended on April 15, was published in the April 16 issue. A statement relative to the extent of the discovery, in substantial part drafted by Mollison, was given to the Ontario Minister of Mines for release to the Canadian media. Mollison and Holyk expected it to be released over the airways at 11 P. M. on April 15th, but, for undisclosed reasons, it was not released until 9:40 A. M. on the 16th. An official detailed statement, announcing a strike of at least 25 million tons of ore, based on the drilling data set forth above, was read to representatives of American financial media from 10:00 A. M. to 10:10 or 10:15 A. M. on April 16, and appeared over Merrill Lynch's private wire at 10:29 A. M. and, somewhat later than [847] expected, over the Dow Jones ticker tape at 10:54 A. M.</w:t>
      </w:r>
    </w:p>
    <w:p>
      <w:pPr>
        <w:pStyle w:val="CaseBody"/>
      </w:pPr>
      <w:r>
        <w:t xml:space="preserve">Between the time the first press release was issued on April 12 and the dissemination of the TGS official announcement on the morning of April 16, the only defendants before us on appeal who engaged in market activity were Clayton and Crawford and TGS director Coates. Clayton ordered 200 shares of TGS stock through his Canadian broker on April 15 and the order was executed that day over the Midwest Stock Exchange. Crawford ordered 300 shares at midnight on the 15th and another 300 shares at 8:30 A. M. the next day, and these orders were executed over the Midwest Exchange in Chicago at its opening on April 16. Coates left the TGS press conference and called his broker son-in-law Haemisegger shortly before 10:20 A. M. on the 16th and ordered 2,000 shares of TGS for family trust accounts of which Coates was a trustee but not a beneficiary; Haemisegger executed this order over the New York and Midwest Exchanges, and he and his customers purchased 1500 additional shares.</w:t>
      </w:r>
    </w:p>
    <w:p>
      <w:pPr>
        <w:pStyle w:val="CaseBody"/>
      </w:pPr>
      <w:r>
        <w:t xml:space="preserve">During the period of drilling in Timmins, the market price of TGS stock fluctuated but steadily gained overall. On Friday, November 8, when the drilling began, the stock closed at 17 3/8 on Friday, November 15, after K-55-1 had been completed, it closed at 18. After a slight decline to 16 3/8 by Friday, November 22, the price rose to 20 7/8 by December 13, when the chemical assay results of K-55-1 were received, and closed at a high of 24 1/8 on February 21, the day after the stock options had been issued. It had reached a price of 26 by March 31, after the land acquisition program had been completed and drilling had been resumed, and continued to ascend to 30 1/8 by the close of trading on April 10, at which time the drilling progress up to then was evaluated for the April 12th press release. On April 13, the day on which the April 12 release was disseminated, TGS opened at 30 1/8, rose immediately to a high of 32 and gradually tapered off to close at 30 7/8. It closed at 30¼ the next day, and at 29 3/8 on April 15. On April 16, the day of the official announcement of the Timmins discovery, the price climbed to a high of 37 and closed at 36 3/8. By May 15, TGS stock was selling at 58¼.</w:t>
      </w:r>
    </w:p>
    <w:bookmarkEnd w:id="106"/>
    <w:bookmarkStart w:id="107" w:name="i.-the-individual-defendants"/>
    <w:p>
      <w:pPr>
        <w:pStyle w:val="Heading2"/>
      </w:pPr>
      <w:r>
        <w:t xml:space="preserve">I. THE INDIVIDUAL DEFENDANTS</w:t>
      </w:r>
    </w:p>
    <w:bookmarkEnd w:id="107"/>
    <w:bookmarkStart w:id="108" w:name="a.-introductory"/>
    <w:p>
      <w:pPr>
        <w:pStyle w:val="Heading2"/>
      </w:pPr>
      <w:r>
        <w:t xml:space="preserve">A.</w:t>
      </w:r>
      <w:r>
        <w:t xml:space="preserve"> </w:t>
      </w:r>
      <w:r>
        <w:rPr>
          <w:iCs/>
          <w:i/>
        </w:rPr>
        <w:t xml:space="preserve">Introductory</w:t>
      </w:r>
    </w:p>
    <w:p>
      <w:pPr>
        <w:pStyle w:val="CaseBody"/>
      </w:pPr>
      <w:r>
        <w:t xml:space="preserve">Rule 10b-5, 17 CFR 240.10b-5, on which this action is predicated, provides:</w:t>
      </w:r>
    </w:p>
    <w:p>
      <w:pPr>
        <w:pStyle w:val="BlockText"/>
      </w:pPr>
      <w:r>
        <w:t xml:space="preserve">It shall be unlawful for any person, directly or indirectly, by the use of any means or instrumentality of interstate commerce, or of the mails, or of any facility of any national securities exchange,</w:t>
      </w:r>
    </w:p>
    <w:p>
      <w:pPr>
        <w:pStyle w:val="BlockText"/>
      </w:pPr>
      <w:r>
        <w:t xml:space="preserve">(1) to employ any device, scheme, or artifice to defraud,</w:t>
      </w:r>
    </w:p>
    <w:p>
      <w:pPr>
        <w:pStyle w:val="BlockText"/>
      </w:pPr>
      <w:r>
        <w:t xml:space="preserve">(2) to make any untrue statement of a material fact or to omit to state a material fact necessary in order to make the statements made, in the light of the circumstances under which they were made, not misleading, or</w:t>
      </w:r>
    </w:p>
    <w:p>
      <w:pPr>
        <w:pStyle w:val="BlockText"/>
      </w:pPr>
      <w:r>
        <w:t xml:space="preserve">(3) to engage in any act, practice, or course of business which operates or would operate as a fraud or deceit upon any person,</w:t>
      </w:r>
    </w:p>
    <w:p>
      <w:pPr>
        <w:pStyle w:val="BlockText"/>
      </w:pPr>
      <w:r>
        <w:t xml:space="preserve">in connection with the purchase or sale of any security.</w:t>
      </w:r>
    </w:p>
    <w:p>
      <w:pPr>
        <w:pStyle w:val="CaseBody"/>
      </w:pPr>
      <w:r>
        <w:t xml:space="preserve">Rule 10b-5 was promulgated pursuant to the grant of authority given the SEC by Congress in Section 10(b) of the Securities Exchange Act of 1934 (15 U.S.C. § 78j(b).</w:t>
      </w:r>
      <w:hyperlink w:anchor="X5b86b6cf3baaf7f122df412b3751584e2aab42c">
        <w:r>
          <w:rPr>
            <w:rStyle w:val="Elision"/>
            <w:vertAlign w:val="superscript"/>
          </w:rPr>
          <w:t xml:space="preserve">[ … ]</w:t>
        </w:r>
      </w:hyperlink>
      <w:r>
        <w:t xml:space="preserve"> </w:t>
      </w:r>
      <w:r>
        <w:t xml:space="preserve">The Act and the Rule apply to the transactions here, all of which were consummated on exchanges.</w:t>
      </w:r>
      <w:r>
        <w:t xml:space="preserve"> </w:t>
      </w:r>
      <w:r>
        <w:rPr>
          <w:rStyle w:val="Elision"/>
        </w:rPr>
        <w:t xml:space="preserve">[ … ]</w:t>
      </w:r>
      <w:r>
        <w:t xml:space="preserve">Whether predicated on traditional fiduciary concepts,</w:t>
      </w:r>
      <w:r>
        <w:rPr>
          <w:rStyle w:val="Elision"/>
        </w:rPr>
        <w:t xml:space="preserve">[ … ]</w:t>
      </w:r>
      <w:r>
        <w:t xml:space="preserve"> </w:t>
      </w:r>
      <w:r>
        <w:t xml:space="preserve">or on the "special facts" doctrine</w:t>
      </w:r>
      <w:r>
        <w:rPr>
          <w:rStyle w:val="Elision"/>
        </w:rPr>
        <w:t xml:space="preserve">[ … ]</w:t>
      </w:r>
      <w:r>
        <w:t xml:space="preserve">, the Rule is based in policy on the justifiable expectation of the securities marketplace that all investors trading on impersonal exchanges have relatively equal access to material information</w:t>
      </w:r>
      <w:r>
        <w:rPr>
          <w:rStyle w:val="Elision"/>
        </w:rPr>
        <w:t xml:space="preserve">[ … ]</w:t>
      </w:r>
      <w:r>
        <w:t xml:space="preserve">.</w:t>
      </w:r>
      <w:r>
        <w:t xml:space="preserve"> </w:t>
      </w:r>
      <w:r>
        <w:rPr>
          <w:rStyle w:val="HighlightedText"/>
        </w:rPr>
        <w:t xml:space="preserve">The essence of the Rule is that anyone who, trading for his own account in the securities of a corporation has "access, directly or indirectly, to information intended to be available only for a corporate purpose and not for the personal benefit of anyone" may not take "advantage of such information knowing it is unavailable to those with whom he is dealing," i. e., the investing public.</w:t>
      </w:r>
      <w:r>
        <w:t xml:space="preserve"> </w:t>
      </w:r>
      <w:r>
        <w:t xml:space="preserve">Matter of Cady, Roberts &amp; Co., 40 SEC 907, 912 (1961).</w:t>
      </w:r>
      <w:r>
        <w:t xml:space="preserve"> </w:t>
      </w:r>
      <w:r>
        <w:rPr>
          <w:rStyle w:val="HighlightedText"/>
        </w:rPr>
        <w:t xml:space="preserve">Insiders, as directors or management officers are, of course, by this Rule, precluded from so unfairly dealing, but the Rule is also applicable to one possessing the information who may not be strictly termed an "insider" within the meaning of Sec. 16(b) of the Act. Cady, Roberts, supra. Thus, anyone in possession of material inside information must either disclose it to the investing public, or, if he is disabled from disclosing it in order to protect a corporate confidence, or he chooses not to do so, must abstain from trading in or recommending the securities concerned while such inside information remains undisclosed.</w:t>
      </w:r>
      <w:r>
        <w:rPr>
          <w:rStyle w:val="HighlightedText"/>
        </w:rPr>
        <w:t xml:space="preserve"> </w:t>
      </w:r>
      <w:r>
        <w:t xml:space="preserve">So, it is here no justification for insider activity that disclosure was forbidden by the legitimate corporate objective of acquiring options to purchase the land surrounding the exploration site;</w:t>
      </w:r>
      <w:r>
        <w:t xml:space="preserve"> </w:t>
      </w:r>
      <w:r>
        <w:rPr>
          <w:rStyle w:val="HighlightedText"/>
        </w:rPr>
        <w:t xml:space="preserve">if the information was, as the SEC contends, material,</w:t>
      </w:r>
      <w:hyperlink w:anchor="X72baa5f637a72063446c1e4aa218876e90faf53">
        <w:r>
          <w:rPr>
            <w:rStyle w:val="HighlightedText"/>
            <w:vertAlign w:val="superscript"/>
          </w:rPr>
          <w:t xml:space="preserve">[9]</w:t>
        </w:r>
      </w:hyperlink>
      <w:r>
        <w:rPr>
          <w:rStyle w:val="HighlightedText"/>
        </w:rPr>
        <w:t xml:space="preserve"> </w:t>
      </w:r>
      <w:r>
        <w:rPr>
          <w:rStyle w:val="HighlightedText"/>
        </w:rPr>
        <w:t xml:space="preserve">its possessors should have kept out of the market until disclosure was accomplished.</w:t>
      </w:r>
      <w:r>
        <w:t xml:space="preserve"> </w:t>
      </w:r>
      <w:r>
        <w:rPr>
          <w:rStyle w:val="Elision"/>
        </w:rPr>
        <w:t xml:space="preserve">[ … ]</w:t>
      </w:r>
    </w:p>
    <w:bookmarkEnd w:id="108"/>
    <w:bookmarkStart w:id="109" w:name="b.-material-inside-information"/>
    <w:p>
      <w:pPr>
        <w:pStyle w:val="Heading2"/>
      </w:pPr>
      <w:r>
        <w:t xml:space="preserve">B.</w:t>
      </w:r>
      <w:r>
        <w:t xml:space="preserve"> </w:t>
      </w:r>
      <w:r>
        <w:rPr>
          <w:iCs/>
          <w:i/>
        </w:rPr>
        <w:t xml:space="preserve">Material Inside Information</w:t>
      </w:r>
    </w:p>
    <w:p>
      <w:pPr>
        <w:pStyle w:val="CaseBody"/>
      </w:pPr>
      <w:r>
        <w:t xml:space="preserve">An insider is not, of course, always foreclosed from investing in his own company merely because he may be more familiar with company operations than are outside investors. An insider's duty to disclose information or his duty to abstain from dealing in his company's securities arises only in "those situations which are essentially extraordinary in nature and which are reasonably certain to have a substantial effect on the market price of the security if [the extraordinary situation is] disclosed."</w:t>
      </w:r>
      <w:r>
        <w:t xml:space="preserve"> </w:t>
      </w:r>
      <w:r>
        <w:rPr>
          <w:rStyle w:val="Elision"/>
        </w:rPr>
        <w:t xml:space="preserve">[ … ]</w:t>
      </w:r>
    </w:p>
    <w:p>
      <w:pPr>
        <w:pStyle w:val="CaseBody"/>
      </w:pPr>
      <w:r>
        <w:t xml:space="preserve">Nor is an insider obligated to confer upon outside investors the benefit of his superior financial or other expert analysis by disclosing his educated guesses or predictions.</w:t>
      </w:r>
      <w:r>
        <w:t xml:space="preserve"> </w:t>
      </w:r>
      <w:r>
        <w:rPr>
          <w:rStyle w:val="Elision"/>
        </w:rPr>
        <w:t xml:space="preserve">[ … ]</w:t>
      </w:r>
      <w:r>
        <w:t xml:space="preserve">The only regulatory objective is that access to material information be enjoyed equally, but this objective requires nothing more than the disclosure of basic facts so that outsiders may draw upon their own evaluative expertise in reaching their own investment decisions with knowledge equal to that of the insiders.</w:t>
      </w:r>
    </w:p>
    <w:p>
      <w:pPr>
        <w:pStyle w:val="CaseBody"/>
      </w:pPr>
      <w:r>
        <w:t xml:space="preserve">This is not to suggest, however, as did the trial court, that "the test of materiality must necessarily be a conservative one, particularly since many actions under Section 10(b) are brought on the basis of hindsight,"</w:t>
      </w:r>
      <w:r>
        <w:rPr>
          <w:rStyle w:val="Elision"/>
        </w:rPr>
        <w:t xml:space="preserve">[ … ]</w:t>
      </w:r>
      <w:r>
        <w:t xml:space="preserve"> </w:t>
      </w:r>
      <w:r>
        <w:t xml:space="preserve">in the sense that the materiality of facts is to be assessed solely by measuring the effect the knowledge of the facts would have upon prudent or conservative investors.</w:t>
      </w:r>
      <w:r>
        <w:t xml:space="preserve"> </w:t>
      </w:r>
      <w:r>
        <w:rPr>
          <w:rStyle w:val="Elision"/>
        </w:rPr>
        <w:t xml:space="preserve">[ … ]</w:t>
      </w:r>
      <w:r>
        <w:t xml:space="preserve"> </w:t>
      </w:r>
      <w:r>
        <w:rPr>
          <w:rStyle w:val="HighlightedText"/>
        </w:rPr>
        <w:t xml:space="preserve">"The basic test of materiality * * * is whether a</w:t>
      </w:r>
      <w:r>
        <w:rPr>
          <w:rStyle w:val="HighlightedText"/>
        </w:rPr>
        <w:t xml:space="preserve"> </w:t>
      </w:r>
      <w:r>
        <w:rPr>
          <w:rStyle w:val="HighlightedText"/>
          <w:iCs/>
          <w:i/>
        </w:rPr>
        <w:t xml:space="preserve">reasonable</w:t>
      </w:r>
      <w:r>
        <w:rPr>
          <w:rStyle w:val="HighlightedText"/>
        </w:rPr>
        <w:t xml:space="preserve"> </w:t>
      </w:r>
      <w:r>
        <w:rPr>
          <w:rStyle w:val="HighlightedText"/>
        </w:rPr>
        <w:t xml:space="preserve">man would attach importance * * * in determining his choice of action in the transaction in question.</w:t>
      </w:r>
      <w:r>
        <w:t xml:space="preserve"> </w:t>
      </w:r>
      <w:r>
        <w:rPr>
          <w:rStyle w:val="Elision"/>
        </w:rPr>
        <w:t xml:space="preserve">[ … ]</w:t>
      </w:r>
      <w:r>
        <w:t xml:space="preserve"> </w:t>
      </w:r>
      <w:r>
        <w:t xml:space="preserve">Such a fact is a material fact and must be effectively disclosed to the investing public prior to the commencement of insider trading in the corporation's securities. The speculators and chartists of Wall and Bay Streets are also "reasonable" investors entitled to the same legal protection afforded conservative traders.</w:t>
      </w:r>
      <w:hyperlink w:anchor="X9e7f9d597f86f689e27ef61bdea638243e80ec1">
        <w:r>
          <w:rPr>
            <w:rStyle w:val="Hyperlink"/>
            <w:vertAlign w:val="superscript"/>
          </w:rPr>
          <w:t xml:space="preserve">[10]</w:t>
        </w:r>
      </w:hyperlink>
      <w:r>
        <w:t xml:space="preserve"> </w:t>
      </w:r>
      <w:r>
        <w:t xml:space="preserve">Thus, material facts include not only information disclosing the earnings and distributions of a company but also those facts which affect the probable future of the company and those which may affect the desire of investors to buy, sell, or hold the company's securities.</w:t>
      </w:r>
    </w:p>
    <w:p>
      <w:pPr>
        <w:pStyle w:val="CaseBody"/>
      </w:pPr>
      <w:r>
        <w:rPr>
          <w:rStyle w:val="Elision"/>
        </w:rPr>
        <w:t xml:space="preserve">[ … ]</w:t>
      </w:r>
    </w:p>
    <w:p>
      <w:pPr>
        <w:pStyle w:val="CaseBody"/>
      </w:pPr>
      <w:r>
        <w:t xml:space="preserve">Our survey of the facts found below conclusively establishes that knowledge of the results of the discovery hole, K-55-1, would have been important to a reasonable investor and might have affected the price of the stock.</w:t>
      </w:r>
      <w:hyperlink w:anchor="Xd7df4dff9234a42be5b50c26b3558484c2b7e6c">
        <w:r>
          <w:rPr>
            <w:rStyle w:val="Hyperlink"/>
            <w:vertAlign w:val="superscript"/>
          </w:rPr>
          <w:t xml:space="preserve">[12]</w:t>
        </w:r>
      </w:hyperlink>
      <w:r>
        <w:t xml:space="preserve"> </w:t>
      </w:r>
      <w:r>
        <w:t xml:space="preserve">On April 16, The Northern Miner, a trade publication in wide circulation among mining stock specialists, called K-55-1, the discovery hole, "one of the most impressive drill holes completed in modern times."</w:t>
      </w:r>
      <w:hyperlink w:anchor="X753a71d8b017a3e28a75b50fd5f37f246aa32e9">
        <w:r>
          <w:rPr>
            <w:rStyle w:val="Hyperlink"/>
            <w:vertAlign w:val="superscript"/>
          </w:rPr>
          <w:t xml:space="preserve">[13]</w:t>
        </w:r>
      </w:hyperlink>
      <w:r>
        <w:t xml:space="preserve"> </w:t>
      </w:r>
      <w:r>
        <w:t xml:space="preserve">Roche, a Canadian broker whose firm specialized in mining securities, characterized the [851] importance to investors of the results of K-55-1. He stated that the completion of "the first drill hole" with "a 600 foot drill core is very very significant * * * anything over 200 feet is considered very significant and 600 feet is just beyond your wildest imagination." He added, however, that it "is a natural thing to buy more stock once they give you the first drill hole." Additional testimony revealed that the prices of stocks of other companies, albeit less diversified, smaller firms, had increased substantially solely on the basis of the discovery of good anomalies or even because of the proximity of their lands to the situs of a potentially major strike.</w:t>
      </w:r>
    </w:p>
    <w:p>
      <w:pPr>
        <w:pStyle w:val="CaseBody"/>
      </w:pPr>
      <w:r>
        <w:t xml:space="preserve">Finally, a major factor in determining whether the K-55-1 discovery was a material fact is the importance attached to the drilling results by those who knew about it. In view of other unrelated recent developments favorably affecting TGS, participation by an informed person in a regular stock-purchase program, or even sporadic trading by an informed person, might lend only nominal support to the inference of the materiality of the K-55-1 discovery; nevertheless, the timing by those who knew of it of their stock purchases and their purchases of</w:t>
      </w:r>
      <w:r>
        <w:t xml:space="preserve"> </w:t>
      </w:r>
      <w:r>
        <w:rPr>
          <w:iCs/>
          <w:i/>
        </w:rPr>
        <w:t xml:space="preserve">short-term</w:t>
      </w:r>
      <w:r>
        <w:t xml:space="preserve"> </w:t>
      </w:r>
      <w:r>
        <w:t xml:space="preserve">calls — purchases in some cases by individuals who had never before purchased calls or even TGS stock — virtually compels the inference that the insiders were influenced by the drilling results.</w:t>
      </w:r>
      <w:r>
        <w:t xml:space="preserve"> </w:t>
      </w:r>
      <w:r>
        <w:rPr>
          <w:rStyle w:val="Elision"/>
        </w:rPr>
        <w:t xml:space="preserve">[ … ]</w:t>
      </w:r>
      <w:r>
        <w:t xml:space="preserve"> </w:t>
      </w:r>
      <w:r>
        <w:t xml:space="preserve">No reason appears why outside investors, perhaps better acquainted with speculative modes of investment and with, in many cases, perhaps more capital at their disposal for intelligent speculation, would have been less influenced, and would not have been similarly motivated to invest if they had known what the insider investors knew about the K-55-1 discovery.</w:t>
      </w:r>
    </w:p>
    <w:p>
      <w:pPr>
        <w:pStyle w:val="CaseBody"/>
      </w:pPr>
      <w:r>
        <w:rPr>
          <w:rStyle w:val="Elision"/>
        </w:rPr>
        <w:t xml:space="preserve">[ … ]</w:t>
      </w:r>
    </w:p>
    <w:p>
      <w:pPr>
        <w:pStyle w:val="CaseBody"/>
      </w:pPr>
      <w:r>
        <w:t xml:space="preserve">The core of Rule 10b-5 is the implementation of the Congressional purpose that all investors should have equal access to the rewards of participation [852] in securities transactions. It was the intent of Congress that all members of the investing public should be subject to identical market risks, — which market risks include, of course the risk that one's evaluative capacity or one's capital available to put at risk may exceed another's capacity or capital. The insiders here were not trading on an equal footing with the outside investors. They alone were in a position to evaluate the probability and magnitude of what seemed from the outset to be a major ore strike; they alone could invest safely, secure in the expectation that the price of TGS stock would rise substantially in the event such a major strike should materialize, but would decline little, if at all, in the event of failure, for the public, ignorant at the outset of the favorable probabilities would likewise be unaware of the unproductive exploration, and the additional exploration costs would not significantly affect TGS market prices. Such inequities based upon unequal access to knowledge should not be shrugged off as inevitable in our way of life, or, in view of the congressional concern in the area, remain uncorrected.</w:t>
      </w:r>
    </w:p>
    <w:p>
      <w:pPr>
        <w:pStyle w:val="CaseBody"/>
      </w:pPr>
      <w:r>
        <w:t xml:space="preserve">We hold, therefore, that all transactions in TGS stock or calls by individuals apprised of the drilling results</w:t>
      </w:r>
      <w:hyperlink w:anchor="Xbd3adb66f228545b7402e5d7288c1fdcd073799">
        <w:r>
          <w:rPr>
            <w:rStyle w:val="Hyperlink"/>
            <w:vertAlign w:val="superscript"/>
          </w:rPr>
          <w:t xml:space="preserve">[14]</w:t>
        </w:r>
      </w:hyperlink>
      <w:r>
        <w:t xml:space="preserve"> </w:t>
      </w:r>
      <w:r>
        <w:t xml:space="preserve">of K-55-1 were made in violation of Rule 10b-5.</w:t>
      </w:r>
      <w:hyperlink w:anchor="X43afd69a389dda41c6e2d78cfff75a90a702ce5">
        <w:r>
          <w:rPr>
            <w:rStyle w:val="Elision"/>
            <w:vertAlign w:val="superscript"/>
          </w:rPr>
          <w:t xml:space="preserve">[ … ]</w:t>
        </w:r>
      </w:hyperlink>
      <w:r>
        <w:t xml:space="preserve">The geologist Darke possessed undisclosed material information and traded in TGS securities. Therefore we reverse the dismissal of the action as to him and his personal transactions.</w:t>
      </w:r>
      <w:r>
        <w:t xml:space="preserve"> </w:t>
      </w:r>
      <w:r>
        <w:rPr>
          <w:rStyle w:val="Elision"/>
        </w:rPr>
        <w:t xml:space="preserve">[ … ]</w:t>
      </w:r>
    </w:p>
    <w:p>
      <w:pPr>
        <w:pStyle w:val="CaseBody"/>
      </w:pPr>
      <w:r>
        <w:t xml:space="preserve">With reference to Huntington, the trial court found that he "had no detailed knowledge as to the work" on the Kidd-55 segment, 258 F.Supp. 281. Nevertheless, the evidence shows that he knew about and participated in TGS's land acquisition program which followed the receipt of the K-55-1 drilling results, and that on February 26, 1964 he purchased 50 shares of TGS stock. Later, on March 16, he helped prepare a letter for Dr. Holyk's signature in which TGS made a substantial offer for lands near K-55-1, and on the same day he, who had never before purchased calls on any stock, purchased a call on 100 shares of TGS stock. We are satisfied that these purchases in February and March, coupled with his readily inferable and probably reliable, understanding of the highly favorable nature of preliminary operations on the Kidd segment, demonstrate that Huntington possessed material inside information such as to make his purchase violative of the Rule and the Act.</w:t>
      </w:r>
    </w:p>
    <w:bookmarkEnd w:id="109"/>
    <w:bookmarkStart w:id="110" w:name="section-6"/>
    <w:p>
      <w:pPr>
        <w:pStyle w:val="Heading2"/>
      </w:pPr>
      <w:r>
        <w:rPr>
          <w:rStyle w:val="Elision"/>
        </w:rPr>
        <w:t xml:space="preserve">[ … ]</w:t>
      </w:r>
    </w:p>
    <w:p>
      <w:pPr>
        <w:pStyle w:val="CaseBody"/>
      </w:pPr>
      <w:r>
        <w:t xml:space="preserve">Appellant Crawford, who ordered</w:t>
      </w:r>
      <w:hyperlink w:anchor="X5f6a9bcbf38f81d0ee6df9a3b01e7ef3dd6c492">
        <w:r>
          <w:rPr>
            <w:rStyle w:val="Hyperlink"/>
            <w:vertAlign w:val="superscript"/>
          </w:rPr>
          <w:t xml:space="preserve">[17]</w:t>
        </w:r>
      </w:hyperlink>
      <w:r>
        <w:t xml:space="preserve"> </w:t>
      </w:r>
      <w:r>
        <w:t xml:space="preserve">the purchase of TGS stock shortly before the TGS April 16 official announcement, and defendant Coates, who placed orders with and communicated the news to his broker immediately after the official announcement was read at the TGS-called press conference, concede that they were in possession of material information. They contend, however, that their purchases were not proscribed purchases for the news had already been effectively disclosed. We disagree.</w:t>
      </w:r>
    </w:p>
    <w:p>
      <w:pPr>
        <w:pStyle w:val="CaseBody"/>
      </w:pPr>
      <w:r>
        <w:rPr>
          <w:rStyle w:val="Elision"/>
        </w:rPr>
        <w:t xml:space="preserve">[ … ]</w:t>
      </w:r>
      <w:r>
        <w:t xml:space="preserve">16th, with instructions to buy at the opening of the Midwest Stock Exchange that morning. The trial court's finding that "he sought to, and did, `beat the news,'" 258 F.Supp. at 287, is well documented by the record. The rumors of a major ore strike which had been circulated in Canada and, to a lesser extent, in New York, had been disclaimed by the TGS press release of April 12, which significantly promised the public an official detailed announcement when possibilities had ripened into actualities. The abbreviated announcement to the Canadian press at 9:40 A.M. on the 16th by the Ontario Minister of Mines and the report carried by The Northern Miner, parts of which had sporadically reached New York on the morning of the 16th through reports from Canadian affiliates to a few New York investment firms, are assuredly not the equivalent of the official 10-15 minute announcement which was not released to the American financial press until after 10:00 A.M. Crawford's orders had been [854] placed before that. Before insiders may act upon material information, such information must have been effectively disclosed in a manner sufficient to insure its availability to the investing public. Particularly here, where a formal announcement to the entire financial news media had been promised in a prior official release known to the media, all insider activity must await dissemination of the promised official announcement.</w:t>
      </w:r>
    </w:p>
    <w:p>
      <w:pPr>
        <w:pStyle w:val="CaseBody"/>
      </w:pPr>
      <w:r>
        <w:t xml:space="preserve">Coates was absolved by the court below because his telephone order was placed shortly before 10:20 A.M. on April 16, which was after the announcement had been made even though the news could not be considered already a matter of public information. 258 F. Supp. at 288. This result seems to have been predicated upon a misinterpretation of dicta in</w:t>
      </w:r>
      <w:r>
        <w:t xml:space="preserve"> </w:t>
      </w:r>
      <w:r>
        <w:rPr>
          <w:iCs/>
          <w:i/>
        </w:rPr>
        <w:t xml:space="preserve">Cady,</w:t>
      </w:r>
      <w:r>
        <w:t xml:space="preserve"> </w:t>
      </w:r>
      <w:r>
        <w:rPr>
          <w:iCs/>
          <w:i/>
        </w:rPr>
        <w:t xml:space="preserve">Roberts,</w:t>
      </w:r>
      <w:r>
        <w:t xml:space="preserve"> </w:t>
      </w:r>
      <w:r>
        <w:t xml:space="preserve">where the SEC instructed insiders to "keep out of the market until the established procedures for public release of the information are</w:t>
      </w:r>
      <w:r>
        <w:t xml:space="preserve"> </w:t>
      </w:r>
      <w:r>
        <w:rPr>
          <w:iCs/>
          <w:i/>
        </w:rPr>
        <w:t xml:space="preserve">carried out</w:t>
      </w:r>
      <w:r>
        <w:t xml:space="preserve"> </w:t>
      </w:r>
      <w:r>
        <w:t xml:space="preserve">instead of hastening to execute transactions in advance of, and in frustration of, the objectives of the release," 40 SEC at 915 (emphasis supplied). The reading of a news release, which prompted Coates into action, is merely the first step in the process of dissemination required for compliance with the regulatory objective of providing all investors with an equal opportunity to make informed investment judgments. Assuming that the contents of the official release could instantaneously be acted upon,</w:t>
      </w:r>
      <w:hyperlink w:anchor="X35104b3af42e2fb1c3ba792c38934cc55998f41">
        <w:r>
          <w:rPr>
            <w:rStyle w:val="Hyperlink"/>
            <w:vertAlign w:val="superscript"/>
          </w:rPr>
          <w:t xml:space="preserve">[18]</w:t>
        </w:r>
      </w:hyperlink>
      <w:r>
        <w:t xml:space="preserve"> </w:t>
      </w:r>
      <w:r>
        <w:t xml:space="preserve">at the minimum Coates should have waited until the news could reasonably have been expected to appear over the media of widest circulation, the Dow Jones broad tape, rather than hastening to insure an advantage to himself and his broker son-in-law.</w:t>
      </w:r>
      <w:hyperlink w:anchor="X159f095c0513a68099ba6f715a1c6fa9fb96872">
        <w:r>
          <w:rPr>
            <w:rStyle w:val="Elision"/>
            <w:vertAlign w:val="superscript"/>
          </w:rPr>
          <w:t xml:space="preserve">[ … ]</w:t>
        </w:r>
      </w:hyperlink>
    </w:p>
    <w:bookmarkEnd w:id="110"/>
    <w:bookmarkStart w:id="111" w:name="section-7"/>
    <w:p>
      <w:pPr>
        <w:pStyle w:val="Heading2"/>
      </w:pPr>
      <w:r>
        <w:rPr>
          <w:rStyle w:val="Elision"/>
        </w:rPr>
        <w:t xml:space="preserve">[ … ]</w:t>
      </w:r>
    </w:p>
    <w:bookmarkEnd w:id="111"/>
    <w:p>
      <w:pPr>
        <w:pStyle w:val="NodeEnd"/>
      </w:pPr>
      <w:r>
        <w:t xml:space="preserve"> </w:t>
      </w:r>
    </w:p>
    <w:p>
      <w:pPr>
        <w:pStyle w:val="NodeStart"/>
      </w:pPr>
      <w:r>
        <w:t xml:space="preserve"> </w:t>
      </w:r>
    </w:p>
    <w:p>
      <w:pPr>
        <w:pStyle w:val="HeadSeparator"/>
      </w:pPr>
      <w:r>
        <w:t xml:space="preserve"> </w:t>
      </w:r>
    </w:p>
    <w:bookmarkStart w:id="65" w:name="_auto_toc_65"/>
    <w:bookmarkEnd w:id="65"/>
    <w:p>
      <w:pPr>
        <w:pStyle w:val="ResourceNumber"/>
      </w:pPr>
      <w:r>
        <w:t xml:space="preserve">6.1.4</w:t>
      </w:r>
    </w:p>
    <w:p>
      <w:pPr>
        <w:pStyle w:val="ResourceTitle"/>
      </w:pPr>
      <w:r>
        <w:t xml:space="preserve">Dirks v. Securities And Exchange Commission</w:t>
      </w:r>
    </w:p>
    <w:p>
      <w:pPr>
        <w:pStyle w:val="HeadFieldSeparator"/>
      </w:pPr>
      <w:r>
        <w:t xml:space="preserve"> </w:t>
      </w:r>
    </w:p>
    <w:p>
      <w:pPr>
        <w:pStyle w:val="ResourceHeadnote"/>
      </w:pPr>
      <w:r>
        <w:t xml:space="preserve">Dirks is the leading case on “tippee” liability under rule 10b-5. A “tippee” is a corporate outsider who trades after receiving material nonpublic information from an insider or another tippee.</w:t>
      </w:r>
    </w:p>
    <w:p>
      <w:pPr>
        <w:pStyle w:val="BlockText"/>
      </w:pPr>
      <w:r>
        <w:t xml:space="preserve">1. According to the majority, when are tippees liable under rule 10b-5?</w:t>
      </w:r>
      <w:r>
        <w:br/>
      </w:r>
      <w:r>
        <w:t xml:space="preserve">2. Why did the majority exonerate Dirks?</w:t>
      </w:r>
    </w:p>
    <w:p>
      <w:pPr>
        <w:pStyle w:val="BlockText"/>
      </w:pPr>
      <w:r>
        <w:t xml:space="preserve">3. As a policy matter, should Dirks have been obliged to report to the SEC before telling his clients?</w:t>
      </w:r>
    </w:p>
    <w:p>
      <w:pPr>
        <w:pStyle w:val="HeadEnd"/>
      </w:pPr>
      <w:r>
        <w:t xml:space="preserve"> </w:t>
      </w:r>
    </w:p>
    <w:p>
      <w:pPr>
        <w:pStyle w:val="CaseHeader"/>
      </w:pPr>
      <w:r>
        <w:t xml:space="preserve">Supreme Court of the United States</w:t>
      </w:r>
    </w:p>
    <w:p>
      <w:pPr>
        <w:pStyle w:val="CaseHeader"/>
      </w:pPr>
      <w:r>
        <w:t xml:space="preserve">463 U.S. 646, 77 L. Ed. 2d 911, 103 S. Ct. 3255, 1983 U.S. LEXIS 102, SCDB 1982-152</w:t>
      </w:r>
    </w:p>
    <w:p>
      <w:pPr>
        <w:pStyle w:val="CaseHeader"/>
      </w:pPr>
      <w:r>
        <w:t xml:space="preserve">No. 82-276</w:t>
      </w:r>
    </w:p>
    <w:p>
      <w:pPr>
        <w:pStyle w:val="CaseHeader"/>
      </w:pPr>
      <w:r>
        <w:t xml:space="preserve">1983-07-01</w:t>
      </w:r>
    </w:p>
    <w:p>
      <w:pPr>
        <w:pStyle w:val="CaseBody"/>
      </w:pPr>
      <w:r>
        <w:t xml:space="preserve">463 U.S. 646 (1983)</w:t>
      </w:r>
    </w:p>
    <w:p>
      <w:pPr>
        <w:pStyle w:val="CaseHeader"/>
      </w:pPr>
      <w:r>
        <w:t xml:space="preserve">DIRKS</w:t>
      </w:r>
      <w:r>
        <w:br/>
      </w:r>
      <w:r>
        <w:t xml:space="preserve">v.</w:t>
      </w:r>
      <w:r>
        <w:br/>
      </w:r>
      <w:r>
        <w:t xml:space="preserve">SECURITIES AND EXCHANGE COMMISSION</w:t>
      </w:r>
    </w:p>
    <w:p>
      <w:pPr>
        <w:pStyle w:val="CaseBody"/>
      </w:pPr>
      <w:r>
        <w:rPr>
          <w:rStyle w:val="Elision"/>
        </w:rPr>
        <w:t xml:space="preserve">[ … ]</w:t>
      </w:r>
    </w:p>
    <w:bookmarkStart w:id="112" w:name="X4791d082ce924674ad82365a0fdcbb131568afb"/>
    <w:p>
      <w:pPr>
        <w:pStyle w:val="Heading2"/>
      </w:pPr>
      <w:r>
        <w:t xml:space="preserve">JUSTICE POWELL delivered the opinion of the Court.</w:t>
      </w:r>
    </w:p>
    <w:p>
      <w:pPr>
        <w:pStyle w:val="CaseBody"/>
      </w:pPr>
      <w:r>
        <w:t xml:space="preserve">Petitioner Raymond Dirks received material nonpublic information from "insiders" of a corporation with which he had no connection. He disclosed this information to investors who relied on it in trading in the shares of the corporation. The question is whether Dirks violated the antifraud provisions of the federal securities laws by this disclosure.</w:t>
      </w:r>
    </w:p>
    <w:bookmarkEnd w:id="112"/>
    <w:bookmarkStart w:id="113" w:name="i-1"/>
    <w:p>
      <w:pPr>
        <w:pStyle w:val="Heading2"/>
      </w:pPr>
      <w:r>
        <w:t xml:space="preserve">I</w:t>
      </w:r>
    </w:p>
    <w:p>
      <w:pPr>
        <w:pStyle w:val="CaseBody"/>
      </w:pPr>
      <w:r>
        <w:t xml:space="preserve">In 1973, Dirks was an officer of a New York broker-dealer firm who specialized in providing investment analysis of insurance company securities to institutional investors.</w:t>
      </w:r>
      <w:hyperlink w:anchor="Xef155c50fbc46ea698c86f8578d15bd8af73e9c">
        <w:r>
          <w:rPr>
            <w:rStyle w:val="Hyperlink"/>
            <w:vertAlign w:val="superscript"/>
          </w:rPr>
          <w:t xml:space="preserve">[1]</w:t>
        </w:r>
      </w:hyperlink>
      <w:r>
        <w:t xml:space="preserve"> </w:t>
      </w:r>
      <w:r>
        <w:t xml:space="preserve">On [649] March 6, Dirks received information from Ronald Secrist, a former officer of Equity Funding of America. Secrist alleged that the assets of Equity Funding, a diversified corporation primarily engaged in selling life insurance and mutual funds, were vastly overstated as the result of fraudulent corporate practices. Secrist also stated that various regulatory agencies had failed to act on similar charges made by Equity Funding employees. He urged Dirks to verify the fraud and disclose it publicly.</w:t>
      </w:r>
    </w:p>
    <w:p>
      <w:pPr>
        <w:pStyle w:val="CaseBody"/>
      </w:pPr>
      <w:r>
        <w:t xml:space="preserve">Dirks decided to investigate the allegations. He visited Equity Funding's headquarters in Los Angeles and interviewed several officers and employees of the corporation. The senior management denied any wrongdoing, but certain corporation employees corroborated the charges of fraud. Neither Dirks nor his firm owned or traded any Equity Funding stock, but throughout his investigation he openly discussed the information he had obtained with a number of clients and investors. Some of these persons sold their holdings of Equity Funding securities, including five investment advisers who liquidated holdings of more than $16 million.</w:t>
      </w:r>
      <w:hyperlink w:anchor="X2d0249c795c3974066cc98af5d016daac38a5d0">
        <w:r>
          <w:rPr>
            <w:rStyle w:val="Hyperlink"/>
            <w:vertAlign w:val="superscript"/>
          </w:rPr>
          <w:t xml:space="preserve">[2]</w:t>
        </w:r>
      </w:hyperlink>
    </w:p>
    <w:p>
      <w:pPr>
        <w:pStyle w:val="CaseBody"/>
      </w:pPr>
      <w:r>
        <w:t xml:space="preserve">While Dirks was in Los Angeles, he was in touch regularly with William Blundell, the Wall Street Journal's Los Angeles bureau chief. Dirks urged Blundell to write a story on the fraud allegations. Blundell did not believe, however, that such a massive fraud could go undetected and declined to [650] write the story. He feared that publishing such damaging hearsay might be libelous.</w:t>
      </w:r>
    </w:p>
    <w:p>
      <w:pPr>
        <w:pStyle w:val="CaseBody"/>
      </w:pPr>
      <w:r>
        <w:t xml:space="preserve">During the 2-week period in which Dirks pursued his investigation and spread word of Secrist's charges, the price of Equity Funding stock fell from $26 per share to less than $15 per share. This led the New York Stock Exchange to halt trading on March 27. Shortly thereafter California insurance authorities impounded Equity Funding's records and uncovered evidence of the fraud. Only then did the Securities and Exchange Commission (SEC) file a complaint against Equity Funding</w:t>
      </w:r>
      <w:hyperlink w:anchor="X2c1c9b3918e26d1e673b7f798833717864e312a">
        <w:r>
          <w:rPr>
            <w:rStyle w:val="Hyperlink"/>
            <w:vertAlign w:val="superscript"/>
          </w:rPr>
          <w:t xml:space="preserve">[3]</w:t>
        </w:r>
      </w:hyperlink>
      <w:r>
        <w:t xml:space="preserve"> </w:t>
      </w:r>
      <w:r>
        <w:t xml:space="preserve">and only then, on April 2, did the Wall Street Journal publish a front-page story based largely on information assembled by Dirks. Equity Funding immediately went into receivership.</w:t>
      </w:r>
      <w:hyperlink w:anchor="X4a748310bbb0ad1c8b4f5874cb8a6f67ec5cffb">
        <w:r>
          <w:rPr>
            <w:rStyle w:val="Hyperlink"/>
            <w:vertAlign w:val="superscript"/>
          </w:rPr>
          <w:t xml:space="preserve">[4]</w:t>
        </w:r>
      </w:hyperlink>
    </w:p>
    <w:p>
      <w:pPr>
        <w:pStyle w:val="CaseBody"/>
      </w:pPr>
      <w:r>
        <w:t xml:space="preserve">The SEC began an investigation into Dirks' role in the exposure of the fraud. After a hearing by an Administrative Law Judge, the SEC found that Dirks had aided and abetted violations of § 17(a) of the Securities Act of 1933, 48 Stat. 84, as amended, 15 U. S. C. § 77q(a),</w:t>
      </w:r>
      <w:hyperlink w:anchor="Xbe984b7ed248eaf995c862a2182ba676f96b11b">
        <w:r>
          <w:rPr>
            <w:rStyle w:val="Hyperlink"/>
            <w:vertAlign w:val="superscript"/>
          </w:rPr>
          <w:t xml:space="preserve">[5]</w:t>
        </w:r>
      </w:hyperlink>
      <w:r>
        <w:t xml:space="preserve"> </w:t>
      </w:r>
      <w:r>
        <w:t xml:space="preserve">§ 10(b) of the Securities [651] Exchange Act of 1934, 48 Stat. 891, 15 U. S. C. § 78j(b),</w:t>
      </w:r>
      <w:hyperlink w:anchor="X9ee78d0a25c06accae0e33487ee0bca39df3b61">
        <w:r>
          <w:rPr>
            <w:rStyle w:val="Hyperlink"/>
            <w:vertAlign w:val="superscript"/>
          </w:rPr>
          <w:t xml:space="preserve">[6]</w:t>
        </w:r>
      </w:hyperlink>
      <w:r>
        <w:t xml:space="preserve"> </w:t>
      </w:r>
      <w:r>
        <w:t xml:space="preserve">and SEC Rule 10b-5, 17 CFR § 240.10b-5 (1983),</w:t>
      </w:r>
      <w:hyperlink w:anchor="X671d46c11f1af7daea0af4be3886aba5110698a">
        <w:r>
          <w:rPr>
            <w:rStyle w:val="Hyperlink"/>
            <w:vertAlign w:val="superscript"/>
          </w:rPr>
          <w:t xml:space="preserve">[7]</w:t>
        </w:r>
      </w:hyperlink>
      <w:r>
        <w:t xml:space="preserve"> </w:t>
      </w:r>
      <w:r>
        <w:t xml:space="preserve">by repeating the allegations of fraud to members of the investment community who later sold their Equity Funding stock. The SEC concluded: "Where `tippees' — regardless of their motivation or occupation — come into possession of material `corporate information that they know is confidential and know or should know came from a corporate insider,' they must either publicly disclose that information or refrain from trading." 21 S. E. C. Docket 1401, 1407 (1981) (footnote omitted) (quoting</w:t>
      </w:r>
      <w:r>
        <w:t xml:space="preserve"> </w:t>
      </w:r>
      <w:r>
        <w:rPr>
          <w:iCs/>
          <w:i/>
        </w:rPr>
        <w:t xml:space="preserve">Chiarella</w:t>
      </w:r>
      <w:r>
        <w:t xml:space="preserve"> </w:t>
      </w:r>
      <w:r>
        <w:t xml:space="preserve">v.</w:t>
      </w:r>
      <w:r>
        <w:t xml:space="preserve"> </w:t>
      </w:r>
      <w:r>
        <w:rPr>
          <w:iCs/>
          <w:i/>
        </w:rPr>
        <w:t xml:space="preserve">United States,</w:t>
      </w:r>
      <w:r>
        <w:t xml:space="preserve"> </w:t>
      </w:r>
      <w:r>
        <w:t xml:space="preserve">445 U. S. 222, 230, n. 12 (1980)). Recognizing, however, that Dirks "played an important role in bringing [Equity Funding's] massive fraud [652] to light," 21 S. E. C. Docket, at 1412,</w:t>
      </w:r>
      <w:hyperlink w:anchor="X0a6c53dfe17d96c66adfb37ca930f2ae0024ed8">
        <w:r>
          <w:rPr>
            <w:rStyle w:val="Hyperlink"/>
            <w:vertAlign w:val="superscript"/>
          </w:rPr>
          <w:t xml:space="preserve">[8]</w:t>
        </w:r>
      </w:hyperlink>
      <w:r>
        <w:t xml:space="preserve"> </w:t>
      </w:r>
      <w:r>
        <w:t xml:space="preserve">the SEC only censured him.</w:t>
      </w:r>
      <w:hyperlink w:anchor="Xbafc785b30c91b2ad2daed3ef2209084ae01915">
        <w:r>
          <w:rPr>
            <w:rStyle w:val="Hyperlink"/>
            <w:vertAlign w:val="superscript"/>
          </w:rPr>
          <w:t xml:space="preserve">[9]</w:t>
        </w:r>
      </w:hyperlink>
    </w:p>
    <w:p>
      <w:pPr>
        <w:pStyle w:val="CaseBody"/>
      </w:pPr>
      <w:r>
        <w:t xml:space="preserve">Dirks sought review in the Court of Appeals for the District of Columbia Circuit. The court entered judgment against Dirks "for the reasons stated by the Commission in its opinion."</w:t>
      </w:r>
      <w:r>
        <w:t xml:space="preserve"> </w:t>
      </w:r>
      <w:r>
        <w:rPr>
          <w:rStyle w:val="Elision"/>
        </w:rPr>
        <w:t xml:space="preserve">[ … ]</w:t>
      </w:r>
    </w:p>
    <w:p>
      <w:pPr>
        <w:pStyle w:val="CaseBody"/>
      </w:pPr>
      <w:r>
        <w:t xml:space="preserve">In view of the importance to the SEC and to the securities industry of the question presented by this case, we granted a writ of certiorari. 459 U. S. 1014 (1982). We now reverse.</w:t>
      </w:r>
    </w:p>
    <w:bookmarkEnd w:id="113"/>
    <w:bookmarkStart w:id="114" w:name="ii-1"/>
    <w:p>
      <w:pPr>
        <w:pStyle w:val="Heading2"/>
      </w:pPr>
      <w:r>
        <w:t xml:space="preserve">[653] II</w:t>
      </w:r>
    </w:p>
    <w:p>
      <w:pPr>
        <w:pStyle w:val="CaseBody"/>
      </w:pPr>
      <w:r>
        <w:t xml:space="preserve">In the seminal case of</w:t>
      </w:r>
      <w:r>
        <w:t xml:space="preserve"> </w:t>
      </w:r>
      <w:r>
        <w:rPr>
          <w:iCs/>
          <w:i/>
        </w:rPr>
        <w:t xml:space="preserve">In re Cady, Roberts &amp; Co.,</w:t>
      </w:r>
      <w:r>
        <w:t xml:space="preserve"> </w:t>
      </w:r>
      <w:r>
        <w:t xml:space="preserve">40 S. E. C. 907 (1961), the SEC recognized that the common law in some jurisdictions imposes on "corporate `insiders,' particularly officers, directors, or controlling stockholders" an "affirmative duty of disclosure . . . when dealing in securities."</w:t>
      </w:r>
      <w:r>
        <w:t xml:space="preserve"> </w:t>
      </w:r>
      <w:r>
        <w:rPr>
          <w:rStyle w:val="Elision"/>
        </w:rPr>
        <w:t xml:space="preserve">[ … ]</w:t>
      </w:r>
    </w:p>
    <w:bookmarkEnd w:id="114"/>
    <w:bookmarkStart w:id="115" w:name="iii-2"/>
    <w:p>
      <w:pPr>
        <w:pStyle w:val="Heading2"/>
      </w:pPr>
      <w:r>
        <w:t xml:space="preserve">III</w:t>
      </w:r>
    </w:p>
    <w:p>
      <w:pPr>
        <w:pStyle w:val="CaseBody"/>
      </w:pPr>
      <w:r>
        <w:t xml:space="preserve">We were explicit in</w:t>
      </w:r>
      <w:r>
        <w:t xml:space="preserve"> </w:t>
      </w:r>
      <w:r>
        <w:rPr>
          <w:iCs/>
          <w:i/>
        </w:rPr>
        <w:t xml:space="preserve">Chiarella</w:t>
      </w:r>
      <w:r>
        <w:t xml:space="preserve"> </w:t>
      </w:r>
      <w:r>
        <w:t xml:space="preserve">in saying that there can be no duty to disclose where the person who has traded on inside information "was not [the corporation's] agent, . . . was not a fiduciary, [or] was not a person in whom the sellers [of the securities] had placed their trust and confidence." 445 U. S., at 232. Not to require such a fiduciary relationship, we recognized, would "depar[t] radically from the established doctrine that duty arises from a specific relationship between [655] two parties" and would amount to "recognizing a general duty between all participants in market transactions to forgo actions based on material, nonpublic information."</w:t>
      </w:r>
      <w:r>
        <w:t xml:space="preserve"> </w:t>
      </w:r>
      <w:r>
        <w:rPr>
          <w:iCs/>
          <w:i/>
        </w:rPr>
        <w:t xml:space="preserve">Id.,</w:t>
      </w:r>
      <w:r>
        <w:t xml:space="preserve"> </w:t>
      </w:r>
      <w:r>
        <w:t xml:space="preserve">at 232, 233. This requirement of a specific relationship between the shareholders and the individual trading on inside information has created analytical difficulties for the SEC and courts in policing tippees who trade on inside information. Unlike insiders who have independent fiduciary duties to both the corporation and its shareholders, the typical tippee has no such relationships.</w:t>
      </w:r>
      <w:hyperlink w:anchor="X76144b6900f8df04f568f97c71833da4aac0fc8">
        <w:r>
          <w:rPr>
            <w:rStyle w:val="Hyperlink"/>
            <w:vertAlign w:val="superscript"/>
          </w:rPr>
          <w:t xml:space="preserve">[14]</w:t>
        </w:r>
      </w:hyperlink>
      <w:r>
        <w:t xml:space="preserve"> </w:t>
      </w:r>
      <w:r>
        <w:t xml:space="preserve">In view of this absence, it has been unclear how a tippee acquires the</w:t>
      </w:r>
      <w:r>
        <w:t xml:space="preserve"> </w:t>
      </w:r>
      <w:r>
        <w:rPr>
          <w:iCs/>
          <w:i/>
        </w:rPr>
        <w:t xml:space="preserve">Cady, Roberts</w:t>
      </w:r>
      <w:r>
        <w:t xml:space="preserve"> </w:t>
      </w:r>
      <w:r>
        <w:t xml:space="preserve">duty to refrain from trading on inside information.</w:t>
      </w:r>
    </w:p>
    <w:bookmarkEnd w:id="115"/>
    <w:bookmarkStart w:id="116" w:name="a-3"/>
    <w:p>
      <w:pPr>
        <w:pStyle w:val="Heading2"/>
      </w:pPr>
      <w:r>
        <w:t xml:space="preserve">A</w:t>
      </w:r>
    </w:p>
    <w:p>
      <w:pPr>
        <w:pStyle w:val="CaseBody"/>
      </w:pPr>
      <w:r>
        <w:t xml:space="preserve">The SEC's position, as stated in its opinion in this case, is that a tippee "inherits" the</w:t>
      </w:r>
      <w:r>
        <w:t xml:space="preserve"> </w:t>
      </w:r>
      <w:r>
        <w:rPr>
          <w:iCs/>
          <w:i/>
        </w:rPr>
        <w:t xml:space="preserve">Cady, Roberts</w:t>
      </w:r>
      <w:r>
        <w:t xml:space="preserve"> </w:t>
      </w:r>
      <w:r>
        <w:t xml:space="preserve">obligation to shareholders whenever he receives inside information from an insider:</w:t>
      </w:r>
    </w:p>
    <w:p>
      <w:pPr>
        <w:pStyle w:val="BlockText"/>
      </w:pPr>
      <w:r>
        <w:rPr>
          <w:rStyle w:val="Elision"/>
        </w:rPr>
        <w:t xml:space="preserve">[ … ]</w:t>
      </w:r>
    </w:p>
    <w:p>
      <w:pPr>
        <w:pStyle w:val="CaseBody"/>
      </w:pPr>
      <w:r>
        <w:t xml:space="preserve">In effect, the SEC's theory of tippee liability in both cases appears rooted in the idea that the antifraud provisions require equal information among all traders. This conflicts with the principle set forth in</w:t>
      </w:r>
      <w:r>
        <w:t xml:space="preserve"> </w:t>
      </w:r>
      <w:r>
        <w:rPr>
          <w:iCs/>
          <w:i/>
        </w:rPr>
        <w:t xml:space="preserve">Chiarella</w:t>
      </w:r>
      <w:r>
        <w:t xml:space="preserve"> </w:t>
      </w:r>
      <w:r>
        <w:t xml:space="preserve">that only some persons, under some circumstances, will be barred from trading while in possession of material nonpublic information.</w:t>
      </w:r>
      <w:hyperlink w:anchor="X4f1669fdbb474ae6e79be3a01ec9716b6ed6ee0">
        <w:r>
          <w:rPr>
            <w:rStyle w:val="Elision"/>
            <w:vertAlign w:val="superscript"/>
          </w:rPr>
          <w:t xml:space="preserve">[ … ]</w:t>
        </w:r>
      </w:hyperlink>
    </w:p>
    <w:p>
      <w:pPr>
        <w:pStyle w:val="CaseBody"/>
      </w:pPr>
      <w:r>
        <w:t xml:space="preserve">Imposing a duty to disclose or abstain solely because a person knowingly receives material nonpublic information from an insider and trades on it could have an inhibiting influence on the role of market analysts, which the SEC itself recognizes is necessary to the preservation of a healthy market.</w:t>
      </w:r>
      <w:hyperlink w:anchor="X9a17fc2cd3bf69914b33843655a9a24716f63bd">
        <w:r>
          <w:rPr>
            <w:rStyle w:val="Hyperlink"/>
            <w:vertAlign w:val="superscript"/>
          </w:rPr>
          <w:t xml:space="preserve">[17]</w:t>
        </w:r>
      </w:hyperlink>
      <w:r>
        <w:t xml:space="preserve"> </w:t>
      </w:r>
      <w:r>
        <w:t xml:space="preserve">It is commonplace for analysts to "ferret out and analyze information," 21 S. E. C. Docket, at 1406,</w:t>
      </w:r>
      <w:hyperlink w:anchor="X088fbbf42637d996c6f5e6b7f669b66311e8f41">
        <w:r>
          <w:rPr>
            <w:rStyle w:val="Hyperlink"/>
            <w:vertAlign w:val="superscript"/>
          </w:rPr>
          <w:t xml:space="preserve">[18]</w:t>
        </w:r>
      </w:hyperlink>
      <w:r>
        <w:t xml:space="preserve"> </w:t>
      </w:r>
      <w:r>
        <w:t xml:space="preserve">and</w:t>
      </w:r>
      <w:r>
        <w:t xml:space="preserve"> </w:t>
      </w:r>
      <w:r>
        <w:t xml:space="preserve">this often is done by</w:t>
      </w:r>
      <w:r>
        <w:rPr>
          <w:rStyle w:val="FootnoteReference"/>
        </w:rPr>
        <w:footnoteReference w:customMarkFollows="1" w:id="4"/>
        <w:t xml:space="preserve">*</w:t>
      </w:r>
      <w:r>
        <w:t xml:space="preserve"> </w:t>
      </w:r>
      <w:r>
        <w:t xml:space="preserve">meeting with and questioning corporate officers and others who are insiders. And information that the analysts [659] obtain normally may be the basis for judgments as to the market worth of a corporation's securities. The analyst's judgment in this respect is made available in market letters or otherwise to clients of the firm. It is the nature of this type of information, and indeed of the markets themselves, that such information cannot be made simultaneously available to all of the corporation's stockholders or the public generally.</w:t>
      </w:r>
    </w:p>
    <w:bookmarkEnd w:id="116"/>
    <w:bookmarkStart w:id="117" w:name="b-3"/>
    <w:p>
      <w:pPr>
        <w:pStyle w:val="Heading2"/>
      </w:pPr>
      <w:r>
        <w:t xml:space="preserve">B</w:t>
      </w:r>
    </w:p>
    <w:p>
      <w:pPr>
        <w:pStyle w:val="CaseBody"/>
      </w:pPr>
      <w:r>
        <w:t xml:space="preserve">The conclusion that recipients of inside information do not invariably acquire a duty to disclose or abstain does not mean that such tippees always are free to trade on the information. The need for a ban on some tippee trading is clear. Not only are insiders forbidden by their fiduciary relationship from personally using undisclosed corporate information to their advantage, but they also may not give such information to an outsider for the same improper purpose of exploiting the information for their personal gain.</w:t>
      </w:r>
      <w:r>
        <w:rPr>
          <w:rStyle w:val="Elision"/>
        </w:rPr>
        <w:t xml:space="preserve">[ … ]</w:t>
      </w:r>
      <w:r>
        <w:t xml:space="preserve">Similarly, the transactions of those who knowingly participate with the fiduciary in such a breach are "as forbidden" as transactions "on behalf of the trustee himself."</w:t>
      </w:r>
      <w:r>
        <w:t xml:space="preserve"> </w:t>
      </w:r>
      <w:r>
        <w:rPr>
          <w:rStyle w:val="Elision"/>
        </w:rPr>
        <w:t xml:space="preserve">[ … ]</w:t>
      </w:r>
    </w:p>
    <w:p>
      <w:pPr>
        <w:pStyle w:val="CaseBody"/>
      </w:pPr>
      <w:r>
        <w:t xml:space="preserve">Thus, some tippees must assume an insider's duty to the shareholders not because they receive inside information, but rather because it has been made available to them</w:t>
      </w:r>
      <w:r>
        <w:t xml:space="preserve"> </w:t>
      </w:r>
      <w:r>
        <w:rPr>
          <w:iCs/>
          <w:i/>
        </w:rPr>
        <w:t xml:space="preserve">improperly.</w:t>
      </w:r>
      <w:hyperlink w:anchor="Xa29fa92d7de90e6235011f2f41035cae217af29">
        <w:r>
          <w:rPr>
            <w:rStyle w:val="Hyperlink"/>
            <w:vertAlign w:val="superscript"/>
          </w:rPr>
          <w:t xml:space="preserve">[19]</w:t>
        </w:r>
      </w:hyperlink>
      <w:r>
        <w:t xml:space="preserve"> </w:t>
      </w:r>
      <w:r>
        <w:t xml:space="preserve">And for Rule 10b-5 purposes, the insider's disclosure is improper only where it would violate his</w:t>
      </w:r>
      <w:r>
        <w:t xml:space="preserve"> </w:t>
      </w:r>
      <w:r>
        <w:rPr>
          <w:iCs/>
          <w:i/>
        </w:rPr>
        <w:t xml:space="preserve">Cady, Roberts</w:t>
      </w:r>
      <w:r>
        <w:t xml:space="preserve"> </w:t>
      </w:r>
      <w:r>
        <w:t xml:space="preserve">duty. Thus, a tippee assumes a fiduciary duty to the shareholders of a corporation not to trade on material nonpublic information only when the insider has breached his fiduciary duty to the shareholders by disclosing the information to the tippee and the tippee knows or should know that there has been a breach.</w:t>
      </w:r>
      <w:hyperlink w:anchor="Xcf0936184f235f44ec975f85e1c511f0ee9ab48">
        <w:r>
          <w:rPr>
            <w:rStyle w:val="Elision"/>
            <w:vertAlign w:val="superscript"/>
          </w:rPr>
          <w:t xml:space="preserve">[ … ]</w:t>
        </w:r>
      </w:hyperlink>
      <w:r>
        <w:t xml:space="preserve"> </w:t>
      </w:r>
      <w:r>
        <w:t xml:space="preserve">Tipping thus properly is viewed only as a means of indirectly violating the</w:t>
      </w:r>
      <w:r>
        <w:t xml:space="preserve"> </w:t>
      </w:r>
      <w:r>
        <w:rPr>
          <w:iCs/>
          <w:i/>
        </w:rPr>
        <w:t xml:space="preserve">Cady, Roberts</w:t>
      </w:r>
      <w:r>
        <w:t xml:space="preserve"> </w:t>
      </w:r>
      <w:r>
        <w:t xml:space="preserve">disclose-or-abstain rule.</w:t>
      </w:r>
      <w:hyperlink w:anchor="X7e9648b28764b43b5e2c05cb96dab190f486d97">
        <w:r>
          <w:rPr>
            <w:rStyle w:val="Hyperlink"/>
            <w:vertAlign w:val="superscript"/>
          </w:rPr>
          <w:t xml:space="preserve">[21]</w:t>
        </w:r>
      </w:hyperlink>
    </w:p>
    <w:bookmarkEnd w:id="117"/>
    <w:bookmarkStart w:id="118" w:name="c-2"/>
    <w:p>
      <w:pPr>
        <w:pStyle w:val="Heading2"/>
      </w:pPr>
      <w:r>
        <w:t xml:space="preserve">C</w:t>
      </w:r>
    </w:p>
    <w:p>
      <w:pPr>
        <w:pStyle w:val="CaseBody"/>
      </w:pPr>
      <w:r>
        <w:t xml:space="preserve">In determining whether a tippee is under an obligation to disclose or abstain, it thus is necessary to determine whether the insider's "tip" constituted a breach of the insider's fiduciary duty. All disclosures of confidential corporate information [662] are not inconsistent with the duty insiders owe to shareholders.</w:t>
      </w:r>
      <w:r>
        <w:t xml:space="preserve"> </w:t>
      </w:r>
      <w:r>
        <w:rPr>
          <w:rStyle w:val="Elision"/>
        </w:rPr>
        <w:t xml:space="preserve">[ … ]</w:t>
      </w:r>
      <w:r>
        <w:t xml:space="preserve">Whether disclosure is a breach of duty therefore depends in large part on the purpose of the disclosure.</w:t>
      </w:r>
      <w:r>
        <w:t xml:space="preserve"> </w:t>
      </w:r>
      <w:r>
        <w:rPr>
          <w:rStyle w:val="Elision"/>
        </w:rPr>
        <w:t xml:space="preserve">[ … ]</w:t>
      </w:r>
      <w:r>
        <w:t xml:space="preserve"> </w:t>
      </w:r>
      <w:r>
        <w:t xml:space="preserve">the test is whether the insider personally will benefit, directly or indirectly, from his disclosure. Absent some personal gain, there has been no breach of duty to stockholders. And absent a breach by the insider, there is no derivative breach.</w:t>
      </w:r>
      <w:hyperlink w:anchor="Xbd7b0ca9ab317941eec73cd000ccb9637d6f900">
        <w:r>
          <w:rPr>
            <w:rStyle w:val="Elision"/>
            <w:vertAlign w:val="superscript"/>
          </w:rPr>
          <w:t xml:space="preserve">[ … ]</w:t>
        </w:r>
      </w:hyperlink>
    </w:p>
    <w:p>
      <w:pPr>
        <w:pStyle w:val="CaseBody"/>
      </w:pPr>
      <w:r>
        <w:t xml:space="preserve">The SEC argues that, if inside-trading liability does not exist when the information is transmitted for a proper purpose but is used for trading, it would be a rare situation when the parties could not fabricate some ostensibly legitimate business justification for transmitting the information. We think the SEC is unduly concerned. In determining whether the insider's purpose in making a particular disclosure is fraudulent, the SEC and the courts are not required to read the parties' minds. Scienter in some cases is relevant in determining whether the tipper has violated his</w:t>
      </w:r>
      <w:r>
        <w:t xml:space="preserve"> </w:t>
      </w:r>
      <w:r>
        <w:rPr>
          <w:iCs/>
          <w:i/>
        </w:rPr>
        <w:t xml:space="preserve">Cady, Roberts</w:t>
      </w:r>
      <w:r>
        <w:t xml:space="preserve"> </w:t>
      </w:r>
      <w:r>
        <w:t xml:space="preserve">duty.</w:t>
      </w:r>
      <w:hyperlink w:anchor="X8f9abc004029baeb49792cf1320f7a7799b6c73">
        <w:r>
          <w:rPr>
            <w:rStyle w:val="Hyperlink"/>
            <w:vertAlign w:val="superscript"/>
          </w:rPr>
          <w:t xml:space="preserve">[23]</w:t>
        </w:r>
      </w:hyperlink>
      <w:r>
        <w:t xml:space="preserve"> </w:t>
      </w:r>
      <w:r>
        <w:t xml:space="preserve">But to determine whether the disclosure itself "deceive[s], manipulate[s], or defraud[s]" shareholders,</w:t>
      </w:r>
      <w:r>
        <w:t xml:space="preserve"> </w:t>
      </w:r>
      <w:r>
        <w:rPr>
          <w:iCs/>
          <w:i/>
        </w:rPr>
        <w:t xml:space="preserve">Aaron</w:t>
      </w:r>
      <w:r>
        <w:t xml:space="preserve"> </w:t>
      </w:r>
      <w:r>
        <w:t xml:space="preserve">v.</w:t>
      </w:r>
      <w:r>
        <w:t xml:space="preserve"> </w:t>
      </w:r>
      <w:r>
        <w:rPr>
          <w:iCs/>
          <w:i/>
        </w:rPr>
        <w:t xml:space="preserve">SEC,</w:t>
      </w:r>
      <w:r>
        <w:t xml:space="preserve"> </w:t>
      </w:r>
      <w:r>
        <w:t xml:space="preserve">446 U. S. 680, 686 (1980), the initial inquiry is whether there has been a breach of duty by the insider. This requires courts to focus on objective criteria,</w:t>
      </w:r>
      <w:r>
        <w:t xml:space="preserve"> </w:t>
      </w:r>
      <w:r>
        <w:rPr>
          <w:iCs/>
          <w:i/>
        </w:rPr>
        <w:t xml:space="preserve">i. e.,</w:t>
      </w:r>
      <w:r>
        <w:t xml:space="preserve"> </w:t>
      </w:r>
      <w:r>
        <w:t xml:space="preserve">whether the insider receives a direct or indirect personal benefit from the disclosure, such as a pecuniary gain or a reputational benefit that will translate into future earnings.</w:t>
      </w:r>
      <w:r>
        <w:t xml:space="preserve"> </w:t>
      </w:r>
      <w:r>
        <w:rPr>
          <w:rStyle w:val="Elision"/>
        </w:rPr>
        <w:t xml:space="preserve">[ … ]</w:t>
      </w:r>
      <w:r>
        <w:t xml:space="preserve"> </w:t>
      </w:r>
      <w:r>
        <w:t xml:space="preserve">There are objective facts and circumstances that often justify such an inference. For example, there may be a relationship between the insider and the recipient that suggests a</w:t>
      </w:r>
      <w:r>
        <w:t xml:space="preserve"> </w:t>
      </w:r>
      <w:r>
        <w:rPr>
          <w:iCs/>
          <w:i/>
        </w:rPr>
        <w:t xml:space="preserve">quid pro quo</w:t>
      </w:r>
      <w:r>
        <w:t xml:space="preserve"> </w:t>
      </w:r>
      <w:r>
        <w:t xml:space="preserve">from the latter, or an intention to benefit the particular recipient. The elements of fiduciary duty and exploitation of nonpublic information also exist when an insider makes a gift of confidential information to a trading relative or friend. The tip and trade resemble trading by the insider himself followed by a gift of the profits to the recipient.</w:t>
      </w:r>
    </w:p>
    <w:p>
      <w:pPr>
        <w:pStyle w:val="CaseBody"/>
      </w:pPr>
      <w:r>
        <w:t xml:space="preserve">Determining whether an insider personally benefits from a particular disclosure, a question of fact, will not always be easy for courts. But it is essential, we think, to have a guiding principle for those whose daily activities must be limited and instructed by the SEC's inside-trading rules, and we believe that there must be a breach of the insider's fiduciary duty before the tippee inherits the duty to disclose or abstain. In contrast, the rule adopted by the SEC in this case would have no limiting principle.</w:t>
      </w:r>
      <w:hyperlink w:anchor="Xaf2461630003f695c0dd3c1d8c8777f495af2a0">
        <w:r>
          <w:rPr>
            <w:rStyle w:val="Hyperlink"/>
            <w:vertAlign w:val="superscript"/>
          </w:rPr>
          <w:t xml:space="preserve">[24]</w:t>
        </w:r>
      </w:hyperlink>
    </w:p>
    <w:bookmarkEnd w:id="118"/>
    <w:bookmarkStart w:id="119" w:name="iv-1"/>
    <w:p>
      <w:pPr>
        <w:pStyle w:val="Heading2"/>
      </w:pPr>
      <w:r>
        <w:t xml:space="preserve">[665] IV</w:t>
      </w:r>
    </w:p>
    <w:p>
      <w:pPr>
        <w:pStyle w:val="CaseBody"/>
      </w:pPr>
      <w:r>
        <w:t xml:space="preserve">Under the inside-trading and tipping rules set forth above, we find that there was no actionable violation by Dirks.</w:t>
      </w:r>
      <w:hyperlink w:anchor="Xedc2c6e5bdadb6cf16ad9398ae49ec32d6c6a3d">
        <w:r>
          <w:rPr>
            <w:rStyle w:val="Hyperlink"/>
            <w:vertAlign w:val="superscript"/>
          </w:rPr>
          <w:t xml:space="preserve">[25]</w:t>
        </w:r>
      </w:hyperlink>
      <w:r>
        <w:t xml:space="preserve"> </w:t>
      </w:r>
      <w:r>
        <w:t xml:space="preserve">It is undisputed that Dirks himself was a stranger to Equity Funding, with no pre-existing fiduciary duty to its shareholders.</w:t>
      </w:r>
      <w:hyperlink w:anchor="Xd8052724c9b4784dfd601f629a993ebd10c3eaa">
        <w:r>
          <w:rPr>
            <w:rStyle w:val="Hyperlink"/>
            <w:vertAlign w:val="superscript"/>
          </w:rPr>
          <w:t xml:space="preserve">[26]</w:t>
        </w:r>
      </w:hyperlink>
      <w:r>
        <w:t xml:space="preserve"> </w:t>
      </w:r>
      <w:r>
        <w:t xml:space="preserve">He took no action, directly or indirectly, that induced the shareholders or officers of Equity Funding to repose trust or confidence in him. There was no expectation by Dirks' sources that he would keep their information in confidence. Nor did Dirks misappropriate or illegally obtain the information about Equity Funding. Unless the insiders breached their</w:t>
      </w:r>
      <w:r>
        <w:t xml:space="preserve"> </w:t>
      </w:r>
      <w:r>
        <w:rPr>
          <w:iCs/>
          <w:i/>
        </w:rPr>
        <w:t xml:space="preserve">Cady, Roberts</w:t>
      </w:r>
      <w:r>
        <w:t xml:space="preserve"> </w:t>
      </w:r>
      <w:r>
        <w:t xml:space="preserve">duty to shareholders in disclosing the nonpublic information to Dirks, he breached no duty when he passed it on to investors as well as to the Wall Street Journal.</w:t>
      </w:r>
    </w:p>
    <w:p>
      <w:pPr>
        <w:pStyle w:val="CaseBody"/>
      </w:pPr>
      <w:r>
        <w:t xml:space="preserve">[666] It is clear that neither Secrist nor the other Equity Funding employees violated their</w:t>
      </w:r>
      <w:r>
        <w:t xml:space="preserve"> </w:t>
      </w:r>
      <w:r>
        <w:rPr>
          <w:iCs/>
          <w:i/>
        </w:rPr>
        <w:t xml:space="preserve">Cady, Roberts</w:t>
      </w:r>
      <w:r>
        <w:t xml:space="preserve"> </w:t>
      </w:r>
      <w:r>
        <w:t xml:space="preserve">duty to the corporation's shareholders by providing information to Dirks.</w:t>
      </w:r>
      <w:hyperlink w:anchor="X5d248f6d1c5eacce799c335b1d1d38933c9f778">
        <w:r>
          <w:rPr>
            <w:rStyle w:val="Hyperlink"/>
            <w:vertAlign w:val="superscript"/>
          </w:rPr>
          <w:t xml:space="preserve">[27]</w:t>
        </w:r>
      </w:hyperlink>
      <w:r>
        <w:t xml:space="preserve"> </w:t>
      </w:r>
      <w:r>
        <w:t xml:space="preserve">[667] The tippers received no monetary or personal benefit for revealing Equity Funding's secrets, nor was their purpose to make a gift of valuable information to Dirks. As the facts of this case clearly indicate, the tippers were motivated by a desire to expose the fraud. See</w:t>
      </w:r>
      <w:r>
        <w:t xml:space="preserve"> </w:t>
      </w:r>
      <w:r>
        <w:rPr>
          <w:iCs/>
          <w:i/>
        </w:rPr>
        <w:t xml:space="preserve">supra,</w:t>
      </w:r>
      <w:r>
        <w:t xml:space="preserve"> </w:t>
      </w:r>
      <w:r>
        <w:t xml:space="preserve">at 648-649. In the absence of a breach of duty to shareholders by the insiders, there was no derivative breach by Dirks. See n. 20,</w:t>
      </w:r>
      <w:r>
        <w:t xml:space="preserve"> </w:t>
      </w:r>
      <w:r>
        <w:rPr>
          <w:iCs/>
          <w:i/>
        </w:rPr>
        <w:t xml:space="preserve">supra.</w:t>
      </w:r>
      <w:r>
        <w:t xml:space="preserve"> </w:t>
      </w:r>
      <w:r>
        <w:t xml:space="preserve">Dirks therefore could not have been "a participant after the fact in [an] insider's breach of a fiduciary duty."</w:t>
      </w:r>
      <w:r>
        <w:t xml:space="preserve"> </w:t>
      </w:r>
      <w:r>
        <w:rPr>
          <w:rStyle w:val="Elision"/>
        </w:rPr>
        <w:t xml:space="preserve">[ … ]</w:t>
      </w:r>
    </w:p>
    <w:bookmarkEnd w:id="119"/>
    <w:bookmarkStart w:id="120" w:name="X09a1c3649e51cb5e972766b8d2810b6809f8334"/>
    <w:p>
      <w:pPr>
        <w:pStyle w:val="Heading2"/>
      </w:pPr>
      <w:r>
        <w:t xml:space="preserve">JUSTICE BLACKMUN, with whom JUSTICE BRENNAN and JUSTICE MARSHALL join, dissenting.</w:t>
      </w:r>
    </w:p>
    <w:p>
      <w:pPr>
        <w:pStyle w:val="CaseBody"/>
      </w:pPr>
      <w:r>
        <w:t xml:space="preserve">The Court today takes still another step to limit the protections provided investors by § 10(b) of the Securities Exchange [668] Act of 1934.</w:t>
      </w:r>
      <w:hyperlink w:anchor="X08cfc7cefecd771b44182b4691c9f22e238d8f1">
        <w:r>
          <w:rPr>
            <w:rStyle w:val="Hyperlink"/>
            <w:vertAlign w:val="superscript"/>
          </w:rPr>
          <w:t xml:space="preserve">[1]</w:t>
        </w:r>
      </w:hyperlink>
      <w:r>
        <w:t xml:space="preserve"> </w:t>
      </w:r>
      <w:r>
        <w:t xml:space="preserve">See</w:t>
      </w:r>
      <w:r>
        <w:t xml:space="preserve"> </w:t>
      </w:r>
      <w:r>
        <w:rPr>
          <w:iCs/>
          <w:i/>
        </w:rPr>
        <w:t xml:space="preserve">Chiarella</w:t>
      </w:r>
      <w:r>
        <w:t xml:space="preserve"> </w:t>
      </w:r>
      <w:r>
        <w:t xml:space="preserve">v.</w:t>
      </w:r>
      <w:r>
        <w:t xml:space="preserve"> </w:t>
      </w:r>
      <w:r>
        <w:rPr>
          <w:iCs/>
          <w:i/>
        </w:rPr>
        <w:t xml:space="preserve">United States,</w:t>
      </w:r>
      <w:r>
        <w:t xml:space="preserve"> </w:t>
      </w:r>
      <w:r>
        <w:t xml:space="preserve">445 U. S. 222, 246 (1980) (dissenting opinion). The device employed in this case engrafts a special motivational requirement on the fiduciary duty doctrine. This innovation excuses a knowing and intentional violation of an insider's duty to shareholders if the insider does not act from a motive of personal gain. Even on the extraordinary facts of this case, such an innovation is not justified.</w:t>
      </w:r>
    </w:p>
    <w:bookmarkEnd w:id="120"/>
    <w:bookmarkStart w:id="121" w:name="i-2"/>
    <w:p>
      <w:pPr>
        <w:pStyle w:val="Heading2"/>
      </w:pPr>
      <w:r>
        <w:t xml:space="preserve">I</w:t>
      </w:r>
    </w:p>
    <w:p>
      <w:pPr>
        <w:pStyle w:val="CaseBody"/>
      </w:pPr>
      <w:r>
        <w:t xml:space="preserve">As the Court recognizes,</w:t>
      </w:r>
      <w:r>
        <w:t xml:space="preserve"> </w:t>
      </w:r>
      <w:r>
        <w:rPr>
          <w:iCs/>
          <w:i/>
        </w:rPr>
        <w:t xml:space="preserve">ante,</w:t>
      </w:r>
      <w:r>
        <w:t xml:space="preserve"> </w:t>
      </w:r>
      <w:r>
        <w:t xml:space="preserve">at 658, n. 18, the facts here are unusual. After a meeting with Ronald Secrist, a former Equity Funding employee, on March 7, 1973, App. 226, petitioner Raymond Dirks found himself in possession of material nonpublic information of massive fraud within the company.</w:t>
      </w:r>
      <w:hyperlink w:anchor="X9d95e4158f596f8b2e41cdd0badec987e63ee52">
        <w:r>
          <w:rPr>
            <w:rStyle w:val="Hyperlink"/>
            <w:vertAlign w:val="superscript"/>
          </w:rPr>
          <w:t xml:space="preserve">[2]</w:t>
        </w:r>
      </w:hyperlink>
      <w:r>
        <w:t xml:space="preserve"> </w:t>
      </w:r>
      <w:r>
        <w:t xml:space="preserve">In the Court's words, "[h]e uncovered . . . startling information that required no analysis or exercise of judgment as to [669] its market relevance."</w:t>
      </w:r>
      <w:r>
        <w:t xml:space="preserve"> </w:t>
      </w:r>
      <w:r>
        <w:rPr>
          <w:iCs/>
          <w:i/>
        </w:rPr>
        <w:t xml:space="preserve">Ibid.</w:t>
      </w:r>
      <w:r>
        <w:t xml:space="preserve"> </w:t>
      </w:r>
      <w:r>
        <w:t xml:space="preserve">In disclosing that information to Dirks, Secrist intended that Dirks would disseminate the information to his clients, those clients would unload their Equity Funding securities on the market, and the price would fall precipitously, thereby triggering a reaction from the authorities. App. 16, 25, 27.</w:t>
      </w:r>
    </w:p>
    <w:p>
      <w:pPr>
        <w:pStyle w:val="CaseBody"/>
      </w:pPr>
      <w:r>
        <w:t xml:space="preserve">Dirks complied with his informant's wishes. Instead of reporting that information to the Securities and Exchange Commission (SEC or Commission) or to other regulatory agencies, Dirks began to disseminate the information to his clients and undertook his own investigation.</w:t>
      </w:r>
      <w:hyperlink w:anchor="X2322f51962ec001aeb63d20632ea027461fd30b">
        <w:r>
          <w:rPr>
            <w:rStyle w:val="Hyperlink"/>
            <w:vertAlign w:val="superscript"/>
          </w:rPr>
          <w:t xml:space="preserve">[3]</w:t>
        </w:r>
      </w:hyperlink>
      <w:r>
        <w:t xml:space="preserve"> </w:t>
      </w:r>
      <w:r>
        <w:t xml:space="preserve">One of his first steps was to direct his associates at Delafield Childs to draw up a list of Delafield clients holding Equity Funding securities. On March 12, eight days before Dirks flew to Los Angeles to investigate Secrist's story, he reported the full allegations to Boston Company Institutional Investors, Inc., which on March 15 and 16 sold approximately $1.2 million of Equity securities.</w:t>
      </w:r>
      <w:hyperlink w:anchor="X9e3340125b4a268849d55ef6e1a91f4987adfb1">
        <w:r>
          <w:rPr>
            <w:rStyle w:val="Hyperlink"/>
            <w:vertAlign w:val="superscript"/>
          </w:rPr>
          <w:t xml:space="preserve">[4]</w:t>
        </w:r>
      </w:hyperlink>
      <w:r>
        <w:t xml:space="preserve"> </w:t>
      </w:r>
      <w:r>
        <w:t xml:space="preserve">See</w:t>
      </w:r>
      <w:r>
        <w:t xml:space="preserve"> </w:t>
      </w:r>
      <w:r>
        <w:rPr>
          <w:iCs/>
          <w:i/>
        </w:rPr>
        <w:t xml:space="preserve">id.,</w:t>
      </w:r>
      <w:r>
        <w:t xml:space="preserve"> </w:t>
      </w:r>
      <w:r>
        <w:t xml:space="preserve">at 199. As he gathered more [670] information, he selectively disclosed it to his clients. To those holding Equity Funding securities he gave the "hard" story — all the allegations; others received the "soft" story — a recitation of vague factors that might reflect adversely on Equity Funding's management. See</w:t>
      </w:r>
      <w:r>
        <w:t xml:space="preserve"> </w:t>
      </w:r>
      <w:r>
        <w:rPr>
          <w:iCs/>
          <w:i/>
        </w:rPr>
        <w:t xml:space="preserve">id.,</w:t>
      </w:r>
      <w:r>
        <w:t xml:space="preserve"> </w:t>
      </w:r>
      <w:r>
        <w:t xml:space="preserve">at 211, n. 24.</w:t>
      </w:r>
    </w:p>
    <w:p>
      <w:pPr>
        <w:pStyle w:val="CaseBody"/>
      </w:pPr>
      <w:r>
        <w:t xml:space="preserve">Dirks' attempts to disseminate the information to nonclients were feeble, at best. On March 12, he left a message for Herbert Lawson, the San Francisco bureau chief of The Wall Street Journal. Not until March 19 and 20 did he call Lawson again, and outline the situation. William Blundell, a Journal investigative reporter based in Los Angeles, got in touch with Dirks about his March 20 telephone call. On March 21, Dirks met with Blundell in Los Angeles. Blundell began his own investigation, relying in part on Dirks' contacts, and on March 23 telephoned Stanley Sporkin, the SEC's Deputy Director of Enforcement. On March 26, the next business day, Sporkin and his staff interviewed Blundell and asked to see Dirks the following morning. Trading was halted by the New York Stock Exchange at about the same time Dirks was talking to Los Angeles SEC personnel. The next day, March 28, the SEC suspended trading in Equity Funding securities. By that time, Dirks' clients had unloaded close to $15 million of Equity Funding stock and the price had plummeted from $26 to $15. The effect of Dirks' selective dissemination of Secrist's information was that Dirks' clients were able to shift the losses that were inevitable due to the Equity Funding fraud from themselves to uninformed market participants.</w:t>
      </w:r>
    </w:p>
    <w:bookmarkEnd w:id="121"/>
    <w:bookmarkStart w:id="122" w:name="ii-2"/>
    <w:p>
      <w:pPr>
        <w:pStyle w:val="Heading2"/>
      </w:pPr>
      <w:r>
        <w:t xml:space="preserve">II</w:t>
      </w:r>
    </w:p>
    <w:bookmarkEnd w:id="122"/>
    <w:bookmarkStart w:id="123" w:name="a-4"/>
    <w:p>
      <w:pPr>
        <w:pStyle w:val="Heading2"/>
      </w:pPr>
      <w:r>
        <w:t xml:space="preserve">A</w:t>
      </w:r>
    </w:p>
    <w:p>
      <w:pPr>
        <w:pStyle w:val="CaseBody"/>
      </w:pPr>
      <w:r>
        <w:t xml:space="preserve">No one questions that Secrist himself could not trade on his inside information to the disadvantage of uninformed shareholders and purchasers of Equity Funding securities. See Brief for United States as</w:t>
      </w:r>
      <w:r>
        <w:t xml:space="preserve"> </w:t>
      </w:r>
      <w:r>
        <w:rPr>
          <w:iCs/>
          <w:i/>
        </w:rPr>
        <w:t xml:space="preserve">Amicus Curiae</w:t>
      </w:r>
      <w:r>
        <w:t xml:space="preserve"> </w:t>
      </w:r>
      <w:r>
        <w:t xml:space="preserve">19, n. 12. Unlike the printer in</w:t>
      </w:r>
      <w:r>
        <w:t xml:space="preserve"> </w:t>
      </w:r>
      <w:r>
        <w:rPr>
          <w:iCs/>
          <w:i/>
        </w:rPr>
        <w:t xml:space="preserve">Chiarella,</w:t>
      </w:r>
      <w:r>
        <w:t xml:space="preserve"> </w:t>
      </w:r>
      <w:r>
        <w:t xml:space="preserve">Secrist stood in a fiduciary relationship [671] with these shareholders.</w:t>
      </w:r>
      <w:r>
        <w:t xml:space="preserve"> </w:t>
      </w:r>
      <w:r>
        <w:rPr>
          <w:rStyle w:val="Elision"/>
        </w:rPr>
        <w:t xml:space="preserve">[ … ]</w:t>
      </w:r>
    </w:p>
    <w:p>
      <w:pPr>
        <w:pStyle w:val="CaseBody"/>
      </w:pPr>
      <w:r>
        <w:t xml:space="preserve">The Court also acknowledges that Secrist could not do by proxy what he was prohibited from doing personally.</w:t>
      </w:r>
      <w:r>
        <w:t xml:space="preserve"> </w:t>
      </w:r>
      <w:r>
        <w:rPr>
          <w:rStyle w:val="Elision"/>
        </w:rPr>
        <w:t xml:space="preserve">[ … ]</w:t>
      </w:r>
    </w:p>
    <w:bookmarkEnd w:id="123"/>
    <w:bookmarkStart w:id="124" w:name="b-4"/>
    <w:p>
      <w:pPr>
        <w:pStyle w:val="Heading2"/>
      </w:pPr>
      <w:r>
        <w:t xml:space="preserve">B</w:t>
      </w:r>
    </w:p>
    <w:p>
      <w:pPr>
        <w:pStyle w:val="CaseBody"/>
      </w:pPr>
      <w:r>
        <w:t xml:space="preserve">The Court holds, however, that Dirks is not liable because Secrist did not violate his duty; according to the Court, this is so because Secrist did not have the improper purpose of personal gain.</w:t>
      </w:r>
      <w:r>
        <w:t xml:space="preserve"> </w:t>
      </w:r>
      <w:r>
        <w:rPr>
          <w:iCs/>
          <w:i/>
        </w:rPr>
        <w:t xml:space="preserve">Ante,</w:t>
      </w:r>
      <w:r>
        <w:t xml:space="preserve"> </w:t>
      </w:r>
      <w:r>
        <w:t xml:space="preserve">at 662-663, 666-667. In so doing, the Court imposes a new, subjective limitation on the scope of the duty owed by insiders to shareholders. The novelty of this limitation is reflected in the Court's lack of support for it.</w:t>
      </w:r>
      <w:hyperlink w:anchor="Xa1ac19b17878cbb591b37b42f314bc2bda9ada9">
        <w:r>
          <w:rPr>
            <w:rStyle w:val="Hyperlink"/>
            <w:vertAlign w:val="superscript"/>
          </w:rPr>
          <w:t xml:space="preserve">[6]</w:t>
        </w:r>
      </w:hyperlink>
    </w:p>
    <w:p>
      <w:pPr>
        <w:pStyle w:val="CaseBody"/>
      </w:pPr>
      <w:r>
        <w:rPr>
          <w:rStyle w:val="Elision"/>
        </w:rPr>
        <w:t xml:space="preserve">[ … ]</w:t>
      </w:r>
    </w:p>
    <w:bookmarkEnd w:id="124"/>
    <w:bookmarkStart w:id="125" w:name="c-3"/>
    <w:p>
      <w:pPr>
        <w:pStyle w:val="Heading2"/>
      </w:pPr>
      <w:r>
        <w:t xml:space="preserve">C</w:t>
      </w:r>
    </w:p>
    <w:p>
      <w:pPr>
        <w:pStyle w:val="CaseBody"/>
      </w:pPr>
      <w:r>
        <w:t xml:space="preserve">The fact that the insider himself does not benefit from the breach does not eradicate the shareholder's injury.</w:t>
      </w:r>
      <w:hyperlink w:anchor="Xff62ae9bfbb9cf1e4b3ba1c4a2db7f4c4c9ca16">
        <w:r>
          <w:rPr>
            <w:rStyle w:val="Hyperlink"/>
            <w:vertAlign w:val="superscript"/>
          </w:rPr>
          <w:t xml:space="preserve">[9]</w:t>
        </w:r>
      </w:hyperlink>
      <w:r>
        <w:t xml:space="preserve"> </w:t>
      </w:r>
      <w:r>
        <w:t xml:space="preserve">Cf. Restatement (Second) of Trusts § 205, Comments</w:t>
      </w:r>
      <w:r>
        <w:t xml:space="preserve"> </w:t>
      </w:r>
      <w:r>
        <w:rPr>
          <w:iCs/>
          <w:i/>
        </w:rPr>
        <w:t xml:space="preserve">c</w:t>
      </w:r>
      <w:r>
        <w:t xml:space="preserve"> </w:t>
      </w:r>
      <w:r>
        <w:t xml:space="preserve">and</w:t>
      </w:r>
      <w:r>
        <w:t xml:space="preserve"> </w:t>
      </w:r>
      <w:r>
        <w:rPr>
          <w:iCs/>
          <w:i/>
        </w:rPr>
        <w:t xml:space="preserve">d</w:t>
      </w:r>
      <w:r>
        <w:t xml:space="preserve"> </w:t>
      </w:r>
      <w:r>
        <w:t xml:space="preserve">(1959) (trustee liable for acts causing diminution of value of trust); 3 [674] A. Scott, Law of Trusts § 205, p. 1665 (3d ed. 1967) (trustee liable for any losses to trust caused by his breach).</w:t>
      </w:r>
      <w:r>
        <w:t xml:space="preserve"> </w:t>
      </w:r>
      <w:r>
        <w:rPr>
          <w:rStyle w:val="Elision"/>
        </w:rPr>
        <w:t xml:space="preserve">[ … ]</w:t>
      </w:r>
    </w:p>
    <w:bookmarkEnd w:id="125"/>
    <w:bookmarkStart w:id="126" w:name="iii-3"/>
    <w:p>
      <w:pPr>
        <w:pStyle w:val="Heading2"/>
      </w:pPr>
      <w:r>
        <w:t xml:space="preserve">III</w:t>
      </w:r>
    </w:p>
    <w:p>
      <w:pPr>
        <w:pStyle w:val="CaseBody"/>
      </w:pPr>
      <w:r>
        <w:t xml:space="preserve">The improper-purpose requirement not only has no basis in law, but it also rests implicitly on a policy that I cannot accept. The Court justifies Secrist's and Dirks' action because the general benefit derived from the violation of Secrist's duty to shareholders outweighed the harm caused to those [677] shareholders, see Heller,</w:t>
      </w:r>
      <w:r>
        <w:t xml:space="preserve"> </w:t>
      </w:r>
      <w:r>
        <w:rPr>
          <w:iCs/>
          <w:i/>
        </w:rPr>
        <w:t xml:space="preserve">Chiarella,</w:t>
      </w:r>
      <w:r>
        <w:t xml:space="preserve"> </w:t>
      </w:r>
      <w:r>
        <w:t xml:space="preserve">SEC Rule 14e-3 and</w:t>
      </w:r>
      <w:r>
        <w:t xml:space="preserve"> </w:t>
      </w:r>
      <w:r>
        <w:rPr>
          <w:iCs/>
          <w:i/>
        </w:rPr>
        <w:t xml:space="preserve">Dirks:</w:t>
      </w:r>
      <w:r>
        <w:t xml:space="preserve"> </w:t>
      </w:r>
      <w:r>
        <w:t xml:space="preserve">"Fairness" versus Economic Theory, 37 Bus. Lawyer 517, 550 (1982); Easterbrook, Insider Trading, Secret Agents, Evidentiary Privileges, and the Production of Information, 1981 S. Ct. Rev. 309, 338 — in other words, because the end justified the means. Under this view, the benefit conferred on society by Secrist's and Dirks' activities may be paid for with the losses caused to shareholders trading with Dirks' clients.</w:t>
      </w:r>
      <w:hyperlink w:anchor="X11f4bf965396cd826299fbadee4103bc8a13949">
        <w:r>
          <w:rPr>
            <w:rStyle w:val="Hyperlink"/>
            <w:vertAlign w:val="superscript"/>
          </w:rPr>
          <w:t xml:space="preserve">[14]</w:t>
        </w:r>
      </w:hyperlink>
    </w:p>
    <w:p>
      <w:pPr>
        <w:pStyle w:val="CaseBody"/>
      </w:pPr>
      <w:r>
        <w:rPr>
          <w:rStyle w:val="Elision"/>
        </w:rPr>
        <w:t xml:space="preserve">[ … ]</w:t>
      </w:r>
    </w:p>
    <w:p>
      <w:pPr>
        <w:pStyle w:val="CaseBody"/>
      </w:pPr>
      <w:r>
        <w:t xml:space="preserve">Dirks and Secrist were under a duty to disclose the information or to refrain from trading on it.</w:t>
      </w:r>
      <w:hyperlink w:anchor="Xe5bcd7c1bf011f1bb190ef2c2c66da33a531b6f">
        <w:r>
          <w:rPr>
            <w:rStyle w:val="Hyperlink"/>
            <w:vertAlign w:val="superscript"/>
          </w:rPr>
          <w:t xml:space="preserve">[16]</w:t>
        </w:r>
      </w:hyperlink>
      <w:r>
        <w:t xml:space="preserve"> </w:t>
      </w:r>
      <w:r>
        <w:t xml:space="preserve">I agree that disclosure in this case would have been difficult.</w:t>
      </w:r>
      <w:r>
        <w:t xml:space="preserve"> </w:t>
      </w:r>
      <w:r>
        <w:rPr>
          <w:iCs/>
          <w:i/>
        </w:rPr>
        <w:t xml:space="preserve">Ibid.</w:t>
      </w:r>
      <w:r>
        <w:t xml:space="preserve"> </w:t>
      </w:r>
      <w:r>
        <w:t xml:space="preserve">I also recognize that the SEC seemingly has been less than helpful in its view of the nature of disclosure necessary to satisfy the disclose-or-refrain duty. The Commission tells persons with inside information that they cannot trade on that information unless they disclose; it refuses, however, to tell them how to disclose.</w:t>
      </w:r>
      <w:hyperlink w:anchor="Xb4949f76e3b63b150bb3889fe773d790729d263">
        <w:r>
          <w:rPr>
            <w:rStyle w:val="Hyperlink"/>
            <w:vertAlign w:val="superscript"/>
          </w:rPr>
          <w:t xml:space="preserve">[17]</w:t>
        </w:r>
      </w:hyperlink>
      <w:r>
        <w:t xml:space="preserve"> </w:t>
      </w:r>
      <w:r>
        <w:t xml:space="preserve">See</w:t>
      </w:r>
      <w:r>
        <w:t xml:space="preserve"> </w:t>
      </w:r>
      <w:r>
        <w:rPr>
          <w:iCs/>
          <w:i/>
        </w:rPr>
        <w:t xml:space="preserve">In re Faberge, Inc.,</w:t>
      </w:r>
      <w:r>
        <w:t xml:space="preserve"> </w:t>
      </w:r>
      <w:r>
        <w:t xml:space="preserve">45 S. E. C. 249, 256 (1973) (disclosure requires public release through public media designed to reach investing public generally). This seems to be a less than sensible policy, which it is incumbent on the Commission to correct. The Court, however, has no authority to remedy the problem by opening a hole in the congressionally mandated prohibition on insider trading, thus rewarding such trading.</w:t>
      </w:r>
    </w:p>
    <w:bookmarkEnd w:id="126"/>
    <w:bookmarkStart w:id="127" w:name="section-8"/>
    <w:p>
      <w:pPr>
        <w:pStyle w:val="Heading2"/>
      </w:pPr>
      <w:r>
        <w:rPr>
          <w:rStyle w:val="Elision"/>
        </w:rPr>
        <w:t xml:space="preserve">[ … ]</w:t>
      </w:r>
    </w:p>
    <w:p>
      <w:pPr>
        <w:pStyle w:val="CaseBody"/>
      </w:pPr>
      <w:hyperlink w:anchor="X4641cf853f228644effb1a92335059b1670dbaa">
        <w:r>
          <w:rPr>
            <w:rStyle w:val="Hyperlink"/>
          </w:rPr>
          <w:t xml:space="preserve">[3]</w:t>
        </w:r>
      </w:hyperlink>
      <w:r>
        <w:t xml:space="preserve"> </w:t>
      </w:r>
      <w:r>
        <w:t xml:space="preserve">As early as 1971, the SEC had received allegations of fraudulent accounting practices at Equity Funding. Moreover, on March 9, 1973, an official of the California Insurance Department informed the SEC's regional office in Los Angeles of Secrist's charges of fraud. Dirks himself voluntarily presented his information at the SEC's regional office beginning on March 27.</w:t>
      </w:r>
    </w:p>
    <w:p>
      <w:pPr>
        <w:pStyle w:val="CaseBody"/>
      </w:pPr>
      <w:hyperlink w:anchor="X4c88a8072e25babab9f6aec8a1d2215cf743fa6">
        <w:r>
          <w:rPr>
            <w:rStyle w:val="Elision"/>
          </w:rPr>
          <w:t xml:space="preserve">[ … ]</w:t>
        </w:r>
      </w:hyperlink>
    </w:p>
    <w:bookmarkEnd w:id="127"/>
    <w:p>
      <w:pPr>
        <w:pStyle w:val="NodeEnd"/>
      </w:pPr>
      <w:r>
        <w:t xml:space="preserve"> </w:t>
      </w:r>
    </w:p>
    <w:p>
      <w:pPr>
        <w:pStyle w:val="NodeStart"/>
      </w:pPr>
      <w:r>
        <w:t xml:space="preserve"> </w:t>
      </w:r>
    </w:p>
    <w:p>
      <w:pPr>
        <w:pStyle w:val="HeadSeparator"/>
      </w:pPr>
      <w:r>
        <w:t xml:space="preserve"> </w:t>
      </w:r>
    </w:p>
    <w:bookmarkStart w:id="66" w:name="_auto_toc_66"/>
    <w:bookmarkEnd w:id="66"/>
    <w:p>
      <w:pPr>
        <w:pStyle w:val="ResourceNumber"/>
      </w:pPr>
      <w:r>
        <w:t xml:space="preserve">6.1.5</w:t>
      </w:r>
    </w:p>
    <w:p>
      <w:pPr>
        <w:pStyle w:val="ResourceTitle"/>
      </w:pPr>
      <w:r>
        <w:t xml:space="preserve">United States v. Newman</w:t>
      </w:r>
    </w:p>
    <w:p>
      <w:pPr>
        <w:pStyle w:val="HeadEnd"/>
      </w:pPr>
      <w:r>
        <w:t xml:space="preserve"> </w:t>
      </w:r>
    </w:p>
    <w:p>
      <w:pPr>
        <w:pStyle w:val="CaseHeader"/>
      </w:pPr>
      <w:r>
        <w:t xml:space="preserve">United States Court of Appeals for the Second Circuit</w:t>
      </w:r>
    </w:p>
    <w:p>
      <w:pPr>
        <w:pStyle w:val="CaseHeader"/>
      </w:pPr>
      <w:r>
        <w:t xml:space="preserve">773 F.3d 438</w:t>
      </w:r>
    </w:p>
    <w:p>
      <w:pPr>
        <w:pStyle w:val="CaseHeader"/>
      </w:pPr>
      <w:r>
        <w:t xml:space="preserve">Nos. 13-1837-cr (L), 13-1917-cr (con)</w:t>
      </w:r>
    </w:p>
    <w:p>
      <w:pPr>
        <w:pStyle w:val="CaseHeader"/>
      </w:pPr>
      <w:r>
        <w:t xml:space="preserve">2014-12-10</w:t>
      </w:r>
    </w:p>
    <w:p>
      <w:pPr>
        <w:pStyle w:val="CaseBody"/>
      </w:pPr>
      <w:r>
        <w:rPr>
          <w:rStyle w:val="Elision"/>
        </w:rPr>
        <w:t xml:space="preserve">[ … ]</w:t>
      </w:r>
    </w:p>
    <w:p>
      <w:pPr>
        <w:pStyle w:val="CaseBody"/>
      </w:pPr>
      <w:r>
        <w:t xml:space="preserve">BARRINGTON D. PARKER, Circuit Judge:</w:t>
      </w:r>
    </w:p>
    <w:p>
      <w:pPr>
        <w:pStyle w:val="CaseBody"/>
      </w:pPr>
      <w:r>
        <w:t xml:space="preserve">Defendants-appellants Todd Newman and Anthony Chiasson appeal from judgments of conviction</w:t>
      </w:r>
      <w:r>
        <w:t xml:space="preserve"> </w:t>
      </w:r>
      <w:r>
        <w:rPr>
          <w:rStyle w:val="Elision"/>
        </w:rPr>
        <w:t xml:space="preserve">[ … ]</w:t>
      </w:r>
      <w:r>
        <w:rPr>
          <w:rStyle w:val="Elision"/>
        </w:rPr>
        <w:t xml:space="preserve">[ … ]</w:t>
      </w:r>
      <w:r>
        <w:t xml:space="preserve"> </w:t>
      </w:r>
      <w:r>
        <w:t xml:space="preserve"> </w:t>
      </w:r>
      <w:r>
        <w:t xml:space="preserve">following a six-week jury trial on charges of securities fraud in violation of sections 10(b) and 32 of the Securities Exchange Act of 1934 (the “1934 Act”),</w:t>
      </w:r>
      <w:r>
        <w:rPr>
          <w:rStyle w:val="Elision"/>
        </w:rPr>
        <w:t xml:space="preserve">[ … ]</w:t>
      </w:r>
      <w:r>
        <w:t xml:space="preserve">Rules 10b-5 and 10b5-2</w:t>
      </w:r>
      <w:r>
        <w:t xml:space="preserve"> </w:t>
      </w:r>
      <w:r>
        <w:rPr>
          <w:rStyle w:val="Elision"/>
        </w:rPr>
        <w:t xml:space="preserve">[ … ]</w:t>
      </w:r>
      <w:r>
        <w:t xml:space="preserve"> </w:t>
      </w:r>
      <w:r>
        <w:rPr>
          <w:rStyle w:val="Elision"/>
        </w:rPr>
        <w:t xml:space="preserve">[ … ]</w:t>
      </w:r>
      <w:r>
        <w:t xml:space="preserve">.</w:t>
      </w:r>
    </w:p>
    <w:p>
      <w:pPr>
        <w:pStyle w:val="CaseBody"/>
      </w:pPr>
      <w:r>
        <w:t xml:space="preserve">The Government alleged that a cohort of analysts at various hedge funds and investment firms obtained material, nonpublic information from employees of publicly traded technology companies, shared it amongst each other, and subsequently passed this information to the portfolio managers at their respective companies. The Government charged Newman, a portfolio manager at Diamondback</w:t>
      </w:r>
      <w:r>
        <w:t xml:space="preserve"> </w:t>
      </w:r>
      <w:r>
        <w:rPr>
          <w:rStyle w:val="Elision"/>
        </w:rPr>
        <w:t xml:space="preserve">[ … ]</w:t>
      </w:r>
      <w:r>
        <w:t xml:space="preserve">and Chiasson, a portfolio manager at Level Global</w:t>
      </w:r>
      <w:r>
        <w:t xml:space="preserve"> </w:t>
      </w:r>
      <w:r>
        <w:rPr>
          <w:rStyle w:val="Elision"/>
        </w:rPr>
        <w:t xml:space="preserve">[ … ]</w:t>
      </w:r>
      <w:r>
        <w:t xml:space="preserve"> </w:t>
      </w:r>
      <w:r>
        <w:t xml:space="preserve">with willfully participating in this insider trading scheme by trading in securities based on the inside information illicitly obtained by this group of analysts. On appeal, Newman and Chiasson</w:t>
      </w:r>
      <w:r>
        <w:rPr>
          <w:rStyle w:val="Elision"/>
        </w:rPr>
        <w:t xml:space="preserve">[ … ]</w:t>
      </w:r>
      <w:r>
        <w:t xml:space="preserve"> </w:t>
      </w:r>
      <w:r>
        <w:t xml:space="preserve">argue that the district court erred in failing to instruct the jury that it must find that a tippee knew that the insider disclosed confidential information in exchange for a personal benefit.</w:t>
      </w:r>
    </w:p>
    <w:p>
      <w:pPr>
        <w:pStyle w:val="CaseBody"/>
      </w:pPr>
      <w:r>
        <w:t xml:space="preserve">We agree that the jury instruction was erroneous because</w:t>
      </w:r>
      <w:r>
        <w:t xml:space="preserve"> </w:t>
      </w:r>
      <w:r>
        <w:rPr>
          <w:rStyle w:val="Elision"/>
        </w:rPr>
        <w:t xml:space="preserve">[ … ]</w:t>
      </w:r>
      <w:r>
        <w:t xml:space="preserve"> </w:t>
      </w:r>
      <w:r>
        <w:t xml:space="preserve">the Government must prove beyond a reasonable doubt that the tippee knew that an insider disclosed confidential information</w:t>
      </w:r>
      <w:r>
        <w:t xml:space="preserve"> </w:t>
      </w:r>
      <w:r>
        <w:rPr>
          <w:iCs/>
          <w:i/>
        </w:rPr>
        <w:t xml:space="preserve">and</w:t>
      </w:r>
      <w:r>
        <w:t xml:space="preserve"> </w:t>
      </w:r>
      <w:r>
        <w:t xml:space="preserve">that he did so in exchange for a personal benefit.</w:t>
      </w:r>
      <w:r>
        <w:t xml:space="preserve"> </w:t>
      </w:r>
      <w:r>
        <w:rPr>
          <w:rStyle w:val="Elision"/>
        </w:rPr>
        <w:t xml:space="preserve">[ … ]</w:t>
      </w:r>
    </w:p>
    <w:p>
      <w:pPr>
        <w:pStyle w:val="CaseBody"/>
      </w:pPr>
      <w:r>
        <w:t xml:space="preserve">Accordingly, we reverse the convictions of Newman and Chiasson on all counts and remand with instructions to dismiss the indictment as it pertains to them with prejudice.</w:t>
      </w:r>
    </w:p>
    <w:p>
      <w:pPr>
        <w:pStyle w:val="CaseBody"/>
      </w:pPr>
      <w:r>
        <w:t xml:space="preserve">BACKGROUND</w:t>
      </w:r>
    </w:p>
    <w:p>
      <w:pPr>
        <w:pStyle w:val="CaseBody"/>
      </w:pPr>
      <w:r>
        <w:t xml:space="preserve">This case arises from the Government’s ongoing investigation into suspected insider trading activity at hedge funds.</w:t>
      </w:r>
      <w:r>
        <w:t xml:space="preserve"> </w:t>
      </w:r>
      <w:r>
        <w:rPr>
          <w:rStyle w:val="Elision"/>
        </w:rPr>
        <w:t xml:space="preserve">[ … ]</w:t>
      </w:r>
    </w:p>
    <w:p>
      <w:pPr>
        <w:pStyle w:val="CaseBody"/>
      </w:pPr>
      <w:r>
        <w:t xml:space="preserve">At trial, the Government presented evidence that a group of financial analysts exchanged information they obtained from company insiders, both directly and more often indirectly. Specifically, the Government alleged that these analysts received information from insiders at Dell and NVI-DIA disclosing those companies’ earnings numbers before they were publicly released in Dell’s May 2008 and August 2008 earnings announcements and NVIDIA’s May 2008 earnings announcement. These analysts then passed the inside information to their portfolio managers, including Newman and Chiasson, who, in turn, executed trades in Dell and NVIDIA stock, earning approximately $4 million and $68 million, respectively, in profits for their respective funds.</w:t>
      </w:r>
    </w:p>
    <w:p>
      <w:pPr>
        <w:pStyle w:val="CaseBody"/>
      </w:pPr>
      <w:r>
        <w:t xml:space="preserve">Newman and Chiasson were several steps removed from the corporate insiders and there was no evidence that either was aware of the source of the inside information. With respect to the Dell tipping chain, the evidence established that Rob Ray of Dell’s investor relations department tipped information regarding Dell’s consolidated earnings numbers to Sandy Goyal, an analyst at Neuberger Berman. Goyal in turn gave the information to Diamondback analyst Jesse Tortora. Tortora in turn relayed the information to his manager Newman as well as to other analysts including Level Global analyst Spyridon “Sam” Adondakis. Adondakis then passed along the Dell information to Chiasson, making Newman and Chiasson three and four levels removed from the inside tipper, respectively.</w:t>
      </w:r>
    </w:p>
    <w:p>
      <w:pPr>
        <w:pStyle w:val="CaseBody"/>
      </w:pPr>
      <w:r>
        <w:t xml:space="preserve">With respect to the NVIDIA tipping chain, the evidence established that Chris Choi of NVIDIA’s finance unit tipped inside information to Hyung Lim, a former executive at technology companies Broad-com Corp. and Altera Corp., whom Choi knew from church. Lim passed the information to co-defendant Danny Kuo, an analyst at Whittier Trust. Kuo circulated the information to the group of analyst friends, including Tortora and Adondakis, who in turn gave the information to Newman and Chiasson, making Newman and Chiasson four levels removed from the inside tippers.</w:t>
      </w:r>
    </w:p>
    <w:p>
      <w:pPr>
        <w:pStyle w:val="CaseBody"/>
      </w:pPr>
      <w:r>
        <w:t xml:space="preserve">Although Ray has yet to be charged administratively, civilly, or criminally, and Choi has yet to be charged criminally, for insider trading or any other wrongdoing, the Government charged that Newman and Chiasson were criminally liable for insider trading because, as sophisticated traders, they must have known that information was disclosed by insiders in breach of a fiduciary duty, and not for any legitimate corporate purpose.</w:t>
      </w:r>
    </w:p>
    <w:p>
      <w:pPr>
        <w:pStyle w:val="CaseBody"/>
      </w:pPr>
      <w:r>
        <w:rPr>
          <w:rStyle w:val="Elision"/>
        </w:rPr>
        <w:t xml:space="preserve">[ … ]</w:t>
      </w:r>
      <w:r>
        <w:t xml:space="preserve"> </w:t>
      </w:r>
      <w:r>
        <w:t xml:space="preserve">Because a tippee’s liability derives from the liability of the tipper, Newman and Chiasson argued that they could not be found guilty of insider trading. Newman and Chiasson also argued that, even if the corporate insiders had received a personal benefit in exchange for the inside information, there was no evidence that they knew about any such benefit. Absent such knowledge, appellants argued, they were not aware of, or participants in, the tippers’ fraudulent breaches of fiduciary duties to Dell or NVIDIA, and could not be convicted of insider trading under</w:t>
      </w:r>
      <w:r>
        <w:t xml:space="preserve"> </w:t>
      </w:r>
      <w:r>
        <w:rPr>
          <w:iCs/>
          <w:i/>
        </w:rPr>
        <w:t xml:space="preserve">Dirks.</w:t>
      </w:r>
      <w:r>
        <w:t xml:space="preserve"> </w:t>
      </w:r>
      <w:r>
        <w:t xml:space="preserve">In the alternative, appellants requested that the court instruct the jury that it must find that Newman and Chiasson knew that the corporate insiders had disclosed confidential information for personal benefit in order to find them guilty.</w:t>
      </w:r>
    </w:p>
    <w:p>
      <w:pPr>
        <w:pStyle w:val="CaseBody"/>
      </w:pPr>
      <w:r>
        <w:t xml:space="preserve">The district court</w:t>
      </w:r>
      <w:r>
        <w:t xml:space="preserve"> </w:t>
      </w:r>
      <w:r>
        <w:rPr>
          <w:rStyle w:val="Elision"/>
        </w:rPr>
        <w:t xml:space="preserve">[ … ]</w:t>
      </w:r>
      <w:r>
        <w:t xml:space="preserve">did not give Newman and Chiasson’s proposed jury instruction. Instead, the district court gave the following instructions on the tippers’ intent and the personal benefit requirement:</w:t>
      </w:r>
    </w:p>
    <w:p>
      <w:pPr>
        <w:pStyle w:val="BlockText"/>
      </w:pPr>
      <w:r>
        <w:t xml:space="preserve">Now, if you find that Mr. Ray and/or Mr. Choi had a fiduciary or other relationship of trust and confidence with their employers, then you must next consider whether the [Gjovernment has proven beyond a reasonable doubt that they intentionally breached that duty of trust and confidence by disclosing materia^,] nonpublic information for their own benefit.</w:t>
      </w:r>
    </w:p>
    <w:p>
      <w:pPr>
        <w:pStyle w:val="CaseBody"/>
      </w:pPr>
      <w:r>
        <w:rPr>
          <w:rStyle w:val="Elision"/>
        </w:rPr>
        <w:t xml:space="preserve">[ … ]</w:t>
      </w:r>
    </w:p>
    <w:p>
      <w:pPr>
        <w:pStyle w:val="CaseBody"/>
      </w:pPr>
      <w:r>
        <w:t xml:space="preserve">On the issue of the appellants’ knowledge, the district court instructed the jury:</w:t>
      </w:r>
    </w:p>
    <w:p>
      <w:pPr>
        <w:pStyle w:val="BlockText"/>
      </w:pPr>
      <w:r>
        <w:t xml:space="preserve">To meet its burden, the [Gjovernment must also prove beyond a reasonable doubt that the defendant you are considering knew that the material, nonpublic information had been disclosed by the insider in breach of a duty of trust and confidence. The mere receipt of material, nonpublie information by a defendant, and even trading on that information, is not sufficient; he must have known that it was originally disclosed by the insider in violation of a duty of confidentiality.</w:t>
      </w:r>
    </w:p>
    <w:p>
      <w:pPr>
        <w:pStyle w:val="CaseBody"/>
      </w:pPr>
      <w:r>
        <w:rPr>
          <w:rStyle w:val="Elision"/>
        </w:rPr>
        <w:t xml:space="preserve">[ … ]</w:t>
      </w:r>
    </w:p>
    <w:p>
      <w:pPr>
        <w:pStyle w:val="CaseBody"/>
      </w:pPr>
      <w:r>
        <w:t xml:space="preserve">On December 17, 2012, the jury returned a verdict of guilty on all counts.</w:t>
      </w:r>
      <w:r>
        <w:t xml:space="preserve"> </w:t>
      </w:r>
      <w:r>
        <w:rPr>
          <w:rStyle w:val="Elision"/>
        </w:rPr>
        <w:t xml:space="preserve">[ … ]</w:t>
      </w:r>
    </w:p>
    <w:p>
      <w:pPr>
        <w:pStyle w:val="CaseBody"/>
      </w:pPr>
      <w:r>
        <w:rPr>
          <w:rStyle w:val="Elision"/>
        </w:rPr>
        <w:t xml:space="preserve">[ … ]</w:t>
      </w:r>
    </w:p>
    <w:p>
      <w:pPr>
        <w:pStyle w:val="CaseBody"/>
      </w:pPr>
      <w:r>
        <w:rPr>
          <w:rStyle w:val="Elision"/>
        </w:rPr>
        <w:t xml:space="preserve">[ … ]</w:t>
      </w:r>
    </w:p>
    <w:p>
      <w:pPr>
        <w:pStyle w:val="CaseBody"/>
      </w:pPr>
      <w:r>
        <w:t xml:space="preserve">1. The Law of Insider Trading</w:t>
      </w:r>
    </w:p>
    <w:p>
      <w:pPr>
        <w:pStyle w:val="CaseBody"/>
      </w:pPr>
      <w:r>
        <w:t xml:space="preserve">Section 10(b) of the 1934 Act, 15 U.S.C. § 78j(b), prohibits the use “in connection with the purchase or sale of any security ... [of] any manipulative or deceptive device or contrivance in contravention of such rules and regulations as the Commission may prescribe.... ” Although Section 10(b) was designed as a catch-all clause to prevent fraudulent practices,</w:t>
      </w:r>
      <w:r>
        <w:t xml:space="preserve"> </w:t>
      </w:r>
      <w:r>
        <w:rPr>
          <w:rStyle w:val="Elision"/>
        </w:rPr>
        <w:t xml:space="preserve">[ … ]</w:t>
      </w:r>
      <w:r>
        <w:t xml:space="preserve">neither the statute nor the regulations issued pxxrsuant to it, including Rule 10b-5, expressly prohibit insider trading. Rather, the unlawfulness of insider trading is predicated on the notion that insider trading is a type of securities fraud proscribed by Section 10(b) and Rule 10b-5.</w:t>
      </w:r>
      <w:r>
        <w:t xml:space="preserve"> </w:t>
      </w:r>
      <w:r>
        <w:rPr>
          <w:rStyle w:val="Elision"/>
        </w:rPr>
        <w:t xml:space="preserve">[ … ]</w:t>
      </w:r>
    </w:p>
    <w:p>
      <w:pPr>
        <w:pStyle w:val="CaseBody"/>
      </w:pPr>
      <w:r>
        <w:t xml:space="preserve">A. The “Classical” and “Misappropriation” Theories of Insider Trading</w:t>
      </w:r>
    </w:p>
    <w:p>
      <w:pPr>
        <w:pStyle w:val="CaseBody"/>
      </w:pPr>
      <w:r>
        <w:t xml:space="preserve">The classical theory holds that a corporate insider (such as an officer or direetor) violates Section 10(b) and Rule 10b-5 by trading in the corporation’s securities on the basis of material, nonpublic information about the corporation.</w:t>
      </w:r>
    </w:p>
    <w:p>
      <w:pPr>
        <w:pStyle w:val="CaseBody"/>
      </w:pPr>
      <w:r>
        <w:rPr>
          <w:rStyle w:val="Elision"/>
        </w:rPr>
        <w:t xml:space="preserve">[ … ]</w:t>
      </w:r>
      <w:r>
        <w:t xml:space="preserve">Under this theory, there is a special “relationship of trust and confidence between the shareholders of a corporation and those insiders who have obtained confidential information by reason of their position within that corporation.”</w:t>
      </w:r>
    </w:p>
    <w:p>
      <w:pPr>
        <w:pStyle w:val="CaseBody"/>
      </w:pPr>
      <w:r>
        <w:rPr>
          <w:rStyle w:val="Elision"/>
        </w:rPr>
        <w:t xml:space="preserve">[ … ]</w:t>
      </w:r>
      <w:r>
        <w:t xml:space="preserve">As a result of this relationship, corporate insiders that possess material, nonpublic information have “a duty to disclose [or to abstain from trading] because of the ‘necessity of preventing a corporate insider from ... takfing] unfair advantage of ... uninformed ... stockholders.’ ”</w:t>
      </w:r>
    </w:p>
    <w:p>
      <w:pPr>
        <w:pStyle w:val="CaseBody"/>
      </w:pPr>
      <w:r>
        <w:rPr>
          <w:rStyle w:val="Elision"/>
        </w:rPr>
        <w:t xml:space="preserve">[ … ]</w:t>
      </w:r>
    </w:p>
    <w:p>
      <w:pPr>
        <w:pStyle w:val="CaseBody"/>
      </w:pPr>
      <w:r>
        <w:t xml:space="preserve">In accepting this theory of insider trading, the Supreme Court explicitly rejected the notion of “a general duty between all participants in market transactions to forgo actions based on material, nonpublic information.”</w:t>
      </w:r>
      <w:r>
        <w:rPr>
          <w:rStyle w:val="Elision"/>
        </w:rPr>
        <w:t xml:space="preserve">[ … ]</w:t>
      </w:r>
      <w:r>
        <w:t xml:space="preserve"> </w:t>
      </w:r>
      <w:r>
        <w:t xml:space="preserve">Instead, the Court limited the scope of insider trading liability to situations where the insider had “a duty to disclose arising from a relationship of trust and confidence between parties to a transaction,” such as that between corporate officers and shareholders.</w:t>
      </w:r>
    </w:p>
    <w:p>
      <w:pPr>
        <w:pStyle w:val="CaseBody"/>
      </w:pPr>
      <w:r>
        <w:rPr>
          <w:rStyle w:val="Elision"/>
        </w:rPr>
        <w:t xml:space="preserve">[ … ]</w:t>
      </w:r>
    </w:p>
    <w:p>
      <w:pPr>
        <w:pStyle w:val="CaseBody"/>
      </w:pPr>
      <w:r>
        <w:t xml:space="preserve">An alternative, but overlapping, theory of insider trading liability, commonly called the “misappropriation” theory, expands the scope of insider trading liability to certain other “outsiders,” who do not have any fiduciary or other relationship to a corporation or its shareholders. Liability may attach where an “outsider” possesses material non-public information about a corporation and another person uses that information to trade in breach of a duty owed to the owner.</w:t>
      </w:r>
      <w:r>
        <w:t xml:space="preserve"> </w:t>
      </w:r>
      <w:r>
        <w:rPr>
          <w:rStyle w:val="Elision"/>
        </w:rPr>
        <w:t xml:space="preserve">[ … ]</w:t>
      </w:r>
      <w:r>
        <w:t xml:space="preserve">In other words, such conduct violates Section 10(b) because the misappropriator engages in deception by pretending “loyalty to the principal while secretly converting the principal’s information for personal gain.”</w:t>
      </w:r>
      <w:r>
        <w:t xml:space="preserve"> </w:t>
      </w:r>
      <w:r>
        <w:rPr>
          <w:rStyle w:val="Elision"/>
        </w:rPr>
        <w:t xml:space="preserve">[ … ]</w:t>
      </w:r>
    </w:p>
    <w:p>
      <w:pPr>
        <w:pStyle w:val="CaseBody"/>
      </w:pPr>
      <w:r>
        <w:t xml:space="preserve">B. Tipping Liability</w:t>
      </w:r>
    </w:p>
    <w:p>
      <w:pPr>
        <w:pStyle w:val="CaseBody"/>
      </w:pPr>
      <w:r>
        <w:t xml:space="preserve">The insider trading case law, however, is not confined to insiders or misappropriators who trade for their own accounts.</w:t>
      </w:r>
    </w:p>
    <w:p>
      <w:pPr>
        <w:pStyle w:val="CaseBody"/>
      </w:pPr>
      <w:r>
        <w:rPr>
          <w:rStyle w:val="Elision"/>
        </w:rPr>
        <w:t xml:space="preserve">[ … ]</w:t>
      </w:r>
      <w:r>
        <w:t xml:space="preserve">Courts have expanded insider trading liability to reach situations where the insider or misappropriator in possession of material nonpublic information (the “tipper”) does not himself trade but discloses the information to an outsider (a “tippee”) who then trades on the basis of the information before it is publicly disclosed.</w:t>
      </w:r>
      <w:r>
        <w:t xml:space="preserve"> </w:t>
      </w:r>
      <w:r>
        <w:rPr>
          <w:rStyle w:val="Elision"/>
        </w:rPr>
        <w:t xml:space="preserve">[ … ]</w:t>
      </w:r>
      <w:r>
        <w:t xml:space="preserve"> </w:t>
      </w:r>
      <w:r>
        <w:t xml:space="preserve">The elements of tipping liability are the same, regardless of whether the tipper’s duty arises under the “classical” or the “misappropriation” theory.</w:t>
      </w:r>
      <w:r>
        <w:t xml:space="preserve"> </w:t>
      </w:r>
      <w:r>
        <w:rPr>
          <w:rStyle w:val="Elision"/>
        </w:rPr>
        <w:t xml:space="preserve">[ … ]</w:t>
      </w:r>
    </w:p>
    <w:p>
      <w:pPr>
        <w:pStyle w:val="CaseBody"/>
      </w:pPr>
      <w:r>
        <w:rPr>
          <w:rStyle w:val="Elision"/>
        </w:rPr>
        <w:t xml:space="preserve">[ … ]</w:t>
      </w:r>
      <w:r>
        <w:rPr>
          <w:rStyle w:val="Elision"/>
        </w:rPr>
        <w:t xml:space="preserve">[ … ]</w:t>
      </w:r>
    </w:p>
    <w:p>
      <w:pPr>
        <w:pStyle w:val="CaseBody"/>
      </w:pPr>
      <w:r>
        <w:rPr>
          <w:rStyle w:val="Elision"/>
        </w:rPr>
        <w:t xml:space="preserve">[ … ]</w:t>
      </w:r>
    </w:p>
    <w:p>
      <w:pPr>
        <w:pStyle w:val="CaseBody"/>
      </w:pPr>
      <w:r>
        <w:t xml:space="preserve">E.</w:t>
      </w:r>
      <w:r>
        <w:t xml:space="preserve"> </w:t>
      </w:r>
      <w:r>
        <w:rPr>
          <w:iCs/>
          <w:i/>
        </w:rPr>
        <w:t xml:space="preserve">Mens Rea</w:t>
      </w:r>
    </w:p>
    <w:p>
      <w:pPr>
        <w:pStyle w:val="CaseBody"/>
      </w:pPr>
      <w:r>
        <w:t xml:space="preserve">Liability for securities fraud also requires proof that the defendant acted with scienter, which is defined as “a mental state embracing intent to deceive, manipulate or defraud.”</w:t>
      </w:r>
      <w:r>
        <w:t xml:space="preserve"> </w:t>
      </w:r>
      <w:r>
        <w:rPr>
          <w:rStyle w:val="Elision"/>
        </w:rPr>
        <w:t xml:space="preserve">[ … ]</w:t>
      </w:r>
      <w:r>
        <w:t xml:space="preserve">. In order to establish a criminal violation of the securities laws, the Government must show that the defendant acted “willfully.”</w:t>
      </w:r>
      <w:r>
        <w:t xml:space="preserve"> </w:t>
      </w:r>
      <w:r>
        <w:rPr>
          <w:rStyle w:val="Elision"/>
        </w:rPr>
        <w:t xml:space="preserve">[ … ]</w:t>
      </w:r>
      <w:r>
        <w:t xml:space="preserve">We have defined willfulness in this context “as a realization on the defendant’s part that he was doing a wrongful act under the securities laws.”</w:t>
      </w:r>
      <w:r>
        <w:t xml:space="preserve"> </w:t>
      </w:r>
      <w:r>
        <w:rPr>
          <w:rStyle w:val="Elision"/>
        </w:rPr>
        <w:t xml:space="preserve">[ … ]</w:t>
      </w:r>
    </w:p>
    <w:p>
      <w:pPr>
        <w:pStyle w:val="CaseBody"/>
      </w:pPr>
      <w:r>
        <w:t xml:space="preserve">II. The Requirements of Tippee Liability</w:t>
      </w:r>
    </w:p>
    <w:p>
      <w:pPr>
        <w:pStyle w:val="CaseBody"/>
      </w:pPr>
      <w:r>
        <w:t xml:space="preserve">The Government concedes that tippee liability requires proof of a personal benefit to the insider.</w:t>
      </w:r>
      <w:r>
        <w:t xml:space="preserve"> </w:t>
      </w:r>
      <w:r>
        <w:rPr>
          <w:rStyle w:val="Elision"/>
        </w:rPr>
        <w:t xml:space="preserve">[ … ]</w:t>
      </w:r>
      <w:r>
        <w:t xml:space="preserve"> </w:t>
      </w:r>
      <w:r>
        <w:t xml:space="preserve">However, the Government argues that it was not required to prove that Newman and Chiasson knew that the insiders at Dell and NVIDIA received a personal benefit in order to be found guilty of insider trading. Instead, the Government contends, consistent with the district court’s instruction, that it merely needed to prove that the “defendants traded on material, nonpublic information they knew insiders had disclosed in breach of a duty of confidentiality....”</w:t>
      </w:r>
      <w:r>
        <w:t xml:space="preserve"> </w:t>
      </w:r>
      <w:r>
        <w:rPr>
          <w:rStyle w:val="Elision"/>
        </w:rPr>
        <w:t xml:space="preserve">[ … ]</w:t>
      </w:r>
    </w:p>
    <w:p>
      <w:pPr>
        <w:pStyle w:val="CaseBody"/>
      </w:pPr>
      <w:r>
        <w:t xml:space="preserve">In support of this position, the Government cites</w:t>
      </w:r>
      <w:r>
        <w:t xml:space="preserve"> </w:t>
      </w:r>
      <w:r>
        <w:rPr>
          <w:iCs/>
          <w:i/>
        </w:rPr>
        <w:t xml:space="preserve">Dirks</w:t>
      </w:r>
      <w:r>
        <w:t xml:space="preserve"> </w:t>
      </w:r>
      <w:r>
        <w:t xml:space="preserve">for the proposition that the Supreme Court only required that the “tippee know that the tipper disclosed information in</w:t>
      </w:r>
      <w:r>
        <w:t xml:space="preserve"> </w:t>
      </w:r>
      <w:r>
        <w:rPr>
          <w:iCs/>
          <w:i/>
        </w:rPr>
        <w:t xml:space="preserve">breach of a duty.”</w:t>
      </w:r>
      <w:r>
        <w:rPr>
          <w:rStyle w:val="Elision"/>
        </w:rPr>
        <w:t xml:space="preserve">[ … ]</w:t>
      </w:r>
      <w:r>
        <w:t xml:space="preserve"> </w:t>
      </w:r>
      <w:r>
        <w:t xml:space="preserve">I</w:t>
      </w:r>
      <w:r>
        <w:rPr>
          <w:rStyle w:val="Elision"/>
        </w:rPr>
        <w:t xml:space="preserve">[ … ]</w:t>
      </w:r>
    </w:p>
    <w:p>
      <w:pPr>
        <w:pStyle w:val="CaseBody"/>
      </w:pPr>
      <w:r>
        <w:t xml:space="preserve">Although this Court has been accused of being “somewhat Delphic” in our discussion of what is required to demonstrate tippee liability,</w:t>
      </w:r>
      <w:r>
        <w:t xml:space="preserve"> </w:t>
      </w:r>
      <w:r>
        <w:rPr>
          <w:rStyle w:val="Elision"/>
        </w:rPr>
        <w:t xml:space="preserve">[ … ]</w:t>
      </w:r>
      <w:r>
        <w:t xml:space="preserve">the Supreme Court was quite clear in</w:t>
      </w:r>
      <w:r>
        <w:t xml:space="preserve"> </w:t>
      </w:r>
      <w:r>
        <w:rPr>
          <w:iCs/>
          <w:i/>
        </w:rPr>
        <w:t xml:space="preserve">Dirks. First,</w:t>
      </w:r>
      <w:r>
        <w:t xml:space="preserve"> </w:t>
      </w:r>
      <w:r>
        <w:t xml:space="preserve">the tippee’s liability derives</w:t>
      </w:r>
      <w:r>
        <w:t xml:space="preserve"> </w:t>
      </w:r>
      <w:r>
        <w:rPr>
          <w:iCs/>
          <w:i/>
        </w:rPr>
        <w:t xml:space="preserve">only</w:t>
      </w:r>
      <w:r>
        <w:t xml:space="preserve"> </w:t>
      </w:r>
      <w:r>
        <w:t xml:space="preserve">from the tipper’s breach of a fiduciary duty,</w:t>
      </w:r>
      <w:r>
        <w:t xml:space="preserve"> </w:t>
      </w:r>
      <w:r>
        <w:rPr>
          <w:iCs/>
          <w:i/>
        </w:rPr>
        <w:t xml:space="preserve">not</w:t>
      </w:r>
      <w:r>
        <w:t xml:space="preserve"> </w:t>
      </w:r>
      <w:r>
        <w:t xml:space="preserve">from trading on material, non-public information.</w:t>
      </w:r>
      <w:r>
        <w:t xml:space="preserve"> </w:t>
      </w:r>
      <w:r>
        <w:rPr>
          <w:rStyle w:val="Elision"/>
        </w:rPr>
        <w:t xml:space="preserve">[ … ]</w:t>
      </w:r>
      <w:r>
        <w:t xml:space="preserve"> </w:t>
      </w:r>
      <w:r>
        <w:rPr>
          <w:iCs/>
          <w:i/>
        </w:rPr>
        <w:t xml:space="preserve">Second,</w:t>
      </w:r>
      <w:r>
        <w:t xml:space="preserve"> </w:t>
      </w:r>
      <w:r>
        <w:t xml:space="preserve">the corporate insider has committed no breach of fiduciary duty unless he receives a personal benefit in exchange for the disclosure.</w:t>
      </w:r>
      <w:r>
        <w:t xml:space="preserve"> </w:t>
      </w:r>
      <w:r>
        <w:rPr>
          <w:iCs/>
          <w:i/>
        </w:rPr>
        <w:t xml:space="preserve">Third,</w:t>
      </w:r>
      <w:r>
        <w:t xml:space="preserve"> </w:t>
      </w:r>
      <w:r>
        <w:t xml:space="preserve">even in the presence of a tipper’s breach, a tippee is liable only if he knows or should have known of the breach.</w:t>
      </w:r>
    </w:p>
    <w:p>
      <w:pPr>
        <w:pStyle w:val="CaseBody"/>
      </w:pPr>
      <w:r>
        <w:t xml:space="preserve">While we have not yet been presented with the question of whether the tippee’s knowledge of a tipper’s breach requires knowledge of the tipper’s personal benefit, the answer follows naturally from</w:t>
      </w:r>
      <w:r>
        <w:t xml:space="preserve"> </w:t>
      </w:r>
      <w:r>
        <w:rPr>
          <w:iCs/>
          <w:i/>
        </w:rPr>
        <w:t xml:space="preserve">Dirks. Dirks</w:t>
      </w:r>
      <w:r>
        <w:t xml:space="preserve"> </w:t>
      </w:r>
      <w:r>
        <w:t xml:space="preserve">counsels us that the exchange of confidential information for personal benefit is not separate from an insider’s fiduciary breach; it</w:t>
      </w:r>
      <w:r>
        <w:t xml:space="preserve"> </w:t>
      </w:r>
      <w:r>
        <w:rPr>
          <w:iCs/>
          <w:i/>
        </w:rPr>
        <w:t xml:space="preserve">is</w:t>
      </w:r>
      <w:r>
        <w:t xml:space="preserve"> </w:t>
      </w:r>
      <w:r>
        <w:t xml:space="preserve">the fiduciary breach that triggers liability for securities fraud under Rule 10b-5. For purposes of insider trading liability, the insider’s disclosure of confidential information, standing alone, is not a breach. Thus, without establishing that the tippee knows of the personal benefit received by the insider in exchange for the disclosure, the Government cannot meet its burden of showing that the tippee knew of a breach.</w:t>
      </w:r>
    </w:p>
    <w:p>
      <w:pPr>
        <w:pStyle w:val="CaseBody"/>
      </w:pPr>
      <w:r>
        <w:rPr>
          <w:rStyle w:val="Elision"/>
        </w:rPr>
        <w:t xml:space="preserve">[ … ]</w:t>
      </w:r>
      <w:r>
        <w:t xml:space="preserve">We note that the Government has not cited, nor have we found, a single case in which tippees as remote as Newman and Chiasson have been held criminally liable for insider trading.</w:t>
      </w:r>
    </w:p>
    <w:p>
      <w:pPr>
        <w:pStyle w:val="CaseBody"/>
      </w:pPr>
      <w:r>
        <w:rPr>
          <w:rStyle w:val="Elision"/>
        </w:rPr>
        <w:t xml:space="preserve">[ … ]</w:t>
      </w:r>
    </w:p>
    <w:p>
      <w:pPr>
        <w:pStyle w:val="CaseBody"/>
      </w:pPr>
      <w:r>
        <w:rPr>
          <w:rStyle w:val="Elision"/>
        </w:rPr>
        <w:t xml:space="preserve">[ … ]</w:t>
      </w:r>
    </w:p>
    <w:p>
      <w:pPr>
        <w:pStyle w:val="CaseBody"/>
      </w:pPr>
      <w:r>
        <w:t xml:space="preserve">In light of</w:t>
      </w:r>
      <w:r>
        <w:t xml:space="preserve"> </w:t>
      </w:r>
      <w:r>
        <w:rPr>
          <w:iCs/>
          <w:i/>
        </w:rPr>
        <w:t xml:space="preserve">Dirks,</w:t>
      </w:r>
      <w:r>
        <w:t xml:space="preserve"> </w:t>
      </w:r>
      <w:r>
        <w:t xml:space="preserve">we find no support for the Government’s contention that knowledge of a breach of the duty of confidentiality without knowledge of the personal benefit is sufficient to impose criminal liability. Although the Government might like the law to be different, nothing in the law requires a symmetry of information in the nation’s securities markets. The Supreme Court explicitly repudiated this premise not only in</w:t>
      </w:r>
      <w:r>
        <w:t xml:space="preserve"> </w:t>
      </w:r>
      <w:r>
        <w:rPr>
          <w:iCs/>
          <w:i/>
        </w:rPr>
        <w:t xml:space="preserve">Dirks,</w:t>
      </w:r>
      <w:r>
        <w:t xml:space="preserve"> </w:t>
      </w:r>
      <w:r>
        <w:t xml:space="preserve">but in a predecessor case,</w:t>
      </w:r>
      <w:r>
        <w:t xml:space="preserve"> </w:t>
      </w:r>
      <w:r>
        <w:rPr>
          <w:iCs/>
          <w:i/>
        </w:rPr>
        <w:t xml:space="preserve">Chiarella v. United States.</w:t>
      </w:r>
      <w:r>
        <w:t xml:space="preserve"> </w:t>
      </w:r>
      <w:r>
        <w:t xml:space="preserve">In</w:t>
      </w:r>
      <w:r>
        <w:t xml:space="preserve"> </w:t>
      </w:r>
      <w:r>
        <w:rPr>
          <w:iCs/>
          <w:i/>
        </w:rPr>
        <w:t xml:space="preserve">Chiarella,</w:t>
      </w:r>
      <w:r>
        <w:t xml:space="preserve"> </w:t>
      </w:r>
      <w:r>
        <w:t xml:space="preserve">the Supreme Court rejected this Circuit’s conclusion that “the federal securities laws have created a system providing equal access to information necessary for reasoned and intelligent investment decisions .... because [material non-public] information gives certain buyers or sellers an unfair advantage over less informed buyers and sellers.”</w:t>
      </w:r>
      <w:r>
        <w:rPr>
          <w:rStyle w:val="Elision"/>
        </w:rPr>
        <w:t xml:space="preserve">[ … ]</w:t>
      </w:r>
      <w:r>
        <w:t xml:space="preserve">The Supreme Court emphasized that “[t]his reasoning suffers from [a] defect.... [because] not every instance of financial unfairness constitutes fraudulent activity under § 10(b).”</w:t>
      </w:r>
      <w:r>
        <w:rPr>
          <w:rStyle w:val="Elision"/>
        </w:rPr>
        <w:t xml:space="preserve">[ … ]</w:t>
      </w:r>
      <w:r>
        <w:t xml:space="preserve"> </w:t>
      </w:r>
      <w:r>
        <w:t xml:space="preserve">Thus, in both</w:t>
      </w:r>
      <w:r>
        <w:t xml:space="preserve"> </w:t>
      </w:r>
      <w:r>
        <w:rPr>
          <w:iCs/>
          <w:i/>
        </w:rPr>
        <w:t xml:space="preserve">Chiarella</w:t>
      </w:r>
      <w:r>
        <w:t xml:space="preserve"> </w:t>
      </w:r>
      <w:r>
        <w:t xml:space="preserve">and</w:t>
      </w:r>
      <w:r>
        <w:t xml:space="preserve"> </w:t>
      </w:r>
      <w:r>
        <w:rPr>
          <w:iCs/>
          <w:i/>
        </w:rPr>
        <w:t xml:space="preserve">Dirks,</w:t>
      </w:r>
      <w:r>
        <w:t xml:space="preserve"> </w:t>
      </w:r>
      <w:r>
        <w:t xml:space="preserve">the Supreme Court affirmatively established that insider trading liability is based on breaches of fiduciary duty, not on informational asymmetries. This is a critical limitation on insider trading liability that protects a corporation’s interests in confidentiality while promoting' efficiency in the nation’s securities markets.</w:t>
      </w:r>
    </w:p>
    <w:p>
      <w:pPr>
        <w:pStyle w:val="CaseBody"/>
      </w:pPr>
      <w:r>
        <w:t xml:space="preserve">As noted above,</w:t>
      </w:r>
      <w:r>
        <w:t xml:space="preserve"> </w:t>
      </w:r>
      <w:r>
        <w:rPr>
          <w:iCs/>
          <w:i/>
        </w:rPr>
        <w:t xml:space="preserve">Dirks</w:t>
      </w:r>
      <w:r>
        <w:t xml:space="preserve"> </w:t>
      </w:r>
      <w:r>
        <w:t xml:space="preserve">clearly defines a breach of fiduciary duty as a breach of the duty of confidentiality in exchange for a personal benefit.</w:t>
      </w:r>
      <w:r>
        <w:t xml:space="preserve"> </w:t>
      </w:r>
      <w:r>
        <w:rPr>
          <w:rStyle w:val="Elision"/>
        </w:rPr>
        <w:t xml:space="preserve">[ … ]</w:t>
      </w:r>
      <w:r>
        <w:t xml:space="preserve"> </w:t>
      </w:r>
      <w:r>
        <w:t xml:space="preserve">Accordingly, we conclude that a tippee’s knowledge of the insider’s breach necessarily requires knowledge that the insider disclosed confidential information in exchange for personal benefit.</w:t>
      </w:r>
      <w:r>
        <w:t xml:space="preserve"> </w:t>
      </w:r>
      <w:r>
        <w:rPr>
          <w:rStyle w:val="Elision"/>
        </w:rPr>
        <w:t xml:space="preserve">[ … ]</w:t>
      </w:r>
    </w:p>
    <w:p>
      <w:pPr>
        <w:pStyle w:val="CaseBody"/>
      </w:pPr>
      <w:r>
        <w:rPr>
          <w:rStyle w:val="Elision"/>
        </w:rPr>
        <w:t xml:space="preserve">[ … ]</w:t>
      </w:r>
    </w:p>
    <w:p>
      <w:pPr>
        <w:pStyle w:val="CaseBody"/>
      </w:pPr>
      <w:r>
        <w:t xml:space="preserve">In sum, we hold that to sustain an insider trading conviction against a tippee, the Government must prove each of the following elements beyond a reasonable doubt: that (1) the corporate insider was entrusted with a fiduciary duty; (2) the corporate insider breached his fiduciary duty by (a) disclosing confidential information to a tippee (b) in exchange for a personal benefit; (3) the tippee knew of the tipper’s breach, that is, he knew the information was confidential and divulged for personal benefit; and (4) the tippee still used that information to trade in a security or tip another individual for personal benefit.</w:t>
      </w:r>
      <w:r>
        <w:t xml:space="preserve"> </w:t>
      </w:r>
      <w:r>
        <w:rPr>
          <w:rStyle w:val="Elision"/>
        </w:rPr>
        <w:t xml:space="preserve">[ … ]</w:t>
      </w:r>
    </w:p>
    <w:p>
      <w:pPr>
        <w:pStyle w:val="CaseBody"/>
      </w:pPr>
      <w:r>
        <w:rPr>
          <w:rStyle w:val="Elision"/>
        </w:rPr>
        <w:t xml:space="preserve">[ … ]</w:t>
      </w:r>
    </w:p>
    <w:p>
      <w:pPr>
        <w:pStyle w:val="CaseBody"/>
      </w:pPr>
      <w:r>
        <w:t xml:space="preserve">For the foregoing reasons, we vacate the convictions and remand for the district court to dismiss the indictment with prejudice as it pertains to Newman and Chiasson.</w:t>
      </w:r>
    </w:p>
    <w:bookmarkStart w:id="67" w:name="_auto_toc_67"/>
    <w:bookmarkEnd w:id="67"/>
    <w:p>
      <w:pPr>
        <w:pStyle w:val="ResourceNumber"/>
      </w:pPr>
      <w:r>
        <w:t xml:space="preserve">6.1.6</w:t>
      </w:r>
    </w:p>
    <w:p>
      <w:pPr>
        <w:pStyle w:val="ResourceTitle"/>
      </w:pPr>
      <w:r>
        <w:t xml:space="preserve">U.S. v. O'Hagan</w:t>
      </w:r>
    </w:p>
    <w:p>
      <w:pPr>
        <w:pStyle w:val="HeadFieldSeparator"/>
      </w:pPr>
      <w:r>
        <w:t xml:space="preserve"> </w:t>
      </w:r>
    </w:p>
    <w:p>
      <w:pPr>
        <w:pStyle w:val="ResourceHeadnote"/>
      </w:pPr>
      <w:r>
        <w:t xml:space="preserve">In O’Hagan, the Supreme Court endorsed the so-called “misappropriation theory” of insider trading liability under rule 10b-5, and upheld rule 14e-3.</w:t>
      </w:r>
    </w:p>
    <w:p>
      <w:pPr>
        <w:pStyle w:val="BlockText"/>
      </w:pPr>
      <w:r>
        <w:t xml:space="preserve">1. The misappropriation theory rests 10b-5 liability on deceiving the source of the information. What exactly is the deception, and does it occur “in connection with the purchase or sale of any security” (see SEA §10(b) and rule 10b-5)?</w:t>
      </w:r>
      <w:r>
        <w:br/>
      </w:r>
      <w:r>
        <w:t xml:space="preserve">2. Does rule 14e-3 expand liability beyond rule 10b-5? If so, what is the statutory basis for the expansion?</w:t>
      </w:r>
      <w:r>
        <w:br/>
      </w:r>
      <w:r>
        <w:t xml:space="preserve">3. Did O’Hagan overrule Chiarella and Dirks?</w:t>
      </w:r>
    </w:p>
    <w:p>
      <w:pPr>
        <w:pStyle w:val="BlockText"/>
      </w:pPr>
      <w:r>
        <w:t xml:space="preserve">a. Could the defendant in Chiarella have been convicted under O’Hagan’s theory of rule 10b-5? If so, why wasn’t he? Hint: re-read part IV of Chiarella.</w:t>
      </w:r>
      <w:r>
        <w:br/>
      </w:r>
      <w:r>
        <w:t xml:space="preserve">b. Could the defendant in Chiarella have been convicted under rule 14e-3? If so, why wasn’t he?</w:t>
      </w:r>
      <w:r>
        <w:br/>
      </w:r>
      <w:r>
        <w:t xml:space="preserve">c. Does O’Hagan’s misappropriation theory of 10b-5 insider trading liability replace the “classical theory” as endorsed and applied by Chiarella and Dirks—liability premised on a duty to the shareholders of the corporation whose shares are being traded? Or are the two theories complementary? What behavior would violate rule 10b-5 under the classical theory but not under the misappropriation theory?</w:t>
      </w:r>
    </w:p>
    <w:p>
      <w:pPr>
        <w:pStyle w:val="HeadEnd"/>
      </w:pPr>
      <w:r>
        <w:t xml:space="preserve"> </w:t>
      </w:r>
    </w:p>
    <w:p>
      <w:pPr>
        <w:pStyle w:val="CaseHeader"/>
      </w:pPr>
      <w:r>
        <w:t xml:space="preserve">Supreme Court of the United States</w:t>
      </w:r>
    </w:p>
    <w:p>
      <w:pPr>
        <w:pStyle w:val="CaseHeader"/>
      </w:pPr>
      <w:r>
        <w:t xml:space="preserve">521 U.S. 642, 138 L. Ed. 2d 724, 117 S. Ct. 2199, 1997 U.S. LEXIS 4033, SCDB 1996-090</w:t>
      </w:r>
    </w:p>
    <w:p>
      <w:pPr>
        <w:pStyle w:val="CaseHeader"/>
      </w:pPr>
      <w:r>
        <w:t xml:space="preserve">No. 96-842</w:t>
      </w:r>
    </w:p>
    <w:p>
      <w:pPr>
        <w:pStyle w:val="CaseHeader"/>
      </w:pPr>
      <w:r>
        <w:t xml:space="preserve">1997-06-25</w:t>
      </w:r>
    </w:p>
    <w:p>
      <w:pPr>
        <w:pStyle w:val="CaseBody"/>
      </w:pPr>
      <w:r>
        <w:t xml:space="preserve">521 U.S. 642 (1997)</w:t>
      </w:r>
    </w:p>
    <w:p>
      <w:pPr>
        <w:pStyle w:val="CaseHeader"/>
      </w:pPr>
      <w:r>
        <w:t xml:space="preserve">UNITED STATES</w:t>
      </w:r>
      <w:r>
        <w:br/>
      </w:r>
      <w:r>
        <w:t xml:space="preserve">v.</w:t>
      </w:r>
      <w:r>
        <w:br/>
      </w:r>
      <w:r>
        <w:t xml:space="preserve">O'HAGAN</w:t>
      </w:r>
    </w:p>
    <w:p>
      <w:pPr>
        <w:pStyle w:val="CaseBody"/>
      </w:pPr>
      <w:r>
        <w:rPr>
          <w:rStyle w:val="Elision"/>
        </w:rPr>
        <w:t xml:space="preserve">[ … ]</w:t>
      </w:r>
    </w:p>
    <w:p>
      <w:pPr>
        <w:pStyle w:val="CaseBody"/>
      </w:pPr>
      <w:r>
        <w:t xml:space="preserve">Ginsburg, J., delivered the opinion of the Court, in which Stevens, O'Connor, Kennedy, Souter, and Breyer, JJ., joined, and in which Scalia, J., joined as to Parts I, III, and IV. Scalia, J., filed an opinion concurring in part and dissenting in part,</w:t>
      </w:r>
      <w:r>
        <w:t xml:space="preserve"> </w:t>
      </w:r>
      <w:r>
        <w:rPr>
          <w:iCs/>
          <w:i/>
        </w:rPr>
        <w:t xml:space="preserve">post,</w:t>
      </w:r>
      <w:r>
        <w:t xml:space="preserve"> </w:t>
      </w:r>
      <w:r>
        <w:t xml:space="preserve">p. 679. Thomas, J., filed an opinion concurring in the judgment in part and dissenting in part, in which Rehnquist, C. J., joined,</w:t>
      </w:r>
      <w:r>
        <w:t xml:space="preserve"> </w:t>
      </w:r>
      <w:r>
        <w:rPr>
          <w:iCs/>
          <w:i/>
        </w:rPr>
        <w:t xml:space="preserve">post,</w:t>
      </w:r>
      <w:r>
        <w:t xml:space="preserve"> </w:t>
      </w:r>
      <w:r>
        <w:t xml:space="preserve">p. 680.</w:t>
      </w:r>
    </w:p>
    <w:p>
      <w:pPr>
        <w:pStyle w:val="CaseBody"/>
      </w:pPr>
      <w:r>
        <w:rPr>
          <w:rStyle w:val="Elision"/>
        </w:rPr>
        <w:t xml:space="preserve">[ … ]</w:t>
      </w:r>
    </w:p>
    <w:bookmarkStart w:id="128" w:name="i-3"/>
    <w:p>
      <w:pPr>
        <w:pStyle w:val="Heading2"/>
      </w:pPr>
      <w:r>
        <w:t xml:space="preserve">I</w:t>
      </w:r>
    </w:p>
    <w:p>
      <w:pPr>
        <w:pStyle w:val="CaseBody"/>
      </w:pPr>
      <w:r>
        <w:t xml:space="preserve">Respondent James Herman O'Hagan was a partner in the law firm of Dorsey &amp; Whitney in Minneapolis, Minnesota. In July 1988, Grand Metropolitan PLC (Grand Met), a company based in London, England, retained Dorsey &amp; Whitney as local counsel to represent Grand Met regarding a potential tender offer for the common stock of the Pillsbury Company, headquartered in Minneapolis. Both Grand Met and Dorsey &amp; Whitney took precautions to protect the confidentiality of Grand Met's tender offer plans. O'Hagan did no work on the Grand Met representation. Dorsey &amp; Whitney withdrew from representing Grand Met on September 9, 1988. Less than a month later, on October 4, 1988, Grand Met publicly announced its tender offer for Pillsbury stock.</w:t>
      </w:r>
    </w:p>
    <w:p>
      <w:pPr>
        <w:pStyle w:val="CaseBody"/>
      </w:pPr>
      <w:r>
        <w:t xml:space="preserve">On August 18, 1988, while Dorsey &amp; Whitney was still representing Grand Met, O'Hagan began purchasing call options for Pillsbury stock. Each option gave him the right to purchase 100 shares of Pillsbury stock by a specified date in September 1988. Later in August and in September, O'Hagan made additional purchases of Pillsbury call options. By the end of September, he owned 2,500 unexpired Pillsbury options, apparently more than any other individual investor. [648] See App. 85, 148. O'Hagan also purchased, in September 1988, some 5,000 shares of Pillsbury common stock, at a price just under $39 per share. When Grand Met announced its tender offer in October, the price of Pillsbury stock rose to nearly $60 per share. O'Hagan then sold his Pillsbury call options and common stock, making a profit of more than $4.3 million.</w:t>
      </w:r>
    </w:p>
    <w:p>
      <w:pPr>
        <w:pStyle w:val="CaseBody"/>
      </w:pPr>
      <w:r>
        <w:t xml:space="preserve">The Securities and Exchange Commission (SEC or Commission) initiated an investigation into O'Hagan's transactions, culminating in a 57-count indictment. The indictment alleged that O'Hagan defrauded his law firm and its client, Grand Met, by using for his own trading purposes material, nonpublic information regarding Grand Met's planned tender offer.</w:t>
      </w:r>
      <w:r>
        <w:t xml:space="preserve"> </w:t>
      </w:r>
      <w:r>
        <w:rPr>
          <w:iCs/>
          <w:i/>
        </w:rPr>
        <w:t xml:space="preserve">Id.,</w:t>
      </w:r>
      <w:r>
        <w:t xml:space="preserve"> </w:t>
      </w:r>
      <w:r>
        <w:t xml:space="preserve">at 8.</w:t>
      </w:r>
      <w:hyperlink w:anchor="X6a7ad51f880eadb31b13667d18cc2d798a6d035">
        <w:r>
          <w:rPr>
            <w:rStyle w:val="Hyperlink"/>
            <w:vertAlign w:val="superscript"/>
          </w:rPr>
          <w:t xml:space="preserve">[2]</w:t>
        </w:r>
      </w:hyperlink>
      <w:r>
        <w:t xml:space="preserve"> </w:t>
      </w:r>
      <w:r>
        <w:t xml:space="preserve">According to the indictment, O'Hagan used the profits he gained through this trading to conceal his previous embezzlement and conversion of unrelated client trust funds.</w:t>
      </w:r>
      <w:r>
        <w:t xml:space="preserve"> </w:t>
      </w:r>
      <w:r>
        <w:rPr>
          <w:iCs/>
          <w:i/>
        </w:rPr>
        <w:t xml:space="preserve">Id.,</w:t>
      </w:r>
      <w:r>
        <w:t xml:space="preserve"> </w:t>
      </w:r>
      <w:r>
        <w:t xml:space="preserve">at 10.</w:t>
      </w:r>
      <w:hyperlink w:anchor="Xddf579301f02a9225059ed9863fb0d570845561">
        <w:r>
          <w:rPr>
            <w:rStyle w:val="Hyperlink"/>
            <w:vertAlign w:val="superscript"/>
          </w:rPr>
          <w:t xml:space="preserve">[3]</w:t>
        </w:r>
      </w:hyperlink>
      <w:r>
        <w:t xml:space="preserve"> </w:t>
      </w:r>
      <w:r>
        <w:t xml:space="preserve">O'Hagan was charged with 20 counts of mail fraud, in violation of 18 U. S. C. § 1341; 17 counts of securities fraud, in violation of § 10(b) of the Securities Exchange Act of 1934 (Exchange Act), 48 Stat. 891, 15 U. S. C. § 78j(b), and SEC Rule 10b—5, 17 CFR § 240.10b—5 [649] (1996); 17 counts of fraudulent trading in connection with a tender offer, in violation of § 14(e) of the Exchange Act, 15 U. S. C. § 78n(e), and SEC Rule 14e—3(a), 17 CFR § 240.14e— 3(a) (1996); and 3 counts of violating federal money laundering statutes, 18 U. S. C. §§ 1956(a)(1)(B)(i), 1957. See App. 13-24. A jury convicted O'Hagan on all 57 counts, and he was sentenced to a 41-month term of imprisonment.</w:t>
      </w:r>
    </w:p>
    <w:p>
      <w:pPr>
        <w:pStyle w:val="CaseBody"/>
      </w:pPr>
      <w:r>
        <w:t xml:space="preserve">A divided panel of the Court of Appeals for the Eighth Circuit reversed all of O'Hagan's convictions. 92 F. 3d 612 (1996). Liability under § 10(b) and Rule 10b—5, the Eighth Circuit held, may not be grounded on the "misappropriation theory" of securities fraud on which the prosecution relied.</w:t>
      </w:r>
      <w:r>
        <w:t xml:space="preserve"> </w:t>
      </w:r>
      <w:r>
        <w:rPr>
          <w:iCs/>
          <w:i/>
        </w:rPr>
        <w:t xml:space="preserve">Id.,</w:t>
      </w:r>
      <w:r>
        <w:t xml:space="preserve"> </w:t>
      </w:r>
      <w:r>
        <w:t xml:space="preserve">at 622. The Court of Appeals also held that Rule 14e— 3(a)—which prohibits trading while in possession of material, nonpublic information relating to a tender offer—exceeds the SEC's § 14(e) rulemaking authority because the Rule contains no breach of fiduciary duty requirement.</w:t>
      </w:r>
      <w:r>
        <w:t xml:space="preserve"> </w:t>
      </w:r>
      <w:r>
        <w:rPr>
          <w:iCs/>
          <w:i/>
        </w:rPr>
        <w:t xml:space="preserve">Id.,</w:t>
      </w:r>
      <w:r>
        <w:t xml:space="preserve"> </w:t>
      </w:r>
      <w:r>
        <w:t xml:space="preserve">at 627. The Eighth Circuit further concluded that O'Hagan's mail fraud and money laundering convictions rested on violations of the securities laws, and therefore could not stand once the securities fraud convictions were reversed.</w:t>
      </w:r>
      <w:r>
        <w:t xml:space="preserve"> </w:t>
      </w:r>
      <w:r>
        <w:rPr>
          <w:rStyle w:val="Elision"/>
        </w:rPr>
        <w:t xml:space="preserve">[ … ]</w:t>
      </w:r>
    </w:p>
    <w:bookmarkEnd w:id="128"/>
    <w:bookmarkStart w:id="129" w:name="ii-3"/>
    <w:p>
      <w:pPr>
        <w:pStyle w:val="Heading2"/>
      </w:pPr>
      <w:r>
        <w:t xml:space="preserve">II</w:t>
      </w:r>
    </w:p>
    <w:p>
      <w:pPr>
        <w:pStyle w:val="CaseBody"/>
      </w:pPr>
      <w:r>
        <w:t xml:space="preserve">We address first the Court of Appeals' reversal of O'Hagan's convictions under § 10(b) and Rule 10b—5.</w:t>
      </w:r>
      <w:r>
        <w:t xml:space="preserve"> </w:t>
      </w:r>
      <w:r>
        <w:rPr>
          <w:rStyle w:val="Elision"/>
        </w:rPr>
        <w:t xml:space="preserve">[ … ]</w:t>
      </w:r>
    </w:p>
    <w:p>
      <w:pPr>
        <w:pStyle w:val="CaseBody"/>
      </w:pPr>
      <w:r>
        <w:t xml:space="preserve">Liability under Rule 10b—5, our precedent indicates, does not extend beyond conduct encompassed by § 10(b)'s prohibition.</w:t>
      </w:r>
      <w:r>
        <w:t xml:space="preserve"> </w:t>
      </w:r>
      <w:r>
        <w:rPr>
          <w:rStyle w:val="Elision"/>
        </w:rPr>
        <w:t xml:space="preserve">[ … ]</w:t>
      </w:r>
    </w:p>
    <w:p>
      <w:pPr>
        <w:pStyle w:val="CaseBody"/>
      </w:pPr>
      <w:r>
        <w:t xml:space="preserve">Under the "traditional" or "classical theory" of insider trading liability, § 10(b) and Rule 10b—5 are violated when a corporate insider trades in the securities of his corporation [652] on the basis of material, nonpublic information. Trading on such information qualifies as a "deceptive device" under § 10(b), we have affirmed, because "a relationship of trust and confidence [exists] between the shareholders of a corporation and those insiders who have obtained confidential information by reason of their position with that corporation."</w:t>
      </w:r>
      <w:r>
        <w:t xml:space="preserve"> </w:t>
      </w:r>
      <w:r>
        <w:rPr>
          <w:iCs/>
          <w:i/>
        </w:rPr>
        <w:t xml:space="preserve">Chiarella</w:t>
      </w:r>
      <w:r>
        <w:t xml:space="preserve"> </w:t>
      </w:r>
      <w:r>
        <w:t xml:space="preserve">v.</w:t>
      </w:r>
      <w:r>
        <w:t xml:space="preserve"> </w:t>
      </w:r>
      <w:r>
        <w:rPr>
          <w:iCs/>
          <w:i/>
        </w:rPr>
        <w:t xml:space="preserve">United States,</w:t>
      </w:r>
      <w:r>
        <w:t xml:space="preserve"> </w:t>
      </w:r>
      <w:r>
        <w:t xml:space="preserve">445 U. S. 222, 228 (1980). That relationship, we recognized, "gives rise to a duty to disclose [or to abstain from trading] because of the `necessity of preventing a corporate insider from . . . tak[ing] unfair advantage of . . . uninformed . . . stockholders.' "</w:t>
      </w:r>
      <w:r>
        <w:t xml:space="preserve"> </w:t>
      </w:r>
      <w:r>
        <w:rPr>
          <w:iCs/>
          <w:i/>
        </w:rPr>
        <w:t xml:space="preserve">Id.,</w:t>
      </w:r>
      <w:r>
        <w:t xml:space="preserve"> </w:t>
      </w:r>
      <w:r>
        <w:t xml:space="preserve">at 228-229 (citation omitted). The classical theory applies not only to officers, directors, and other permanent insiders of a corporation, but also to attorneys, accountants, consultants, and others who temporarily become fiduciaries of a corporation. See</w:t>
      </w:r>
      <w:r>
        <w:t xml:space="preserve"> </w:t>
      </w:r>
      <w:r>
        <w:rPr>
          <w:iCs/>
          <w:i/>
        </w:rPr>
        <w:t xml:space="preserve">Dirks</w:t>
      </w:r>
      <w:r>
        <w:t xml:space="preserve"> </w:t>
      </w:r>
      <w:r>
        <w:t xml:space="preserve">v.</w:t>
      </w:r>
      <w:r>
        <w:t xml:space="preserve"> </w:t>
      </w:r>
      <w:r>
        <w:rPr>
          <w:iCs/>
          <w:i/>
        </w:rPr>
        <w:t xml:space="preserve">SEC,</w:t>
      </w:r>
      <w:r>
        <w:t xml:space="preserve"> </w:t>
      </w:r>
      <w:r>
        <w:t xml:space="preserve">463 U. S. 646, 655, n. 14 (1983).</w:t>
      </w:r>
    </w:p>
    <w:p>
      <w:pPr>
        <w:pStyle w:val="CaseBody"/>
      </w:pPr>
      <w:r>
        <w:t xml:space="preserve">The "misappropriation theory" holds that a person commits fraud "in connection with" a securities transaction, and thereby violates § 10(b) and Rule 10b—5, when he misappropriates confidential information for securities trading purposes, in breach of a duty owed to the source of the information. See Brief for United States 14. Under this theory, a fiduciary's undisclosed, self-serving use of a principal's information to purchase or sell securities, in breach of a duty of loyalty and confidentiality, defrauds the principal of the exclusive use of that information. In lieu of premising liability on a fiduciary relationship between company insider and purchaser or seller of the company's stock, the misappropriation theory premises liability on a fiduciary-turned-trader's deception of those who entrusted him with access to confidential information.</w:t>
      </w:r>
    </w:p>
    <w:p>
      <w:pPr>
        <w:pStyle w:val="CaseBody"/>
      </w:pPr>
      <w:r>
        <w:t xml:space="preserve">The two theories are complementary, each addressing efforts to capitalize on nonpublic information through the purchase or sale of securities. The classical theory targets a corporate insider's breach of duty to shareholders with whom the insider transacts; the misappropriation theory outlaws [653] trading on the basis of nonpublic information by a corporate "outsider" in breach of a duty owed not to a trading party, but to the source of the information. The misappropriation theory is thus designed to "protec[t] the integrity of the securities markets against abuses by `outsiders' to a corporation who have access to confidential information that will affect th[e] corporation's security price when revealed, but who owe no fiduciary or other duty to that corporation's shareholders."</w:t>
      </w:r>
      <w:r>
        <w:t xml:space="preserve"> </w:t>
      </w:r>
      <w:r>
        <w:rPr>
          <w:iCs/>
          <w:i/>
        </w:rPr>
        <w:t xml:space="preserve">Ibid.</w:t>
      </w:r>
    </w:p>
    <w:p>
      <w:pPr>
        <w:pStyle w:val="CaseBody"/>
      </w:pPr>
      <w:r>
        <w:t xml:space="preserve">In this case, the indictment alleged that O'Hagan, in breach of a duty of trust and confidence he owed to his law firm, Dorsey &amp; Whitney, and to its client, Grand Met, traded on the basis of nonpublic information regarding Grand Met's planned tender offer for Pillsbury common stock. App. 16. This conduct, the Government charged, constituted a fraudulent device in connection with the purchase and sale of securities.</w:t>
      </w:r>
      <w:hyperlink w:anchor="X020ea22f9761f1b406383ae693a21d50a856bd7">
        <w:r>
          <w:rPr>
            <w:rStyle w:val="Hyperlink"/>
            <w:vertAlign w:val="superscript"/>
          </w:rPr>
          <w:t xml:space="preserve">[6]</w:t>
        </w:r>
      </w:hyperlink>
    </w:p>
    <w:bookmarkEnd w:id="129"/>
    <w:bookmarkStart w:id="130" w:name="b-5"/>
    <w:p>
      <w:pPr>
        <w:pStyle w:val="Heading2"/>
      </w:pPr>
      <w:r>
        <w:t xml:space="preserve">B</w:t>
      </w:r>
    </w:p>
    <w:p>
      <w:pPr>
        <w:pStyle w:val="CaseBody"/>
      </w:pPr>
      <w:r>
        <w:t xml:space="preserve">We agree with the Government that misappropriation, as just defined, satisfies § 10(b)'s requirement that chargeable conduct involve a "deceptive device or contrivance" used "in connection with" the purchase or sale of securities. We observe, first, that misappropriators, as the Government describes them, deal in deception. A fiduciary who "[pretends] loyalty to the principal while secretly converting the principal's information for personal gain," Brief for United States [654] 17, "dupes" or defrauds the principal.</w:t>
      </w:r>
      <w:r>
        <w:t xml:space="preserve"> </w:t>
      </w:r>
      <w:r>
        <w:rPr>
          <w:rStyle w:val="Elision"/>
        </w:rPr>
        <w:t xml:space="preserve">[ … ]</w:t>
      </w:r>
    </w:p>
    <w:p>
      <w:pPr>
        <w:pStyle w:val="CaseBody"/>
      </w:pPr>
      <w:r>
        <w:t xml:space="preserve">The misappropriation theory advanced by the Government is consistent with</w:t>
      </w:r>
      <w:r>
        <w:t xml:space="preserve"> </w:t>
      </w:r>
      <w:r>
        <w:rPr>
          <w:iCs/>
          <w:i/>
        </w:rPr>
        <w:t xml:space="preserve">Santa Fe Industries, Inc.</w:t>
      </w:r>
      <w:r>
        <w:t xml:space="preserve"> </w:t>
      </w:r>
      <w:r>
        <w:t xml:space="preserve">v.</w:t>
      </w:r>
      <w:r>
        <w:t xml:space="preserve"> </w:t>
      </w:r>
      <w:r>
        <w:rPr>
          <w:iCs/>
          <w:i/>
        </w:rPr>
        <w:t xml:space="preserve">Green,</w:t>
      </w:r>
      <w:r>
        <w:t xml:space="preserve"> </w:t>
      </w:r>
      <w:r>
        <w:t xml:space="preserve">430 U. S. 462 (1977), a decision underscoring that § 10(b) is not an all-purpose breach of fiduciary duty ban; rather, it trains on conduct involving manipulation or deception. See</w:t>
      </w:r>
      <w:r>
        <w:t xml:space="preserve"> </w:t>
      </w:r>
      <w:r>
        <w:rPr>
          <w:iCs/>
          <w:i/>
        </w:rPr>
        <w:t xml:space="preserve">id.,</w:t>
      </w:r>
      <w:r>
        <w:t xml:space="preserve"> </w:t>
      </w:r>
      <w:r>
        <w:t xml:space="preserve">at 473-476. In contrast to the Government's allegations in this case, in</w:t>
      </w:r>
      <w:r>
        <w:t xml:space="preserve"> </w:t>
      </w:r>
      <w:r>
        <w:rPr>
          <w:iCs/>
          <w:i/>
        </w:rPr>
        <w:t xml:space="preserve">Santa Fe Industries,</w:t>
      </w:r>
      <w:r>
        <w:t xml:space="preserve"> </w:t>
      </w:r>
      <w:r>
        <w:t xml:space="preserve">all pertinent facts were disclosed by the persons charged with violating § 10(b) and Rule 10b—5, see</w:t>
      </w:r>
      <w:r>
        <w:t xml:space="preserve"> </w:t>
      </w:r>
      <w:r>
        <w:rPr>
          <w:iCs/>
          <w:i/>
        </w:rPr>
        <w:t xml:space="preserve">id.,</w:t>
      </w:r>
      <w:r>
        <w:t xml:space="preserve"> </w:t>
      </w:r>
      <w:r>
        <w:t xml:space="preserve">at 474; therefore, there was no deception through nondisclosure to which liability under those provisions could attach, see</w:t>
      </w:r>
      <w:r>
        <w:t xml:space="preserve"> </w:t>
      </w:r>
      <w:r>
        <w:rPr>
          <w:iCs/>
          <w:i/>
        </w:rPr>
        <w:t xml:space="preserve">id.,</w:t>
      </w:r>
      <w:r>
        <w:t xml:space="preserve"> </w:t>
      </w:r>
      <w:r>
        <w:t xml:space="preserve">at 476. Similarly, full disclosure forecloses liability under the misappropriation theory: Because the deception essential to the misappropriation theory involves feigning fidelity to the source of information, if the fiduciary discloses to the source that he plans to trade on the nonpublic information, there is no "deceptive device" and thus no § 10(b) violation—although the fiduciary-turnedtrader may remain liable under state law for breach of a duty of loyalty.</w:t>
      </w:r>
      <w:hyperlink w:anchor="Xa6491e7fb1a320c1f631470553ab0a21fd1361d">
        <w:r>
          <w:rPr>
            <w:rStyle w:val="Hyperlink"/>
            <w:vertAlign w:val="superscript"/>
          </w:rPr>
          <w:t xml:space="preserve">[8]</w:t>
        </w:r>
      </w:hyperlink>
    </w:p>
    <w:p>
      <w:pPr>
        <w:pStyle w:val="CaseBody"/>
      </w:pPr>
      <w:r>
        <w:t xml:space="preserve">We turn next to the § 10(b) requirement that the misappropriator's deceptive use of information be "in connection with [656] the purchase or sale of [a] security." This element is satisfied because the fiduciary's fraud is consummated, not when the fiduciary gains the confidential information, but when, without disclosure to his principal, he uses the information to purchase or sell securities. The securities transaction and the breach of duty thus coincide. This is so even though the person or entity defrauded is not the other party to the trade, but is, instead, the source of the nonpublic information.</w:t>
      </w:r>
      <w:r>
        <w:t xml:space="preserve"> </w:t>
      </w:r>
      <w:r>
        <w:rPr>
          <w:rStyle w:val="Elision"/>
        </w:rPr>
        <w:t xml:space="preserve">[ … ]</w:t>
      </w:r>
    </w:p>
    <w:p>
      <w:pPr>
        <w:pStyle w:val="CaseBody"/>
      </w:pPr>
      <w:r>
        <w:t xml:space="preserve">The misappropriation theory comports with § 10(b)'s language, which requires deception "in connection with the purchase or sale of any security," not deception of an identifiable purchaser or seller. The theory is also well tuned to an animating purpose of the Exchange Act: to insure honest securities markets and thereby promote investor confidence. See 45 Fed. Reg. 60412 (1980) (trading on misappropriated information "undermines the integrity of, and investor confidence in, the securities markets"). Although informational disparity is inevitable in the securities markets, investors likely would hesitate to venture their capital in a market where trading based on misappropriated nonpublic information is unchecked by law.</w:t>
      </w:r>
      <w:r>
        <w:t xml:space="preserve"> </w:t>
      </w:r>
      <w:r>
        <w:rPr>
          <w:rStyle w:val="Elision"/>
        </w:rPr>
        <w:t xml:space="preserve">[ … ]</w:t>
      </w:r>
    </w:p>
    <w:bookmarkEnd w:id="130"/>
    <w:bookmarkStart w:id="131" w:name="iii-4"/>
    <w:p>
      <w:pPr>
        <w:pStyle w:val="Heading2"/>
      </w:pPr>
      <w:r>
        <w:t xml:space="preserve">III</w:t>
      </w:r>
    </w:p>
    <w:p>
      <w:pPr>
        <w:pStyle w:val="CaseBody"/>
      </w:pPr>
      <w:r>
        <w:t xml:space="preserve">We consider next the ground on which the Court of Appeals reversed O'Hagan's convictions for fraudulent trading in connection with a tender offer, in violation of § 14(e) of the Exchange Act and SEC Rule 14e—3(a). A sole question is before us as to these convictions: Did the Commission, as the Court of Appeals held, exceed its rulemaking authority under § 14(e) when it adopted Rule 14e—3(a) without requiring a showing that the trading at issue entailed a breach of [667] fiduciary duty? We hold that the Commission, in this regard and to the extent relevant to this case, did not exceed its authority.</w:t>
      </w:r>
    </w:p>
    <w:p>
      <w:pPr>
        <w:pStyle w:val="CaseBody"/>
      </w:pPr>
      <w:r>
        <w:t xml:space="preserve">The governing statutory provision, § 14(e) of the Exchange Act, reads in relevant part:</w:t>
      </w:r>
    </w:p>
    <w:p>
      <w:pPr>
        <w:pStyle w:val="BlockText"/>
      </w:pPr>
      <w:r>
        <w:t xml:space="preserve">"It shall be unlawful for any person . . .to engage in any fraudulent, deceptive, or manipulative acts or practices, in connection with any tender offer . . . . The [SEC] shall, for the purposes of this subsection, by rules and regulations define, and prescribe means reasonably designed to prevent, such acts and practices as are fraudulent, deceptive, or manipulative."</w:t>
      </w:r>
      <w:r>
        <w:t xml:space="preserve"> </w:t>
      </w:r>
      <w:r>
        <w:rPr>
          <w:rStyle w:val="Elision"/>
        </w:rPr>
        <w:t xml:space="preserve">[ … ]</w:t>
      </w:r>
    </w:p>
    <w:p>
      <w:pPr>
        <w:pStyle w:val="CaseBody"/>
      </w:pPr>
      <w:r>
        <w:t xml:space="preserve">Relying on § 14(e)'s rulemaking authorization, the Commission, in 1980, promulgated Rule 14e—3(a). That measure provides:</w:t>
      </w:r>
    </w:p>
    <w:p>
      <w:pPr>
        <w:pStyle w:val="BlockText"/>
      </w:pPr>
      <w:r>
        <w:t xml:space="preserve">"(a) If any person has taken a substantial step or steps to commence, or has commenced, a tender offer (the `offering person'), it shall constitute a fraudulent, deceptive or manipulative act or practice within the meaning of section 14(e) of the [Exchange] Act for any other person who is in possession of material information relating to such tender offer which information he knows or has reason to know is nonpublic and which he knows or has reason to know has been acquired directly or indirectly from:</w:t>
      </w:r>
    </w:p>
    <w:p>
      <w:pPr>
        <w:pStyle w:val="CaseBody"/>
      </w:pPr>
      <w:r>
        <w:t xml:space="preserve">"(1) The offering person,</w:t>
      </w:r>
    </w:p>
    <w:p>
      <w:pPr>
        <w:pStyle w:val="BlockText"/>
      </w:pPr>
      <w:r>
        <w:t xml:space="preserve">"(2) The issuer of the securities sought or to be sought by such tender offer, or</w:t>
      </w:r>
    </w:p>
    <w:p>
      <w:pPr>
        <w:pStyle w:val="BlockText"/>
      </w:pPr>
      <w:r>
        <w:t xml:space="preserve">"(3) Any officer, director, partner or employee or any other person acting on behalf of the offering person or such issuer, to purchase or sell or cause to be purchased or sold any of such securities or any securities convertible into or exchangeable for any such securities or any option or right to obtain or to dispose of any of the foregoing securities, unless within a reasonable time prior to any purchase or sale such information and its source [669] are publicly disclosed by press release or otherwise." 17 CFR § 240.14e—3(a) (1996).</w:t>
      </w:r>
    </w:p>
    <w:p>
      <w:pPr>
        <w:pStyle w:val="CaseBody"/>
      </w:pPr>
      <w:r>
        <w:t xml:space="preserve">As characterized by the Commission, Rule 14e—3(a) is a "disclose or abstain from trading" requirement.</w:t>
      </w:r>
      <w:r>
        <w:t xml:space="preserve"> </w:t>
      </w:r>
      <w:r>
        <w:rPr>
          <w:rStyle w:val="Elision"/>
        </w:rPr>
        <w:t xml:space="preserve">[ … ]</w:t>
      </w:r>
    </w:p>
    <w:p>
      <w:pPr>
        <w:pStyle w:val="CaseBody"/>
      </w:pPr>
      <w:r>
        <w:t xml:space="preserve">We need not resolve in this case whether the Commission's authority under § 14(e) to "define . . . such acts and practices as are fraudulent" is broader than the Commission's frauddefining authority under § 10(b), for we agree with the United States that Rule 14e—3(a), as applied to cases of this genre, qualifies under § 14(e) as a "means reasonably designed to prevent" fraudulent trading on material, nonpublic information in the tender offer context.</w:t>
      </w:r>
      <w:hyperlink w:anchor="Xb90490929a95e39c1ea0d4001d7fa246f648d19">
        <w:r>
          <w:rPr>
            <w:rStyle w:val="Hyperlink"/>
            <w:vertAlign w:val="superscript"/>
          </w:rPr>
          <w:t xml:space="preserve">[18]</w:t>
        </w:r>
      </w:hyperlink>
      <w:r>
        <w:t xml:space="preserve"> </w:t>
      </w:r>
      <w:r>
        <w:t xml:space="preserve">A prophylactic [673] measure, because its mission is to prevent, typically encompasses more than the core activity prohibited.</w:t>
      </w:r>
      <w:r>
        <w:t xml:space="preserve"> </w:t>
      </w:r>
      <w:r>
        <w:rPr>
          <w:rStyle w:val="Elision"/>
        </w:rPr>
        <w:t xml:space="preserve">[ … ]</w:t>
      </w:r>
    </w:p>
    <w:p>
      <w:pPr>
        <w:pStyle w:val="CaseBody"/>
      </w:pPr>
      <w:r>
        <w:t xml:space="preserve">Because Congress has authorized the Commission, in § 14(e), to prescribe legislative rules, we owe the Commission's judgment "more than mere deference or weight."</w:t>
      </w:r>
      <w:r>
        <w:t xml:space="preserve"> </w:t>
      </w:r>
      <w:r>
        <w:rPr>
          <w:iCs/>
          <w:i/>
        </w:rPr>
        <w:t xml:space="preserve">Batterton</w:t>
      </w:r>
      <w:r>
        <w:t xml:space="preserve"> </w:t>
      </w:r>
      <w:r>
        <w:t xml:space="preserve">v.</w:t>
      </w:r>
      <w:r>
        <w:t xml:space="preserve"> </w:t>
      </w:r>
      <w:r>
        <w:rPr>
          <w:iCs/>
          <w:i/>
        </w:rPr>
        <w:t xml:space="preserve">Francis,</w:t>
      </w:r>
      <w:r>
        <w:t xml:space="preserve"> </w:t>
      </w:r>
      <w:r>
        <w:t xml:space="preserve">432 U. S. 416, 424-426 (1977). Therefore, in determining whether Rule 14e—3(a)'s "disclose or abstain from trading" requirement is reasonably designed to prevent fraudulent acts, we must accord the Commission's assessment "controlling weight unless [it is] arbitrary, capricious, or manifestly contrary to the statute."</w:t>
      </w:r>
      <w:r>
        <w:t xml:space="preserve"> </w:t>
      </w:r>
      <w:r>
        <w:rPr>
          <w:iCs/>
          <w:i/>
        </w:rPr>
        <w:t xml:space="preserve">Chevron U. S. A. Inc.</w:t>
      </w:r>
      <w:r>
        <w:t xml:space="preserve"> </w:t>
      </w:r>
      <w:r>
        <w:t xml:space="preserve">v.</w:t>
      </w:r>
      <w:r>
        <w:t xml:space="preserve"> </w:t>
      </w:r>
      <w:r>
        <w:rPr>
          <w:iCs/>
          <w:i/>
        </w:rPr>
        <w:t xml:space="preserve">Natural Resources Defense Council, Inc.</w:t>
      </w:r>
      <w:r>
        <w:t xml:space="preserve"> </w:t>
      </w:r>
      <w:r>
        <w:t xml:space="preserve">, 467 U. S. 837, 844 (1984). In this case, we conclude, the Commission's assessment is none of these.</w:t>
      </w:r>
      <w:hyperlink w:anchor="X917385146b8a9674fda753d2f9ae3f1097aad8b">
        <w:r>
          <w:rPr>
            <w:rStyle w:val="Hyperlink"/>
            <w:vertAlign w:val="superscript"/>
          </w:rPr>
          <w:t xml:space="preserve">[20]</w:t>
        </w:r>
      </w:hyperlink>
    </w:p>
    <w:p>
      <w:pPr>
        <w:pStyle w:val="CaseBody"/>
      </w:pPr>
      <w:r>
        <w:t xml:space="preserve">[674] In adopting the "disclose or abstain" rule, the SEC explained:</w:t>
      </w:r>
    </w:p>
    <w:p>
      <w:pPr>
        <w:pStyle w:val="BlockText"/>
      </w:pPr>
      <w:r>
        <w:t xml:space="preserve">"The Commission has previously expressed and continues to have serious concerns about trading by persons in possession of material, nonpublic information relating to a tender offer. This practice results in unfair disparities in market information and market disruption. Security holders who purchase from or sell to such persons are effectively denied the benefits of disclosure and the substantive protections of the Williams Act. If furnished with the information, these security holders would be able to make an informed investment decision, which could involve deferring the purchase or sale of the securities until the material information had been disseminated or until the tender offer had been commenced or terminated." 45 Fed. Reg. 60412 (1980) (footnotes omitted).</w:t>
      </w:r>
    </w:p>
    <w:p>
      <w:pPr>
        <w:pStyle w:val="CaseBody"/>
      </w:pPr>
      <w:r>
        <w:t xml:space="preserve">The Commission thus justified Rule 14e—3(a) as a means necessary and proper to assure the efficacy of Williams Act protections.</w:t>
      </w:r>
    </w:p>
    <w:p>
      <w:pPr>
        <w:pStyle w:val="CaseBody"/>
      </w:pPr>
      <w:r>
        <w:t xml:space="preserve">The United States emphasizes that Rule 14e—3(a) reaches trading in which "a breach of duty is likely but difficult to prove." Reply Brief 16. "Particularly in the context of a tender offer," as the Tenth Circuit recognized, "there is a fairly wide circle of people with confidential information,"</w:t>
      </w:r>
      <w:r>
        <w:t xml:space="preserve"> </w:t>
      </w:r>
      <w:r>
        <w:rPr>
          <w:iCs/>
          <w:i/>
        </w:rPr>
        <w:t xml:space="preserve">Peters,</w:t>
      </w:r>
      <w:r>
        <w:t xml:space="preserve"> </w:t>
      </w:r>
      <w:r>
        <w:t xml:space="preserve">978 F. 2d, at 1167, notably, the attorneys, investment [675] bankers, and accountants involved in structuring the transaction. The availability of that information may lead to abuse, for "even a hint of an upcoming tender offer may send the price of the target company's stock soaring."</w:t>
      </w:r>
      <w:r>
        <w:t xml:space="preserve"> </w:t>
      </w:r>
      <w:r>
        <w:rPr>
          <w:iCs/>
          <w:i/>
        </w:rPr>
        <w:t xml:space="preserve">SEC</w:t>
      </w:r>
      <w:r>
        <w:t xml:space="preserve"> </w:t>
      </w:r>
      <w:r>
        <w:t xml:space="preserve">v.</w:t>
      </w:r>
      <w:r>
        <w:t xml:space="preserve"> </w:t>
      </w:r>
      <w:r>
        <w:rPr>
          <w:iCs/>
          <w:i/>
        </w:rPr>
        <w:t xml:space="preserve">Materia,</w:t>
      </w:r>
      <w:r>
        <w:t xml:space="preserve"> </w:t>
      </w:r>
      <w:r>
        <w:t xml:space="preserve">745 F. 2d 197, 199 (CA2 1984). Individuals entrusted with nonpublic information, particularly if they have no long-term loyalty to the issuer, may find the temptation to trade on that information hard to resist in view of "the very large short-term profits potentially available [to them]."</w:t>
      </w:r>
      <w:r>
        <w:t xml:space="preserve"> </w:t>
      </w:r>
      <w:r>
        <w:rPr>
          <w:iCs/>
          <w:i/>
        </w:rPr>
        <w:t xml:space="preserve">Peters,</w:t>
      </w:r>
      <w:r>
        <w:t xml:space="preserve"> </w:t>
      </w:r>
      <w:r>
        <w:t xml:space="preserve">978 F. 2d, at 1167.</w:t>
      </w:r>
    </w:p>
    <w:p>
      <w:pPr>
        <w:pStyle w:val="CaseBody"/>
      </w:pPr>
      <w:r>
        <w:t xml:space="preserve">"[I]t may be possible to prove circumstantially that a person [traded on the basis of material, nonpublic information], but almost impossible to prove that the trader obtained such information in breach of a fiduciary duty owed either by the trader or by the ultimate insider source of the information."</w:t>
      </w:r>
      <w:r>
        <w:t xml:space="preserve"> </w:t>
      </w:r>
      <w:r>
        <w:rPr>
          <w:iCs/>
          <w:i/>
        </w:rPr>
        <w:t xml:space="preserve">Ibid.</w:t>
      </w:r>
      <w:r>
        <w:t xml:space="preserve"> </w:t>
      </w:r>
      <w:r>
        <w:t xml:space="preserve">The example of a "tippee" who trades on information received from an insider illustrates the problem. Under Rule 10b—5, "a tippee assumes a fiduciary duty to the shareholders of a corporation not to trade on material nonpublic information only when the insider has breached his fiduciary duty to the shareholders by disclosing the information to the tippee and the tippee knows or should know that there has been a breach."</w:t>
      </w:r>
      <w:r>
        <w:t xml:space="preserve"> </w:t>
      </w:r>
      <w:r>
        <w:rPr>
          <w:iCs/>
          <w:i/>
        </w:rPr>
        <w:t xml:space="preserve">Dirks</w:t>
      </w:r>
      <w:r>
        <w:t xml:space="preserve"> </w:t>
      </w:r>
      <w:r>
        <w:t xml:space="preserve">, 463 U. S., at 660. To show that a tippee who traded on nonpublic information about a tender offer had breached a fiduciary duty would require proof not only that the insider source breached a fiduciary duty, but that the tippee knew or should have known of that breach. "Yet, in most cases, the only parties to the [information transfer] will be the insider and the alleged tippee."</w:t>
      </w:r>
      <w:r>
        <w:t xml:space="preserve"> </w:t>
      </w:r>
      <w:r>
        <w:rPr>
          <w:iCs/>
          <w:i/>
        </w:rPr>
        <w:t xml:space="preserve">Peters,</w:t>
      </w:r>
      <w:r>
        <w:t xml:space="preserve"> </w:t>
      </w:r>
      <w:r>
        <w:t xml:space="preserve">978 F. 2d, at 1167.</w:t>
      </w:r>
      <w:hyperlink w:anchor="Xcce2f3556c7a69dcc6545d7ce9051acd7af1eb9">
        <w:r>
          <w:rPr>
            <w:rStyle w:val="Hyperlink"/>
            <w:vertAlign w:val="superscript"/>
          </w:rPr>
          <w:t xml:space="preserve">[21]</w:t>
        </w:r>
      </w:hyperlink>
    </w:p>
    <w:p>
      <w:pPr>
        <w:pStyle w:val="CaseBody"/>
      </w:pPr>
      <w:r>
        <w:t xml:space="preserve">[676] In sum, it is a fair assumption that trading on the basis of material, nonpublic information will often involve a breach of a duty of confidentiality to the bidder or target company or their representatives. The SEC, cognizant of the proof problem that could enable sophisticated traders to escape responsibility, placed in Rule 14e—3(a) a "disclose or abstain from trading" command that does not require specific proof of a breach of fiduciary duty. That prescription, we are satisfied, applied to this case, is a "means reasonably designed to prevent" fraudulent trading on material, nonpublic information in the tender offer context. See</w:t>
      </w:r>
      <w:r>
        <w:t xml:space="preserve"> </w:t>
      </w:r>
      <w:r>
        <w:rPr>
          <w:iCs/>
          <w:i/>
        </w:rPr>
        <w:t xml:space="preserve">Chestman,</w:t>
      </w:r>
      <w:r>
        <w:t xml:space="preserve"> </w:t>
      </w:r>
      <w:r>
        <w:t xml:space="preserve">947 F. 2d, at 560 ("While dispensing with the subtle problems of proof associated with demonstrating fiduciary breach in the problematic area of tender offer insider trading, [Rule 14e— 3(a)] retains a close nexus between the prohibited conduct and the statutory aims."); accord,</w:t>
      </w:r>
      <w:r>
        <w:t xml:space="preserve"> </w:t>
      </w:r>
      <w:r>
        <w:rPr>
          <w:iCs/>
          <w:i/>
        </w:rPr>
        <w:t xml:space="preserve">Maio,</w:t>
      </w:r>
      <w:r>
        <w:t xml:space="preserve"> </w:t>
      </w:r>
      <w:r>
        <w:t xml:space="preserve">51 F. 3d, at 635, and n. 14;</w:t>
      </w:r>
      <w:r>
        <w:t xml:space="preserve"> </w:t>
      </w:r>
      <w:r>
        <w:rPr>
          <w:iCs/>
          <w:i/>
        </w:rPr>
        <w:t xml:space="preserve">Peters,</w:t>
      </w:r>
      <w:r>
        <w:t xml:space="preserve"> </w:t>
      </w:r>
      <w:r>
        <w:t xml:space="preserve">978 F. 2d, at 1167.</w:t>
      </w:r>
      <w:hyperlink w:anchor="X3138c71e356ca1059d52cf368209081008a45f9">
        <w:r>
          <w:rPr>
            <w:rStyle w:val="Hyperlink"/>
            <w:vertAlign w:val="superscript"/>
          </w:rPr>
          <w:t xml:space="preserve">[22]</w:t>
        </w:r>
      </w:hyperlink>
      <w:r>
        <w:t xml:space="preserve"> </w:t>
      </w:r>
      <w:r>
        <w:t xml:space="preserve">Therefore, insofar as it serves to prevent the type of misappropriation charged against O'Hagan, Rule 14e—3(a) is a proper exercise of the Commission's prophylactic power under § 14(e).</w:t>
      </w:r>
      <w:hyperlink w:anchor="X072068a4000aabc8d8ae7bf10ac68ac171661eb">
        <w:r>
          <w:rPr>
            <w:rStyle w:val="Elision"/>
            <w:vertAlign w:val="superscript"/>
          </w:rPr>
          <w:t xml:space="preserve">[ … ]</w:t>
        </w:r>
      </w:hyperlink>
    </w:p>
    <w:p>
      <w:pPr>
        <w:pStyle w:val="CaseBody"/>
      </w:pPr>
      <w:r>
        <w:rPr>
          <w:rStyle w:val="Elision"/>
        </w:rPr>
        <w:t xml:space="preserve">[ … ]</w:t>
      </w:r>
    </w:p>
    <w:bookmarkEnd w:id="131"/>
    <w:bookmarkStart w:id="132" w:name="X7b4b0a91e2af93ea061366b79a83c6fab6eb11d"/>
    <w:p>
      <w:pPr>
        <w:pStyle w:val="Heading2"/>
      </w:pPr>
      <w:r>
        <w:t xml:space="preserve">Justice Scalia, concurring in part and dissenting in part.</w:t>
      </w:r>
    </w:p>
    <w:p>
      <w:pPr>
        <w:pStyle w:val="CaseBody"/>
      </w:pPr>
      <w:r>
        <w:rPr>
          <w:rStyle w:val="Elision"/>
        </w:rPr>
        <w:t xml:space="preserve">[ … ]</w:t>
      </w:r>
    </w:p>
    <w:p>
      <w:pPr>
        <w:pStyle w:val="CaseBody"/>
      </w:pPr>
      <w:r>
        <w:t xml:space="preserve">While the Court's explanation of the scope of § 10(b) and Rule 10b—5 would be entirely reasonable in some other context, it does not seem to accord with the principle of lenity we apply to criminal statutes (which cannot be mitigated here by the Rule, which is no less ambiguous than the statute).</w:t>
      </w:r>
      <w:r>
        <w:t xml:space="preserve"> </w:t>
      </w:r>
      <w:r>
        <w:rPr>
          <w:rStyle w:val="Elision"/>
        </w:rPr>
        <w:t xml:space="preserve">[ … ]</w:t>
      </w:r>
      <w:r>
        <w:t xml:space="preserve">In light of that principle, it seems to me that the unelaborated statutory language: "[t]o use or employ, in connection with the purchase or sale of any security . . . any manipulative or deceptive device or contrivance," § 10(b), must be construed to require the manipulation or deception of a party to a securities transaction.</w:t>
      </w:r>
    </w:p>
    <w:bookmarkEnd w:id="132"/>
    <w:bookmarkStart w:id="133" w:name="section-9"/>
    <w:p>
      <w:pPr>
        <w:pStyle w:val="Heading2"/>
      </w:pPr>
      <w:r>
        <w:rPr>
          <w:rStyle w:val="Elision"/>
        </w:rPr>
        <w:t xml:space="preserve">[ … ]</w:t>
      </w:r>
    </w:p>
    <w:bookmarkEnd w:id="133"/>
    <w:p>
      <w:pPr>
        <w:pStyle w:val="NodeEnd"/>
      </w:pPr>
      <w:r>
        <w:t xml:space="preserve"> </w:t>
      </w:r>
    </w:p>
    <w:p>
      <w:pPr>
        <w:pStyle w:val="NodeStart"/>
      </w:pPr>
      <w:r>
        <w:t xml:space="preserve"> </w:t>
      </w:r>
    </w:p>
    <w:p>
      <w:pPr>
        <w:pStyle w:val="HeadSeparator"/>
      </w:pPr>
      <w:r>
        <w:t xml:space="preserve"> </w:t>
      </w:r>
    </w:p>
    <w:bookmarkStart w:id="68" w:name="_auto_toc_68"/>
    <w:bookmarkEnd w:id="68"/>
    <w:p>
      <w:pPr>
        <w:pStyle w:val="SectionNumber"/>
      </w:pPr>
      <w:r>
        <w:t xml:space="preserve">6.2</w:t>
      </w:r>
    </w:p>
    <w:p>
      <w:pPr>
        <w:pStyle w:val="SectionTitle"/>
      </w:pPr>
      <w:r>
        <w:t xml:space="preserve">Reference 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69" w:name="_auto_toc_69"/>
    <w:bookmarkEnd w:id="69"/>
    <w:p>
      <w:pPr>
        <w:pStyle w:val="ResourceNumber"/>
      </w:pPr>
      <w:r>
        <w:t xml:space="preserve">6.2.1</w:t>
      </w:r>
    </w:p>
    <w:p>
      <w:pPr>
        <w:pStyle w:val="ResourceTitle"/>
      </w:pPr>
      <w:r>
        <w:t xml:space="preserve">TSC Industries, Inc. v. Northway, Inc.</w:t>
      </w:r>
    </w:p>
    <w:p>
      <w:pPr>
        <w:pStyle w:val="HeadEnd"/>
      </w:pPr>
      <w:r>
        <w:t xml:space="preserve"> </w:t>
      </w:r>
    </w:p>
    <w:p>
      <w:pPr>
        <w:pStyle w:val="CaseHeader"/>
      </w:pPr>
      <w:r>
        <w:t xml:space="preserve">Supreme Court of the United States</w:t>
      </w:r>
    </w:p>
    <w:p>
      <w:pPr>
        <w:pStyle w:val="CaseHeader"/>
      </w:pPr>
      <w:r>
        <w:t xml:space="preserve">426 U.S. 438, 48 L. Ed. 2d 757, 96 S. Ct. 2126, 1976 U.S. LEXIS 155, SCDB 1975-125</w:t>
      </w:r>
    </w:p>
    <w:p>
      <w:pPr>
        <w:pStyle w:val="CaseHeader"/>
      </w:pPr>
      <w:r>
        <w:t xml:space="preserve">No. 74-1471</w:t>
      </w:r>
    </w:p>
    <w:p>
      <w:pPr>
        <w:pStyle w:val="CaseHeader"/>
      </w:pPr>
      <w:r>
        <w:t xml:space="preserve">1976-06-14</w:t>
      </w:r>
    </w:p>
    <w:p>
      <w:pPr>
        <w:pStyle w:val="CaseBody"/>
      </w:pPr>
      <w:r>
        <w:t xml:space="preserve">Argued March 3, 1976</w:t>
      </w:r>
    </w:p>
    <w:p>
      <w:pPr>
        <w:pStyle w:val="CaseBody"/>
      </w:pPr>
      <w:r>
        <w:t xml:space="preserve">MARSHALL, J., delivered the opinion of the Court, in which all Members joined except Stevens, J., who took no part in the consideration or decision of the case.</w:t>
      </w:r>
    </w:p>
    <w:p>
      <w:pPr>
        <w:pStyle w:val="CaseBody"/>
      </w:pPr>
      <w:r>
        <w:rPr>
          <w:iCs/>
          <w:i/>
        </w:rPr>
        <w:t xml:space="preserve">Joseph N. Morency, Jr.,</w:t>
      </w:r>
      <w:r>
        <w:t xml:space="preserve"> </w:t>
      </w:r>
      <w:r>
        <w:t xml:space="preserve">argued the cause for petitioners. With him on the briefs were</w:t>
      </w:r>
      <w:r>
        <w:t xml:space="preserve"> </w:t>
      </w:r>
      <w:r>
        <w:rPr>
          <w:iCs/>
          <w:i/>
        </w:rPr>
        <w:t xml:space="preserve">James T. Otis,</w:t>
      </w:r>
      <w:r>
        <w:t xml:space="preserve"> </w:t>
      </w:r>
      <w:r>
        <w:rPr>
          <w:iCs/>
          <w:i/>
        </w:rPr>
        <w:t xml:space="preserve">Wesley S. Walton, Milton V. Freeman,</w:t>
      </w:r>
      <w:r>
        <w:t xml:space="preserve"> </w:t>
      </w:r>
      <w:r>
        <w:t xml:space="preserve">and</w:t>
      </w:r>
      <w:r>
        <w:t xml:space="preserve"> </w:t>
      </w:r>
      <w:r>
        <w:rPr>
          <w:iCs/>
          <w:i/>
        </w:rPr>
        <w:t xml:space="preserve">Werner J. Kronstein.</w:t>
      </w:r>
    </w:p>
    <w:p>
      <w:pPr>
        <w:pStyle w:val="CaseBody"/>
      </w:pPr>
      <w:r>
        <w:rPr>
          <w:iCs/>
          <w:i/>
        </w:rPr>
        <w:t xml:space="preserve">Harry B. Reese</w:t>
      </w:r>
      <w:r>
        <w:t xml:space="preserve"> </w:t>
      </w:r>
      <w:r>
        <w:t xml:space="preserve">argued the cause for respondent. With him on the brief were</w:t>
      </w:r>
      <w:r>
        <w:t xml:space="preserve"> </w:t>
      </w:r>
      <w:r>
        <w:rPr>
          <w:iCs/>
          <w:i/>
        </w:rPr>
        <w:t xml:space="preserve">Arnold I. Shure, Stanley B. Block, Willard J. Lassers, Charles R. Kaufman,</w:t>
      </w:r>
      <w:r>
        <w:t xml:space="preserve"> </w:t>
      </w:r>
      <w:r>
        <w:t xml:space="preserve">and</w:t>
      </w:r>
      <w:r>
        <w:t xml:space="preserve"> </w:t>
      </w:r>
      <w:r>
        <w:rPr>
          <w:iCs/>
          <w:i/>
        </w:rPr>
        <w:t xml:space="preserve">Alex Elson.</w:t>
      </w:r>
      <w:r>
        <w:t xml:space="preserve"> </w:t>
      </w:r>
    </w:p>
    <w:p>
      <w:pPr>
        <w:pStyle w:val="CaseBody"/>
      </w:pPr>
      <w:r>
        <w:t xml:space="preserve">Mr. Justice Marshall</w:t>
      </w:r>
    </w:p>
    <w:p>
      <w:pPr>
        <w:pStyle w:val="CaseBody"/>
      </w:pPr>
      <w:r>
        <w:t xml:space="preserve">delivered the opinion of the Court.</w:t>
      </w:r>
    </w:p>
    <w:p>
      <w:pPr>
        <w:pStyle w:val="CaseBody"/>
      </w:pPr>
      <w:r>
        <w:t xml:space="preserve">The proxy rules promulgated by the Securities and Exchange Commission under the Securities Exchange Act of 1934 bar the use of proxy statements that are false or misleading with respect to the presentation or omission of material facts. We are called upon to consider the definition of a material fact under those rules, and the appropriateness of resolving the question of materiality by summary judgment in this case.</w:t>
      </w:r>
    </w:p>
    <w:p>
      <w:pPr>
        <w:pStyle w:val="CaseBody"/>
      </w:pPr>
      <w:r>
        <w:t xml:space="preserve">I</w:t>
      </w:r>
    </w:p>
    <w:p>
      <w:pPr>
        <w:pStyle w:val="CaseBody"/>
      </w:pPr>
      <w:r>
        <w:t xml:space="preserve">The dispute in this case centers on the acquisition of petitioner TSC Industries, Inc., by petitioner National Industries, Inc. In February 1969 National acquired 34% of TSC’s voting securities by purchase from Charles E. Schmidt and his family. Schmidt, who had been TSC’s founder and principal shareholder, promptly resigned along with his son from TSC’s board of directors. Thereafter, five National nominees were placed on TSC’s board; and Stanley R. Yarmuth, National’s president and chief executive officer, became chairman of the TSC board, and Charles F. Simonelli, National’s executive vice president, became chairman of the TSC executive committee. On October 16, 1969, the TSC board, with the attending National nominees abstaining, approved a proposal to liquidate and sell all of TSC’s assets to National. The proposal in substance provided for the exchange of TSC common and Series 1 preferred stock for National Series B preferred stock and warrants.</w:t>
      </w:r>
      <w:r>
        <w:rPr>
          <w:rStyle w:val="FootnoteReference"/>
        </w:rPr>
        <w:footnoteReference w:customMarkFollows="1" w:id="18"/>
        <w:t xml:space="preserve">1</w:t>
      </w:r>
      <w:r>
        <w:t xml:space="preserve"> </w:t>
      </w:r>
      <w:r>
        <w:t xml:space="preserve">On November 12, 1969, TSC and National issued a joint proxy statement to their shareholders, recommending approval of the proposal. The proxy solicitation was successful, TSC was placed in liquidation and dissolution, and the exchange of shares was effected.</w:t>
      </w:r>
    </w:p>
    <w:p>
      <w:pPr>
        <w:pStyle w:val="CaseBody"/>
      </w:pPr>
      <w:r>
        <w:t xml:space="preserve">This is an action brought by respondent Northway, a TSC shareholder, against TSC and National, claiming that their joint proxy statement was incomplete and materially misleading in violation of § 14 (a) of the Securities Exchange Act of 1934,</w:t>
      </w:r>
      <w:r>
        <w:t xml:space="preserve"> </w:t>
      </w:r>
      <w:r>
        <w:t xml:space="preserve">48 Stat. 895</w:t>
      </w:r>
      <w:r>
        <w:t xml:space="preserve">, 15 U. S. C. § 78n (a),</w:t>
      </w:r>
      <w:r>
        <w:rPr>
          <w:rStyle w:val="FootnoteReference"/>
        </w:rPr>
        <w:footnoteReference w:customMarkFollows="1" w:id="49"/>
        <w:t xml:space="preserve">2</w:t>
      </w:r>
      <w:r>
        <w:t xml:space="preserve"> </w:t>
      </w:r>
      <w:r>
        <w:t xml:space="preserve">and Rules 14a-3 and 14a-9,</w:t>
      </w:r>
      <w:r>
        <w:t xml:space="preserve"> </w:t>
      </w:r>
      <w:r>
        <w:t xml:space="preserve">17 CFR §§240</w:t>
      </w:r>
      <w:r>
        <w:t xml:space="preserve">.14a-3, 240.14a-9 (1975), promulgated thereunder.</w:t>
      </w:r>
      <w:r>
        <w:rPr>
          <w:rStyle w:val="FootnoteReference"/>
        </w:rPr>
        <w:footnoteReference w:customMarkFollows="1" w:id="76"/>
        <w:t xml:space="preserve">3</w:t>
      </w:r>
      <w:r>
        <w:t xml:space="preserve"> </w:t>
      </w:r>
      <w:r>
        <w:t xml:space="preserve">The basis of Northway’s claim under Rule 14a-3 is that TSC and National failed to state in the proxy statement that the transfer of the Schmidt interests in TSC to National had given National control of TSC.</w:t>
      </w:r>
      <w:r>
        <w:rPr>
          <w:rStyle w:val="FootnoteReference"/>
        </w:rPr>
        <w:footnoteReference w:customMarkFollows="1" w:id="101"/>
        <w:t xml:space="preserve">4</w:t>
      </w:r>
      <w:r>
        <w:t xml:space="preserve"> </w:t>
      </w:r>
      <w:r>
        <w:t xml:space="preserve">The Rule 14a-9 claim, insofar as it concerns us,</w:t>
      </w:r>
      <w:r>
        <w:rPr>
          <w:rStyle w:val="FootnoteReference"/>
        </w:rPr>
        <w:footnoteReference w:customMarkFollows="1" w:id="124"/>
        <w:t xml:space="preserve">5</w:t>
      </w:r>
      <w:r>
        <w:t xml:space="preserve"> </w:t>
      </w:r>
      <w:r>
        <w:t xml:space="preserve">is that TSC and National omitted from the proxy statement material facts relating to the degree of National’s control over TSC and the favorability of the terms of the proposal to TSC shareholders.</w:t>
      </w:r>
      <w:r>
        <w:rPr>
          <w:rStyle w:val="FootnoteReference"/>
        </w:rPr>
        <w:footnoteReference w:customMarkFollows="1" w:id="147"/>
        <w:t xml:space="preserve">6</w:t>
      </w:r>
    </w:p>
    <w:p>
      <w:pPr>
        <w:pStyle w:val="CaseBody"/>
      </w:pPr>
      <w:r>
        <w:t xml:space="preserve">North way filed its complaint in the United States District Court for the Northern District of Illinois on December 4, 1969, the day before the shareholder meeting on the proposed transaction, but while it requested in-junctive relief it never so moved. In 1972 Northway amended its complaint to seek money damages, restitution, and other equitable relief. Shortly thereafter, North way moved for summary judgment on the issue of TSC’s and National's liability. The District Court denied the motion, but granted leave to appeal pursuant to</w:t>
      </w:r>
      <w:r>
        <w:t xml:space="preserve"> </w:t>
      </w:r>
      <w:r>
        <w:t xml:space="preserve">28 U. S. C. § 1292</w:t>
      </w:r>
      <w:r>
        <w:t xml:space="preserve"> </w:t>
      </w:r>
      <w:r>
        <w:t xml:space="preserve">(b). The Court of Appeals for the Seventh Circuit agreed with the District Court that there existed a genuine issue of fact as to whether National’s acquisition of the Schmidt interests in TSC had resulted in a change of control, and that summary judgment was therefore inappropriate on the Rule 14a-3 claim. But the Court of Appeals reversed the District Court’s denial of summary judgment to Northway on its Rule 14a-9 claims, holding that certain omissions of fact were material as a matter of law.</w:t>
      </w:r>
      <w:r>
        <w:t xml:space="preserve"> </w:t>
      </w:r>
      <w:r>
        <w:t xml:space="preserve">512 F. 2d 324</w:t>
      </w:r>
      <w:r>
        <w:t xml:space="preserve"> </w:t>
      </w:r>
      <w:r>
        <w:t xml:space="preserve">(1975).</w:t>
      </w:r>
    </w:p>
    <w:p>
      <w:pPr>
        <w:pStyle w:val="CaseBody"/>
      </w:pPr>
      <w:r>
        <w:t xml:space="preserve">We granted certiorari because the standard applied by the Court of Appeals in resolving the question of materiality appeared to conflict with the standard applied by other Courts of Appeals.</w:t>
      </w:r>
      <w:r>
        <w:t xml:space="preserve"> </w:t>
      </w:r>
      <w:r>
        <w:t xml:space="preserve">423 U. S. 820</w:t>
      </w:r>
      <w:r>
        <w:t xml:space="preserve"> </w:t>
      </w:r>
      <w:r>
        <w:t xml:space="preserve">(1975). We now hold that the Court of Appeals erred in ordering that partial summary judgment be granted to Northway.</w:t>
      </w:r>
    </w:p>
    <w:p>
      <w:pPr>
        <w:pStyle w:val="CaseBody"/>
      </w:pPr>
      <w:r>
        <w:t xml:space="preserve">II</w:t>
      </w:r>
    </w:p>
    <w:p>
      <w:pPr>
        <w:pStyle w:val="CaseBody"/>
      </w:pPr>
      <w:r>
        <w:t xml:space="preserve">A</w:t>
      </w:r>
    </w:p>
    <w:p>
      <w:pPr>
        <w:pStyle w:val="CaseBody"/>
      </w:pPr>
      <w:r>
        <w:t xml:space="preserve">As we have noted on more than one occasion, § 14 (a) of the Securities Exchange Act “was intended to promote 'the free exercise of the voting rights of stockholders’ by ensuring that proxies would be solicited with 'explanation to the stockholder of the real nature of the questions for which authority to cast his vote is sought.’ ”</w:t>
      </w:r>
      <w:r>
        <w:t xml:space="preserve"> </w:t>
      </w:r>
      <w:r>
        <w:rPr>
          <w:iCs/>
          <w:i/>
        </w:rPr>
        <w:t xml:space="preserve">Mills</w:t>
      </w:r>
      <w:r>
        <w:t xml:space="preserve"> </w:t>
      </w:r>
      <w:r>
        <w:t xml:space="preserve">v.</w:t>
      </w:r>
      <w:r>
        <w:t xml:space="preserve"> </w:t>
      </w:r>
      <w:r>
        <w:rPr>
          <w:iCs/>
          <w:i/>
        </w:rPr>
        <w:t xml:space="preserve">Electric Auto-Lite Co.,</w:t>
      </w:r>
      <w:r>
        <w:t xml:space="preserve"> </w:t>
      </w:r>
      <w:r>
        <w:t xml:space="preserve">396 U. S. 375</w:t>
      </w:r>
      <w:r>
        <w:t xml:space="preserve">, 381 (1970), quoting H. R. Rep. No. 1383, 73d Cong., 2d Sess., 14 (1934); S. Rep. No. 792, 73d Cong., 2d Sess., 12 (1934). See also</w:t>
      </w:r>
      <w:r>
        <w:t xml:space="preserve"> </w:t>
      </w:r>
      <w:r>
        <w:rPr>
          <w:iCs/>
          <w:i/>
        </w:rPr>
        <w:t xml:space="preserve">J. I. Case Co.</w:t>
      </w:r>
      <w:r>
        <w:t xml:space="preserve"> </w:t>
      </w:r>
      <w:r>
        <w:t xml:space="preserve">v.</w:t>
      </w:r>
      <w:r>
        <w:t xml:space="preserve"> </w:t>
      </w:r>
      <w:r>
        <w:rPr>
          <w:iCs/>
          <w:i/>
        </w:rPr>
        <w:t xml:space="preserve">Borak,</w:t>
      </w:r>
      <w:r>
        <w:t xml:space="preserve"> </w:t>
      </w:r>
      <w:r>
        <w:t xml:space="preserve">377 U. S. 426</w:t>
      </w:r>
      <w:r>
        <w:t xml:space="preserve">, 431 (1964). In</w:t>
      </w:r>
      <w:r>
        <w:t xml:space="preserve"> </w:t>
      </w:r>
      <w:r>
        <w:rPr>
          <w:iCs/>
          <w:i/>
        </w:rPr>
        <w:t xml:space="preserve">Borak,</w:t>
      </w:r>
      <w:r>
        <w:t xml:space="preserve"> </w:t>
      </w:r>
      <w:r>
        <w:t xml:space="preserve">the Court held that § 14 (a)’s broad remedial purposes required recognition under § 27 of the Securities Exchange Act, 15 U. S. C. § 78aa, of an implied private right of action for violations of the provision. And in</w:t>
      </w:r>
      <w:r>
        <w:t xml:space="preserve"> </w:t>
      </w:r>
      <w:r>
        <w:rPr>
          <w:iCs/>
          <w:i/>
        </w:rPr>
        <w:t xml:space="preserve">Mills,</w:t>
      </w:r>
      <w:r>
        <w:t xml:space="preserve"> </w:t>
      </w:r>
      <w:r>
        <w:t xml:space="preserve">we attempted to clarify to some extent the elements of a private cause of action for violation of § 14 (a). In a suit challenging the sufficiency under § 14 (a) and Rule 14a-9 of a proxy statement soliciting votes in favor of a merger, we held that there was no need to demonstrate that the alleged defect in the proxy statement actually had a decisive effect on the voting. So long as the misstatement or omission was material, the causal relation between violation and injury is sufficiently established, we concluded, if “the proxy solicitation itself . . . was an essential link in the accomplishment of the transaction.”</w:t>
      </w:r>
      <w:r>
        <w:t xml:space="preserve"> </w:t>
      </w:r>
      <w:r>
        <w:t xml:space="preserve">396 U. S., at 385</w:t>
      </w:r>
      <w:r>
        <w:t xml:space="preserve">. After</w:t>
      </w:r>
      <w:r>
        <w:t xml:space="preserve"> </w:t>
      </w:r>
      <w:r>
        <w:rPr>
          <w:iCs/>
          <w:i/>
        </w:rPr>
        <w:t xml:space="preserve">Mills,</w:t>
      </w:r>
      <w:r>
        <w:t xml:space="preserve"> </w:t>
      </w:r>
      <w:r>
        <w:t xml:space="preserve">then, the content given to the notion of materiality assumes heightened significance.</w:t>
      </w:r>
      <w:r>
        <w:rPr>
          <w:rStyle w:val="FootnoteReference"/>
        </w:rPr>
        <w:footnoteReference w:customMarkFollows="1" w:id="167"/>
        <w:t xml:space="preserve">7</w:t>
      </w:r>
    </w:p>
    <w:p>
      <w:pPr>
        <w:pStyle w:val="CaseBody"/>
      </w:pPr>
      <w:r>
        <w:t xml:space="preserve">B</w:t>
      </w:r>
    </w:p>
    <w:p>
      <w:pPr>
        <w:pStyle w:val="CaseBody"/>
      </w:pPr>
      <w:r>
        <w:t xml:space="preserve">The question of materiality, it is universally agreed, is an objective one, involving the significance of an omitted or misrepresented fact to a reasonable investor. Variations in the formulation of a general test of materiality occur in the articulation of just how significant a fact must be or, put another way, how certain it must be that the fact would affect a reasonable investor’s judgment.</w:t>
      </w:r>
    </w:p>
    <w:p>
      <w:pPr>
        <w:pStyle w:val="CaseBody"/>
      </w:pPr>
      <w:r>
        <w:t xml:space="preserve">The Court of Appeals in this case concluded that material facts include “all facts which a reasonable shareholder</w:t>
      </w:r>
      <w:r>
        <w:t xml:space="preserve"> </w:t>
      </w:r>
      <w:r>
        <w:rPr>
          <w:iCs/>
          <w:i/>
        </w:rPr>
        <w:t xml:space="preserve">might</w:t>
      </w:r>
      <w:r>
        <w:t xml:space="preserve"> </w:t>
      </w:r>
      <w:r>
        <w:t xml:space="preserve">consider important.”</w:t>
      </w:r>
      <w:r>
        <w:t xml:space="preserve"> </w:t>
      </w:r>
      <w:r>
        <w:t xml:space="preserve">512 F. 2d, at 330</w:t>
      </w:r>
      <w:r>
        <w:t xml:space="preserve"> </w:t>
      </w:r>
      <w:r>
        <w:t xml:space="preserve">(emphasis added). This formulation of the test of materiality has been explicitly rejected by at least two courts as setting too low a threshold for the imposition of liability under Rule 14a-9.</w:t>
      </w:r>
      <w:r>
        <w:t xml:space="preserve"> </w:t>
      </w:r>
      <w:r>
        <w:rPr>
          <w:iCs/>
          <w:i/>
        </w:rPr>
        <w:t xml:space="preserve">Gerstle</w:t>
      </w:r>
      <w:r>
        <w:t xml:space="preserve"> </w:t>
      </w:r>
      <w:r>
        <w:t xml:space="preserve">v.</w:t>
      </w:r>
      <w:r>
        <w:t xml:space="preserve"> </w:t>
      </w:r>
      <w:r>
        <w:rPr>
          <w:iCs/>
          <w:i/>
        </w:rPr>
        <w:t xml:space="preserve">Gamble-Skogmo, Inc.,</w:t>
      </w:r>
      <w:r>
        <w:t xml:space="preserve"> </w:t>
      </w:r>
      <w:r>
        <w:t xml:space="preserve">478 F. 2d 1281</w:t>
      </w:r>
      <w:r>
        <w:t xml:space="preserve">, 1301-1302 (CA2 1973);</w:t>
      </w:r>
      <w:r>
        <w:t xml:space="preserve"> </w:t>
      </w:r>
      <w:r>
        <w:rPr>
          <w:iCs/>
          <w:i/>
        </w:rPr>
        <w:t xml:space="preserve">Smallwood</w:t>
      </w:r>
      <w:r>
        <w:t xml:space="preserve"> </w:t>
      </w:r>
      <w:r>
        <w:t xml:space="preserve">v.</w:t>
      </w:r>
      <w:r>
        <w:t xml:space="preserve"> </w:t>
      </w:r>
      <w:r>
        <w:rPr>
          <w:iCs/>
          <w:i/>
        </w:rPr>
        <w:t xml:space="preserve">Pearl Brewing Co.,</w:t>
      </w:r>
      <w:r>
        <w:t xml:space="preserve"> </w:t>
      </w:r>
      <w:r>
        <w:t xml:space="preserve">489 F. 2d 579</w:t>
      </w:r>
      <w:r>
        <w:t xml:space="preserve">, 603-604 (CA5 1974). In these cases, panels of the Second and Fifth Circuits opted for the conventional tort test of materiality — whether a reasonable man</w:t>
      </w:r>
      <w:r>
        <w:t xml:space="preserve"> </w:t>
      </w:r>
      <w:r>
        <w:rPr>
          <w:iCs/>
          <w:i/>
        </w:rPr>
        <w:t xml:space="preserve">would</w:t>
      </w:r>
      <w:r>
        <w:t xml:space="preserve"> </w:t>
      </w:r>
      <w:r>
        <w:t xml:space="preserve">attach importance to the fact misrepresented or omitted in determining his course of action. See Restatement (Second) of Torts § 538 (2) (a) (Tent. Draft No. 10, Apr. 20, 1964). See also American Law Institute, Federal Securities Code § 256 (a) (Tent. Draft No. 2, 1973).</w:t>
      </w:r>
      <w:r>
        <w:rPr>
          <w:rStyle w:val="FootnoteReference"/>
        </w:rPr>
        <w:footnoteReference w:customMarkFollows="1" w:id="187"/>
        <w:t xml:space="preserve">8</w:t>
      </w:r>
      <w:r>
        <w:t xml:space="preserve"> </w:t>
      </w:r>
      <w:r>
        <w:rPr>
          <w:iCs/>
          <w:i/>
        </w:rPr>
        <w:t xml:space="preserve">Gerstle</w:t>
      </w:r>
      <w:r>
        <w:t xml:space="preserve"> </w:t>
      </w:r>
      <w:r>
        <w:t xml:space="preserve">v.</w:t>
      </w:r>
      <w:r>
        <w:t xml:space="preserve"> </w:t>
      </w:r>
      <w:r>
        <w:rPr>
          <w:iCs/>
          <w:i/>
        </w:rPr>
        <w:t xml:space="preserve">Gamble-Skogmo,</w:t>
      </w:r>
      <w:r>
        <w:rPr>
          <w:iCs/>
          <w:i/>
        </w:rPr>
        <w:t xml:space="preserve"> </w:t>
      </w:r>
      <w:r>
        <w:rPr>
          <w:iCs/>
          <w:i/>
        </w:rPr>
        <w:t xml:space="preserve">supra,</w:t>
      </w:r>
      <w:r>
        <w:rPr>
          <w:iCs/>
          <w:i/>
        </w:rPr>
        <w:t xml:space="preserve"> </w:t>
      </w:r>
      <w:r>
        <w:t xml:space="preserve">at 1302</w:t>
      </w:r>
      <w:r>
        <w:t xml:space="preserve">, also approved the following standard, which had been formulated with reference to statements issued in a contested election: “whether, taking a properly realistic view, there is a substantial likelihood that the misstatement or omission may have led a stockholder to grant a proxy to the solicitor or to withhold one from the other side, whereas in the absence of this he would have taken a contrary course.”</w:t>
      </w:r>
      <w:r>
        <w:t xml:space="preserve"> </w:t>
      </w:r>
      <w:r>
        <w:rPr>
          <w:iCs/>
          <w:i/>
        </w:rPr>
        <w:t xml:space="preserve">General Time Corp.</w:t>
      </w:r>
      <w:r>
        <w:t xml:space="preserve"> </w:t>
      </w:r>
      <w:r>
        <w:t xml:space="preserve">v.</w:t>
      </w:r>
      <w:r>
        <w:t xml:space="preserve"> </w:t>
      </w:r>
      <w:r>
        <w:rPr>
          <w:iCs/>
          <w:i/>
        </w:rPr>
        <w:t xml:space="preserve">Talley Industries, Inc.,</w:t>
      </w:r>
      <w:r>
        <w:t xml:space="preserve"> </w:t>
      </w:r>
      <w:r>
        <w:t xml:space="preserve">403 F. 2d 159</w:t>
      </w:r>
      <w:r>
        <w:t xml:space="preserve">, 162 (CA2 1968), cert. denied,</w:t>
      </w:r>
      <w:r>
        <w:t xml:space="preserve"> </w:t>
      </w:r>
      <w:r>
        <w:t xml:space="preserve">393 U. S. 1026</w:t>
      </w:r>
      <w:r>
        <w:t xml:space="preserve"> </w:t>
      </w:r>
      <w:r>
        <w:t xml:space="preserve">(1969).</w:t>
      </w:r>
    </w:p>
    <w:p>
      <w:pPr>
        <w:pStyle w:val="CaseBody"/>
      </w:pPr>
      <w:r>
        <w:t xml:space="preserve">In arriving at its broad definition of a material fact as one that a reasonable shareholder</w:t>
      </w:r>
      <w:r>
        <w:t xml:space="preserve"> </w:t>
      </w:r>
      <w:r>
        <w:rPr>
          <w:iCs/>
          <w:i/>
        </w:rPr>
        <w:t xml:space="preserve">might</w:t>
      </w:r>
      <w:r>
        <w:t xml:space="preserve"> </w:t>
      </w:r>
      <w:r>
        <w:t xml:space="preserve">consider important, the Court of Appeals in this case relied heavily upon language of this Court in</w:t>
      </w:r>
      <w:r>
        <w:t xml:space="preserve"> </w:t>
      </w:r>
      <w:r>
        <w:rPr>
          <w:iCs/>
          <w:i/>
        </w:rPr>
        <w:t xml:space="preserve">Mills</w:t>
      </w:r>
      <w:r>
        <w:t xml:space="preserve"> </w:t>
      </w:r>
      <w:r>
        <w:t xml:space="preserve">v.</w:t>
      </w:r>
      <w:r>
        <w:t xml:space="preserve"> </w:t>
      </w:r>
      <w:r>
        <w:rPr>
          <w:iCs/>
          <w:i/>
        </w:rPr>
        <w:t xml:space="preserve">Electric Auto-Lite Co., supra.</w:t>
      </w:r>
      <w:r>
        <w:t xml:space="preserve"> </w:t>
      </w:r>
      <w:r>
        <w:t xml:space="preserve">That reliance was misplaced. The</w:t>
      </w:r>
      <w:r>
        <w:t xml:space="preserve"> </w:t>
      </w:r>
      <w:r>
        <w:rPr>
          <w:iCs/>
          <w:i/>
        </w:rPr>
        <w:t xml:space="preserve">Mills</w:t>
      </w:r>
      <w:r>
        <w:t xml:space="preserve"> </w:t>
      </w:r>
      <w:r>
        <w:t xml:space="preserve">Court did characterize a determination of materiality as at least “embod[ying] a conclusion that the defect was of such a character that it might have been considered important by a reasonable shareholder who was in the process of deciding how to vote.”</w:t>
      </w:r>
      <w:r>
        <w:t xml:space="preserve"> </w:t>
      </w:r>
      <w:r>
        <w:t xml:space="preserve">396 U. S., at 384</w:t>
      </w:r>
      <w:r>
        <w:t xml:space="preserve">. But if any language in</w:t>
      </w:r>
      <w:r>
        <w:t xml:space="preserve"> </w:t>
      </w:r>
      <w:r>
        <w:rPr>
          <w:iCs/>
          <w:i/>
        </w:rPr>
        <w:t xml:space="preserve">Mills</w:t>
      </w:r>
      <w:r>
        <w:t xml:space="preserve"> </w:t>
      </w:r>
      <w:r>
        <w:t xml:space="preserve">is to be read as suggesting a general notion of materiality, it can only be the opinion’s subsequent reference to materiality as a “requirement that the defect have a significant</w:t>
      </w:r>
      <w:r>
        <w:t xml:space="preserve"> </w:t>
      </w:r>
      <w:r>
        <w:rPr>
          <w:iCs/>
          <w:i/>
        </w:rPr>
        <w:t xml:space="preserve">propensity</w:t>
      </w:r>
      <w:r>
        <w:t xml:space="preserve"> </w:t>
      </w:r>
      <w:r>
        <w:t xml:space="preserve">to affect the voting process.”</w:t>
      </w:r>
      <w:r>
        <w:t xml:space="preserve"> </w:t>
      </w:r>
      <w:r>
        <w:rPr>
          <w:iCs/>
          <w:i/>
        </w:rPr>
        <w:t xml:space="preserve">Ibid.</w:t>
      </w:r>
      <w:r>
        <w:t xml:space="preserve"> </w:t>
      </w:r>
      <w:r>
        <w:t xml:space="preserve">(Emphasis in original.) For it was that requirement that the Court said “adequately serves the purpose of ensuring that a cause of action cannot be established by proof of a defect so trivial, or so unrelated to the transaction for which approval is sought, that correction of the defect or imposition of liability would not further the interests protected by §14 (a).”</w:t>
      </w:r>
      <w:r>
        <w:t xml:space="preserve"> </w:t>
      </w:r>
      <w:r>
        <w:rPr>
          <w:iCs/>
          <w:i/>
        </w:rPr>
        <w:t xml:space="preserve">Ibid.</w:t>
      </w:r>
      <w:r>
        <w:t xml:space="preserve"> </w:t>
      </w:r>
      <w:r>
        <w:t xml:space="preserve">Even this language must be read, however, with appreciation that the Court specifically declined to consider the materiality of the omissions in</w:t>
      </w:r>
      <w:r>
        <w:t xml:space="preserve"> </w:t>
      </w:r>
      <w:r>
        <w:rPr>
          <w:iCs/>
          <w:i/>
        </w:rPr>
        <w:t xml:space="preserve">Mills.</w:t>
      </w:r>
      <w:r>
        <w:rPr>
          <w:iCs/>
          <w:i/>
        </w:rPr>
        <w:t xml:space="preserve"> </w:t>
      </w:r>
      <w:r>
        <w:rPr>
          <w:iCs/>
          <w:i/>
        </w:rPr>
        <w:t xml:space="preserve">Id.,</w:t>
      </w:r>
      <w:r>
        <w:t xml:space="preserve"> </w:t>
      </w:r>
      <w:r>
        <w:t xml:space="preserve">at 381 n. 4. The references to materiality were simply preliminary to our consideration of the sole question in the case — whether proof of the materiality of an omission from a proxy statement must be supplemented by a showing that the defect actually caused the outcome of the vote. It is clear, then, that</w:t>
      </w:r>
      <w:r>
        <w:t xml:space="preserve"> </w:t>
      </w:r>
      <w:r>
        <w:rPr>
          <w:iCs/>
          <w:i/>
        </w:rPr>
        <w:t xml:space="preserve">Mills</w:t>
      </w:r>
      <w:r>
        <w:t xml:space="preserve"> </w:t>
      </w:r>
      <w:r>
        <w:t xml:space="preserve">did not intend to foreclose further inquiry into the meaning of materiality under Rule 14a-9.</w:t>
      </w:r>
      <w:r>
        <w:rPr>
          <w:rStyle w:val="FootnoteReference"/>
        </w:rPr>
        <w:footnoteReference w:customMarkFollows="1" w:id="206"/>
        <w:t xml:space="preserve">9</w:t>
      </w:r>
    </w:p>
    <w:p>
      <w:pPr>
        <w:pStyle w:val="CaseBody"/>
      </w:pPr>
      <w:r>
        <w:t xml:space="preserve">c</w:t>
      </w:r>
    </w:p>
    <w:p>
      <w:pPr>
        <w:pStyle w:val="CaseBody"/>
      </w:pPr>
      <w:r>
        <w:t xml:space="preserve">In formulating a standard of materiality under Rule 14a-9, we are guided, of course, by the recognition in</w:t>
      </w:r>
      <w:r>
        <w:t xml:space="preserve"> </w:t>
      </w:r>
      <w:r>
        <w:rPr>
          <w:iCs/>
          <w:i/>
        </w:rPr>
        <w:t xml:space="preserve">Borak</w:t>
      </w:r>
      <w:r>
        <w:t xml:space="preserve"> </w:t>
      </w:r>
      <w:r>
        <w:t xml:space="preserve">and</w:t>
      </w:r>
      <w:r>
        <w:t xml:space="preserve"> </w:t>
      </w:r>
      <w:r>
        <w:rPr>
          <w:iCs/>
          <w:i/>
        </w:rPr>
        <w:t xml:space="preserve">Mills</w:t>
      </w:r>
      <w:r>
        <w:t xml:space="preserve"> </w:t>
      </w:r>
      <w:r>
        <w:t xml:space="preserve">of the Rule’s broad remedial purpose. That purpose is not merely to ensure by judicial means that the transaction, when judged by its real terms, is fair and otherwise adequate, but to ensure disclosures by corporate management in order to enable the shareholders to make an informed choice. See</w:t>
      </w:r>
      <w:r>
        <w:t xml:space="preserve"> </w:t>
      </w:r>
      <w:r>
        <w:rPr>
          <w:iCs/>
          <w:i/>
        </w:rPr>
        <w:t xml:space="preserve">Mills,</w:t>
      </w:r>
      <w:r>
        <w:t xml:space="preserve"> </w:t>
      </w:r>
      <w:r>
        <w:t xml:space="preserve">396 U. S., at 381</w:t>
      </w:r>
      <w:r>
        <w:t xml:space="preserve">. As an abstract proposition, the most desirable role for a court in a suit of this sort, coming after the consummation of the proposed transaction, would perhaps be to determine whether in fact the proposal would have been favored by the shareholders and consummated in the absence of any misstatement or omission. But as we recognized in</w:t>
      </w:r>
      <w:r>
        <w:t xml:space="preserve"> </w:t>
      </w:r>
      <w:r>
        <w:rPr>
          <w:iCs/>
          <w:i/>
        </w:rPr>
        <w:t xml:space="preserve">Mills, supra,</w:t>
      </w:r>
      <w:r>
        <w:t xml:space="preserve"> </w:t>
      </w:r>
      <w:r>
        <w:t xml:space="preserve">at 382 n. 5, such matters are not subject to determination with certainty. Doubts as to the critical nature of information misstated or omitted will be commonplace. And particularly in view of the prophylactic purpose of the Rule and the fact that the content of the proxy statement is within management’s control, it is appropriate that these doubts be resolved in favor of those the statute is designed to protect.</w:t>
      </w:r>
      <w:r>
        <w:t xml:space="preserve"> </w:t>
      </w:r>
      <w:r>
        <w:rPr>
          <w:iCs/>
          <w:i/>
        </w:rPr>
        <w:t xml:space="preserve">Mills, supra,</w:t>
      </w:r>
      <w:r>
        <w:t xml:space="preserve"> </w:t>
      </w:r>
      <w:r>
        <w:t xml:space="preserve">at 385.</w:t>
      </w:r>
    </w:p>
    <w:p>
      <w:pPr>
        <w:pStyle w:val="CaseBody"/>
      </w:pPr>
      <w:r>
        <w:t xml:space="preserve">We are aware, however, that the disclosure policy embodied in the proxy regulations is not without limit. See</w:t>
      </w:r>
      <w:r>
        <w:t xml:space="preserve"> </w:t>
      </w:r>
      <w:r>
        <w:rPr>
          <w:iCs/>
          <w:i/>
        </w:rPr>
        <w:t xml:space="preserve">id.,</w:t>
      </w:r>
      <w:r>
        <w:t xml:space="preserve"> </w:t>
      </w:r>
      <w:r>
        <w:t xml:space="preserve">at 384. Some information is of such dubious significance that insistence on its disclosure may accomplish more harm than good. The potential liability for a Rule 14a-9 violation can be great indeed, and if the standard of materiality is unnecessarily low, not only may the corporation and its management be subjected to liability for insignificant omissions or misstatements, but also management’s fear of exposing itself to substantial liability may cause it simply to bury the shareholders in an avalanche of trivial information — a result that is hardly conducive to informed decisionmaking. Precisely these dangers are presented, we think, by the definition of a material fact adopted by the Court of Appeals in this case — a fact which a reasonable shareholder</w:t>
      </w:r>
      <w:r>
        <w:t xml:space="preserve"> </w:t>
      </w:r>
      <w:r>
        <w:rPr>
          <w:iCs/>
          <w:i/>
        </w:rPr>
        <w:t xml:space="preserve">might</w:t>
      </w:r>
      <w:r>
        <w:t xml:space="preserve"> </w:t>
      </w:r>
      <w:r>
        <w:t xml:space="preserve">consider important. We agree with Judge Friendly, speaking for the Court of Appeals in</w:t>
      </w:r>
      <w:r>
        <w:t xml:space="preserve"> </w:t>
      </w:r>
      <w:r>
        <w:rPr>
          <w:iCs/>
          <w:i/>
        </w:rPr>
        <w:t xml:space="preserve">Gerstle,</w:t>
      </w:r>
      <w:r>
        <w:t xml:space="preserve"> </w:t>
      </w:r>
      <w:r>
        <w:t xml:space="preserve">that the “might” formulation is “too suggestive of mere possibility, however unlikely.”</w:t>
      </w:r>
      <w:r>
        <w:t xml:space="preserve"> </w:t>
      </w:r>
      <w:r>
        <w:t xml:space="preserve">478 F. 2d, at 1302</w:t>
      </w:r>
      <w:r>
        <w:t xml:space="preserve">.</w:t>
      </w:r>
    </w:p>
    <w:p>
      <w:pPr>
        <w:pStyle w:val="CaseBody"/>
      </w:pPr>
      <w:r>
        <w:t xml:space="preserve">The general standard of materiality that we think best comports with the policies of Rule 14a-9 is as follows: An omitted fact is material if there is a substantial likelihood that a reasonable shareholder would consider it important in deciding how to vote. This standard is fully consistent with</w:t>
      </w:r>
      <w:r>
        <w:t xml:space="preserve"> </w:t>
      </w:r>
      <w:r>
        <w:rPr>
          <w:iCs/>
          <w:i/>
        </w:rPr>
        <w:t xml:space="preserve">Mills’</w:t>
      </w:r>
      <w:r>
        <w:t xml:space="preserve"> </w:t>
      </w:r>
      <w:r>
        <w:t xml:space="preserve">general description of materiality as a requirement that “the defect have a significant</w:t>
      </w:r>
      <w:r>
        <w:t xml:space="preserve"> </w:t>
      </w:r>
      <w:r>
        <w:rPr>
          <w:iCs/>
          <w:i/>
        </w:rPr>
        <w:t xml:space="preserve">'propensity</w:t>
      </w:r>
      <w:r>
        <w:t xml:space="preserve"> </w:t>
      </w:r>
      <w:r>
        <w:t xml:space="preserve">to affect the voting process.” It does not require proof of a substantial likelihood that disclosure of the omitted fact would have caused the reasonable investor to change his vote. What the standard does contemplate is a showing of a substantial likelihood that, under all the circumstances, the omitted fact would have assumed actual significance in the deliberations of the reasonable shareholder. Put another way, there must be a substantial likelihood that the disclosure of the omitted fact would have been viewed by the reasonable investor as having significantly altered the “total mix” of information made available.</w:t>
      </w:r>
      <w:r>
        <w:rPr>
          <w:rStyle w:val="FootnoteReference"/>
        </w:rPr>
        <w:footnoteReference w:customMarkFollows="1" w:id="225"/>
        <w:t xml:space="preserve">10</w:t>
      </w:r>
    </w:p>
    <w:p>
      <w:pPr>
        <w:pStyle w:val="CaseBody"/>
      </w:pPr>
      <w:r>
        <w:t xml:space="preserve">D</w:t>
      </w:r>
    </w:p>
    <w:p>
      <w:pPr>
        <w:pStyle w:val="CaseBody"/>
      </w:pPr>
      <w:r>
        <w:t xml:space="preserve">The issue of materiality may be characterized as a mixed question of law and fact, involving as it does the application of a legal standard to a particular set of facts. In considering whether summary judgment on the issue is appropriate,</w:t>
      </w:r>
      <w:r>
        <w:rPr>
          <w:rStyle w:val="FootnoteReference"/>
        </w:rPr>
        <w:footnoteReference w:customMarkFollows="1" w:id="242"/>
        <w:t xml:space="preserve">11</w:t>
      </w:r>
      <w:r>
        <w:t xml:space="preserve"> </w:t>
      </w:r>
      <w:r>
        <w:t xml:space="preserve">we must bear in mind that the underlying objective facts, which will often be free from dispute, are merely the starting point for the ultimate determination of materiality. The determination requires delicate assessments of the inferences a “reasonable shareholder” would draw from a given set of facts and the significance of those inferences to him, and these assessments are peculiarly ones for the trier of fact.</w:t>
      </w:r>
      <w:r>
        <w:rPr>
          <w:rStyle w:val="FootnoteReference"/>
        </w:rPr>
        <w:footnoteReference w:customMarkFollows="1" w:id="258"/>
        <w:t xml:space="preserve">12</w:t>
      </w:r>
      <w:r>
        <w:t xml:space="preserve"> </w:t>
      </w:r>
      <w:r>
        <w:t xml:space="preserve">Only if the established omissions are “so obviously important to an investor, that reasonable minds cannot differ on the question of materiality” is the ultimate issue of materiality appropriately resolved “as a matter of law” by summary judgment.</w:t>
      </w:r>
      <w:r>
        <w:t xml:space="preserve"> </w:t>
      </w:r>
      <w:r>
        <w:rPr>
          <w:iCs/>
          <w:i/>
        </w:rPr>
        <w:t xml:space="preserve">Johns Hopkins University</w:t>
      </w:r>
      <w:r>
        <w:t xml:space="preserve"> </w:t>
      </w:r>
      <w:r>
        <w:t xml:space="preserve">v.</w:t>
      </w:r>
      <w:r>
        <w:t xml:space="preserve"> </w:t>
      </w:r>
      <w:r>
        <w:rPr>
          <w:iCs/>
          <w:i/>
        </w:rPr>
        <w:t xml:space="preserve">Hutton,</w:t>
      </w:r>
      <w:r>
        <w:t xml:space="preserve"> </w:t>
      </w:r>
      <w:r>
        <w:t xml:space="preserve">422 F. 2d 1124</w:t>
      </w:r>
      <w:r>
        <w:t xml:space="preserve">, 1129 (CA4 1970). See</w:t>
      </w:r>
      <w:r>
        <w:t xml:space="preserve"> </w:t>
      </w:r>
      <w:r>
        <w:rPr>
          <w:iCs/>
          <w:i/>
        </w:rPr>
        <w:t xml:space="preserve">Smallwood</w:t>
      </w:r>
      <w:r>
        <w:t xml:space="preserve"> </w:t>
      </w:r>
      <w:r>
        <w:t xml:space="preserve">v.</w:t>
      </w:r>
      <w:r>
        <w:t xml:space="preserve"> </w:t>
      </w:r>
      <w:r>
        <w:rPr>
          <w:iCs/>
          <w:i/>
        </w:rPr>
        <w:t xml:space="preserve">Pearl Brewing Co.,</w:t>
      </w:r>
      <w:r>
        <w:t xml:space="preserve"> </w:t>
      </w:r>
      <w:r>
        <w:t xml:space="preserve">489 F. 2d, at 604</w:t>
      </w:r>
      <w:r>
        <w:t xml:space="preserve">;</w:t>
      </w:r>
      <w:r>
        <w:t xml:space="preserve"> </w:t>
      </w:r>
      <w:r>
        <w:rPr>
          <w:iCs/>
          <w:i/>
        </w:rPr>
        <w:t xml:space="preserve">Rogen</w:t>
      </w:r>
      <w:r>
        <w:t xml:space="preserve"> </w:t>
      </w:r>
      <w:r>
        <w:t xml:space="preserve">v.</w:t>
      </w:r>
      <w:r>
        <w:t xml:space="preserve"> </w:t>
      </w:r>
      <w:r>
        <w:rPr>
          <w:iCs/>
          <w:i/>
        </w:rPr>
        <w:t xml:space="preserve">Ilikon Corp.,</w:t>
      </w:r>
      <w:r>
        <w:t xml:space="preserve"> </w:t>
      </w:r>
      <w:r>
        <w:t xml:space="preserve">361 F. 2d 260</w:t>
      </w:r>
      <w:r>
        <w:t xml:space="preserve">, 265-267 (CA1 1966).</w:t>
      </w:r>
    </w:p>
    <w:p>
      <w:pPr>
        <w:pStyle w:val="CaseBody"/>
      </w:pPr>
      <w:r>
        <w:t xml:space="preserve">Ill</w:t>
      </w:r>
    </w:p>
    <w:p>
      <w:pPr>
        <w:pStyle w:val="CaseBody"/>
      </w:pPr>
      <w:r>
        <w:t xml:space="preserve">The omissions found by the Court of Appeals to have been materially misleading as a matter of law involved two general issues — the degree of National’s control over TSC at the time of the proxy solicitation, and the favor-ability of the terms of the proposed transaction to TSC shareholders.</w:t>
      </w:r>
    </w:p>
    <w:p>
      <w:pPr>
        <w:pStyle w:val="CaseBody"/>
      </w:pPr>
      <w:r>
        <w:t xml:space="preserve">A.</w:t>
      </w:r>
      <w:r>
        <w:t xml:space="preserve"> </w:t>
      </w:r>
      <w:r>
        <w:rPr>
          <w:iCs/>
          <w:i/>
        </w:rPr>
        <w:t xml:space="preserve">National’s Control of TSC</w:t>
      </w:r>
    </w:p>
    <w:p>
      <w:pPr>
        <w:pStyle w:val="CaseBody"/>
      </w:pPr>
      <w:r>
        <w:t xml:space="preserve">The Court of Appeals concluded that two omitted facts relating to National’s potential influence, or control, over the management of TSC were material as a matter of law. First, the proxy statement failed to state that at the time the statement was issued, the chairman of the TSC board of directors was Stanley Yarmuth, National’s president and chief executive officer, and the chairman of the TSC executive committee was Charles Simonelli, National’s executive vice president. Second, the statement did not disclose that in filing reports required by the SEC, both TSC and National had indicated that National “may be deemed to be a 'parent’ of TSC as that term is defined in the Rules and Regulations under the Securities Act of 1933.” App. 490, 512, 517.</w:t>
      </w:r>
      <w:r>
        <w:rPr>
          <w:rStyle w:val="FootnoteReference"/>
        </w:rPr>
        <w:footnoteReference w:customMarkFollows="1" w:id="274"/>
        <w:t xml:space="preserve">13</w:t>
      </w:r>
      <w:r>
        <w:t xml:space="preserve"> </w:t>
      </w:r>
      <w:r>
        <w:t xml:space="preserve">The Court of Appeals noted that TSC shareholders were relying on the TSC board of directors to negotiate on their behalf for the best possible rate of exchange with National. It then concluded that the omitted facts were material because they were “persuasive indicators that the TSC board was in fact under the control of National, and that National thus ‘sat on both sides of the table’ in setting the terms of the exchange.”</w:t>
      </w:r>
      <w:r>
        <w:t xml:space="preserve"> </w:t>
      </w:r>
      <w:r>
        <w:t xml:space="preserve">512 F. 2d, at 333</w:t>
      </w:r>
      <w:r>
        <w:t xml:space="preserve">.</w:t>
      </w:r>
    </w:p>
    <w:p>
      <w:pPr>
        <w:pStyle w:val="CaseBody"/>
      </w:pPr>
      <w:r>
        <w:t xml:space="preserve">We do not agree that the omission of these facts, when viewed against the disclosures contained in the proxy statement, warrants the entry of summary judgment against TSC and National on this record. Our conclusion is the same whether the omissions are considered separately or together.</w:t>
      </w:r>
    </w:p>
    <w:p>
      <w:pPr>
        <w:pStyle w:val="CaseBody"/>
      </w:pPr>
      <w:r>
        <w:t xml:space="preserve">The proxy statement prominently displayed the facts that National owned 34% of the outstanding shares in TSC, and that no other person owned more than 10%. App. 262-263, 267., It also prominently revealed that 5 out of 10 TSC directors were National nominees, and it recited the positions of those National nominees with National — indicating, among other things, that Stanley Yarmuth was president and a director of National, and that Charles Simonelli was executive vice president and a director of National.</w:t>
      </w:r>
      <w:r>
        <w:t xml:space="preserve"> </w:t>
      </w:r>
      <w:r>
        <w:rPr>
          <w:iCs/>
          <w:i/>
        </w:rPr>
        <w:t xml:space="preserve">Id.,</w:t>
      </w:r>
      <w:r>
        <w:t xml:space="preserve"> </w:t>
      </w:r>
      <w:r>
        <w:t xml:space="preserve">at 267. These disclosures clearly revealed the nature of National’s relationship with TSC and alerted the reasonable shareholder to the fact that National exercised a degree of influence over TSC. In view of these disclosures, we certainly cannot say that the additional facts that Yarmuth was chairman of the TSC board of directors and Simonelli chairman of its executive committee were, on this record, so obviously important that reasonable minds could not differ on their materiality.</w:t>
      </w:r>
    </w:p>
    <w:p>
      <w:pPr>
        <w:pStyle w:val="CaseBody"/>
      </w:pPr>
      <w:r>
        <w:t xml:space="preserve">Nor can we say that it was materially misleading as a matter of law for TSC and National to have omitted reference to ,SEC filings indicating that National “may be deemed to be a parent of TSC.” As we have already noted, both the District Court and the Court of Appeals concluded, in denying summary judgment on the Rule 14a-3 claim, that there was a genuine issue of fact as to whether National actually controlled TSC at the time of the proxy solicitation. We must assume for present purposes, then, that National did not control TSC. On that assumption, TSC and National obviously had no duty to state without qualification that control did exist. If the proxy statements were to disclose the conclusory statements in the SEC filings that National “may be deemed to be a parent of TSC,” then it would have been appropriate, if not necessary, for the statement to have included a disclaimer of National control over TSC or a disclaimer of knowledge as to whether National controlled TSC.</w:t>
      </w:r>
      <w:r>
        <w:rPr>
          <w:rStyle w:val="FootnoteReference"/>
        </w:rPr>
        <w:footnoteReference w:customMarkFollows="1" w:id="290"/>
        <w:t xml:space="preserve">14</w:t>
      </w:r>
      <w:r>
        <w:t xml:space="preserve"> </w:t>
      </w:r>
      <w:r>
        <w:t xml:space="preserve">The net contribution of including the contents of the SEC filings accompanied by such disclaimers is not of such obvious significance, in view of the other facts contained in the proxy statement, that their exclusion renders the statement materially misleading as a matter of law.</w:t>
      </w:r>
      <w:r>
        <w:rPr>
          <w:rStyle w:val="FootnoteReference"/>
        </w:rPr>
        <w:footnoteReference w:customMarkFollows="1" w:id="306"/>
        <w:t xml:space="preserve">15</w:t>
      </w:r>
    </w:p>
    <w:p>
      <w:pPr>
        <w:pStyle w:val="CaseBody"/>
      </w:pPr>
      <w:r>
        <w:t xml:space="preserve">B.</w:t>
      </w:r>
      <w:r>
        <w:t xml:space="preserve"> </w:t>
      </w:r>
      <w:r>
        <w:rPr>
          <w:iCs/>
          <w:i/>
        </w:rPr>
        <w:t xml:space="preserve">Favorability of the Terms to TSC Shareholders</w:t>
      </w:r>
    </w:p>
    <w:p>
      <w:pPr>
        <w:pStyle w:val="CaseBody"/>
      </w:pPr>
      <w:r>
        <w:t xml:space="preserve">The Court of Appeals also found that the failure to disclose two sets of facts rendered the proxy statement materially deficient in its presentation of the favorability of the terms of the proposed transaction to TSC shareholders. The first omission was of information, described by the Court of Appeals as “bad news” for TSC shareholders, contained in a letter from an investment banking firm whose earlier favorable opinion of the fairness of the proposed transaction was reported in the proxy statement. The second omission related to purchases of National common stock by National and by Madison Fund, Inc., a large mutual fund, during the two years prior to the issuance of the proxy statement.</w:t>
      </w:r>
    </w:p>
    <w:p>
      <w:pPr>
        <w:pStyle w:val="CaseBody"/>
      </w:pPr>
      <w:r>
        <w:t xml:space="preserve">1</w:t>
      </w:r>
    </w:p>
    <w:p>
      <w:pPr>
        <w:pStyle w:val="CaseBody"/>
      </w:pPr>
      <w:r>
        <w:t xml:space="preserve">The proxy statement revealed that the investment banking firm of Hornblower &amp; Weeks-Hemphill, Noyes had rendered a favorable opinion on the fairness to TSC shareholders of the terms for the exchange of TSC shares for National securities. In that opinion, the proxy statement explained, the firm had considered, “among other things, the current market prices of the securities of both corporations, the high redemption price of the National Series B preferred stock, the dividend and debt service requirements of both corporations, the substantial premium over current market values represented by the securities being offered to TSC stockholders, and the increased dividend income.” App. 267.</w:t>
      </w:r>
    </w:p>
    <w:p>
      <w:pPr>
        <w:pStyle w:val="CaseBody"/>
      </w:pPr>
      <w:r>
        <w:t xml:space="preserve">The Court of Appeals focused upon the reference to the “substantial premium over current market values represented by the securities being offered to TSC stockholders,” and noted that any TSC shareholder could calculate the apparent premium by reference to the table of current market prices that appeared four pages later in the proxy statement.</w:t>
      </w:r>
      <w:r>
        <w:t xml:space="preserve"> </w:t>
      </w:r>
      <w:r>
        <w:rPr>
          <w:iCs/>
          <w:i/>
        </w:rPr>
        <w:t xml:space="preserve">Id.,</w:t>
      </w:r>
      <w:r>
        <w:t xml:space="preserve"> </w:t>
      </w:r>
      <w:r>
        <w:t xml:space="preserve">at 271. On the basis of the recited closing prices for November 7, 1969, five days before the issuance of the proxy statement, the apparent premiums were as follows. Each share of TSC Series 1 preferred, which closed at $12, would bring National Series B preferred stock and National warrants worth $15.23 — for a premium of $3.23, or 27% of the market value of the TSC Series 1 preferred. Each share of TSC common stock, which closed at $13.25, would bring National Series B preferred stock and National warrants worth $16.19 — for a premium of $2.94, or 22% of the market value of TSC common.</w:t>
      </w:r>
      <w:r>
        <w:rPr>
          <w:rStyle w:val="FootnoteReference"/>
        </w:rPr>
        <w:footnoteReference w:customMarkFollows="1" w:id="321"/>
        <w:t xml:space="preserve">16</w:t>
      </w:r>
    </w:p>
    <w:p>
      <w:pPr>
        <w:pStyle w:val="CaseBody"/>
      </w:pPr>
      <w:r>
        <w:t xml:space="preserve">The closing price of the National warrants on November 7, 1969, was, as indicated in the proxy statement, $5.25. The TSC shareholders were misled, the Court of Appeals concluded, by the proxy statement’s failure to disclose that in a communication two weeks after its favorable opinion letter, the Hornblower firm revealed that its determination of the fairness of the offer to TSC was based on the conclusion that the value of the warrants involved in the transaction would not be their current market price, but approximately $3.50. If the warrants were valued at $3.50 rather than $5.25, and the other securities valued at the November 7 closing price, the court figured, the apparent premium would be substantially reduced — from $3.23 (27%) to $1.48 (12%) in the case of the TSC preferred, and from $2.94 (22%) to $0.31 (2%) in the case of TSC common. “In simple terms,” the court concluded: “TSC and National had received some good news and some bad news from the Hornblower firm. They chose to publish the good news and omit the bad news.”</w:t>
      </w:r>
      <w:r>
        <w:t xml:space="preserve"> </w:t>
      </w:r>
      <w:r>
        <w:t xml:space="preserve">512 F. 2d, at 335</w:t>
      </w:r>
      <w:r>
        <w:t xml:space="preserve">.</w:t>
      </w:r>
    </w:p>
    <w:p>
      <w:pPr>
        <w:pStyle w:val="CaseBody"/>
      </w:pPr>
      <w:r>
        <w:t xml:space="preserve">It would appear, however, that the subsequent communication from the Hornblower firm, which the Court of Appeals felt contained “bad news,” contained nothing new at all. At the TSC board of directors meeting held on October 16, 1969, the date of the initial Hornblower opinion letter, Blancke Noyes, a TSC director and a partner in the Hornblower firm, had pointed out the likelihood of a decline in the market price of National warrants with the issuance of the additional warrants involved in the exchange, and reaffirmed his conclusion that the exchange offer was a fair one nevertheless. The subsequent Hornblower letter, signed by Mr. Noyes, purported merely to explain the basis of the calculations underlying the favorable opinion rendered in the October 16 letter. “In advising TSC as to the fairness of the offer from [National],” Mr. Noyes wrote, “we concluded that the warrants in question had a value of approximately $3.50.”</w:t>
      </w:r>
      <w:r>
        <w:rPr>
          <w:rStyle w:val="FootnoteReference"/>
        </w:rPr>
        <w:footnoteReference w:customMarkFollows="1" w:id="335"/>
        <w:t xml:space="preserve">17</w:t>
      </w:r>
      <w:r>
        <w:t xml:space="preserve"> </w:t>
      </w:r>
      <w:r>
        <w:t xml:space="preserve">On its face, then, the subsequent letter from Hornblower does not appear to have contained anything to alter the favorable opinion rendered in the October 16 letter — including the conclusion that the securities being offered to TSC shareholders represented a “substantial premium over current market values.”</w:t>
      </w:r>
    </w:p>
    <w:p>
      <w:pPr>
        <w:pStyle w:val="CaseBody"/>
      </w:pPr>
      <w:r>
        <w:t xml:space="preserve">The real question, though, is not whether the subsequent Hornblower letter contained anything that altered the Hornblower opinion in any way. It is, rather, whether the advice given at the October 16 meeting, and reduced to more precise terms in the subsequent Hornblower letter — that there might be a decline in the market price of the National warrants — had to be disclosed in order to clarify the import of the proxy statement’s reference to “the substantial premium over current market values represented by the securities being offered to TSC stockholders.” We note initially that the proxy statement referred to the substantial premium as but one of several factors considered by Hornblower in rendering its favorable opinion of the terms of exchange. Still, we cannot assume that a TSC shareholder would focus only on the “bottom line” of the opinion to the exclusion of the considerations that produced it.</w:t>
      </w:r>
    </w:p>
    <w:p>
      <w:pPr>
        <w:pStyle w:val="CaseBody"/>
      </w:pPr>
      <w:r>
        <w:t xml:space="preserve">TSC and National insist that the reference to a substantial premium required no clarification or supplementation, for the reason that there was a substantial premium even if the National warrants are assumed to have been worth $3.50. In reaching the contrary conclusion, the Court of Appeals, they contend, ignored the rise in price of TSC securities between early October 1969, when the exchange ratio was set, and November 7, 1969 — a rise in price that they suggest was a result of the favorable exchange ratio’s becoming public knowledge. When the proxy statement was mailed, TSC and National contend, the market price of TSC securities already reflected a portion of the premium to which Hornblower had referred in rendering its favorable opinion of the terms of exchange. Thus, they note that Hornblower assessed the fairness of the proposed transaction by reference to early October market prices of TSC preferred, TSC common, and National preferred. On the basis of those prices and a $3.50 value for the National warrants involved in the exchange, TSC and National contend that the premium was substantial. Each share of TSC preferred, selling in early October at $11, would bring National preferred stock and warrants worth $13.10 — for a premium of $2.10, or 19%. And each share of TSC common, selling in early October at $11.63, would bring National preferred stock and warrants worth $13.25 — for a premium of $1.62, or 14%.</w:t>
      </w:r>
      <w:r>
        <w:rPr>
          <w:rStyle w:val="FootnoteReference"/>
        </w:rPr>
        <w:footnoteReference w:customMarkFollows="1" w:id="348"/>
        <w:t xml:space="preserve">18</w:t>
      </w:r>
      <w:r>
        <w:t xml:space="preserve"> </w:t>
      </w:r>
      <w:r>
        <w:t xml:space="preserve">We certainly cannot say as a matter of law that these premiums were not substantial. And if, as we must assume in considering the appropriateness of summary judgment, the increase in price of TSC’s securities from early October to November 7 reflected in large part the market’s reaction to the terms of the proposed exchange, it was not materially misleading as a matter of law for the proxy statement to refer to the existence of a substantial premium.</w:t>
      </w:r>
    </w:p>
    <w:p>
      <w:pPr>
        <w:pStyle w:val="CaseBody"/>
      </w:pPr>
      <w:r>
        <w:t xml:space="preserve">There remains the possibility, however, that although TSC and National may be correct in urging the existence of a substantial premium based upon a $3.50 value for the National warrants and the early October market prices of the other securities involved in the transaction, the proxy statement misled the TSC shareholder to calculate a premium substantially in excess of that premium. The premiums apparent from early October market prices and a $3.50 value for the National warrants — 19% on TSC preferred and 14% on TSC common — -are certainly less than those that would be derived through use of the November 7 closing prices listed in the proxy statement — 27% on TSC preferred and 22% on TSC common. But we are unwilling to sustain a grant of summary judgment to North way on that basis. To do so we would have to conclude as a matter of law, first, that the proxy statement would have misled the TSC shareholder to calculate his premium on the basis of November 7 market prices, and second, that the difference between that premium and that which would be apparent from early October prices and a $3.50 value for the National warrants was material. These are questions we think best left to the trier of fact.</w:t>
      </w:r>
    </w:p>
    <w:p>
      <w:pPr>
        <w:pStyle w:val="CaseBody"/>
      </w:pPr>
      <w:r>
        <w:t xml:space="preserve">2</w:t>
      </w:r>
    </w:p>
    <w:p>
      <w:pPr>
        <w:pStyle w:val="CaseBody"/>
      </w:pPr>
      <w:r>
        <w:t xml:space="preserve">The final omission that concerns us relates to purchases of National common stock by National and by Madison Fund, Inc., a mutual fund. Northway notes that National’s board chairman was a director of Madison, and that Madison’s president and chief executive, Edward Merkle, was employed by National pursuant to •an agreement obligating him to provide at least one day per month for such duties as National might request.</w:t>
      </w:r>
      <w:r>
        <w:rPr>
          <w:rStyle w:val="FootnoteReference"/>
        </w:rPr>
        <w:footnoteReference w:customMarkFollows="1" w:id="361"/>
        <w:t xml:space="preserve">19</w:t>
      </w:r>
      <w:r>
        <w:t xml:space="preserve"> </w:t>
      </w:r>
      <w:r>
        <w:t xml:space="preserve">Northway contends that the proxy statement, having called the TSC shareholders’ attention to the market prices of the securities involved in the proposed transaction, should have revealed substantial purchases of National common stock made by National and Madison during the two years prior to the issuance of the proxy statement.</w:t>
      </w:r>
      <w:r>
        <w:rPr>
          <w:rStyle w:val="FootnoteReference"/>
        </w:rPr>
        <w:footnoteReference w:customMarkFollows="1" w:id="374"/>
        <w:t xml:space="preserve">20</w:t>
      </w:r>
      <w:r>
        <w:t xml:space="preserve"> </w:t>
      </w:r>
      <w:r>
        <w:t xml:space="preserve">In particular, North way contends that the TSC shareholders should, as a matter of law, have been informed that National and Madison purchases accounted for 8.5% of all reported transactions in National common stock during the period between National’s acquisition of the Schmidt interests and the proxy solicitation. The theory behind Northway’s contention is that disclosure of these purchases would have pointed to the existence, or at least the possible existence, of conspiratorial manipulation of the price of National common stock, which would have had an effect on the market price of the National preferred stock and warrants involved in the proposed transaction.</w:t>
      </w:r>
      <w:r>
        <w:rPr>
          <w:rStyle w:val="FootnoteReference"/>
        </w:rPr>
        <w:footnoteReference w:customMarkFollows="1" w:id="387"/>
        <w:t xml:space="preserve">21</w:t>
      </w:r>
    </w:p>
    <w:p>
      <w:pPr>
        <w:pStyle w:val="CaseBody"/>
      </w:pPr>
      <w:r>
        <w:t xml:space="preserve">Before the District Court, Northway attempted to demonstrate that the National and Madison purchases were coordinated. The District Court concluded, however, that there was a genuine issue of fact as to whether there was coordination. Finding that a showing of coordination was essential to Northway’s theory, the District Court denied summary judgment.</w:t>
      </w:r>
    </w:p>
    <w:p>
      <w:pPr>
        <w:pStyle w:val="CaseBody"/>
      </w:pPr>
      <w:r>
        <w:t xml:space="preserve">The Court of Appeals agreed with the District Court that “collusion is not conclusively established.”</w:t>
      </w:r>
      <w:r>
        <w:t xml:space="preserve"> </w:t>
      </w:r>
      <w:r>
        <w:t xml:space="preserve">512 F. 2d, at 336</w:t>
      </w:r>
      <w:r>
        <w:t xml:space="preserve">. But observing that “it is certainly suggested,”</w:t>
      </w:r>
      <w:r>
        <w:t xml:space="preserve"> </w:t>
      </w:r>
      <w:r>
        <w:rPr>
          <w:iCs/>
          <w:i/>
        </w:rPr>
        <w:t xml:space="preserve">ibid.,</w:t>
      </w:r>
      <w:r>
        <w:t xml:space="preserve"> </w:t>
      </w:r>
      <w:r>
        <w:t xml:space="preserve">the court concluded that the failure to disclose the purchases was materially misleading as a matter of law. The court explained:</w:t>
      </w:r>
    </w:p>
    <w:p>
      <w:pPr>
        <w:pStyle w:val="BlockText"/>
      </w:pPr>
      <w:r>
        <w:t xml:space="preserve">“Stockholders contemplating an offer involving preferred shares convertible to common stock and warrants for the purchase of common stock must be informed of circumstances which tend to indicate that the current selling price of the common stock involved may be affected by apparent market manipulations. It was for the shareholders to determine whether the market price of the common shares was relevant to their evaluation of the convertible preferred shares and warrants, or whether the activities of Madison and National actually amounted to manipulation at all.”</w:t>
      </w:r>
      <w:r>
        <w:t xml:space="preserve"> </w:t>
      </w:r>
      <w:r>
        <w:rPr>
          <w:iCs/>
          <w:i/>
        </w:rPr>
        <w:t xml:space="preserve">Ibid.</w:t>
      </w:r>
    </w:p>
    <w:p>
      <w:pPr>
        <w:pStyle w:val="CaseBody"/>
      </w:pPr>
      <w:r>
        <w:t xml:space="preserve">In short, while the Court of Appeals viewed the purchases as significant only insofar as they suggested manipulation of the price of National securities, and acknowledged the existence of a genuine issue of fact as to whether there was any manipulation, the court nevertheless required disclosure to enable the shareholders to decide whether there was manipulation or not.</w:t>
      </w:r>
    </w:p>
    <w:p>
      <w:pPr>
        <w:pStyle w:val="CaseBody"/>
      </w:pPr>
      <w:r>
        <w:t xml:space="preserve">The Court of Appeals’ approach would sanction the imposition of civil liability on a theory that undisclosed information may</w:t>
      </w:r>
      <w:r>
        <w:t xml:space="preserve"> </w:t>
      </w:r>
      <w:r>
        <w:rPr>
          <w:iCs/>
          <w:i/>
        </w:rPr>
        <w:t xml:space="preserve">suggest</w:t>
      </w:r>
      <w:r>
        <w:t xml:space="preserve"> </w:t>
      </w:r>
      <w:r>
        <w:t xml:space="preserve">the existence of market manipulation, even if the responsible corporate officials knew that there was in fact no market manipulation. We do not agree that Rule 14a-9 requires such a result. Rule 14a-9 is concerned only with whether a proxy statement is misleading with respect to its presentation of material facts. If, as we must assume on a motion for summary judgment, there was no collusion or manipulation whatsoever in the National and Madison purchases — that is, if the purchases were made wholly independently for proper corporate and investment purposes, then by Northway’s implicit acknowledgment they had no bearing on the soundness and reliability of the market prices listed in the proxy statement,</w:t>
      </w:r>
      <w:r>
        <w:rPr>
          <w:rStyle w:val="FootnoteReference"/>
        </w:rPr>
        <w:footnoteReference w:customMarkFollows="1" w:id="400"/>
        <w:t xml:space="preserve">22</w:t>
      </w:r>
      <w:r>
        <w:t xml:space="preserve"> </w:t>
      </w:r>
      <w:r>
        <w:t xml:space="preserve">and it cannot have been materially misleading to fail to disclose them.</w:t>
      </w:r>
      <w:r>
        <w:rPr>
          <w:rStyle w:val="FootnoteReference"/>
        </w:rPr>
        <w:footnoteReference w:customMarkFollows="1" w:id="412"/>
        <w:t xml:space="preserve">23</w:t>
      </w:r>
    </w:p>
    <w:p>
      <w:pPr>
        <w:pStyle w:val="CaseBody"/>
      </w:pPr>
      <w:r>
        <w:t xml:space="preserve">That is not to say, of course, that the SEC could not enact a rule specifically requiring the disclosure of purchases such as were involved in this case, without regard to whether the purchases can be shown to have been collusive or manipulative. We simply hold that if liability is to be imposed in this case upon a theory that it was misleading to fail to disclose purchases suggestive of market manipulation, there must be some showing that there was in fact market manipulation.</w:t>
      </w:r>
      <w:r>
        <w:rPr>
          <w:rStyle w:val="FootnoteReference"/>
        </w:rPr>
        <w:footnoteReference w:customMarkFollows="1" w:id="424"/>
        <w:t xml:space="preserve">24</w:t>
      </w:r>
    </w:p>
    <w:p>
      <w:pPr>
        <w:pStyle w:val="CaseBody"/>
      </w:pPr>
      <w:r>
        <w:t xml:space="preserve">IV</w:t>
      </w:r>
    </w:p>
    <w:p>
      <w:pPr>
        <w:pStyle w:val="CaseBody"/>
      </w:pPr>
      <w:r>
        <w:t xml:space="preserve">In summary, none of the omissions claimed to have been in violation of Rule 14a-9 were, so far as the record reveals, materially misleading as a matter of law, and Northway was not entitled to partial summary judgment. The judgment of the Court of Appeals is reversed, and the case is remanded for further proceedings consistent with this opinion.</w:t>
      </w:r>
    </w:p>
    <w:p>
      <w:pPr>
        <w:pStyle w:val="CaseBody"/>
      </w:pPr>
      <w:r>
        <w:rPr>
          <w:iCs/>
          <w:i/>
        </w:rPr>
        <w:t xml:space="preserve">It is so ordered.</w:t>
      </w:r>
    </w:p>
    <w:p>
      <w:pPr>
        <w:pStyle w:val="CaseBody"/>
      </w:pPr>
      <w:r>
        <w:t xml:space="preserve">Mr. Justice Stevens took no part in the consideration or decision of this case.</w:t>
      </w:r>
    </w:p>
    <w:bookmarkStart w:id="70" w:name="_auto_toc_70"/>
    <w:bookmarkEnd w:id="70"/>
    <w:p>
      <w:pPr>
        <w:pStyle w:val="ResourceNumber"/>
      </w:pPr>
      <w:r>
        <w:t xml:space="preserve">6.2.2</w:t>
      </w:r>
    </w:p>
    <w:p>
      <w:pPr>
        <w:pStyle w:val="ResourceTitle"/>
      </w:pPr>
      <w:r>
        <w:t xml:space="preserve">In the Matter of Michael Marchese</w:t>
      </w:r>
    </w:p>
    <w:p>
      <w:pPr>
        <w:pStyle w:val="HeadFieldSeparator"/>
      </w:pPr>
      <w:r>
        <w:t xml:space="preserve"> </w:t>
      </w:r>
    </w:p>
    <w:p>
      <w:pPr>
        <w:pStyle w:val="ResourceLink"/>
      </w:pPr>
      <w:hyperlink r:id="rId134">
        <w:r>
          <w:rPr>
            <w:rStyle w:val="Hyperlink"/>
          </w:rPr>
          <w:t xml:space="preserve">https://www.sec.gov/litigation/admin/34-47732.htm</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71" w:name="_auto_toc_71"/>
    <w:bookmarkEnd w:id="71"/>
    <w:p>
      <w:pPr>
        <w:pStyle w:val="ResourceNumber"/>
      </w:pPr>
      <w:r>
        <w:t xml:space="preserve">6.2.3</w:t>
      </w:r>
    </w:p>
    <w:p>
      <w:pPr>
        <w:pStyle w:val="ResourceTitle"/>
      </w:pPr>
      <w:r>
        <w:t xml:space="preserve">AT&amp;T Settles SEC Charge of Violating Reg FD</w:t>
      </w:r>
    </w:p>
    <w:p>
      <w:pPr>
        <w:pStyle w:val="HeadFieldSeparator"/>
      </w:pPr>
      <w:r>
        <w:t xml:space="preserve"> </w:t>
      </w:r>
    </w:p>
    <w:p>
      <w:pPr>
        <w:pStyle w:val="ResourceLink"/>
      </w:pPr>
      <w:hyperlink r:id="rId135">
        <w:r>
          <w:rPr>
            <w:rStyle w:val="Hyperlink"/>
          </w:rPr>
          <w:t xml:space="preserve">https://www.sec.gov/news/press-release/2022-215?utm_medium=email&amp;utm_source=govdelivery</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72" w:name="_auto_toc_72"/>
    <w:bookmarkEnd w:id="72"/>
    <w:p>
      <w:pPr>
        <w:pStyle w:val="ResourceNumber"/>
      </w:pPr>
      <w:r>
        <w:t xml:space="preserve">6.2.4</w:t>
      </w:r>
    </w:p>
    <w:p>
      <w:pPr>
        <w:pStyle w:val="ResourceTitle"/>
      </w:pPr>
      <w:r>
        <w:t xml:space="preserve">Chiarella v. United States (U.S. 1980)</w:t>
      </w:r>
    </w:p>
    <w:p>
      <w:pPr>
        <w:pStyle w:val="HeadFieldSeparator"/>
      </w:pPr>
      <w:r>
        <w:t xml:space="preserve"> </w:t>
      </w:r>
    </w:p>
    <w:p>
      <w:pPr>
        <w:pStyle w:val="ResourceHeadnote"/>
      </w:pPr>
      <w:r>
        <w:t xml:space="preserve">This decision rejects the so-called “equal access theory” of insider trading, according to which anyone trading while in possession of material nonpublic information violates rule 10b-5.</w:t>
      </w:r>
    </w:p>
    <w:p>
      <w:pPr>
        <w:pStyle w:val="BlockText"/>
      </w:pPr>
      <w:r>
        <w:t xml:space="preserve">1. According to the majority, why is the equal access theory inconsistent with rule 10b-5? In other words, what else is required for a 10b-5 violation, besides trading while in possession of material nonpublic information?</w:t>
      </w:r>
      <w:r>
        <w:br/>
      </w:r>
      <w:r>
        <w:t xml:space="preserve">2. As Burger’s dissent points out, Chiarella did not simply trade while in possession of material nonpublic information: Chiarella misappropriated that information from his employer. Why is such misappropriation not sufficient to subject his trades to 10b-5 liability? Or is it? Cf. part IV of the majority opinion and O’Hagan, infra.</w:t>
      </w:r>
      <w:r>
        <w:br/>
      </w:r>
      <w:r>
        <w:t xml:space="preserve">3. Do you think the equal access theory would be good policy? What interests would it protect, if any? What desirable activities might it hamper?</w:t>
      </w:r>
    </w:p>
    <w:p>
      <w:pPr>
        <w:pStyle w:val="HeadEnd"/>
      </w:pPr>
      <w:r>
        <w:t xml:space="preserve"> </w:t>
      </w:r>
    </w:p>
    <w:p>
      <w:pPr>
        <w:pStyle w:val="CaseHeader"/>
      </w:pPr>
      <w:r>
        <w:t xml:space="preserve">Supreme Court of the United States</w:t>
      </w:r>
    </w:p>
    <w:p>
      <w:pPr>
        <w:pStyle w:val="CaseHeader"/>
      </w:pPr>
      <w:r>
        <w:t xml:space="preserve">445 U.S. 222, 63 L. Ed. 2d 348, 100 S. Ct. 1108, SCDB 1979-053, 1980 U.S. LEXIS 88</w:t>
      </w:r>
    </w:p>
    <w:p>
      <w:pPr>
        <w:pStyle w:val="CaseHeader"/>
      </w:pPr>
      <w:r>
        <w:t xml:space="preserve">No. 78-1202</w:t>
      </w:r>
    </w:p>
    <w:p>
      <w:pPr>
        <w:pStyle w:val="CaseHeader"/>
      </w:pPr>
      <w:r>
        <w:t xml:space="preserve">1980-03-18</w:t>
      </w:r>
    </w:p>
    <w:p>
      <w:pPr>
        <w:pStyle w:val="CaseBody"/>
      </w:pPr>
      <w:r>
        <w:t xml:space="preserve">445 U.S. 222 (1980)</w:t>
      </w:r>
    </w:p>
    <w:p>
      <w:pPr>
        <w:pStyle w:val="CaseHeader"/>
      </w:pPr>
      <w:r>
        <w:t xml:space="preserve">CHIARELLA</w:t>
      </w:r>
      <w:r>
        <w:br/>
      </w:r>
      <w:r>
        <w:t xml:space="preserve">v.</w:t>
      </w:r>
      <w:r>
        <w:br/>
      </w:r>
      <w:r>
        <w:t xml:space="preserve">UNITED STATES.</w:t>
      </w:r>
    </w:p>
    <w:p>
      <w:pPr>
        <w:pStyle w:val="CaseBody"/>
      </w:pPr>
      <w:r>
        <w:rPr>
          <w:rStyle w:val="Elision"/>
        </w:rPr>
        <w:t xml:space="preserve">[ … ]</w:t>
      </w:r>
    </w:p>
    <w:bookmarkStart w:id="136" w:name="X80c085ae072e0f3688bb3c298424a2bf8802f78"/>
    <w:p>
      <w:pPr>
        <w:pStyle w:val="Heading2"/>
      </w:pPr>
      <w:r>
        <w:t xml:space="preserve">MR. JUSTICE POWELL delivered the opinion of the Court.</w:t>
      </w:r>
    </w:p>
    <w:p>
      <w:pPr>
        <w:pStyle w:val="CaseBody"/>
      </w:pPr>
      <w:r>
        <w:t xml:space="preserve">The question in this case is whether a person who learns from the confidential documents of one corporation that it is planning an attempt to secure control of a second corporation violates § 10 (b) of the Securities Exchange Act of 1934 if he fails to disclose the impending takeover before trading in the target company's securities.</w:t>
      </w:r>
    </w:p>
    <w:bookmarkEnd w:id="136"/>
    <w:bookmarkStart w:id="137" w:name="i-4"/>
    <w:p>
      <w:pPr>
        <w:pStyle w:val="Heading2"/>
      </w:pPr>
      <w:r>
        <w:t xml:space="preserve">I</w:t>
      </w:r>
    </w:p>
    <w:p>
      <w:pPr>
        <w:pStyle w:val="CaseBody"/>
      </w:pPr>
      <w:r>
        <w:t xml:space="preserve">Petitioner is a printer by trade. In 1975 and 1976, he worked as a "markup man" in the New York composing room of Pandick Press, a financial printer. Among documents that petitioner handled were five announcements of corporate takeover bids. When these documents were delivered to the printer, the identities of the acquiring and target corporations were concealed by blank spaces or false names. The true names were sent to the printer on the night of the final printing.</w:t>
      </w:r>
    </w:p>
    <w:p>
      <w:pPr>
        <w:pStyle w:val="CaseBody"/>
      </w:pPr>
      <w:r>
        <w:t xml:space="preserve">The petitioner, however, was able to deduce the names of the target companies before the final printing from other information contained in the documents. Without disclosing his knowledge, petitioner purchased stock in the target companies and sold the shares immediately after the takeover attempts were made public.</w:t>
      </w:r>
      <w:hyperlink w:anchor="Xfb968ad2bc4edf9420b33301b0cecf4988c7ff3">
        <w:r>
          <w:rPr>
            <w:rStyle w:val="Hyperlink"/>
            <w:vertAlign w:val="superscript"/>
          </w:rPr>
          <w:t xml:space="preserve">[2]</w:t>
        </w:r>
      </w:hyperlink>
      <w:r>
        <w:t xml:space="preserve"> </w:t>
      </w:r>
      <w:r>
        <w:t xml:space="preserve">By this method, petitioner realized a gain of slightly more than $30,000 in the course of 14 months. Subsequently, the Securities and Exchange Commission (Commission or SEC) began an investigation of his trading activities. In May 1977, petitioner entered into a consent decree with the Commission in which he agreed to return his profits to the sellers of the shares.</w:t>
      </w:r>
      <w:hyperlink w:anchor="X464d28d6b29091e336f6f6d2f61e0b1cb88d10d">
        <w:r>
          <w:rPr>
            <w:rStyle w:val="Hyperlink"/>
            <w:vertAlign w:val="superscript"/>
          </w:rPr>
          <w:t xml:space="preserve">[3]</w:t>
        </w:r>
      </w:hyperlink>
      <w:r>
        <w:t xml:space="preserve"> </w:t>
      </w:r>
      <w:r>
        <w:t xml:space="preserve">On the same day, he was discharged by Pandick Press.</w:t>
      </w:r>
    </w:p>
    <w:p>
      <w:pPr>
        <w:pStyle w:val="CaseBody"/>
      </w:pPr>
      <w:r>
        <w:t xml:space="preserve">[225] In January 1978, petitioner was indicted on 17 counts of violating § 10 (b) of the Securities Exchange Act of 1934 (1934 Act) and SEC Rule 10b-5.</w:t>
      </w:r>
      <w:hyperlink w:anchor="Xfed2476efeaae6e91c76d4585c2f75062294eb9">
        <w:r>
          <w:rPr>
            <w:rStyle w:val="Hyperlink"/>
            <w:vertAlign w:val="superscript"/>
          </w:rPr>
          <w:t xml:space="preserve">[4]</w:t>
        </w:r>
      </w:hyperlink>
      <w:r>
        <w:t xml:space="preserve"> </w:t>
      </w:r>
      <w:r>
        <w:t xml:space="preserve">After petitioner unsuccessfully moved to dismiss the indictment,</w:t>
      </w:r>
      <w:hyperlink w:anchor="X328f6c251efd7b8cb30f1f5a84aed3b2b65953c">
        <w:r>
          <w:rPr>
            <w:rStyle w:val="Hyperlink"/>
            <w:vertAlign w:val="superscript"/>
          </w:rPr>
          <w:t xml:space="preserve">[5]</w:t>
        </w:r>
      </w:hyperlink>
      <w:r>
        <w:t xml:space="preserve"> </w:t>
      </w:r>
      <w:r>
        <w:t xml:space="preserve">he was brought to trial and convicted on all counts.</w:t>
      </w:r>
    </w:p>
    <w:p>
      <w:pPr>
        <w:pStyle w:val="CaseBody"/>
      </w:pPr>
      <w:r>
        <w:t xml:space="preserve">The Court of Appeals for the Second Circuit affirmed petitioner's conviction. 588 F. 2d 1358 (1978). We granted certiorari, 441 U. S. 942 (1979), and we now reverse.</w:t>
      </w:r>
    </w:p>
    <w:bookmarkEnd w:id="137"/>
    <w:bookmarkStart w:id="138" w:name="section-10"/>
    <w:p>
      <w:pPr>
        <w:pStyle w:val="Heading2"/>
      </w:pPr>
      <w:r>
        <w:rPr>
          <w:rStyle w:val="Elision"/>
        </w:rPr>
        <w:t xml:space="preserve">[ … ]</w:t>
      </w:r>
    </w:p>
    <w:p>
      <w:pPr>
        <w:pStyle w:val="CaseBody"/>
      </w:pPr>
      <w:r>
        <w:t xml:space="preserve">This case concerns the legal effect of the petitioner's silence. The District Court's charge permitted the jury to convict the petitioner if it found that he willfully failed to inform sellers of target company securities that he knew of a forthcoming takeover bid that would make their shares more valuable.</w:t>
      </w:r>
      <w:hyperlink w:anchor="Xece32dd7b3a51b359d75ca8fb3d8401f4f7ad83">
        <w:r>
          <w:rPr>
            <w:rStyle w:val="Elision"/>
            <w:vertAlign w:val="superscript"/>
          </w:rPr>
          <w:t xml:space="preserve">[ … ]</w:t>
        </w:r>
      </w:hyperlink>
    </w:p>
    <w:p>
      <w:pPr>
        <w:pStyle w:val="CaseBody"/>
      </w:pPr>
      <w:r>
        <w:rPr>
          <w:rStyle w:val="Elision"/>
        </w:rPr>
        <w:t xml:space="preserve">[ … ]</w:t>
      </w:r>
      <w:r>
        <w:t xml:space="preserve"> </w:t>
      </w:r>
      <w:r>
        <w:t xml:space="preserve">§ 10 (b) does not state whether silence may constitute a manipulative or deceptive device. Section 10 (b) was designed as a catchall clause to prevent fraudulent practices. 425 U. S., at 202, 206. But neither the legislative history nor the statute itself affords specific guidance for the resolution of this case. When Rule 10b-5 was promulgated in 1942, the SEC did not discuss the possibility that failure to provide information might run afoul of § 10 (b).</w:t>
      </w:r>
      <w:hyperlink w:anchor="X18d41705e6e7a15cd9ce9dac04d8be703bd76ea">
        <w:r>
          <w:rPr>
            <w:rStyle w:val="Elision"/>
            <w:vertAlign w:val="superscript"/>
          </w:rPr>
          <w:t xml:space="preserve">[ … ]</w:t>
        </w:r>
      </w:hyperlink>
    </w:p>
    <w:p>
      <w:pPr>
        <w:pStyle w:val="CaseBody"/>
      </w:pPr>
      <w:r>
        <w:t xml:space="preserve">At common law, misrepresentation made for the purpose of inducing reliance [228] upon the false statement is fraudulent. But one who fails to disclose material information prior to the consummation of a transaction commits fraud only when he is under a duty to do so. And the duty to disclose arises when one party has information "that the other [party] is entitled to know because of a fiduciary or other similar relation of trust and confidence between them."</w:t>
      </w:r>
      <w:hyperlink w:anchor="X6c093154e31080d362033de14448e400c66a89a">
        <w:r>
          <w:rPr>
            <w:rStyle w:val="Hyperlink"/>
            <w:vertAlign w:val="superscript"/>
          </w:rPr>
          <w:t xml:space="preserve">[10]</w:t>
        </w:r>
      </w:hyperlink>
      <w:r>
        <w:t xml:space="preserve"> </w:t>
      </w:r>
      <w:r>
        <w:t xml:space="preserve">In its</w:t>
      </w:r>
      <w:r>
        <w:t xml:space="preserve"> </w:t>
      </w:r>
      <w:r>
        <w:rPr>
          <w:iCs/>
          <w:i/>
        </w:rPr>
        <w:t xml:space="preserve">Cady, Roberts</w:t>
      </w:r>
      <w:r>
        <w:t xml:space="preserve"> </w:t>
      </w:r>
      <w:r>
        <w:t xml:space="preserve">decision, the Commission recognized a relationship of trust and confidence between the shareholders of a corporation and those insiders who have obtained confidential information by reason of their position with that corporation.</w:t>
      </w:r>
      <w:hyperlink w:anchor="X7021185eec46c3250e9b96b83fcecd2596f1a01">
        <w:r>
          <w:rPr>
            <w:rStyle w:val="Hyperlink"/>
            <w:vertAlign w:val="superscript"/>
          </w:rPr>
          <w:t xml:space="preserve">[11]</w:t>
        </w:r>
      </w:hyperlink>
      <w:r>
        <w:t xml:space="preserve"> </w:t>
      </w:r>
      <w:r>
        <w:t xml:space="preserve">This relationship gives rise to a duty to disclose because of the "necessity of preventing a corporate insider from . . . tak[ing] unfair advantage of the [229] uninformed minority stockholders."</w:t>
      </w:r>
      <w:r>
        <w:t xml:space="preserve"> </w:t>
      </w:r>
      <w:r>
        <w:rPr>
          <w:iCs/>
          <w:i/>
        </w:rPr>
        <w:t xml:space="preserve">Speed</w:t>
      </w:r>
      <w:r>
        <w:t xml:space="preserve"> </w:t>
      </w:r>
      <w:r>
        <w:t xml:space="preserve">v.</w:t>
      </w:r>
      <w:r>
        <w:t xml:space="preserve"> </w:t>
      </w:r>
      <w:r>
        <w:rPr>
          <w:iCs/>
          <w:i/>
        </w:rPr>
        <w:t xml:space="preserve">Transamerica Corp.,</w:t>
      </w:r>
      <w:r>
        <w:t xml:space="preserve"> </w:t>
      </w:r>
      <w:r>
        <w:t xml:space="preserve">99 F. Supp. 808, 829 (Del. 1951).</w:t>
      </w:r>
    </w:p>
    <w:p>
      <w:pPr>
        <w:pStyle w:val="CaseBody"/>
      </w:pPr>
      <w:r>
        <w:t xml:space="preserve">The federal courts have found violations of § 10 (b) where corporate insiders used undisclosed information for their own benefit.</w:t>
      </w:r>
      <w:r>
        <w:t xml:space="preserve"> </w:t>
      </w:r>
      <w:r>
        <w:rPr>
          <w:iCs/>
          <w:i/>
        </w:rPr>
        <w:t xml:space="preserve">E. g.,</w:t>
      </w:r>
      <w:r>
        <w:t xml:space="preserve"> </w:t>
      </w:r>
      <w:r>
        <w:rPr>
          <w:iCs/>
          <w:i/>
        </w:rPr>
        <w:t xml:space="preserve">SEC</w:t>
      </w:r>
      <w:r>
        <w:t xml:space="preserve"> </w:t>
      </w:r>
      <w:r>
        <w:t xml:space="preserve">v.</w:t>
      </w:r>
      <w:r>
        <w:t xml:space="preserve"> </w:t>
      </w:r>
      <w:r>
        <w:rPr>
          <w:iCs/>
          <w:i/>
        </w:rPr>
        <w:t xml:space="preserve">Texas Gulf Sulphur Co.,</w:t>
      </w:r>
      <w:r>
        <w:t xml:space="preserve"> </w:t>
      </w:r>
      <w:r>
        <w:t xml:space="preserve">401 F. 2d 833 (CA2 1968), cert. denied, 404 U. S. 1005 (1971).</w:t>
      </w:r>
      <w:r>
        <w:t xml:space="preserve"> </w:t>
      </w:r>
      <w:r>
        <w:rPr>
          <w:rStyle w:val="Elision"/>
        </w:rPr>
        <w:t xml:space="preserve">[ … ]</w:t>
      </w:r>
      <w:r>
        <w:t xml:space="preserve"> </w:t>
      </w:r>
      <w:r>
        <w:t xml:space="preserve">Accordingly, a purchaser of stock who has no duty to a prospective seller because he is neither an insider nor a fiduciary has been held to have no obligation to reveal material facts. See</w:t>
      </w:r>
      <w:r>
        <w:t xml:space="preserve"> </w:t>
      </w:r>
      <w:r>
        <w:rPr>
          <w:iCs/>
          <w:i/>
        </w:rPr>
        <w:t xml:space="preserve">General Time Corp.</w:t>
      </w:r>
      <w:r>
        <w:t xml:space="preserve"> </w:t>
      </w:r>
      <w:r>
        <w:t xml:space="preserve">v.</w:t>
      </w:r>
      <w:r>
        <w:t xml:space="preserve"> </w:t>
      </w:r>
      <w:r>
        <w:rPr>
          <w:iCs/>
          <w:i/>
        </w:rPr>
        <w:t xml:space="preserve">Talley Industries, Inc.,</w:t>
      </w:r>
      <w:r>
        <w:t xml:space="preserve"> </w:t>
      </w:r>
      <w:r>
        <w:t xml:space="preserve">403 F. 2d 159, 164 (CA2 1968), cert. denied, 393 U. S. 1026 (1969).</w:t>
      </w:r>
      <w:hyperlink w:anchor="X0e494a81a49d263561d31533f4eb02a36219711">
        <w:r>
          <w:rPr>
            <w:rStyle w:val="Hyperlink"/>
            <w:vertAlign w:val="superscript"/>
          </w:rPr>
          <w:t xml:space="preserve">[12]</w:t>
        </w:r>
      </w:hyperlink>
    </w:p>
    <w:p>
      <w:pPr>
        <w:pStyle w:val="CaseBody"/>
      </w:pPr>
      <w:r>
        <w:t xml:space="preserve">This Court followed the same approach in</w:t>
      </w:r>
      <w:r>
        <w:t xml:space="preserve"> </w:t>
      </w:r>
      <w:r>
        <w:rPr>
          <w:iCs/>
          <w:i/>
        </w:rPr>
        <w:t xml:space="preserve">Affiliated Ute Citizens</w:t>
      </w:r>
      <w:r>
        <w:t xml:space="preserve"> </w:t>
      </w:r>
      <w:r>
        <w:t xml:space="preserve">v.</w:t>
      </w:r>
      <w:r>
        <w:t xml:space="preserve"> </w:t>
      </w:r>
      <w:r>
        <w:rPr>
          <w:iCs/>
          <w:i/>
        </w:rPr>
        <w:t xml:space="preserve">United States,</w:t>
      </w:r>
      <w:r>
        <w:t xml:space="preserve"> </w:t>
      </w:r>
      <w:r>
        <w:t xml:space="preserve">406 U. S. 128 (1972).</w:t>
      </w:r>
      <w:r>
        <w:t xml:space="preserve"> </w:t>
      </w:r>
      <w:r>
        <w:rPr>
          <w:rStyle w:val="Elision"/>
        </w:rPr>
        <w:t xml:space="preserve">[ … ]</w:t>
      </w:r>
    </w:p>
    <w:p>
      <w:pPr>
        <w:pStyle w:val="CaseBody"/>
      </w:pPr>
      <w:r>
        <w:t xml:space="preserve">Thus, administrative and judicial interpretations have established that silence in connection with the purchase or sale of securities may operate as a fraud actionable under § 10 (b) despite the absence of statutory language or legislative history specifically addressing the legality of nondisclosure. But such liability is premised upon a duty to disclose arising from a relationship of trust and confidence between parties to a transaction. Application of a duty to disclose prior to trading guarantees that corporate insiders, who have an obligation to place the shareholder's welfare before their own, will not benefit personally through fraudulent use of material, nonpublic information.</w:t>
      </w:r>
      <w:hyperlink w:anchor="X9f390f5ff07a0832ac2d2f06642043c968d3b80">
        <w:r>
          <w:rPr>
            <w:rStyle w:val="Hyperlink"/>
            <w:vertAlign w:val="superscript"/>
          </w:rPr>
          <w:t xml:space="preserve">[13]</w:t>
        </w:r>
      </w:hyperlink>
    </w:p>
    <w:bookmarkEnd w:id="138"/>
    <w:bookmarkStart w:id="139" w:name="iii-5"/>
    <w:p>
      <w:pPr>
        <w:pStyle w:val="Heading2"/>
      </w:pPr>
      <w:r>
        <w:t xml:space="preserve">[231] III</w:t>
      </w:r>
    </w:p>
    <w:p>
      <w:pPr>
        <w:pStyle w:val="CaseBody"/>
      </w:pPr>
      <w:r>
        <w:t xml:space="preserve">In this case, the petitioner was convicted of violating § 10 (b) although he was not a corporate insider and he received no confidential information from the target company. Moreover, the "market information" upon which he relied did not concern the earning power or operations of the target company, but only the plans of the acquiring company.</w:t>
      </w:r>
      <w:hyperlink w:anchor="X7e025a8cf3d152341831b1b3b689c4685ac5665">
        <w:r>
          <w:rPr>
            <w:rStyle w:val="Hyperlink"/>
            <w:vertAlign w:val="superscript"/>
          </w:rPr>
          <w:t xml:space="preserve">[14]</w:t>
        </w:r>
      </w:hyperlink>
      <w:r>
        <w:t xml:space="preserve"> </w:t>
      </w:r>
      <w:r>
        <w:t xml:space="preserve">Petitioner's use of that information was not a fraud under § 10 (b) unless he was subject to an affirmative duty to disclose it before trading. In this case, the jury instructions failed to specify any such duty. In effect, the trial court instructed the jury that petitioner owed a duty to everyone; to all sellers, indeed, to the market as a whole. The jury simply was told to decide whether petitioner used material, nonpublic information at a time when "he knew other people trading in the securities market did not have access to the same information." Record 677.</w:t>
      </w:r>
    </w:p>
    <w:p>
      <w:pPr>
        <w:pStyle w:val="CaseBody"/>
      </w:pPr>
      <w:r>
        <w:t xml:space="preserve">The Court of Appeals affirmed the conviction by holding that "[</w:t>
      </w:r>
      <w:r>
        <w:rPr>
          <w:iCs/>
          <w:i/>
        </w:rPr>
        <w:t xml:space="preserve">a</w:t>
      </w:r>
      <w:r>
        <w:t xml:space="preserve">]</w:t>
      </w:r>
      <w:r>
        <w:rPr>
          <w:iCs/>
          <w:i/>
        </w:rPr>
        <w:t xml:space="preserve">nyone</w:t>
      </w:r>
      <w:r>
        <w:t xml:space="preserve">—corporate insider or not—who regularly receives material nonpublic information may not use that information to trade in securities without incurring an affirmative duty to disclose." 588 F. 2d, at 1365 (emphasis in original).</w:t>
      </w:r>
      <w:r>
        <w:t xml:space="preserve"> </w:t>
      </w:r>
      <w:r>
        <w:rPr>
          <w:rStyle w:val="Elision"/>
        </w:rPr>
        <w:t xml:space="preserve">[ … ]</w:t>
      </w:r>
      <w:r>
        <w:t xml:space="preserve"> </w:t>
      </w:r>
      <w:r>
        <w:t xml:space="preserve">The use by anyone of material information not generally available is fraudulent, this theory suggests, because such information gives certain buyers or sellers an unfair advantage over less informed buyers and sellers.</w:t>
      </w:r>
    </w:p>
    <w:p>
      <w:pPr>
        <w:pStyle w:val="CaseBody"/>
      </w:pPr>
      <w:r>
        <w:t xml:space="preserve">This reasoning suffers from two defects. First, not every instance of financial unfairness constitutes fraudulent activity under § 10 (b). See</w:t>
      </w:r>
      <w:r>
        <w:t xml:space="preserve"> </w:t>
      </w:r>
      <w:r>
        <w:rPr>
          <w:iCs/>
          <w:i/>
        </w:rPr>
        <w:t xml:space="preserve">Santa Fe Industries, Inc.</w:t>
      </w:r>
      <w:r>
        <w:t xml:space="preserve"> </w:t>
      </w:r>
      <w:r>
        <w:t xml:space="preserve">v.</w:t>
      </w:r>
      <w:r>
        <w:t xml:space="preserve"> </w:t>
      </w:r>
      <w:r>
        <w:rPr>
          <w:iCs/>
          <w:i/>
        </w:rPr>
        <w:t xml:space="preserve">Green,</w:t>
      </w:r>
      <w:r>
        <w:t xml:space="preserve"> </w:t>
      </w:r>
      <w:r>
        <w:t xml:space="preserve">430 U. S. 462, 474-477 (1977). Second, the element required to make silence fraudulent—a duty to disclose—is absent in this case. No duty could arise from petitioner's relationship with the sellers of the target company's securities, for petitioner had no prior dealings with them. He was not their agent, he was not a fiduciary, he was not a person in whom the sellers had placed their trust and confidence. He was, in fact, a complete [233] stranger who dealt with the sellers only through impersonal market transactions.</w:t>
      </w:r>
    </w:p>
    <w:p>
      <w:pPr>
        <w:pStyle w:val="CaseBody"/>
      </w:pPr>
      <w:r>
        <w:t xml:space="preserve">We cannot affirm petitioner's conviction without recognizing a general duty between all participants in market transactions to forgo actions based on material, nonpublic information. Formulation of such a broad duty, which departs radically from the established doctrine that duty arises from a specific relationship between two parties, see n. 9,</w:t>
      </w:r>
      <w:r>
        <w:t xml:space="preserve"> </w:t>
      </w:r>
      <w:r>
        <w:rPr>
          <w:iCs/>
          <w:i/>
        </w:rPr>
        <w:t xml:space="preserve">supra,</w:t>
      </w:r>
      <w:r>
        <w:t xml:space="preserve"> </w:t>
      </w:r>
      <w:r>
        <w:t xml:space="preserve">should not be undertaken absent some explicit evidence of congressional intent.</w:t>
      </w:r>
    </w:p>
    <w:p>
      <w:pPr>
        <w:pStyle w:val="CaseBody"/>
      </w:pPr>
      <w:r>
        <w:t xml:space="preserve">As we have seen, no such evidence emerges from the language or legislative history of § 10 (b). Moreover, neither the Congress nor the Commission ever has adopted a parity-of-information rule.</w:t>
      </w:r>
      <w:r>
        <w:t xml:space="preserve"> </w:t>
      </w:r>
      <w:r>
        <w:rPr>
          <w:rStyle w:val="Elision"/>
        </w:rPr>
        <w:t xml:space="preserve">[ … ]</w:t>
      </w:r>
    </w:p>
    <w:bookmarkEnd w:id="139"/>
    <w:bookmarkStart w:id="140" w:name="iv-2"/>
    <w:p>
      <w:pPr>
        <w:pStyle w:val="Heading2"/>
      </w:pPr>
      <w:r>
        <w:t xml:space="preserve">IV</w:t>
      </w:r>
    </w:p>
    <w:p>
      <w:pPr>
        <w:pStyle w:val="CaseBody"/>
      </w:pPr>
      <w:r>
        <w:t xml:space="preserve">In its brief to this Court, the United States offers an alternative theory to support petitioner's conviction. It argues that petitioner breached a duty to the acquiring corporation when he acted upon information that he obtained by virtue of his position as an employee of a printer employed by the corporation. The breach of this duty is said to support a [236] conviction under § 10 (b) for fraud perpetrated upon both the acquiring corporation and the sellers.</w:t>
      </w:r>
    </w:p>
    <w:p>
      <w:pPr>
        <w:pStyle w:val="CaseBody"/>
      </w:pPr>
      <w:r>
        <w:t xml:space="preserve">We need not decide whether this theory has merit for it was not submitted to the jury.</w:t>
      </w:r>
      <w:r>
        <w:t xml:space="preserve"> </w:t>
      </w:r>
      <w:r>
        <w:rPr>
          <w:rStyle w:val="Elision"/>
        </w:rPr>
        <w:t xml:space="preserve">[ … ]</w:t>
      </w:r>
    </w:p>
    <w:bookmarkEnd w:id="140"/>
    <w:bookmarkStart w:id="141" w:name="mr.-chief-justice-burger-dissenting."/>
    <w:p>
      <w:pPr>
        <w:pStyle w:val="Heading2"/>
      </w:pPr>
      <w:r>
        <w:t xml:space="preserve">MR. CHIEF JUSTICE BURGER, dissenting.</w:t>
      </w:r>
    </w:p>
    <w:p>
      <w:pPr>
        <w:pStyle w:val="CaseBody"/>
      </w:pPr>
      <w:r>
        <w:t xml:space="preserve">I believe that the jury instructions in this case properly charged a violation of § 10 (b) and Rule 10b-5, and I would affirm the conviction.</w:t>
      </w:r>
    </w:p>
    <w:bookmarkEnd w:id="141"/>
    <w:bookmarkStart w:id="142" w:name="i-5"/>
    <w:p>
      <w:pPr>
        <w:pStyle w:val="Heading2"/>
      </w:pPr>
      <w:r>
        <w:t xml:space="preserve">I</w:t>
      </w:r>
    </w:p>
    <w:p>
      <w:pPr>
        <w:pStyle w:val="CaseBody"/>
      </w:pPr>
      <w:r>
        <w:t xml:space="preserve">As a general rule, neither party to an arm's-length business transaction has an obligation to disclose information to the [240] other unless the parties stand in some confidential or fiduciary relation. See W. Prosser, Law of Torts § 106 (2d ed. 1955). This rule permits a businessman to capitalize on his experience and skill in securing and evaluating relevant information; it provides incentive for hard work, careful analysis, and astute forecasting. But the policies that underlie the rule also should limit its scope. In particular, the rule should give way when an informational advantage is obtained, not by superior experience, foresight, or industry, but by some unlawful means. One commentator has written:</w:t>
      </w:r>
    </w:p>
    <w:p>
      <w:pPr>
        <w:pStyle w:val="BlockText"/>
      </w:pPr>
      <w:r>
        <w:t xml:space="preserve">"[T]he way in which the buyer acquires the information which he conceals from the vendor should be a material circumstance. The information might have been acquired as the result of his bringing to bear a superior knowledge, intelligence, skill or technical judgment; it might have been acquired by mere chance; or it might have been acquired by means of some tortious action on his part. . . .</w:t>
      </w:r>
      <w:r>
        <w:t xml:space="preserve"> </w:t>
      </w:r>
      <w:r>
        <w:rPr>
          <w:iCs/>
          <w:i/>
        </w:rPr>
        <w:t xml:space="preserve">Any time information is acquired by an illegal act it would seem that there should be a duty to disclose that information.</w:t>
      </w:r>
      <w:r>
        <w:t xml:space="preserve">" Keeton, Fraud—Concealment and Non-Disclosure, 15 Texas L. Rev. 1, 25-26 (1936) (emphasis added).</w:t>
      </w:r>
    </w:p>
    <w:p>
      <w:pPr>
        <w:pStyle w:val="CaseBody"/>
      </w:pPr>
      <w:r>
        <w:t xml:space="preserve">I would read § 10 (b) and Rule 10b-5 to encompass and build on this principle: to mean that a person who has misappropriated nonpublic information has an absolute duty to disclose that information or to refrain from trading.</w:t>
      </w:r>
    </w:p>
    <w:p>
      <w:pPr>
        <w:pStyle w:val="CaseBody"/>
      </w:pPr>
      <w:r>
        <w:t xml:space="preserve">The language of § 10 (b) and of Rule 10b-5 plainly supports such a reading. By their terms, these provisions reach</w:t>
      </w:r>
      <w:r>
        <w:t xml:space="preserve"> </w:t>
      </w:r>
      <w:r>
        <w:rPr>
          <w:iCs/>
          <w:i/>
        </w:rPr>
        <w:t xml:space="preserve">any</w:t>
      </w:r>
      <w:r>
        <w:t xml:space="preserve"> </w:t>
      </w:r>
      <w:r>
        <w:t xml:space="preserve">person engaged in</w:t>
      </w:r>
      <w:r>
        <w:t xml:space="preserve"> </w:t>
      </w:r>
      <w:r>
        <w:rPr>
          <w:iCs/>
          <w:i/>
        </w:rPr>
        <w:t xml:space="preserve">any</w:t>
      </w:r>
      <w:r>
        <w:t xml:space="preserve"> </w:t>
      </w:r>
      <w:r>
        <w:t xml:space="preserve">fraudulent scheme.</w:t>
      </w:r>
      <w:r>
        <w:t xml:space="preserve"> </w:t>
      </w:r>
      <w:r>
        <w:rPr>
          <w:rStyle w:val="Elision"/>
        </w:rPr>
        <w:t xml:space="preserve">[ … ]</w:t>
      </w:r>
    </w:p>
    <w:p>
      <w:pPr>
        <w:pStyle w:val="CaseBody"/>
      </w:pPr>
      <w:r>
        <w:t xml:space="preserve">The history of the statute and of the Rule also supports this reading. The antifraud provisions were designed in large measure "to assure that dealing in securities is fair and without undue preferences or advantages among investors." H. R. Conf. Rep. No. 94-229, p. 91 (1975). These provisions prohibit "those manipulative and deceptive practices which have been demonstrated to fulfill no useful function." S. Rep. No. 792, 73d Cong., 2d Sess., 6 (1934). An investor who purchases securities on the basis of misappropriated nonpublic information possesses just such an "undue" trading advantage; his conduct quite clearly serves no useful function except his own enrichment at the expense of others.</w:t>
      </w:r>
    </w:p>
    <w:p>
      <w:pPr>
        <w:pStyle w:val="CaseBody"/>
      </w:pPr>
      <w:r>
        <w:t xml:space="preserve">This interpretation of § 10 (b) and Rule 10b-5 is in no sense novel. It follows naturally from legal principles enunciated by the Securities and Exchange Commission in its seminal</w:t>
      </w:r>
      <w:r>
        <w:t xml:space="preserve"> </w:t>
      </w:r>
      <w:r>
        <w:rPr>
          <w:iCs/>
          <w:i/>
        </w:rPr>
        <w:t xml:space="preserve">Cady, Roberts</w:t>
      </w:r>
      <w:r>
        <w:t xml:space="preserve"> </w:t>
      </w:r>
      <w:r>
        <w:t xml:space="preserve">decision. 40 S. E. C. 907 (1961). There, the Commission relied upon two factors to impose a duty to disclose on corporate insiders: (1) ". . . access . . . to information intended to be available only for a corporate purpose</w:t>
      </w:r>
      <w:r>
        <w:t xml:space="preserve"> </w:t>
      </w:r>
      <w:r>
        <w:rPr>
          <w:iCs/>
          <w:i/>
        </w:rPr>
        <w:t xml:space="preserve">and not for the personal benefit of anyone"</w:t>
      </w:r>
      <w:r>
        <w:t xml:space="preserve"> </w:t>
      </w:r>
      <w:r>
        <w:t xml:space="preserve">(emphasis added); and (2) the unfairness inherent in trading on such information when it is inaccessible to those with whom one is dealing. Both of these factors are present whenever a party gains an [242] informational advantage by unlawful means.</w:t>
      </w:r>
      <w:hyperlink w:anchor="X8df227df68402ea7ac31d2e70eaaee1397274d0">
        <w:r>
          <w:rPr>
            <w:rStyle w:val="Elision"/>
            <w:vertAlign w:val="superscript"/>
          </w:rPr>
          <w:t xml:space="preserve">[ … ]</w:t>
        </w:r>
      </w:hyperlink>
    </w:p>
    <w:bookmarkEnd w:id="142"/>
    <w:bookmarkStart w:id="143" w:name="X5c9bd4aa9fce5e970772ec319f97b5aca46c8a9"/>
    <w:p>
      <w:pPr>
        <w:pStyle w:val="Heading2"/>
      </w:pPr>
      <w:r>
        <w:t xml:space="preserve">MR. JUSTICE BLACKMUN, with whom MR. JUSTICE MARSHALL joins, dissenting.</w:t>
      </w:r>
    </w:p>
    <w:p>
      <w:pPr>
        <w:pStyle w:val="CaseBody"/>
      </w:pPr>
      <w:r>
        <w:t xml:space="preserve">Although I agree with much of what is said in Part I of the dissenting opinion of THE CHIEF JUSTICE,</w:t>
      </w:r>
      <w:r>
        <w:t xml:space="preserve"> </w:t>
      </w:r>
      <w:r>
        <w:rPr>
          <w:iCs/>
          <w:i/>
        </w:rPr>
        <w:t xml:space="preserve">ante,</w:t>
      </w:r>
      <w:r>
        <w:t xml:space="preserve"> </w:t>
      </w:r>
      <w:r>
        <w:t xml:space="preserve">p. 239, I write separately because, in my view, it is unnecessary to rest petitioner's conviction on a "misappropriation" theory. The fact that petitioner Chiarella purloined, or, to use THE CHIEF [246] JUSTICE's word,</w:t>
      </w:r>
      <w:r>
        <w:t xml:space="preserve"> </w:t>
      </w:r>
      <w:r>
        <w:rPr>
          <w:iCs/>
          <w:i/>
        </w:rPr>
        <w:t xml:space="preserve">ante,</w:t>
      </w:r>
      <w:r>
        <w:t xml:space="preserve"> </w:t>
      </w:r>
      <w:r>
        <w:t xml:space="preserve">at 245, "stole," information concerning pending tender offers certainly is the most dramatic evidence that petitioner was guilty of fraud. He has conceded that he knew it was wrong, and he and his co-workers in the printshop were specifically warned by their employer that actions of this kind were improper and forbidden. But I also would find petitioner's conduct fraudulent within the meaning of § 10 (b) of the Securities Exchange Act of 1934, 15 U. S. C. § 78j (b), and the Securities and Exchange Commission's Rule 10b-5, 17 CFR § 240.10b-5 (1979), even if he had obtained the blessing of his employer's principals before embarking on his profiteering scheme. Indeed, I think petitioner's brand of manipulative trading, with or without such approval, lies close to the heart of what the securities laws are intended to prohibit.</w:t>
      </w:r>
    </w:p>
    <w:p>
      <w:pPr>
        <w:pStyle w:val="CaseBody"/>
      </w:pPr>
      <w:r>
        <w:t xml:space="preserve">The Court continues to pursue a course, charted in certain recent decisions, designed to transform § 10 (b) from an intentionally elastic "catchall" provision to one that catches relatively little of the misbehavior that all too often makes investment in securities a needlessly risky business for the uninitiated investor.</w:t>
      </w:r>
      <w:r>
        <w:t xml:space="preserve"> </w:t>
      </w:r>
      <w:r>
        <w:rPr>
          <w:rStyle w:val="Elision"/>
        </w:rPr>
        <w:t xml:space="preserve">[ … ]</w:t>
      </w:r>
    </w:p>
    <w:bookmarkEnd w:id="143"/>
    <w:p>
      <w:pPr>
        <w:pStyle w:val="NodeEnd"/>
      </w:pPr>
      <w:r>
        <w:t xml:space="preserve"> </w:t>
      </w:r>
    </w:p>
    <w:p>
      <w:pPr>
        <w:pStyle w:val="NodeStart"/>
      </w:pPr>
      <w:r>
        <w:t xml:space="preserve"> </w:t>
      </w:r>
    </w:p>
    <w:p>
      <w:pPr>
        <w:pStyle w:val="HeadSeparator"/>
      </w:pPr>
      <w:r>
        <w:t xml:space="preserve"> </w:t>
      </w:r>
    </w:p>
    <w:bookmarkStart w:id="73" w:name="_auto_toc_73"/>
    <w:bookmarkEnd w:id="73"/>
    <w:p>
      <w:pPr>
        <w:pStyle w:val="ResourceNumber"/>
      </w:pPr>
      <w:r>
        <w:t xml:space="preserve">6.2.5</w:t>
      </w:r>
    </w:p>
    <w:p>
      <w:pPr>
        <w:pStyle w:val="ResourceTitle"/>
      </w:pPr>
      <w:r>
        <w:t xml:space="preserve">Blue Chip Stamps v. Manor Drug Stores</w:t>
      </w:r>
    </w:p>
    <w:p>
      <w:pPr>
        <w:pStyle w:val="HeadEnd"/>
      </w:pPr>
      <w:r>
        <w:t xml:space="preserve"> </w:t>
      </w:r>
    </w:p>
    <w:p>
      <w:pPr>
        <w:pStyle w:val="CaseHeader"/>
      </w:pPr>
      <w:r>
        <w:t xml:space="preserve">United States District Court for the Western District of Pennsylvania</w:t>
      </w:r>
    </w:p>
    <w:p>
      <w:pPr>
        <w:pStyle w:val="CaseHeader"/>
      </w:pPr>
      <w:r>
        <w:t xml:space="preserve">421 U.S. 723, 44 L. Ed. 2d 539, 95 S. Ct. 1917, SCDB 1974-114, 1975 U.S. LEXIS 141</w:t>
      </w:r>
    </w:p>
    <w:p>
      <w:pPr>
        <w:pStyle w:val="CaseHeader"/>
      </w:pPr>
      <w:r>
        <w:t xml:space="preserve">No. 74-124</w:t>
      </w:r>
    </w:p>
    <w:p>
      <w:pPr>
        <w:pStyle w:val="CaseHeader"/>
      </w:pPr>
      <w:r>
        <w:t xml:space="preserve">1975-06-09</w:t>
      </w:r>
    </w:p>
    <w:p>
      <w:pPr>
        <w:pStyle w:val="CaseBody"/>
      </w:pPr>
      <w:r>
        <w:t xml:space="preserve">Argued March 24, 1975</w:t>
      </w:r>
    </w:p>
    <w:p>
      <w:pPr>
        <w:pStyle w:val="CaseBody"/>
      </w:pPr>
      <w:r>
        <w:t xml:space="preserve">Rehnquist, J., delivered the opinion of the Court, in which Burger, C. J., and Stewart, White, Marshall, and Powell, JJ., joined. Powell, J., filed a concurring opinion, in which Stewart and Marshall, JJ., joined,</w:t>
      </w:r>
      <w:r>
        <w:t xml:space="preserve"> </w:t>
      </w:r>
      <w:r>
        <w:rPr>
          <w:iCs/>
          <w:i/>
        </w:rPr>
        <w:t xml:space="preserve">post,</w:t>
      </w:r>
      <w:r>
        <w:t xml:space="preserve"> </w:t>
      </w:r>
      <w:r>
        <w:t xml:space="preserve">p. 755. Blackmun, J., filed a dissenting opinion, in which Douglas and Brennan, JJ., joined,</w:t>
      </w:r>
      <w:r>
        <w:t xml:space="preserve"> </w:t>
      </w:r>
      <w:r>
        <w:rPr>
          <w:iCs/>
          <w:i/>
        </w:rPr>
        <w:t xml:space="preserve">post,</w:t>
      </w:r>
      <w:r>
        <w:t xml:space="preserve"> </w:t>
      </w:r>
      <w:r>
        <w:t xml:space="preserve">p. 761.</w:t>
      </w:r>
    </w:p>
    <w:p>
      <w:pPr>
        <w:pStyle w:val="CaseBody"/>
      </w:pPr>
      <w:r>
        <w:rPr>
          <w:iCs/>
          <w:i/>
        </w:rPr>
        <w:t xml:space="preserve">Allyn 0. Kreps</w:t>
      </w:r>
      <w:r>
        <w:t xml:space="preserve"> </w:t>
      </w:r>
      <w:r>
        <w:t xml:space="preserve">argued the cause for petitioners. With him on the briefs were</w:t>
      </w:r>
      <w:r>
        <w:t xml:space="preserve"> </w:t>
      </w:r>
      <w:r>
        <w:rPr>
          <w:iCs/>
          <w:i/>
        </w:rPr>
        <w:t xml:space="preserve">Michael D. Zimmerman, G. Richard Doty,</w:t>
      </w:r>
      <w:r>
        <w:t xml:space="preserve"> </w:t>
      </w:r>
      <w:r>
        <w:t xml:space="preserve">and</w:t>
      </w:r>
      <w:r>
        <w:t xml:space="preserve"> </w:t>
      </w:r>
      <w:r>
        <w:rPr>
          <w:iCs/>
          <w:i/>
        </w:rPr>
        <w:t xml:space="preserve">Thomas J. Ready.</w:t>
      </w:r>
    </w:p>
    <w:p>
      <w:pPr>
        <w:pStyle w:val="CaseBody"/>
      </w:pPr>
      <w:r>
        <w:rPr>
          <w:iCs/>
          <w:i/>
        </w:rPr>
        <w:t xml:space="preserve">James E. Ryan</w:t>
      </w:r>
      <w:r>
        <w:t xml:space="preserve"> </w:t>
      </w:r>
      <w:r>
        <w:t xml:space="preserve">argued the cause for respondent. With him on the brief was</w:t>
      </w:r>
      <w:r>
        <w:t xml:space="preserve"> </w:t>
      </w:r>
      <w:r>
        <w:rPr>
          <w:iCs/>
          <w:i/>
        </w:rPr>
        <w:t xml:space="preserve">J. J. Brandlin.</w:t>
      </w:r>
    </w:p>
    <w:p>
      <w:pPr>
        <w:pStyle w:val="CaseBody"/>
      </w:pPr>
      <w:r>
        <w:rPr>
          <w:iCs/>
          <w:i/>
        </w:rPr>
        <w:t xml:space="preserve">David Ferber</w:t>
      </w:r>
      <w:r>
        <w:t xml:space="preserve"> </w:t>
      </w:r>
      <w:r>
        <w:t xml:space="preserve">argued the cause for the Securities and Exchange Commission as</w:t>
      </w:r>
      <w:r>
        <w:t xml:space="preserve"> </w:t>
      </w:r>
      <w:r>
        <w:rPr>
          <w:iCs/>
          <w:i/>
        </w:rPr>
        <w:t xml:space="preserve">amicus curiae</w:t>
      </w:r>
      <w:r>
        <w:t xml:space="preserve"> </w:t>
      </w:r>
      <w:r>
        <w:t xml:space="preserve">urging affirmance. With him on the brief were</w:t>
      </w:r>
      <w:r>
        <w:t xml:space="preserve"> </w:t>
      </w:r>
      <w:r>
        <w:rPr>
          <w:iCs/>
          <w:i/>
        </w:rPr>
        <w:t xml:space="preserve">Solicitor General Bork, Lawrence E. Nerheim,</w:t>
      </w:r>
      <w:r>
        <w:t xml:space="preserve"> </w:t>
      </w:r>
      <w:r>
        <w:t xml:space="preserve">and</w:t>
      </w:r>
      <w:r>
        <w:t xml:space="preserve"> </w:t>
      </w:r>
      <w:r>
        <w:rPr>
          <w:iCs/>
          <w:i/>
        </w:rPr>
        <w:t xml:space="preserve">Richard E. Nathan.</w:t>
      </w:r>
    </w:p>
    <w:p>
      <w:pPr>
        <w:pStyle w:val="CaseBody"/>
      </w:pPr>
      <w:r>
        <w:t xml:space="preserve">Mr. Justice Rehnquist</w:t>
      </w:r>
    </w:p>
    <w:p>
      <w:pPr>
        <w:pStyle w:val="CaseBody"/>
      </w:pPr>
      <w:r>
        <w:t xml:space="preserve">delivered the opinion of the Court.</w:t>
      </w:r>
    </w:p>
    <w:p>
      <w:pPr>
        <w:pStyle w:val="CaseBody"/>
      </w:pPr>
      <w:r>
        <w:t xml:space="preserve">This case requires us to consider whether the offerees of a stock offering, made pursuant to an antitrust consent decree and registered under the Securities Act of 1933,</w:t>
      </w:r>
      <w:r>
        <w:t xml:space="preserve"> </w:t>
      </w:r>
      <w:r>
        <w:t xml:space="preserve">48 Stat. 74</w:t>
      </w:r>
      <w:r>
        <w:t xml:space="preserve">, as amended, 15 U. S. C. § 77a</w:t>
      </w:r>
      <w:r>
        <w:t xml:space="preserve"> </w:t>
      </w:r>
      <w:r>
        <w:rPr>
          <w:iCs/>
          <w:i/>
        </w:rPr>
        <w:t xml:space="preserve">et seg.</w:t>
      </w:r>
      <w:r>
        <w:t xml:space="preserve"> </w:t>
      </w:r>
      <w:r>
        <w:t xml:space="preserve">(1933 Act), may maintain a private cause of action for money damages where they allege that the offeror has violated the provisions of Rule 10b-5 of the Securities and Exchange Commission, but where they have neither purchased nor sold any of the offered shares. See</w:t>
      </w:r>
      <w:r>
        <w:t xml:space="preserve"> </w:t>
      </w:r>
      <w:r>
        <w:rPr>
          <w:iCs/>
          <w:i/>
        </w:rPr>
        <w:t xml:space="preserve">Birnbaum</w:t>
      </w:r>
      <w:r>
        <w:t xml:space="preserve"> </w:t>
      </w:r>
      <w:r>
        <w:t xml:space="preserve">v.</w:t>
      </w:r>
      <w:r>
        <w:t xml:space="preserve"> </w:t>
      </w:r>
      <w:r>
        <w:rPr>
          <w:iCs/>
          <w:i/>
        </w:rPr>
        <w:t xml:space="preserve">Newport Steel Corp.,</w:t>
      </w:r>
      <w:r>
        <w:t xml:space="preserve"> </w:t>
      </w:r>
      <w:r>
        <w:t xml:space="preserve">193 F. 2d 461</w:t>
      </w:r>
      <w:r>
        <w:t xml:space="preserve"> </w:t>
      </w:r>
      <w:r>
        <w:t xml:space="preserve">(CA2), cert. denied,</w:t>
      </w:r>
      <w:r>
        <w:t xml:space="preserve"> </w:t>
      </w:r>
      <w:r>
        <w:t xml:space="preserve">343 U. S. 956</w:t>
      </w:r>
      <w:r>
        <w:t xml:space="preserve"> </w:t>
      </w:r>
      <w:r>
        <w:t xml:space="preserve">(1952).</w:t>
      </w:r>
    </w:p>
    <w:p>
      <w:pPr>
        <w:pStyle w:val="CaseBody"/>
      </w:pPr>
      <w:r>
        <w:t xml:space="preserve">I</w:t>
      </w:r>
    </w:p>
    <w:p>
      <w:pPr>
        <w:pStyle w:val="CaseBody"/>
      </w:pPr>
      <w:r>
        <w:t xml:space="preserve">In 1963 the United States filed a civil antitrust action against Blue Chip Stamp Co. (Old Blue Chip), a company in the business of providing trading stamps to retailers, and nine retailers who owned 90% of its shares. In 1967 the action was terminated by the entry of a consent decree.</w:t>
      </w:r>
      <w:r>
        <w:t xml:space="preserve"> </w:t>
      </w:r>
      <w:r>
        <w:rPr>
          <w:iCs/>
          <w:i/>
        </w:rPr>
        <w:t xml:space="preserve">United States</w:t>
      </w:r>
      <w:r>
        <w:t xml:space="preserve"> </w:t>
      </w:r>
      <w:r>
        <w:t xml:space="preserve">v.</w:t>
      </w:r>
      <w:r>
        <w:t xml:space="preserve"> </w:t>
      </w:r>
      <w:r>
        <w:rPr>
          <w:iCs/>
          <w:i/>
        </w:rPr>
        <w:t xml:space="preserve">Blue Chip Stamp Co.,</w:t>
      </w:r>
      <w:r>
        <w:t xml:space="preserve"> </w:t>
      </w:r>
      <w:r>
        <w:t xml:space="preserve">272 F. Supp. 432</w:t>
      </w:r>
      <w:r>
        <w:t xml:space="preserve"> </w:t>
      </w:r>
      <w:r>
        <w:t xml:space="preserve">(CD Cal.), aff’d</w:t>
      </w:r>
      <w:r>
        <w:t xml:space="preserve"> </w:t>
      </w:r>
      <w:r>
        <w:rPr>
          <w:iCs/>
          <w:i/>
        </w:rPr>
        <w:t xml:space="preserve">sub nom. Thrifty Shoppers Scrip Co.</w:t>
      </w:r>
      <w:r>
        <w:t xml:space="preserve"> </w:t>
      </w:r>
      <w:r>
        <w:t xml:space="preserve">v.</w:t>
      </w:r>
      <w:r>
        <w:t xml:space="preserve"> </w:t>
      </w:r>
      <w:r>
        <w:rPr>
          <w:iCs/>
          <w:i/>
        </w:rPr>
        <w:t xml:space="preserve">United States,</w:t>
      </w:r>
      <w:r>
        <w:t xml:space="preserve"> </w:t>
      </w:r>
      <w:r>
        <w:t xml:space="preserve">389 U. S. 580</w:t>
      </w:r>
      <w:r>
        <w:t xml:space="preserve"> </w:t>
      </w:r>
      <w:r>
        <w:t xml:space="preserve">(1968).</w:t>
      </w:r>
      <w:r>
        <w:rPr>
          <w:rStyle w:val="FootnoteReference"/>
        </w:rPr>
        <w:footnoteReference w:customMarkFollows="1" w:id="19"/>
        <w:t xml:space="preserve">1</w:t>
      </w:r>
      <w:r>
        <w:t xml:space="preserve"> </w:t>
      </w:r>
      <w:r>
        <w:t xml:space="preserve">The decree contemplated a plan of reorganization whereby Old Blue Chip was to be merged into a newly formed corporation, Blue Chip Stamps (New Blue Chip). The holdings of the majority shareholders of Old Blue Chip were to be reduced, and New Blue Chip, one of the petitioners here, was required under the plan to offer a substantial number of its shares of common stock to retailers who had used the stamp service in the past but who were not shareholders in the old company. Under the terms of the plan, the offering to nonshareholder users was to be proportional to past stamp usage and the shares were to be offered in units consisting of common stock and debentures.</w:t>
      </w:r>
    </w:p>
    <w:p>
      <w:pPr>
        <w:pStyle w:val="CaseBody"/>
      </w:pPr>
      <w:r>
        <w:t xml:space="preserve">The reorganization plan was carried out, the offering was registered with the SEC as required by the 1933 Act, and a prospectus was distributed to all offerees as required by § 5 of that Act, 15 U. S. C. § 77e. Somewhat more than 50% of the offered units were actually purchased. In 1970, two years after the offering, respondent, a former user of the stamp service and therefore an offeree of the 1968 offering, filed this suit in the United States District Court for the Central District of California. Defendants below and petitioners here are Old and New Blue Chip, eight of the nine majority shareholders of Old Blue Chip, and the directors of New Blue Chip (collectively called Blue Chip).</w:t>
      </w:r>
    </w:p>
    <w:p>
      <w:pPr>
        <w:pStyle w:val="CaseBody"/>
      </w:pPr>
      <w:r>
        <w:t xml:space="preserve">Respondent’s complaint alleged,</w:t>
      </w:r>
      <w:r>
        <w:t xml:space="preserve"> </w:t>
      </w:r>
      <w:r>
        <w:rPr>
          <w:iCs/>
          <w:i/>
        </w:rPr>
        <w:t xml:space="preserve">inter alia,</w:t>
      </w:r>
      <w:r>
        <w:t xml:space="preserve"> </w:t>
      </w:r>
      <w:r>
        <w:t xml:space="preserve">that the prospectus prepared and distributed by Blue Chip in connection with the offering was materially misleading in its overly pessimistic appraisal of Blue Chip’s status and future prospects. It alleged that Blue Chip intentionally made the prospectus overly pessimistic in order to discourage respondent and other members of the allegedly large class whom it represents from accepting what was intended to be a bargain offer, so that the rejected shares might later be offered to the public at a higher price. The complaint alleged that class members because of and in reliance on the false and misleading prospectus failed to purchase the offered units. Respondent therefore sought on behalf of the alleged class some $21,400,000 in damages representing the lost opportunity to purchase the units; the right to purchase the previously rejected units at the 1968 price; and in addition, it sought some $25,000,000 in exemplary damages.</w:t>
      </w:r>
    </w:p>
    <w:p>
      <w:pPr>
        <w:pStyle w:val="CaseBody"/>
      </w:pPr>
      <w:r>
        <w:t xml:space="preserve">The only portion of the litigation thus initiated which is before us is whether respondent may base its action on Rule 10b-5 of the Securities and Exchange Commission without having either bought or sold the securities described in the allegedly misleading prospectus. The District Court dismissed respondent’s complaint for failure to state a claim upon which relief might be granted.</w:t>
      </w:r>
      <w:r>
        <w:rPr>
          <w:rStyle w:val="FootnoteReference"/>
        </w:rPr>
        <w:footnoteReference w:customMarkFollows="1" w:id="50"/>
        <w:t xml:space="preserve">2</w:t>
      </w:r>
      <w:r>
        <w:t xml:space="preserve"> </w:t>
      </w:r>
      <w:r>
        <w:t xml:space="preserve">On appeal to the United States Court of Appeals for the Ninth Circuit, respondent pressed only its asserted claim under Rule 10b-5, and a divided panel of the Court of Appeals sustained its position and reversed the District Court.</w:t>
      </w:r>
      <w:r>
        <w:rPr>
          <w:rStyle w:val="FootnoteReference"/>
        </w:rPr>
        <w:footnoteReference w:customMarkFollows="1" w:id="77"/>
        <w:t xml:space="preserve">3</w:t>
      </w:r>
      <w:r>
        <w:t xml:space="preserve"> </w:t>
      </w:r>
      <w:r>
        <w:t xml:space="preserve">After the Ninth Circuit denied rehearing en banc, we granted Blue Chip’s petition for certiorari.</w:t>
      </w:r>
      <w:r>
        <w:t xml:space="preserve"> </w:t>
      </w:r>
      <w:r>
        <w:t xml:space="preserve">419 U. S. 992</w:t>
      </w:r>
      <w:r>
        <w:t xml:space="preserve"> </w:t>
      </w:r>
      <w:r>
        <w:t xml:space="preserve">(1974). Our consideration of the correctness of the determination of the Court of Appeals requires us to consider what limitations there are on the class of plaintiffs who may maintain a private cause of action for money damages for violation of Rule 10b-5, and whether respondent was within that class.</w:t>
      </w:r>
    </w:p>
    <w:p>
      <w:pPr>
        <w:pStyle w:val="CaseBody"/>
      </w:pPr>
      <w:r>
        <w:t xml:space="preserve">II</w:t>
      </w:r>
    </w:p>
    <w:p>
      <w:pPr>
        <w:pStyle w:val="CaseBody"/>
      </w:pPr>
      <w:r>
        <w:t xml:space="preserve">During the early days of the New Deal, Congress enacted two landmark statutes regulating securities. The 1933 Act was described as an Act to “provide full and fair disclosure of the character of securities sold in interstate and foreign commerce and through the mails, and to prevent frauds in the sale thereof, and for other purposes.” The Securities Exchange Act of 1934.</w:t>
      </w:r>
      <w:r>
        <w:t xml:space="preserve"> </w:t>
      </w:r>
      <w:r>
        <w:t xml:space="preserve">48 Stat. 881</w:t>
      </w:r>
      <w:r>
        <w:t xml:space="preserve">, as amended, 15 U. S. C. § 78a</w:t>
      </w:r>
      <w:r>
        <w:t xml:space="preserve"> </w:t>
      </w:r>
      <w:r>
        <w:rPr>
          <w:iCs/>
          <w:i/>
        </w:rPr>
        <w:t xml:space="preserve">et seq.</w:t>
      </w:r>
      <w:r>
        <w:t xml:space="preserve"> </w:t>
      </w:r>
      <w:r>
        <w:t xml:space="preserve">(1934 Act), was described as an Act “to provide for the regulation of securities exchanges and of over-the-counter markets operating in interstate and foreign commerce and through the mails, to prevent inequitable and unfair practices on such exchanges and markets, and for other purposes.”</w:t>
      </w:r>
    </w:p>
    <w:p>
      <w:pPr>
        <w:pStyle w:val="CaseBody"/>
      </w:pPr>
      <w:r>
        <w:t xml:space="preserve">The various sections of the 1933 Act dealt at some length with the required contents of registration statements and prospectuses, and expressly provided for private civil causes of action. Section 11 (a) gave a right of action by reason of a false registration statement to “any person acquiring” the security, and § 12 of that Act gave a right to sue the seller of a security who had engaged in proscribed practices with respeet to prospectuses and communication to “the person purchasing such security from him.”</w:t>
      </w:r>
    </w:p>
    <w:p>
      <w:pPr>
        <w:pStyle w:val="CaseBody"/>
      </w:pPr>
      <w:r>
        <w:t xml:space="preserve">The 1934 Act was divided into two titles. Title I was denominated “Regulation of Securities Exchanges,” and Title II was -denominated “Amendments to Securities Act of 1933.” Section 10 of that Act makes it “unlawful for any person . . . (b) [t]o use or employ, in connection with the purchase or sale of any security registered on a national securities exchange or any security not so registered, any manipulative or deceptive device or contrivance in contravention of such rules and regulations as the Commission may prescribe as necessary or appropriate in the public interest or for the protection of investors.” The “Commission” referred to in the section was the Securities and Exchange Commission created by § 4 (a) of the 1934 Act. Section 29 of that Act provided that “[e]very contract made in violation of any provision of this chapter or of any rule or regulation thereunder” should be void.</w:t>
      </w:r>
    </w:p>
    <w:p>
      <w:pPr>
        <w:pStyle w:val="CaseBody"/>
      </w:pPr>
      <w:r>
        <w:t xml:space="preserve">In 1942, acting under the authority granted to it by § 10 (b) of the 1934 Act, the Commission promulgated Rule 10b-5,</w:t>
      </w:r>
      <w:r>
        <w:t xml:space="preserve"> </w:t>
      </w:r>
      <w:r>
        <w:t xml:space="preserve">17 CFR § 240</w:t>
      </w:r>
      <w:r>
        <w:t xml:space="preserve">.10b-5, now providing as follows:</w:t>
      </w:r>
    </w:p>
    <w:p>
      <w:pPr>
        <w:pStyle w:val="BlockText"/>
      </w:pPr>
      <w:r>
        <w:t xml:space="preserve">“§ 240.10b-5 Employment of manipulative and deceptive devices.</w:t>
      </w:r>
    </w:p>
    <w:p>
      <w:pPr>
        <w:pStyle w:val="BlockText"/>
      </w:pPr>
      <w:r>
        <w:t xml:space="preserve">“It shall be unlawful for any person, directly or indirectly, by the use of any means or instrumentality of interstate commerce, or of the mails or of any facility of any national securities exchange,</w:t>
      </w:r>
    </w:p>
    <w:p>
      <w:pPr>
        <w:pStyle w:val="BlockText"/>
      </w:pPr>
      <w:r>
        <w:t xml:space="preserve">“(a) To employ any device, scheme, or artifice to defraud,</w:t>
      </w:r>
    </w:p>
    <w:p>
      <w:pPr>
        <w:pStyle w:val="BlockText"/>
      </w:pPr>
      <w:r>
        <w:t xml:space="preserve">“(b) To make any untrue statement of a material fact or to omit to state a material fact necessary in order to make the statements made, in the light of the circumstances under which they were made, not misleading, or</w:t>
      </w:r>
    </w:p>
    <w:p>
      <w:pPr>
        <w:pStyle w:val="BlockText"/>
      </w:pPr>
      <w:r>
        <w:t xml:space="preserve">“(c) To engage in any act, practice, or course of business which operates or would operate as a fraud or deceit upon any person,</w:t>
      </w:r>
    </w:p>
    <w:p>
      <w:pPr>
        <w:pStyle w:val="BlockText"/>
      </w:pPr>
      <w:r>
        <w:t xml:space="preserve">“in connection with the purchase or sale of any security.”</w:t>
      </w:r>
    </w:p>
    <w:p>
      <w:pPr>
        <w:pStyle w:val="CaseBody"/>
      </w:pPr>
      <w:r>
        <w:t xml:space="preserve">Section 10 (b) of the 1934 Act does not by its terms provide an express civil remedy for its violation. Nor does the history of this provision provide any indication that Congress considered the problem of private suits under it at the time of its passage. See, e.</w:t>
      </w:r>
      <w:r>
        <w:t xml:space="preserve"> </w:t>
      </w:r>
      <w:r>
        <w:rPr>
          <w:iCs/>
          <w:i/>
        </w:rPr>
        <w:t xml:space="preserve">g.,</w:t>
      </w:r>
      <w:r>
        <w:t xml:space="preserve"> </w:t>
      </w:r>
      <w:r>
        <w:t xml:space="preserve">Note, Implied Liability Under the Securities Exchange Act,</w:t>
      </w:r>
      <w:r>
        <w:t xml:space="preserve"> </w:t>
      </w:r>
      <w:r>
        <w:t xml:space="preserve">61 Harv. L. Rev. 858</w:t>
      </w:r>
      <w:r>
        <w:t xml:space="preserve">, 861 (1948); A. Bromberg, Securities Law: Fraud — SEC Rule 10b-5 § 2.2 (300)-(340) (1968) (hereinaftér Bromberg); S. Rep. No. 792, 73d Cong., 2d Sess., 5-6 (1934). Similarly there is no indication that the Commission in adopting Rule 10b-5 considered the question of private civil remedies under this provision. SEC Securities Exchange Act Release No. 3230 (1942); Conference on Codification of the Federal Securities Laws, 22 Bus. Law. 793, 922 (1967);</w:t>
      </w:r>
      <w:r>
        <w:t xml:space="preserve"> </w:t>
      </w:r>
      <w:r>
        <w:rPr>
          <w:iCs/>
          <w:i/>
        </w:rPr>
        <w:t xml:space="preserve">Birnbaum</w:t>
      </w:r>
      <w:r>
        <w:t xml:space="preserve"> </w:t>
      </w:r>
      <w:r>
        <w:t xml:space="preserve">v.</w:t>
      </w:r>
      <w:r>
        <w:t xml:space="preserve"> </w:t>
      </w:r>
      <w:r>
        <w:rPr>
          <w:iCs/>
          <w:i/>
        </w:rPr>
        <w:t xml:space="preserve">Newport Steel Corp.,</w:t>
      </w:r>
      <w:r>
        <w:t xml:space="preserve"> </w:t>
      </w:r>
      <w:r>
        <w:t xml:space="preserve">193 F. 2d, at 463</w:t>
      </w:r>
      <w:r>
        <w:t xml:space="preserve">; 3 L. Loss, Securities Regulation 1469 n. 87 (2d ed. 1961).</w:t>
      </w:r>
    </w:p>
    <w:p>
      <w:pPr>
        <w:pStyle w:val="CaseBody"/>
      </w:pPr>
      <w:r>
        <w:t xml:space="preserve">Despite the contrast between the provisions of Rule 10b-5 and the numerous carefully drawn express civil remedies provided in the Acts of both 1933 and 1934,</w:t>
      </w:r>
      <w:r>
        <w:rPr>
          <w:rStyle w:val="FootnoteReference"/>
        </w:rPr>
        <w:footnoteReference w:customMarkFollows="1" w:id="102"/>
        <w:t xml:space="preserve">4</w:t>
      </w:r>
      <w:r>
        <w:t xml:space="preserve"> </w:t>
      </w:r>
      <w:r>
        <w:t xml:space="preserve">it was held in 1946 by the United States District Court for the Eastern District of Pennsylvania that there was an implied private right of action under the Rule.</w:t>
      </w:r>
      <w:r>
        <w:t xml:space="preserve"> </w:t>
      </w:r>
      <w:r>
        <w:rPr>
          <w:iCs/>
          <w:i/>
        </w:rPr>
        <w:t xml:space="preserve">Kardon</w:t>
      </w:r>
      <w:r>
        <w:t xml:space="preserve"> </w:t>
      </w:r>
      <w:r>
        <w:t xml:space="preserve">v.</w:t>
      </w:r>
      <w:r>
        <w:t xml:space="preserve"> </w:t>
      </w:r>
      <w:r>
        <w:rPr>
          <w:iCs/>
          <w:i/>
        </w:rPr>
        <w:t xml:space="preserve">National, Gypsum, Co.,</w:t>
      </w:r>
      <w:r>
        <w:t xml:space="preserve"> </w:t>
      </w:r>
      <w:r>
        <w:t xml:space="preserve">69 F. Supp. 512</w:t>
      </w:r>
      <w:r>
        <w:t xml:space="preserve">. .This Court had no occasion to deal with the subject until 25 years later, and at that time we confirmed with virtually no discussion the overwhelming consensus of the District Courts and Courts of Appeals that such a cause of action did exist.</w:t>
      </w:r>
      <w:r>
        <w:t xml:space="preserve"> </w:t>
      </w:r>
      <w:r>
        <w:rPr>
          <w:iCs/>
          <w:i/>
        </w:rPr>
        <w:t xml:space="preserve">Superintendent of Insurance</w:t>
      </w:r>
      <w:r>
        <w:t xml:space="preserve"> </w:t>
      </w:r>
      <w:r>
        <w:t xml:space="preserve">v.</w:t>
      </w:r>
      <w:r>
        <w:t xml:space="preserve"> </w:t>
      </w:r>
      <w:r>
        <w:rPr>
          <w:iCs/>
          <w:i/>
        </w:rPr>
        <w:t xml:space="preserve">Bankers Life &amp; Cas. Co.,</w:t>
      </w:r>
      <w:r>
        <w:t xml:space="preserve"> </w:t>
      </w:r>
      <w:r>
        <w:t xml:space="preserve">404 U. S. 6</w:t>
      </w:r>
      <w:r>
        <w:t xml:space="preserve">, 13 n. 9 (1971);</w:t>
      </w:r>
      <w:r>
        <w:t xml:space="preserve"> </w:t>
      </w:r>
      <w:r>
        <w:rPr>
          <w:iCs/>
          <w:i/>
        </w:rPr>
        <w:t xml:space="preserve">Affiliated Ute Citizens</w:t>
      </w:r>
      <w:r>
        <w:t xml:space="preserve"> </w:t>
      </w:r>
      <w:r>
        <w:t xml:space="preserve">v.</w:t>
      </w:r>
      <w:r>
        <w:t xml:space="preserve"> </w:t>
      </w:r>
      <w:r>
        <w:rPr>
          <w:iCs/>
          <w:i/>
        </w:rPr>
        <w:t xml:space="preserve">United States,</w:t>
      </w:r>
      <w:r>
        <w:t xml:space="preserve"> </w:t>
      </w:r>
      <w:r>
        <w:t xml:space="preserve">406 U. S. 128</w:t>
      </w:r>
      <w:r>
        <w:t xml:space="preserve">, 150-154 (1972). Such a conclusion was, of course, entirely consistent with the Court’s recognition in J.</w:t>
      </w:r>
      <w:r>
        <w:t xml:space="preserve"> </w:t>
      </w:r>
      <w:r>
        <w:rPr>
          <w:iCs/>
          <w:i/>
        </w:rPr>
        <w:t xml:space="preserve">I. Case Co.</w:t>
      </w:r>
      <w:r>
        <w:t xml:space="preserve"> </w:t>
      </w:r>
      <w:r>
        <w:t xml:space="preserve">v.</w:t>
      </w:r>
      <w:r>
        <w:t xml:space="preserve"> </w:t>
      </w:r>
      <w:r>
        <w:rPr>
          <w:iCs/>
          <w:i/>
        </w:rPr>
        <w:t xml:space="preserve">Borak,</w:t>
      </w:r>
      <w:r>
        <w:t xml:space="preserve"> </w:t>
      </w:r>
      <w:r>
        <w:t xml:space="preserve">377 U. S. 426</w:t>
      </w:r>
      <w:r>
        <w:t xml:space="preserve">, 432 (1964), that private enforcement of Commission rules may “[provide] a necessary supplement to Commission action.”</w:t>
      </w:r>
    </w:p>
    <w:p>
      <w:pPr>
        <w:pStyle w:val="CaseBody"/>
      </w:pPr>
      <w:r>
        <w:t xml:space="preserve">Within a few years after the seminal</w:t>
      </w:r>
      <w:r>
        <w:t xml:space="preserve"> </w:t>
      </w:r>
      <w:r>
        <w:rPr>
          <w:iCs/>
          <w:i/>
        </w:rPr>
        <w:t xml:space="preserve">Kardon</w:t>
      </w:r>
      <w:r>
        <w:t xml:space="preserve"> </w:t>
      </w:r>
      <w:r>
        <w:t xml:space="preserve">decision, the Court of Appeals for the Second Circuit concluded that the plaintiff class for purposes of a private damage action under § 10 (b) and Rule 10b-5 was limited to actual purchasers and sellers of securities.</w:t>
      </w:r>
      <w:r>
        <w:t xml:space="preserve"> </w:t>
      </w:r>
      <w:r>
        <w:rPr>
          <w:iCs/>
          <w:i/>
        </w:rPr>
        <w:t xml:space="preserve">Birnbaum</w:t>
      </w:r>
      <w:r>
        <w:t xml:space="preserve"> </w:t>
      </w:r>
      <w:r>
        <w:t xml:space="preserve">v.</w:t>
      </w:r>
      <w:r>
        <w:t xml:space="preserve"> </w:t>
      </w:r>
      <w:r>
        <w:rPr>
          <w:iCs/>
          <w:i/>
        </w:rPr>
        <w:t xml:space="preserve">Newport Steel Corp.,</w:t>
      </w:r>
      <w:r>
        <w:rPr>
          <w:iCs/>
          <w:i/>
        </w:rPr>
        <w:t xml:space="preserve"> </w:t>
      </w:r>
      <w:r>
        <w:rPr>
          <w:iCs/>
          <w:i/>
        </w:rPr>
        <w:t xml:space="preserve">supra.</w:t>
      </w:r>
    </w:p>
    <w:p>
      <w:pPr>
        <w:pStyle w:val="CaseBody"/>
      </w:pPr>
      <w:r>
        <w:t xml:space="preserve">The Court of Appeals in this case did not repudiate</w:t>
      </w:r>
      <w:r>
        <w:t xml:space="preserve"> </w:t>
      </w:r>
      <w:r>
        <w:rPr>
          <w:iCs/>
          <w:i/>
        </w:rPr>
        <w:t xml:space="preserve">Birnbaum;</w:t>
      </w:r>
      <w:r>
        <w:t xml:space="preserve"> </w:t>
      </w:r>
      <w:r>
        <w:t xml:space="preserve">indeed, another panel of that court (in an opinion by Judge Ely) had but a short time earlier affirmed the rule of that case.</w:t>
      </w:r>
      <w:r>
        <w:t xml:space="preserve"> </w:t>
      </w:r>
      <w:r>
        <w:rPr>
          <w:iCs/>
          <w:i/>
        </w:rPr>
        <w:t xml:space="preserve">Mount Clemens Industries, Inc.</w:t>
      </w:r>
      <w:r>
        <w:t xml:space="preserve"> </w:t>
      </w:r>
      <w:r>
        <w:t xml:space="preserve">v.</w:t>
      </w:r>
      <w:r>
        <w:t xml:space="preserve"> </w:t>
      </w:r>
      <w:r>
        <w:rPr>
          <w:iCs/>
          <w:i/>
        </w:rPr>
        <w:t xml:space="preserve">Bell,</w:t>
      </w:r>
      <w:r>
        <w:t xml:space="preserve"> </w:t>
      </w:r>
      <w:r>
        <w:t xml:space="preserve">464 F. 2d 339</w:t>
      </w:r>
      <w:r>
        <w:t xml:space="preserve"> </w:t>
      </w:r>
      <w:r>
        <w:t xml:space="preserve">(1972). But in this case a majority of the Court of Appeals found that the facts warranted an exception to the</w:t>
      </w:r>
      <w:r>
        <w:t xml:space="preserve"> </w:t>
      </w:r>
      <w:r>
        <w:rPr>
          <w:iCs/>
          <w:i/>
        </w:rPr>
        <w:t xml:space="preserve">Birnbaum</w:t>
      </w:r>
      <w:r>
        <w:t xml:space="preserve"> </w:t>
      </w:r>
      <w:r>
        <w:t xml:space="preserve">rule. For the reasons hereinafter stated, we are of the opinion that</w:t>
      </w:r>
      <w:r>
        <w:t xml:space="preserve"> </w:t>
      </w:r>
      <w:r>
        <w:rPr>
          <w:iCs/>
          <w:i/>
        </w:rPr>
        <w:t xml:space="preserve">Birnbaum</w:t>
      </w:r>
      <w:r>
        <w:t xml:space="preserve"> </w:t>
      </w:r>
      <w:r>
        <w:t xml:space="preserve">was rightly decided, and that it bars respondent from maintaining this suit under Rule 10b-5.</w:t>
      </w:r>
    </w:p>
    <w:p>
      <w:pPr>
        <w:pStyle w:val="CaseBody"/>
      </w:pPr>
      <w:r>
        <w:t xml:space="preserve">Ill</w:t>
      </w:r>
    </w:p>
    <w:p>
      <w:pPr>
        <w:pStyle w:val="CaseBody"/>
      </w:pPr>
      <w:r>
        <w:t xml:space="preserve">The panel which decided</w:t>
      </w:r>
      <w:r>
        <w:t xml:space="preserve"> </w:t>
      </w:r>
      <w:r>
        <w:rPr>
          <w:iCs/>
          <w:i/>
        </w:rPr>
        <w:t xml:space="preserve">Birnbaum</w:t>
      </w:r>
      <w:r>
        <w:t xml:space="preserve"> </w:t>
      </w:r>
      <w:r>
        <w:t xml:space="preserve">consisted of Chief Judge Swan and Judges Learned Hand and Augustus Hand: the opinion was written by the last named. Since both § 10 (b) and Rule 10b-5 proscribed only fraud “in connection with the purchase or sale” of securities, and since the history of §10 (b) revealed no congressional intention to extend a private civil remedy for money damages to other than defrauded purchasers or sellers of securities, in contrast to the express civil remedy provided by § 16 (b) of the 1934 Act, the court concluded that the plaintiff class in a Rule 10b-5 action was limited to actual purchasers and sellers.</w:t>
      </w:r>
      <w:r>
        <w:t xml:space="preserve"> </w:t>
      </w:r>
      <w:r>
        <w:t xml:space="preserve">193 F. 2d, at 463-464</w:t>
      </w:r>
      <w:r>
        <w:t xml:space="preserve">.</w:t>
      </w:r>
    </w:p>
    <w:p>
      <w:pPr>
        <w:pStyle w:val="CaseBody"/>
      </w:pPr>
      <w:r>
        <w:t xml:space="preserve">Just as this Court had no occasion to consider the validity of the</w:t>
      </w:r>
      <w:r>
        <w:t xml:space="preserve"> </w:t>
      </w:r>
      <w:r>
        <w:rPr>
          <w:iCs/>
          <w:i/>
        </w:rPr>
        <w:t xml:space="preserve">Kardon</w:t>
      </w:r>
      <w:r>
        <w:t xml:space="preserve"> </w:t>
      </w:r>
      <w:r>
        <w:t xml:space="preserve">holding that there was a private cause of action under Rule 10b-5 until 20-odd years later, nearly the same period of time has gone by between the</w:t>
      </w:r>
      <w:r>
        <w:t xml:space="preserve"> </w:t>
      </w:r>
      <w:r>
        <w:rPr>
          <w:iCs/>
          <w:i/>
        </w:rPr>
        <w:t xml:space="preserve">Birnbaum</w:t>
      </w:r>
      <w:r>
        <w:t xml:space="preserve"> </w:t>
      </w:r>
      <w:r>
        <w:t xml:space="preserve">decision and our consideration of the case now before us. As with</w:t>
      </w:r>
      <w:r>
        <w:t xml:space="preserve"> </w:t>
      </w:r>
      <w:r>
        <w:rPr>
          <w:iCs/>
          <w:i/>
        </w:rPr>
        <w:t xml:space="preserve">Kardon,</w:t>
      </w:r>
      <w:r>
        <w:t xml:space="preserve"> </w:t>
      </w:r>
      <w:r>
        <w:t xml:space="preserve">virtually all lower federal courts facing the issue in the hundreds of reported cases presenting this question over the past quarter century have reaffirmed Birnbaum’s conclusion that the plaintiff class for purposes of § 10 (b) and Rule 10b-5 private damage actions is limited to purchasers and sellers of securities. See 6 L. Loss, Securities Regulation 3617 (1969). See,</w:t>
      </w:r>
      <w:r>
        <w:t xml:space="preserve"> </w:t>
      </w:r>
      <w:r>
        <w:rPr>
          <w:iCs/>
          <w:i/>
        </w:rPr>
        <w:t xml:space="preserve">e. g., Haberman</w:t>
      </w:r>
      <w:r>
        <w:t xml:space="preserve"> </w:t>
      </w:r>
      <w:r>
        <w:t xml:space="preserve">v.</w:t>
      </w:r>
      <w:r>
        <w:t xml:space="preserve"> </w:t>
      </w:r>
      <w:r>
        <w:rPr>
          <w:iCs/>
          <w:i/>
        </w:rPr>
        <w:t xml:space="preserve">Murchison,</w:t>
      </w:r>
      <w:r>
        <w:t xml:space="preserve"> </w:t>
      </w:r>
      <w:r>
        <w:t xml:space="preserve">468 F. 2d 1305</w:t>
      </w:r>
      <w:r>
        <w:t xml:space="preserve">, 1311 (CA2 1972);</w:t>
      </w:r>
      <w:r>
        <w:t xml:space="preserve"> </w:t>
      </w:r>
      <w:r>
        <w:rPr>
          <w:iCs/>
          <w:i/>
        </w:rPr>
        <w:t xml:space="preserve">Landy</w:t>
      </w:r>
      <w:r>
        <w:t xml:space="preserve"> </w:t>
      </w:r>
      <w:r>
        <w:t xml:space="preserve">v.</w:t>
      </w:r>
      <w:r>
        <w:t xml:space="preserve"> </w:t>
      </w:r>
      <w:r>
        <w:rPr>
          <w:iCs/>
          <w:i/>
        </w:rPr>
        <w:t xml:space="preserve">FDIC,</w:t>
      </w:r>
      <w:r>
        <w:t xml:space="preserve"> </w:t>
      </w:r>
      <w:r>
        <w:t xml:space="preserve">486 F. 2d 139</w:t>
      </w:r>
      <w:r>
        <w:t xml:space="preserve">, 156-157 (CA3 1973), cert. denied,</w:t>
      </w:r>
      <w:r>
        <w:t xml:space="preserve"> </w:t>
      </w:r>
      <w:r>
        <w:t xml:space="preserve">416 U. S. 960</w:t>
      </w:r>
      <w:r>
        <w:t xml:space="preserve"> </w:t>
      </w:r>
      <w:r>
        <w:t xml:space="preserve">(1974);</w:t>
      </w:r>
      <w:r>
        <w:t xml:space="preserve"> </w:t>
      </w:r>
      <w:r>
        <w:rPr>
          <w:iCs/>
          <w:i/>
        </w:rPr>
        <w:t xml:space="preserve">Sargent</w:t>
      </w:r>
      <w:r>
        <w:t xml:space="preserve"> </w:t>
      </w:r>
      <w:r>
        <w:t xml:space="preserve">v.</w:t>
      </w:r>
      <w:r>
        <w:t xml:space="preserve"> </w:t>
      </w:r>
      <w:r>
        <w:rPr>
          <w:iCs/>
          <w:i/>
        </w:rPr>
        <w:t xml:space="preserve">Genesco, Inc.,</w:t>
      </w:r>
      <w:r>
        <w:t xml:space="preserve"> </w:t>
      </w:r>
      <w:r>
        <w:t xml:space="preserve">492 F. 2d 750</w:t>
      </w:r>
      <w:r>
        <w:t xml:space="preserve">, 763 (CA5 1974);</w:t>
      </w:r>
      <w:r>
        <w:t xml:space="preserve"> </w:t>
      </w:r>
      <w:r>
        <w:rPr>
          <w:iCs/>
          <w:i/>
        </w:rPr>
        <w:t xml:space="preserve">Simmons</w:t>
      </w:r>
      <w:r>
        <w:t xml:space="preserve"> </w:t>
      </w:r>
      <w:r>
        <w:t xml:space="preserve">v.</w:t>
      </w:r>
      <w:r>
        <w:t xml:space="preserve"> </w:t>
      </w:r>
      <w:r>
        <w:rPr>
          <w:iCs/>
          <w:i/>
        </w:rPr>
        <w:t xml:space="preserve">Wolfson,</w:t>
      </w:r>
      <w:r>
        <w:t xml:space="preserve"> </w:t>
      </w:r>
      <w:r>
        <w:t xml:space="preserve">428 F. 2d 455</w:t>
      </w:r>
      <w:r>
        <w:t xml:space="preserve">, 456 (CA6 1970), cert. denied,</w:t>
      </w:r>
      <w:r>
        <w:t xml:space="preserve"> </w:t>
      </w:r>
      <w:r>
        <w:t xml:space="preserve">400 U. S. 999</w:t>
      </w:r>
      <w:r>
        <w:t xml:space="preserve"> </w:t>
      </w:r>
      <w:r>
        <w:t xml:space="preserve">(1971);</w:t>
      </w:r>
      <w:r>
        <w:t xml:space="preserve"> </w:t>
      </w:r>
      <w:r>
        <w:rPr>
          <w:iCs/>
          <w:i/>
        </w:rPr>
        <w:t xml:space="preserve">City National Bank</w:t>
      </w:r>
      <w:r>
        <w:t xml:space="preserve"> </w:t>
      </w:r>
      <w:r>
        <w:t xml:space="preserve">v.</w:t>
      </w:r>
      <w:r>
        <w:t xml:space="preserve"> </w:t>
      </w:r>
      <w:r>
        <w:rPr>
          <w:iCs/>
          <w:i/>
        </w:rPr>
        <w:t xml:space="preserve">Vanderboom.,</w:t>
      </w:r>
      <w:r>
        <w:t xml:space="preserve"> </w:t>
      </w:r>
      <w:r>
        <w:t xml:space="preserve">422 F. 2d 221</w:t>
      </w:r>
      <w:r>
        <w:t xml:space="preserve">, 227-228 (CA8), cert. denied,</w:t>
      </w:r>
      <w:r>
        <w:t xml:space="preserve"> </w:t>
      </w:r>
      <w:r>
        <w:t xml:space="preserve">399 U. S. 905</w:t>
      </w:r>
      <w:r>
        <w:t xml:space="preserve"> </w:t>
      </w:r>
      <w:r>
        <w:t xml:space="preserve">(1970);</w:t>
      </w:r>
      <w:r>
        <w:t xml:space="preserve"> </w:t>
      </w:r>
      <w:r>
        <w:rPr>
          <w:iCs/>
          <w:i/>
        </w:rPr>
        <w:t xml:space="preserve">Mount Clemens Industries, Inc.</w:t>
      </w:r>
      <w:r>
        <w:t xml:space="preserve"> </w:t>
      </w:r>
      <w:r>
        <w:t xml:space="preserve">v.</w:t>
      </w:r>
      <w:r>
        <w:t xml:space="preserve"> </w:t>
      </w:r>
      <w:r>
        <w:rPr>
          <w:iCs/>
          <w:i/>
        </w:rPr>
        <w:t xml:space="preserve">Bell,</w:t>
      </w:r>
      <w:r>
        <w:rPr>
          <w:iCs/>
          <w:i/>
        </w:rPr>
        <w:t xml:space="preserve"> </w:t>
      </w:r>
      <w:r>
        <w:rPr>
          <w:iCs/>
          <w:i/>
        </w:rPr>
        <w:t xml:space="preserve">supra;</w:t>
      </w:r>
      <w:r>
        <w:rPr>
          <w:iCs/>
          <w:i/>
        </w:rPr>
        <w:t xml:space="preserve"> </w:t>
      </w:r>
      <w:r>
        <w:rPr>
          <w:iCs/>
          <w:i/>
        </w:rPr>
        <w:t xml:space="preserve">Jensen</w:t>
      </w:r>
      <w:r>
        <w:t xml:space="preserve"> </w:t>
      </w:r>
      <w:r>
        <w:t xml:space="preserve">v.</w:t>
      </w:r>
      <w:r>
        <w:t xml:space="preserve"> </w:t>
      </w:r>
      <w:r>
        <w:rPr>
          <w:iCs/>
          <w:i/>
        </w:rPr>
        <w:t xml:space="preserve">Voyles,</w:t>
      </w:r>
      <w:r>
        <w:t xml:space="preserve"> </w:t>
      </w:r>
      <w:r>
        <w:t xml:space="preserve">393 F. 2d 131</w:t>
      </w:r>
      <w:r>
        <w:t xml:space="preserve">, 133 (CA10 1968). Compare</w:t>
      </w:r>
      <w:r>
        <w:t xml:space="preserve"> </w:t>
      </w:r>
      <w:r>
        <w:rPr>
          <w:iCs/>
          <w:i/>
        </w:rPr>
        <w:t xml:space="preserve">Eason</w:t>
      </w:r>
      <w:r>
        <w:t xml:space="preserve"> </w:t>
      </w:r>
      <w:r>
        <w:t xml:space="preserve">v.</w:t>
      </w:r>
      <w:r>
        <w:t xml:space="preserve"> </w:t>
      </w:r>
      <w:r>
        <w:rPr>
          <w:iCs/>
          <w:i/>
        </w:rPr>
        <w:t xml:space="preserve">General Motors Acceptance Corp.,</w:t>
      </w:r>
      <w:r>
        <w:t xml:space="preserve"> </w:t>
      </w:r>
      <w:r>
        <w:t xml:space="preserve">490 F. 2d 654</w:t>
      </w:r>
      <w:r>
        <w:t xml:space="preserve"> </w:t>
      </w:r>
      <w:r>
        <w:t xml:space="preserve">(CA7 1973), cert. denied,</w:t>
      </w:r>
      <w:r>
        <w:t xml:space="preserve"> </w:t>
      </w:r>
      <w:r>
        <w:t xml:space="preserve">416 U. S. 960</w:t>
      </w:r>
      <w:r>
        <w:t xml:space="preserve"> </w:t>
      </w:r>
      <w:r>
        <w:t xml:space="preserve">(1974), with</w:t>
      </w:r>
      <w:r>
        <w:t xml:space="preserve"> </w:t>
      </w:r>
      <w:r>
        <w:rPr>
          <w:iCs/>
          <w:i/>
        </w:rPr>
        <w:t xml:space="preserve">Dasho</w:t>
      </w:r>
      <w:r>
        <w:t xml:space="preserve"> </w:t>
      </w:r>
      <w:r>
        <w:t xml:space="preserve">v.</w:t>
      </w:r>
      <w:r>
        <w:t xml:space="preserve"> </w:t>
      </w:r>
      <w:r>
        <w:rPr>
          <w:iCs/>
          <w:i/>
        </w:rPr>
        <w:t xml:space="preserve">Susquehanna Corp.,</w:t>
      </w:r>
      <w:r>
        <w:t xml:space="preserve"> </w:t>
      </w:r>
      <w:r>
        <w:t xml:space="preserve">380 F. 2d 262</w:t>
      </w:r>
      <w:r>
        <w:t xml:space="preserve"> </w:t>
      </w:r>
      <w:r>
        <w:t xml:space="preserve">(CA7), cert. denied</w:t>
      </w:r>
      <w:r>
        <w:t xml:space="preserve"> </w:t>
      </w:r>
      <w:r>
        <w:rPr>
          <w:iCs/>
          <w:i/>
        </w:rPr>
        <w:t xml:space="preserve">sub nom. Bard</w:t>
      </w:r>
      <w:r>
        <w:t xml:space="preserve"> </w:t>
      </w:r>
      <w:r>
        <w:t xml:space="preserve">v.</w:t>
      </w:r>
      <w:r>
        <w:t xml:space="preserve"> </w:t>
      </w:r>
      <w:r>
        <w:rPr>
          <w:iCs/>
          <w:i/>
        </w:rPr>
        <w:t xml:space="preserve">Dasho,</w:t>
      </w:r>
      <w:r>
        <w:t xml:space="preserve"> </w:t>
      </w:r>
      <w:r>
        <w:t xml:space="preserve">389 U. S. 977</w:t>
      </w:r>
      <w:r>
        <w:t xml:space="preserve"> </w:t>
      </w:r>
      <w:r>
        <w:t xml:space="preserve">(1967).</w:t>
      </w:r>
    </w:p>
    <w:p>
      <w:pPr>
        <w:pStyle w:val="CaseBody"/>
      </w:pPr>
      <w:r>
        <w:t xml:space="preserve">In 1957 and again in 1959, the Securities and Exchange Commission sought from Congress amendment of § 10 (b) to change its wording from “in connection with the purchase or sale of any security” to “in connection with the purchase or sale of,</w:t>
      </w:r>
      <w:r>
        <w:t xml:space="preserve"> </w:t>
      </w:r>
      <w:r>
        <w:rPr>
          <w:iCs/>
          <w:i/>
        </w:rPr>
        <w:t xml:space="preserve">or any attempt to purchase or sell,</w:t>
      </w:r>
      <w:r>
        <w:t xml:space="preserve"> </w:t>
      </w:r>
      <w:r>
        <w:t xml:space="preserve">any security.” 103 Cong. Rec. 11636 (1957) (emphasis added); SEC Legislation, Hearings on S. 1178-1182 before a Subcommittee of the Senate Committee on Banking &amp; Currency, 86th Cong., 1st Sess., 367-368 (1959); S. 2545, 85th Cong., 1st Sess. (1957); S. 1179, 86th Cong., 1st Sess. (1959). In the words of a memorandum submitted by the Commission to a congressional committee, the purpose of the proposed change was “to make section 10 (b) also applicable to manipulative activities in connection with any attempt to purchase or sell any security.” Hearings on S. 1178-1182,</w:t>
      </w:r>
      <w:r>
        <w:t xml:space="preserve"> </w:t>
      </w:r>
      <w:r>
        <w:rPr>
          <w:iCs/>
          <w:i/>
        </w:rPr>
        <w:t xml:space="preserve">supra,</w:t>
      </w:r>
      <w:r>
        <w:t xml:space="preserve"> </w:t>
      </w:r>
      <w:r>
        <w:t xml:space="preserve">at 331. Opposition to the amendment was based on fears of the extension of civil liability under § 10 (b) that it would cause.</w:t>
      </w:r>
      <w:r>
        <w:t xml:space="preserve"> </w:t>
      </w:r>
      <w:r>
        <w:rPr>
          <w:iCs/>
          <w:i/>
        </w:rPr>
        <w:t xml:space="preserve">Id.,</w:t>
      </w:r>
      <w:r>
        <w:t xml:space="preserve"> </w:t>
      </w:r>
      <w:r>
        <w:t xml:space="preserve">at 368. Neither change was adopted by Congress.</w:t>
      </w:r>
    </w:p>
    <w:p>
      <w:pPr>
        <w:pStyle w:val="CaseBody"/>
      </w:pPr>
      <w:r>
        <w:t xml:space="preserve">The longstanding acceptance by the courts, coupled with Congress’ failure to reject Birnbaum’s reasonable interpretation of the wording of § 10 (b), wording which is directed toward injury suffered “in connection with the purchase or sale” of securities,</w:t>
      </w:r>
      <w:r>
        <w:rPr>
          <w:rStyle w:val="FootnoteReference"/>
        </w:rPr>
        <w:footnoteReference w:customMarkFollows="1" w:id="125"/>
        <w:t xml:space="preserve">5</w:t>
      </w:r>
      <w:r>
        <w:t xml:space="preserve"> </w:t>
      </w:r>
      <w:r>
        <w:t xml:space="preserve">argues significantly in favor of acceptance of the</w:t>
      </w:r>
      <w:r>
        <w:t xml:space="preserve"> </w:t>
      </w:r>
      <w:r>
        <w:rPr>
          <w:iCs/>
          <w:i/>
        </w:rPr>
        <w:t xml:space="preserve">Birnbaum</w:t>
      </w:r>
      <w:r>
        <w:t xml:space="preserve"> </w:t>
      </w:r>
      <w:r>
        <w:t xml:space="preserve">rule by this Court.</w:t>
      </w:r>
      <w:r>
        <w:t xml:space="preserve"> </w:t>
      </w:r>
      <w:r>
        <w:rPr>
          <w:iCs/>
          <w:i/>
        </w:rPr>
        <w:t xml:space="preserve">Blau</w:t>
      </w:r>
      <w:r>
        <w:t xml:space="preserve"> </w:t>
      </w:r>
      <w:r>
        <w:t xml:space="preserve">v.</w:t>
      </w:r>
      <w:r>
        <w:t xml:space="preserve"> </w:t>
      </w:r>
      <w:r>
        <w:rPr>
          <w:iCs/>
          <w:i/>
        </w:rPr>
        <w:t xml:space="preserve">Lehman,</w:t>
      </w:r>
      <w:r>
        <w:t xml:space="preserve"> </w:t>
      </w:r>
      <w:r>
        <w:t xml:space="preserve">368 U. S. 403</w:t>
      </w:r>
      <w:r>
        <w:t xml:space="preserve">, 413 (1962).</w:t>
      </w:r>
    </w:p>
    <w:p>
      <w:pPr>
        <w:pStyle w:val="CaseBody"/>
      </w:pPr>
      <w:r>
        <w:t xml:space="preserve">Available evidence from the texts of the 1933 and 1934 Acts as to the congressional scheme in this regard, though not conclusive, supports the result reached by the</w:t>
      </w:r>
      <w:r>
        <w:t xml:space="preserve"> </w:t>
      </w:r>
      <w:r>
        <w:rPr>
          <w:iCs/>
          <w:i/>
        </w:rPr>
        <w:t xml:space="preserve">Birnbaum</w:t>
      </w:r>
      <w:r>
        <w:t xml:space="preserve"> </w:t>
      </w:r>
      <w:r>
        <w:t xml:space="preserve">court. The wording of § 10 (b) directed at fraud “in connection with the purchase or sale” of securities stands in contrast with the parallel antifraud provision of the 1933 Act, § 17 (a), as amended,</w:t>
      </w:r>
      <w:r>
        <w:t xml:space="preserve"> </w:t>
      </w:r>
      <w:r>
        <w:t xml:space="preserve">68 Stat. 686</w:t>
      </w:r>
      <w:r>
        <w:t xml:space="preserve">, 15 U. S. C. § 77q,</w:t>
      </w:r>
      <w:r>
        <w:rPr>
          <w:rStyle w:val="FootnoteReference"/>
        </w:rPr>
        <w:footnoteReference w:customMarkFollows="1" w:id="148"/>
        <w:t xml:space="preserve">6</w:t>
      </w:r>
      <w:r>
        <w:t xml:space="preserve"> </w:t>
      </w:r>
      <w:r>
        <w:t xml:space="preserve">reaching fraud “in the offer or sale” of securities. Cf. § 5 of the 1933 Act, 15 U. S. C. § 77e. When Congress wished to provide a remedy to those who neither purchase nor sell securities, it had little trouble in doing so expressly. Cf. § 16 (b) of the 1934 Act, 15 U. S. C. § 78p (b).</w:t>
      </w:r>
    </w:p>
    <w:p>
      <w:pPr>
        <w:pStyle w:val="CaseBody"/>
      </w:pPr>
      <w:r>
        <w:t xml:space="preserve">Section 28 (a) of the 1934 Act, 15 U. S. C. § 78bb (a), which limits recovery in any private damages action brought under the 1934 Act to “actual damages,” likewise provides some support for the purchaser-seller rule. See,</w:t>
      </w:r>
      <w:r>
        <w:t xml:space="preserve"> </w:t>
      </w:r>
      <w:r>
        <w:rPr>
          <w:iCs/>
          <w:i/>
        </w:rPr>
        <w:t xml:space="preserve">e. g.,</w:t>
      </w:r>
      <w:r>
        <w:t xml:space="preserve"> </w:t>
      </w:r>
      <w:r>
        <w:t xml:space="preserve">Bromberg § 8.8, p. 221. While the damages suffered by purchasers and sellers pursuing a § 10 (b) cause of action may on occasion be difficult to ascertain,</w:t>
      </w:r>
      <w:r>
        <w:t xml:space="preserve"> </w:t>
      </w:r>
      <w:r>
        <w:rPr>
          <w:iCs/>
          <w:i/>
        </w:rPr>
        <w:t xml:space="preserve">Affiliated Ute Citizens</w:t>
      </w:r>
      <w:r>
        <w:t xml:space="preserve"> </w:t>
      </w:r>
      <w:r>
        <w:t xml:space="preserve">v.</w:t>
      </w:r>
      <w:r>
        <w:t xml:space="preserve"> </w:t>
      </w:r>
      <w:r>
        <w:rPr>
          <w:iCs/>
          <w:i/>
        </w:rPr>
        <w:t xml:space="preserve">United States,</w:t>
      </w:r>
      <w:r>
        <w:t xml:space="preserve"> </w:t>
      </w:r>
      <w:r>
        <w:t xml:space="preserve">406 U. S., at 155</w:t>
      </w:r>
      <w:r>
        <w:t xml:space="preserve">, in the main such purchasers and sellers at least seek to base recovery on a demonstrable number of shares traded. In contrast, a putative plaintiff, who neither purchases nor sells securities but sues instead for intangible economic injury such as loss of a noncontractual opportunity to buy or sell, is more likely to be seeking a largely conjectural and speculative recovery in which the number of shares involved will depend on the plaintiff's subjective hypothesis. Cf.</w:t>
      </w:r>
      <w:r>
        <w:t xml:space="preserve"> </w:t>
      </w:r>
      <w:r>
        <w:rPr>
          <w:iCs/>
          <w:i/>
        </w:rPr>
        <w:t xml:space="preserve">Estate Counseling Service, Inc.</w:t>
      </w:r>
      <w:r>
        <w:t xml:space="preserve"> </w:t>
      </w:r>
      <w:r>
        <w:t xml:space="preserve">v.</w:t>
      </w:r>
      <w:r>
        <w:t xml:space="preserve"> </w:t>
      </w:r>
      <w:r>
        <w:rPr>
          <w:iCs/>
          <w:i/>
        </w:rPr>
        <w:t xml:space="preserve">Merrill Lynch, Pierce, Fenner &amp; Smith, Inc.,</w:t>
      </w:r>
      <w:r>
        <w:t xml:space="preserve"> </w:t>
      </w:r>
      <w:r>
        <w:t xml:space="preserve">303 F. 2d 527</w:t>
      </w:r>
      <w:r>
        <w:t xml:space="preserve">, 533 (CA10 1962);</w:t>
      </w:r>
      <w:r>
        <w:t xml:space="preserve"> </w:t>
      </w:r>
      <w:r>
        <w:rPr>
          <w:iCs/>
          <w:i/>
        </w:rPr>
        <w:t xml:space="preserve">Levine</w:t>
      </w:r>
      <w:r>
        <w:t xml:space="preserve"> </w:t>
      </w:r>
      <w:r>
        <w:t xml:space="preserve">v.</w:t>
      </w:r>
      <w:r>
        <w:t xml:space="preserve"> </w:t>
      </w:r>
      <w:r>
        <w:rPr>
          <w:iCs/>
          <w:i/>
        </w:rPr>
        <w:t xml:space="preserve">Seilon, Inc.,</w:t>
      </w:r>
      <w:r>
        <w:t xml:space="preserve"> </w:t>
      </w:r>
      <w:r>
        <w:t xml:space="preserve">439 F. 2d 328</w:t>
      </w:r>
      <w:r>
        <w:t xml:space="preserve">, 335 (CA2 1971);</w:t>
      </w:r>
      <w:r>
        <w:t xml:space="preserve"> </w:t>
      </w:r>
      <w:r>
        <w:rPr>
          <w:iCs/>
          <w:i/>
        </w:rPr>
        <w:t xml:space="preserve">Wolf</w:t>
      </w:r>
      <w:r>
        <w:t xml:space="preserve"> </w:t>
      </w:r>
      <w:r>
        <w:t xml:space="preserve">v.</w:t>
      </w:r>
      <w:r>
        <w:t xml:space="preserve"> </w:t>
      </w:r>
      <w:r>
        <w:rPr>
          <w:iCs/>
          <w:i/>
        </w:rPr>
        <w:t xml:space="preserve">Frank,</w:t>
      </w:r>
      <w:r>
        <w:t xml:space="preserve"> </w:t>
      </w:r>
      <w:r>
        <w:t xml:space="preserve">477 F. 2d 467</w:t>
      </w:r>
      <w:r>
        <w:t xml:space="preserve">, 478 (CA5 1973).</w:t>
      </w:r>
    </w:p>
    <w:p>
      <w:pPr>
        <w:pStyle w:val="CaseBody"/>
      </w:pPr>
      <w:r>
        <w:t xml:space="preserve">One of the justifications advanced for implication of a cause of action under § 10 (b) lies in § 29 (b) of the 1934 Act, 15 U. S. C. § 78cc (b), providing that a contract made in violation of any provision of the 1934 Act is voidable at the option of the deceived party.</w:t>
      </w:r>
      <w:r>
        <w:rPr>
          <w:rStyle w:val="FootnoteReference"/>
        </w:rPr>
        <w:footnoteReference w:customMarkFollows="1" w:id="168"/>
        <w:t xml:space="preserve">7</w:t>
      </w:r>
      <w:r>
        <w:t xml:space="preserve"> </w:t>
      </w:r>
      <w:r>
        <w:t xml:space="preserve">See,</w:t>
      </w:r>
      <w:r>
        <w:t xml:space="preserve"> </w:t>
      </w:r>
      <w:r>
        <w:rPr>
          <w:iCs/>
          <w:i/>
        </w:rPr>
        <w:t xml:space="preserve">e. g., Kardon</w:t>
      </w:r>
      <w:r>
        <w:t xml:space="preserve"> </w:t>
      </w:r>
      <w:r>
        <w:t xml:space="preserve">v.</w:t>
      </w:r>
      <w:r>
        <w:t xml:space="preserve"> </w:t>
      </w:r>
      <w:r>
        <w:rPr>
          <w:iCs/>
          <w:i/>
        </w:rPr>
        <w:t xml:space="preserve">National Gypsum Co.,</w:t>
      </w:r>
      <w:r>
        <w:t xml:space="preserve"> </w:t>
      </w:r>
      <w:r>
        <w:t xml:space="preserve">69 F. Supp., at 514</w:t>
      </w:r>
      <w:r>
        <w:t xml:space="preserve">;</w:t>
      </w:r>
      <w:r>
        <w:t xml:space="preserve"> </w:t>
      </w:r>
      <w:r>
        <w:rPr>
          <w:iCs/>
          <w:i/>
        </w:rPr>
        <w:t xml:space="preserve">Slavin</w:t>
      </w:r>
      <w:r>
        <w:t xml:space="preserve"> </w:t>
      </w:r>
      <w:r>
        <w:t xml:space="preserve">v.</w:t>
      </w:r>
      <w:r>
        <w:t xml:space="preserve"> </w:t>
      </w:r>
      <w:r>
        <w:rPr>
          <w:iCs/>
          <w:i/>
        </w:rPr>
        <w:t xml:space="preserve">Germantown Fire Insurance Co.,</w:t>
      </w:r>
      <w:r>
        <w:t xml:space="preserve"> </w:t>
      </w:r>
      <w:r>
        <w:t xml:space="preserve">174 F. 2d 799</w:t>
      </w:r>
      <w:r>
        <w:t xml:space="preserve">, 815 (CA3 1949);</w:t>
      </w:r>
      <w:r>
        <w:t xml:space="preserve"> </w:t>
      </w:r>
      <w:r>
        <w:rPr>
          <w:iCs/>
          <w:i/>
        </w:rPr>
        <w:t xml:space="preserve">Fischman</w:t>
      </w:r>
      <w:r>
        <w:t xml:space="preserve"> </w:t>
      </w:r>
      <w:r>
        <w:t xml:space="preserve">v.</w:t>
      </w:r>
      <w:r>
        <w:t xml:space="preserve"> </w:t>
      </w:r>
      <w:r>
        <w:rPr>
          <w:iCs/>
          <w:i/>
        </w:rPr>
        <w:t xml:space="preserve">Raytheon Mfg. Co.,</w:t>
      </w:r>
      <w:r>
        <w:t xml:space="preserve"> </w:t>
      </w:r>
      <w:r>
        <w:t xml:space="preserve">188 F. 2d 783</w:t>
      </w:r>
      <w:r>
        <w:t xml:space="preserve">, 787 n. 4 (CA2 1951); Bromberg § 2.4 (1) (b). But that justification is absent when there is no actual purchase or sale of securities, or a contract to purchase or sell, affected or tainted by a violation of § 10 (b). Cf.</w:t>
      </w:r>
      <w:r>
        <w:t xml:space="preserve"> </w:t>
      </w:r>
      <w:r>
        <w:rPr>
          <w:iCs/>
          <w:i/>
        </w:rPr>
        <w:t xml:space="preserve">Mount Clemens Industries, Inc.</w:t>
      </w:r>
      <w:r>
        <w:t xml:space="preserve"> </w:t>
      </w:r>
      <w:r>
        <w:t xml:space="preserve">v.</w:t>
      </w:r>
      <w:r>
        <w:t xml:space="preserve"> </w:t>
      </w:r>
      <w:r>
        <w:rPr>
          <w:iCs/>
          <w:i/>
        </w:rPr>
        <w:t xml:space="preserve">Bell,</w:t>
      </w:r>
      <w:r>
        <w:rPr>
          <w:iCs/>
          <w:i/>
        </w:rPr>
        <w:t xml:space="preserve"> </w:t>
      </w:r>
      <w:r>
        <w:rPr>
          <w:iCs/>
          <w:i/>
        </w:rPr>
        <w:t xml:space="preserve">supra.</w:t>
      </w:r>
    </w:p>
    <w:p>
      <w:pPr>
        <w:pStyle w:val="CaseBody"/>
      </w:pPr>
      <w:r>
        <w:t xml:space="preserve">The principal express nonderivative private civil remedies, created by Congress contemporaneously with the passage of § 10 (b), for violations of various provisions of the 1933 and 1934 Acts are by their terms expressly limited to purchasers or sellers of securities. Thus § 11 (a) of the 1933 Act confines the cause of action it grants to “any person acquiring such security” while the remedy granted by § 12 of that Act is limited to the “person purchasing such security.” Section 9 of the 1934 Act, prohibiting a variety of fraudulent and manipulative devices, limits the express civil remedy provided for its violation to “any person who shall purchase or sell any security” in a transaction affected by a violation of the provision. Section 18 of the 1934 Act, prohibiting false or misleading statements in reports or other documents required to be filed by the 1934 Act, limits the express remedy provided for its violation ■ to “any person . . . who . . . shall have purchased or sold a security at a price which was affected by such statement____” It would indeed be anomalous to impute to Congress an intention to expand the plaintiff class for a judicially implied cause of action beyond the bounds it delineated for comparable express causes of action.</w:t>
      </w:r>
      <w:r>
        <w:rPr>
          <w:rStyle w:val="FootnoteReference"/>
        </w:rPr>
        <w:footnoteReference w:customMarkFollows="1" w:id="188"/>
        <w:t xml:space="preserve">8</w:t>
      </w:r>
    </w:p>
    <w:p>
      <w:pPr>
        <w:pStyle w:val="CaseBody"/>
      </w:pPr>
      <w:r>
        <w:t xml:space="preserve">Having said all this, we would by no means be understood as suggesting that we are able to divine from the language of § 10(b) the express “intent of Congress" as to the contours of a private cause of action under Rule 10b-5. When we deal with private actions under Rule 10b 5. we deal with a judicial oak which has grown from little more than a legislative acorn. Such growth may be quite consistent with the congressional enactment and with the role of the federal judiciary in interpreting it. see</w:t>
      </w:r>
      <w:r>
        <w:t xml:space="preserve"> </w:t>
      </w:r>
      <w:r>
        <w:rPr>
          <w:iCs/>
          <w:i/>
        </w:rPr>
        <w:t xml:space="preserve">J. I. Case Co.</w:t>
      </w:r>
      <w:r>
        <w:t xml:space="preserve"> </w:t>
      </w:r>
      <w:r>
        <w:t xml:space="preserve">v.</w:t>
      </w:r>
      <w:r>
        <w:t xml:space="preserve"> </w:t>
      </w:r>
      <w:r>
        <w:rPr>
          <w:iCs/>
          <w:i/>
        </w:rPr>
        <w:t xml:space="preserve">Borak,</w:t>
      </w:r>
      <w:r>
        <w:rPr>
          <w:iCs/>
          <w:i/>
        </w:rPr>
        <w:t xml:space="preserve"> </w:t>
      </w:r>
      <w:r>
        <w:rPr>
          <w:iCs/>
          <w:i/>
        </w:rPr>
        <w:t xml:space="preserve">supra,</w:t>
      </w:r>
      <w:r>
        <w:t xml:space="preserve"> </w:t>
      </w:r>
      <w:r>
        <w:t xml:space="preserve">but it would be disingenuous to suggest that either Congress in 1934 or the Securities and Exchange Commission in 1942 foreordained the present state of the law with respect to Rule 10b-5. It is therefore proper that we consider, in addition to the factors already discussed, what may be described as policy considerations when we come to flesh out the portions of the law with respect to which neither the congressional enactment nor the administrative regulations offer conclusive guidance.</w:t>
      </w:r>
    </w:p>
    <w:p>
      <w:pPr>
        <w:pStyle w:val="CaseBody"/>
      </w:pPr>
      <w:r>
        <w:t xml:space="preserve">Three principal classes of potential plaintiffs are presently barred by the</w:t>
      </w:r>
      <w:r>
        <w:t xml:space="preserve"> </w:t>
      </w:r>
      <w:r>
        <w:rPr>
          <w:iCs/>
          <w:i/>
        </w:rPr>
        <w:t xml:space="preserve">Birnbaum</w:t>
      </w:r>
      <w:r>
        <w:t xml:space="preserve"> </w:t>
      </w:r>
      <w:r>
        <w:t xml:space="preserve">rule. First are potential purchasers of shares, either in a new offering or on the Nation’s post-distribution trading markets, who allege that they decided not to purchase because of an unduly gloomy representation or the omission of favorable material which made the issuer appear to be a less favorable investment vehicle than it actually was. Second are actual shareholders in the issuer who allege that they decided not to sell their shares because of an unduly rosy representation or a failure to disclose unfavorable material. Third are shareholders, creditors, and perhaps others related to an issuer who suffered loss in the value of their investment due to. corporate or insider activities in connection with the purchase or sale of securities which violate Rule 10b-5. It has been held that shareholder members of the second and third of these classes may frequently be able to circumvent the</w:t>
      </w:r>
      <w:r>
        <w:t xml:space="preserve"> </w:t>
      </w:r>
      <w:r>
        <w:rPr>
          <w:iCs/>
          <w:i/>
        </w:rPr>
        <w:t xml:space="preserve">Birnbaum</w:t>
      </w:r>
      <w:r>
        <w:t xml:space="preserve"> </w:t>
      </w:r>
      <w:r>
        <w:t xml:space="preserve">limitation through bringing a derivative action on behalf of the corporate issuer if the latter is itself a purchaser or seller of securities. See,</w:t>
      </w:r>
      <w:r>
        <w:t xml:space="preserve"> </w:t>
      </w:r>
      <w:r>
        <w:rPr>
          <w:iCs/>
          <w:i/>
        </w:rPr>
        <w:t xml:space="preserve">e. g., Schoenbaum</w:t>
      </w:r>
      <w:r>
        <w:t xml:space="preserve"> </w:t>
      </w:r>
      <w:r>
        <w:t xml:space="preserve">v.</w:t>
      </w:r>
      <w:r>
        <w:t xml:space="preserve"> </w:t>
      </w:r>
      <w:r>
        <w:rPr>
          <w:iCs/>
          <w:i/>
        </w:rPr>
        <w:t xml:space="preserve">Firstbrook,</w:t>
      </w:r>
      <w:r>
        <w:t xml:space="preserve"> </w:t>
      </w:r>
      <w:r>
        <w:t xml:space="preserve">405 F. 2d 215</w:t>
      </w:r>
      <w:r>
        <w:t xml:space="preserve">, 219 (CA2 1968), cert. denied sub nom.</w:t>
      </w:r>
      <w:r>
        <w:t xml:space="preserve"> </w:t>
      </w:r>
      <w:r>
        <w:rPr>
          <w:iCs/>
          <w:i/>
        </w:rPr>
        <w:t xml:space="preserve">Manley</w:t>
      </w:r>
      <w:r>
        <w:t xml:space="preserve"> </w:t>
      </w:r>
      <w:r>
        <w:t xml:space="preserve">v.</w:t>
      </w:r>
      <w:r>
        <w:t xml:space="preserve"> </w:t>
      </w:r>
      <w:r>
        <w:rPr>
          <w:iCs/>
          <w:i/>
        </w:rPr>
        <w:t xml:space="preserve">Schoenbaum,</w:t>
      </w:r>
      <w:r>
        <w:t xml:space="preserve"> </w:t>
      </w:r>
      <w:r>
        <w:t xml:space="preserve">395 U. S. 906</w:t>
      </w:r>
      <w:r>
        <w:t xml:space="preserve"> </w:t>
      </w:r>
      <w:r>
        <w:t xml:space="preserve">(1969). But the first of these classes, of which respondent is a member, cannot claim the benefit of such a rule.</w:t>
      </w:r>
    </w:p>
    <w:p>
      <w:pPr>
        <w:pStyle w:val="CaseBody"/>
      </w:pPr>
      <w:r>
        <w:t xml:space="preserve">A great majority of the many commentators on the issue before us have taken the view that the</w:t>
      </w:r>
      <w:r>
        <w:t xml:space="preserve"> </w:t>
      </w:r>
      <w:r>
        <w:rPr>
          <w:iCs/>
          <w:i/>
        </w:rPr>
        <w:t xml:space="preserve">Birnbaum</w:t>
      </w:r>
      <w:r>
        <w:t xml:space="preserve"> </w:t>
      </w:r>
      <w:r>
        <w:t xml:space="preserve">limitation on the plaintiff class in a Rule 10b-5 action for damages is an arbitrary restriction which unreasonably prevents some deserving plaintiffs from recovering damages which have in fact been caused by violations of Rule 10b-5. See,</w:t>
      </w:r>
      <w:r>
        <w:t xml:space="preserve"> </w:t>
      </w:r>
      <w:r>
        <w:rPr>
          <w:iCs/>
          <w:i/>
        </w:rPr>
        <w:t xml:space="preserve">e. g.,</w:t>
      </w:r>
      <w:r>
        <w:t xml:space="preserve"> </w:t>
      </w:r>
      <w:r>
        <w:t xml:space="preserve">Lowenfels, The Demise of the</w:t>
      </w:r>
      <w:r>
        <w:t xml:space="preserve"> </w:t>
      </w:r>
      <w:r>
        <w:rPr>
          <w:iCs/>
          <w:i/>
        </w:rPr>
        <w:t xml:space="preserve">Birnbaum</w:t>
      </w:r>
      <w:r>
        <w:t xml:space="preserve"> </w:t>
      </w:r>
      <w:r>
        <w:t xml:space="preserve">Doctrine: A New Era for Rule 10b-5,</w:t>
      </w:r>
      <w:r>
        <w:t xml:space="preserve"> </w:t>
      </w:r>
      <w:r>
        <w:t xml:space="preserve">54 Va. L. Rev. 268</w:t>
      </w:r>
      <w:r>
        <w:t xml:space="preserve"> </w:t>
      </w:r>
      <w:r>
        <w:t xml:space="preserve">(1968). The Securities and Exchange Commission has filed an</w:t>
      </w:r>
      <w:r>
        <w:t xml:space="preserve"> </w:t>
      </w:r>
      <w:r>
        <w:rPr>
          <w:iCs/>
          <w:i/>
        </w:rPr>
        <w:t xml:space="preserve">amicus</w:t>
      </w:r>
      <w:r>
        <w:t xml:space="preserve"> </w:t>
      </w:r>
      <w:r>
        <w:t xml:space="preserve">brief in this case espousing that same view. We have no doubt that this is indeed a disadvantage of the</w:t>
      </w:r>
      <w:r>
        <w:t xml:space="preserve"> </w:t>
      </w:r>
      <w:r>
        <w:rPr>
          <w:iCs/>
          <w:i/>
        </w:rPr>
        <w:t xml:space="preserve">Birnbaum</w:t>
      </w:r>
      <w:r>
        <w:t xml:space="preserve"> </w:t>
      </w:r>
      <w:r>
        <w:t xml:space="preserve">rule,</w:t>
      </w:r>
      <w:r>
        <w:rPr>
          <w:rStyle w:val="FootnoteReference"/>
        </w:rPr>
        <w:footnoteReference w:customMarkFollows="1" w:id="207"/>
        <w:t xml:space="preserve">9</w:t>
      </w:r>
      <w:r>
        <w:t xml:space="preserve"> </w:t>
      </w:r>
      <w:r>
        <w:t xml:space="preserve">and if it had no countervailing advantages it would be undesirable as a matter of policy, however much it might be supported by precedent and legislative history. But we are of the opinion that there are countervailing advantages to the</w:t>
      </w:r>
      <w:r>
        <w:t xml:space="preserve"> </w:t>
      </w:r>
      <w:r>
        <w:rPr>
          <w:iCs/>
          <w:i/>
        </w:rPr>
        <w:t xml:space="preserve">Birnbaum</w:t>
      </w:r>
      <w:r>
        <w:t xml:space="preserve"> </w:t>
      </w:r>
      <w:r>
        <w:t xml:space="preserve">rule, purely as a matter of policy, although those advantages are more difficult to articulate than is the disadvantage.</w:t>
      </w:r>
    </w:p>
    <w:p>
      <w:pPr>
        <w:pStyle w:val="CaseBody"/>
      </w:pPr>
      <w:r>
        <w:t xml:space="preserve">There has been widespread recognition that litigation under Rule 10b-5 presents a danger of vexatiousness different in degree and in kind from that which accompanies litigation in general. This fact was recognized by Judge Browning in his opinion for the majority of the Court of Appeals in this case,</w:t>
      </w:r>
      <w:r>
        <w:t xml:space="preserve"> </w:t>
      </w:r>
      <w:r>
        <w:t xml:space="preserve">492 F. 2d, at 141</w:t>
      </w:r>
      <w:r>
        <w:t xml:space="preserve">, and by Judge Hufstedler in her dissenting opinion when she said:</w:t>
      </w:r>
    </w:p>
    <w:p>
      <w:pPr>
        <w:pStyle w:val="BlockText"/>
      </w:pPr>
      <w:r>
        <w:t xml:space="preserve">“The purchaser-seller rule has maintained the balances built into the congressional scheme by permitting damage actions to be brought only by those persons whose active participation in the marketing transaction promises enforcement of the statute without undue risk of abuse of the litigation process and without distorting the securities market.”</w:t>
      </w:r>
      <w:r>
        <w:t xml:space="preserve"> </w:t>
      </w:r>
      <w:r>
        <w:rPr>
          <w:iCs/>
          <w:i/>
        </w:rPr>
        <w:t xml:space="preserve">Id.,</w:t>
      </w:r>
      <w:r>
        <w:t xml:space="preserve"> </w:t>
      </w:r>
      <w:r>
        <w:t xml:space="preserve">at 147.</w:t>
      </w:r>
    </w:p>
    <w:p>
      <w:pPr>
        <w:pStyle w:val="CaseBody"/>
      </w:pPr>
      <w:r>
        <w:t xml:space="preserve">Judge Friendly in commenting on another aspect of Rule 10b-5 litigation has referred to the possibility that unduly expansive imposition of civil liability “will lead to large judgments, payable in the last analysis by innocent investors, for the benefit of speculators and their lawyers . . . .”</w:t>
      </w:r>
      <w:r>
        <w:t xml:space="preserve"> </w:t>
      </w:r>
      <w:r>
        <w:rPr>
          <w:iCs/>
          <w:i/>
        </w:rPr>
        <w:t xml:space="preserve">SEC</w:t>
      </w:r>
      <w:r>
        <w:t xml:space="preserve"> </w:t>
      </w:r>
      <w:r>
        <w:t xml:space="preserve">v.</w:t>
      </w:r>
      <w:r>
        <w:t xml:space="preserve"> </w:t>
      </w:r>
      <w:r>
        <w:rPr>
          <w:iCs/>
          <w:i/>
        </w:rPr>
        <w:t xml:space="preserve">Texas Gulf Sulphur Co.,</w:t>
      </w:r>
      <w:r>
        <w:t xml:space="preserve"> </w:t>
      </w:r>
      <w:r>
        <w:t xml:space="preserve">401 F. 2d 833</w:t>
      </w:r>
      <w:r>
        <w:t xml:space="preserve">, 867 (CA2 1968) (concurring opinion). See also Boone &amp; McGowan, Standing to Sue under SEC Rule 10b-5,</w:t>
      </w:r>
      <w:r>
        <w:t xml:space="preserve">49 Tex. L. Rev. 617</w:t>
      </w:r>
      <w:r>
        <w:t xml:space="preserve">, 648-649 (1971).</w:t>
      </w:r>
    </w:p>
    <w:p>
      <w:pPr>
        <w:pStyle w:val="CaseBody"/>
      </w:pPr>
      <w:r>
        <w:t xml:space="preserve">We believe that the concern expressed for the danger of vexatious litigation which could result from a widely expanded class of plaintiffs under Rule 10b-5 is founded in something more substantial than the common complaint of the many defendants who would prefer avoiding lawsuits entirely to either settling them or trying them. These concerns have two largely separate grounds.</w:t>
      </w:r>
    </w:p>
    <w:p>
      <w:pPr>
        <w:pStyle w:val="CaseBody"/>
      </w:pPr>
      <w:r>
        <w:t xml:space="preserve">The first of these concerns is that in the field of federal securities laws governing disclosure of information even a complaint which by objective standards may have very little chance of success at trial has a settlement value to the plaintiff out of any proportion to its prospect of success at trial so long as he may prevent the suit from being resolved against him by dismissal or summary judgment. The very pendency of the lawsuit may frustrate or delay normal business activity of the defendant which is totally unrelated to the lawsuit. See,</w:t>
      </w:r>
      <w:r>
        <w:t xml:space="preserve"> </w:t>
      </w:r>
      <w:r>
        <w:rPr>
          <w:iCs/>
          <w:i/>
        </w:rPr>
        <w:t xml:space="preserve">e. g.,</w:t>
      </w:r>
      <w:r>
        <w:t xml:space="preserve"> </w:t>
      </w:r>
      <w:r>
        <w:t xml:space="preserve">Sargent, The SEC and the Individual Investor: Restoring His Confidence in the Market, 60 Ya. L. Rev. 553, 562-572 (1974); Dooley, The Effects of Civil Liability on Investment Banking and the New Issues Market,</w:t>
      </w:r>
      <w:r>
        <w:t xml:space="preserve"> </w:t>
      </w:r>
      <w:r>
        <w:t xml:space="preserve">58 Va. L. Rev. 776</w:t>
      </w:r>
      <w:r>
        <w:t xml:space="preserve">, 822-843 (1972).</w:t>
      </w:r>
    </w:p>
    <w:p>
      <w:pPr>
        <w:pStyle w:val="CaseBody"/>
      </w:pPr>
      <w:r>
        <w:t xml:space="preserve">Congress itself recognized the potential for nuisance or “strike” suits in this type of litigation, and in Title II of the 1934 Act amended § 11 of the 1933 Act to provide that:</w:t>
      </w:r>
    </w:p>
    <w:p>
      <w:pPr>
        <w:pStyle w:val="BlockText"/>
      </w:pPr>
      <w:r>
        <w:t xml:space="preserve">“In any suit under this or any other section of this title the court may, in its discretion, require an undertaking for the payment of the costs of such suit, including reasonable attorney’s fees . . . .” § 206 (d),</w:t>
      </w:r>
      <w:r>
        <w:t xml:space="preserve"> </w:t>
      </w:r>
      <w:r>
        <w:t xml:space="preserve">48 Stat. 881</w:t>
      </w:r>
      <w:r>
        <w:t xml:space="preserve">, 908.</w:t>
      </w:r>
    </w:p>
    <w:p>
      <w:pPr>
        <w:pStyle w:val="CaseBody"/>
      </w:pPr>
      <w:r>
        <w:t xml:space="preserve">Senator Fletcher, Chairman of the Senate Banking and Finance Committee, in introducing Title II of the 1934 Act on the floor of the Senate, stated in explaining the amendment to § 11 (e): “This amendment is the most important of all.” 78 Cong. Rec. 8669. Among its purposes was to provide “a defense against blackmail suits.”</w:t>
      </w:r>
      <w:r>
        <w:t xml:space="preserve"> </w:t>
      </w:r>
      <w:r>
        <w:rPr>
          <w:iCs/>
          <w:i/>
        </w:rPr>
        <w:t xml:space="preserve">Ibid.</w:t>
      </w:r>
    </w:p>
    <w:p>
      <w:pPr>
        <w:pStyle w:val="CaseBody"/>
      </w:pPr>
      <w:r>
        <w:t xml:space="preserve">Where Congress in those sections of the 1933 Act which expressly conferred a private cause of action for damages, adopted a provision uniformly regarded as designed to deter “strike” or nuisance actions,</w:t>
      </w:r>
      <w:r>
        <w:t xml:space="preserve"> </w:t>
      </w:r>
      <w:r>
        <w:rPr>
          <w:iCs/>
          <w:i/>
        </w:rPr>
        <w:t xml:space="preserve">Cohen</w:t>
      </w:r>
      <w:r>
        <w:t xml:space="preserve"> </w:t>
      </w:r>
      <w:r>
        <w:t xml:space="preserve">v.</w:t>
      </w:r>
      <w:r>
        <w:t xml:space="preserve"> </w:t>
      </w:r>
      <w:r>
        <w:rPr>
          <w:iCs/>
          <w:i/>
        </w:rPr>
        <w:t xml:space="preserve">Beneficial Loan Corp.,</w:t>
      </w:r>
      <w:r>
        <w:t xml:space="preserve"> </w:t>
      </w:r>
      <w:r>
        <w:t xml:space="preserve">337 U. S. 541</w:t>
      </w:r>
      <w:r>
        <w:t xml:space="preserve">, 548-549 (1949), that fact alone justifies our consideration of such potential in determining the limits of the class of plaintiffs who may sue in an action wholly implied from the language of the 1934 Act.</w:t>
      </w:r>
    </w:p>
    <w:p>
      <w:pPr>
        <w:pStyle w:val="CaseBody"/>
      </w:pPr>
      <w:r>
        <w:t xml:space="preserve">The potential for possible abuse of the liberal discovery provisions of the Federal Rules of Civil Procedure may likewise exist in this type of case to a greater extent than they do in other litigation. The prospect of extensive deposition of the defendant’s officers and associates and the concomitant opportunity for extensive discovery of business documents, is a common occurrence in this and similar types of litigation. To the extent that this process eventually produces relevant evidence which is useful in determining the merits of the claims asserted by the parties, it bears the imprimatur of those Rules and of the many cases liberally interpreting them. But to the extent that it permits a plaintiff with a largely groundless claim to simply take up the time of a number of other people, with the right to do so representing an</w:t>
      </w:r>
      <w:r>
        <w:t xml:space="preserve"> </w:t>
      </w:r>
      <w:r>
        <w:rPr>
          <w:iCs/>
          <w:i/>
        </w:rPr>
        <w:t xml:space="preserve">in terrorem</w:t>
      </w:r>
      <w:r>
        <w:t xml:space="preserve"> </w:t>
      </w:r>
      <w:r>
        <w:t xml:space="preserve">increment of the settlement value, rather than a reasonably founded hope that the process will reveal relevant evidence, it is a social cost rather than a benefit. Yet to broadly expand the class of plaintiffs who may sue under Rule 10b-5 would appear to encourage the least appealing aspect of the use of the discovery rules.</w:t>
      </w:r>
    </w:p>
    <w:p>
      <w:pPr>
        <w:pStyle w:val="CaseBody"/>
      </w:pPr>
      <w:r>
        <w:t xml:space="preserve">Without the</w:t>
      </w:r>
      <w:r>
        <w:t xml:space="preserve"> </w:t>
      </w:r>
      <w:r>
        <w:rPr>
          <w:iCs/>
          <w:i/>
        </w:rPr>
        <w:t xml:space="preserve">Birnbaum</w:t>
      </w:r>
      <w:r>
        <w:t xml:space="preserve"> </w:t>
      </w:r>
      <w:r>
        <w:t xml:space="preserve">rule, an action under Rule 10b-5 will turn largely on which oral version of a series of occurrences the jury may decide to credit, and therefore no matter how improbable the allegations of the plaintiff, the case will be virtually impossible to dispose of prior to trial other than by settlement. In the words of Judge Hufstedler’s dissenting opinion in the Court of Appeals:</w:t>
      </w:r>
    </w:p>
    <w:p>
      <w:pPr>
        <w:pStyle w:val="BlockText"/>
      </w:pPr>
      <w:r>
        <w:t xml:space="preserve">“The great ease with which plaintiffs can allege the requirements for the majority’s standing rule and the greater difficulty that plaintiffs are going to have proving the allegations suggests that the majority’s rule will allow a relatively high proportion of ‘bad’ cases into court. The risk of strike suits is particularly high in such cases; although they are difficult to prove at trial, they are even more difficult to dispose of before trial.”</w:t>
      </w:r>
      <w:r>
        <w:t xml:space="preserve"> </w:t>
      </w:r>
      <w:r>
        <w:t xml:space="preserve">492 F. 2d, at</w:t>
      </w:r>
      <w:r>
        <w:t xml:space="preserve"> </w:t>
      </w:r>
      <w:r>
        <w:t xml:space="preserve">147 n. 9.</w:t>
      </w:r>
    </w:p>
    <w:p>
      <w:pPr>
        <w:pStyle w:val="CaseBody"/>
      </w:pPr>
      <w:r>
        <w:t xml:space="preserve">The</w:t>
      </w:r>
      <w:r>
        <w:t xml:space="preserve"> </w:t>
      </w:r>
      <w:r>
        <w:rPr>
          <w:iCs/>
          <w:i/>
        </w:rPr>
        <w:t xml:space="preserve">Birnbaum</w:t>
      </w:r>
      <w:r>
        <w:t xml:space="preserve"> </w:t>
      </w:r>
      <w:r>
        <w:t xml:space="preserve">rule, on the other hand, permits exclusion prior to trial of those plaintiffs who were not themselves purchasers or sellers of the stock in question. The fact of purchase of stock and the fact of sale of stock are generally matters which are verifiable by documentation, and do not depend upon oral recollection, so that failure to qualify under the</w:t>
      </w:r>
      <w:r>
        <w:t xml:space="preserve"> </w:t>
      </w:r>
      <w:r>
        <w:rPr>
          <w:iCs/>
          <w:i/>
        </w:rPr>
        <w:t xml:space="preserve">Birnbaum</w:t>
      </w:r>
      <w:r>
        <w:t xml:space="preserve"> </w:t>
      </w:r>
      <w:r>
        <w:t xml:space="preserve">rule is a matter that can normally be established by the defendant either on a motion to dismiss or on a motion for summary judgment.</w:t>
      </w:r>
    </w:p>
    <w:p>
      <w:pPr>
        <w:pStyle w:val="CaseBody"/>
      </w:pPr>
      <w:r>
        <w:t xml:space="preserve">Obviously there is no general legal principle that courts in fashioning substantive law should do so in a manner which makes it easier, rather than more difficult, for a defendant to obtain a summary judgment. But in this type of litigation, where the mere existence of an unresolved lawsuit has settlement value to the plaintiff not only because of the possibility that he may prevail on the merits, an entirely legitimate component of settlement value, but because of the threat of extensive discovery and disruption of normal business activities which may accompany a lawsuit which is groundless in any event, but cannot be proved so before trial, such a factor is not to be totally dismissed. The</w:t>
      </w:r>
      <w:r>
        <w:t xml:space="preserve"> </w:t>
      </w:r>
      <w:r>
        <w:rPr>
          <w:iCs/>
          <w:i/>
        </w:rPr>
        <w:t xml:space="preserve">Birnbaum</w:t>
      </w:r>
      <w:r>
        <w:t xml:space="preserve"> </w:t>
      </w:r>
      <w:r>
        <w:t xml:space="preserve">rule undoubtedly excludes plaintiffs who have in fact been damaged by violations of Rule 10b-5, and to that extent it is undesirable. But it also separates in a readily demonstrable manner the group of plaintiffs who actually purchased or actually sold, and whose version of the facts is therefore more likely to be believed by the trier of fact, from the vastly larger world of potential plaintiffs who might successfully allege a claim but could seldom succeed in proving it. And this fact is one of its advantages.</w:t>
      </w:r>
    </w:p>
    <w:p>
      <w:pPr>
        <w:pStyle w:val="CaseBody"/>
      </w:pPr>
      <w:r>
        <w:t xml:space="preserve">The second ground for fear of vexatious litigation is based on the concern that, given the generalized contours of liability, the abolition of the</w:t>
      </w:r>
      <w:r>
        <w:t xml:space="preserve"> </w:t>
      </w:r>
      <w:r>
        <w:rPr>
          <w:iCs/>
          <w:i/>
        </w:rPr>
        <w:t xml:space="preserve">Birnbaum</w:t>
      </w:r>
      <w:r>
        <w:t xml:space="preserve"> </w:t>
      </w:r>
      <w:r>
        <w:t xml:space="preserve">rule would throw open to the trier of fact many rather hazy issues of historical fact the proof of which depended almost entirely on oral testimony. We in no way disparage the worth and frequent high value of oral testimony when we say that dangers of its abuse appear to exist in this type of action to a peculiarly high degree. The Securities and Exchange Commission, while opposing the adoption of the</w:t>
      </w:r>
      <w:r>
        <w:t xml:space="preserve"> </w:t>
      </w:r>
      <w:r>
        <w:rPr>
          <w:iCs/>
          <w:i/>
        </w:rPr>
        <w:t xml:space="preserve">Birnbaum</w:t>
      </w:r>
      <w:r>
        <w:t xml:space="preserve"> </w:t>
      </w:r>
      <w:r>
        <w:t xml:space="preserve">rule by this Court, states that it agrees with petitioners “that the effect, if any, of a deceptive practice on someone who has neither purchased nor sold securities may be more difficult to demonstrate than is the effect on a purchaser or seller.” Brief for the Securities and Exchange Commission as</w:t>
      </w:r>
      <w:r>
        <w:t xml:space="preserve"> </w:t>
      </w:r>
      <w:r>
        <w:rPr>
          <w:iCs/>
          <w:i/>
        </w:rPr>
        <w:t xml:space="preserve">Amicus Curiae</w:t>
      </w:r>
      <w:r>
        <w:t xml:space="preserve"> </w:t>
      </w:r>
      <w:r>
        <w:t xml:space="preserve">24-25. The brief also points out that frivolous suits can be brought whatever the rules of standing, and reminds us of this Court’s recognition “in a different context” that “the expense and annoyance of litigation is 'part of the social burden of living under government.’ ”</w:t>
      </w:r>
      <w:r>
        <w:t xml:space="preserve"> </w:t>
      </w:r>
      <w:r>
        <w:rPr>
          <w:iCs/>
          <w:i/>
        </w:rPr>
        <w:t xml:space="preserve">Id.,</w:t>
      </w:r>
      <w:r>
        <w:t xml:space="preserve"> </w:t>
      </w:r>
      <w:r>
        <w:t xml:space="preserve">at 24 n. 30., See</w:t>
      </w:r>
      <w:r>
        <w:t xml:space="preserve"> </w:t>
      </w:r>
      <w:r>
        <w:rPr>
          <w:iCs/>
          <w:i/>
        </w:rPr>
        <w:t xml:space="preserve">Petroleum Exploration, Inc.</w:t>
      </w:r>
      <w:r>
        <w:t xml:space="preserve"> </w:t>
      </w:r>
      <w:r>
        <w:t xml:space="preserve">v.</w:t>
      </w:r>
      <w:r>
        <w:t xml:space="preserve"> </w:t>
      </w:r>
      <w:r>
        <w:rPr>
          <w:iCs/>
          <w:i/>
        </w:rPr>
        <w:t xml:space="preserve">Public Service Comm’n,</w:t>
      </w:r>
      <w:r>
        <w:t xml:space="preserve"> </w:t>
      </w:r>
      <w:r>
        <w:t xml:space="preserve">304 U. S. 209</w:t>
      </w:r>
      <w:r>
        <w:t xml:space="preserve">, 222 (1938). The Commission suggests that in particular cases additional requirements of corroboration of testimony and more limited measure of damages would correct the dangers of an expanded class of plaintiffs.</w:t>
      </w:r>
    </w:p>
    <w:p>
      <w:pPr>
        <w:pStyle w:val="CaseBody"/>
      </w:pPr>
      <w:r>
        <w:t xml:space="preserve">But the very necessity, or at least the desirability, of fashioning unique rules of corroboration and damages as a correlative to the abolition of the</w:t>
      </w:r>
      <w:r>
        <w:t xml:space="preserve"> </w:t>
      </w:r>
      <w:r>
        <w:rPr>
          <w:iCs/>
          <w:i/>
        </w:rPr>
        <w:t xml:space="preserve">Birnbaum</w:t>
      </w:r>
      <w:r>
        <w:t xml:space="preserve"> </w:t>
      </w:r>
      <w:r>
        <w:t xml:space="preserve">rule suggests that the rule itself may have something to be said for it.</w:t>
      </w:r>
    </w:p>
    <w:p>
      <w:pPr>
        <w:pStyle w:val="CaseBody"/>
      </w:pPr>
      <w:r>
        <w:t xml:space="preserve">In considering the policy underlying the</w:t>
      </w:r>
      <w:r>
        <w:t xml:space="preserve"> </w:t>
      </w:r>
      <w:r>
        <w:rPr>
          <w:iCs/>
          <w:i/>
        </w:rPr>
        <w:t xml:space="preserve">Birnbaum</w:t>
      </w:r>
      <w:r>
        <w:t xml:space="preserve"> </w:t>
      </w:r>
      <w:r>
        <w:t xml:space="preserve">rule, it is not inappropriate to advert briefly to the tort of misrepresentation and deceit, to which a claim under Rule 10b-5 certainly has some relationship. Originally under the common law of England such an action was not available to one other than a party to a business transaction. That limitation was eliminated in</w:t>
      </w:r>
      <w:r>
        <w:t xml:space="preserve"> </w:t>
      </w:r>
      <w:r>
        <w:rPr>
          <w:iCs/>
          <w:i/>
        </w:rPr>
        <w:t xml:space="preserve">Pasley</w:t>
      </w:r>
      <w:r>
        <w:t xml:space="preserve"> </w:t>
      </w:r>
      <w:r>
        <w:t xml:space="preserve">v.</w:t>
      </w:r>
      <w:r>
        <w:t xml:space="preserve"> </w:t>
      </w:r>
      <w:r>
        <w:rPr>
          <w:iCs/>
          <w:i/>
        </w:rPr>
        <w:t xml:space="preserve">Freeman,</w:t>
      </w:r>
      <w:r>
        <w:t xml:space="preserve"> </w:t>
      </w:r>
      <w:r>
        <w:t xml:space="preserve">3 T. R. 51, 100 Eng. Rep. 450 (1789). Under the earlier law the misrepresentation was generally required to be one of fact, rather than opinion, but that requirement, too, was gradually relaxed. Lord Bowen’s famous comment in</w:t>
      </w:r>
      <w:r>
        <w:t xml:space="preserve"> </w:t>
      </w:r>
      <w:r>
        <w:rPr>
          <w:iCs/>
          <w:i/>
        </w:rPr>
        <w:t xml:space="preserve">Edgington</w:t>
      </w:r>
      <w:r>
        <w:t xml:space="preserve"> </w:t>
      </w:r>
      <w:r>
        <w:t xml:space="preserve">v.</w:t>
      </w:r>
      <w:r>
        <w:t xml:space="preserve"> </w:t>
      </w:r>
      <w:r>
        <w:rPr>
          <w:iCs/>
          <w:i/>
        </w:rPr>
        <w:t xml:space="preserve">Fitzmaurice,</w:t>
      </w:r>
      <w:r>
        <w:t xml:space="preserve"> </w:t>
      </w:r>
      <w:r>
        <w:t xml:space="preserve">[1882] L. R. 29 Ch. Div. 459, 483, that “the state of a man’s mind is as much a fact as the state of his digestion,” suggests that this distinction, too, may have been somewhat arbitrary. And it has long been established in the ordinary case of deceit that a misrepresentation which leads to a refusal to purchase or to sell is actionable in just the same way as a misrepresentation which leads to the consummation of a purchase or sale.</w:t>
      </w:r>
      <w:r>
        <w:t xml:space="preserve"> </w:t>
      </w:r>
      <w:r>
        <w:rPr>
          <w:iCs/>
          <w:i/>
        </w:rPr>
        <w:t xml:space="preserve">Butler</w:t>
      </w:r>
      <w:r>
        <w:t xml:space="preserve"> </w:t>
      </w:r>
      <w:r>
        <w:t xml:space="preserve">v.</w:t>
      </w:r>
      <w:r>
        <w:t xml:space="preserve"> </w:t>
      </w:r>
      <w:r>
        <w:rPr>
          <w:iCs/>
          <w:i/>
        </w:rPr>
        <w:t xml:space="preserve">Watkins,</w:t>
      </w:r>
      <w:r>
        <w:t xml:space="preserve"> </w:t>
      </w:r>
      <w:r>
        <w:t xml:space="preserve">13 Wall. 456</w:t>
      </w:r>
      <w:r>
        <w:t xml:space="preserve"> </w:t>
      </w:r>
      <w:r>
        <w:t xml:space="preserve">(1872). These aspects of the evolution of the tort of deceit and misrepresentation suggest a direction away from rules such as</w:t>
      </w:r>
      <w:r>
        <w:t xml:space="preserve"> </w:t>
      </w:r>
      <w:r>
        <w:rPr>
          <w:iCs/>
          <w:i/>
        </w:rPr>
        <w:t xml:space="preserve">Birnbaum.</w:t>
      </w:r>
    </w:p>
    <w:p>
      <w:pPr>
        <w:pStyle w:val="CaseBody"/>
      </w:pPr>
      <w:r>
        <w:t xml:space="preserve">But the typical fact situation in which the classic tort of misrepresentation and deceit evolved was light years away from the world of commercial transactions to which Rule 10b-5 is applicable. The plaintiff in</w:t>
      </w:r>
      <w:r>
        <w:t xml:space="preserve"> </w:t>
      </w:r>
      <w:r>
        <w:rPr>
          <w:iCs/>
          <w:i/>
        </w:rPr>
        <w:t xml:space="preserve">Butler,</w:t>
      </w:r>
      <w:r>
        <w:rPr>
          <w:iCs/>
          <w:i/>
        </w:rPr>
        <w:t xml:space="preserve"> </w:t>
      </w:r>
      <w:r>
        <w:rPr>
          <w:iCs/>
          <w:i/>
        </w:rPr>
        <w:t xml:space="preserve">supra,</w:t>
      </w:r>
      <w:r>
        <w:t xml:space="preserve"> </w:t>
      </w:r>
      <w:r>
        <w:t xml:space="preserve">for example, claimed that he had held off the market a patented machine for tying cotton bales which he had developed by reason of the fraudulent representations of the defendant. But the report of the case leaves no doubt that the plaintiff and defendant met with one another in New Orleans, that one presented a draft agreement to the other, and that letters were exchanged relating to that agreement. Although the claim to damages was based on an allegedly fraudulently induced decision not to put the machines on the market, the plaintiff, and the defendant had concededly been engaged in the course of business dealings with one another, and would presumably have recognized one another on the street had they met.</w:t>
      </w:r>
    </w:p>
    <w:p>
      <w:pPr>
        <w:pStyle w:val="CaseBody"/>
      </w:pPr>
      <w:r>
        <w:t xml:space="preserve">In today’s universe of transactions governed by the 1934 Act, privity of dealing or even personal contact between potential, defendant and potential plaintiff is the exception and not the rule. The stock of issuers is listed on financial exchanges utilized by tens of millions of investors, and corporate representations reach a potential audience, encompassing not only the diligent few who peruse filed corporate reports or the sizable number of subscribers to financial journals, but the readership of the Nation’s daily newspapers. Obviously neither the fact that issuers or other potential defendants under Rule 10b-5 reach a large number of potential investors, or the fact that they are required by law to make their disclosures conform to certain standards, should in any way absolve them from liability for misconduct which is proscribed by Rule 10b-5.</w:t>
      </w:r>
    </w:p>
    <w:p>
      <w:pPr>
        <w:pStyle w:val="CaseBody"/>
      </w:pPr>
      <w:r>
        <w:t xml:space="preserve">But in the absence of the</w:t>
      </w:r>
      <w:r>
        <w:t xml:space="preserve"> </w:t>
      </w:r>
      <w:r>
        <w:rPr>
          <w:iCs/>
          <w:i/>
        </w:rPr>
        <w:t xml:space="preserve">Birnbaum</w:t>
      </w:r>
      <w:r>
        <w:t xml:space="preserve"> </w:t>
      </w:r>
      <w:r>
        <w:t xml:space="preserve">rule, it would be sufficient for a plaintiff to prove that he had failed to purchase or sell stock by reason of a defendant’s violation of Rule 10b-5. The manner in which the defendant’s violation caused the plaintiff to fail to act could be as a result of the reading of a prospectus, as respondent claims here, but it could just as easily come as a result of a claimed reading of information contained in the financial pages of a local newspaper. Plaintiff’s proof would not be that he purchased or sold stock, a fact which would be capable of documentary verification in most situations, but instead that he decided</w:t>
      </w:r>
      <w:r>
        <w:t xml:space="preserve"> </w:t>
      </w:r>
      <w:r>
        <w:rPr>
          <w:iCs/>
          <w:i/>
        </w:rPr>
        <w:t xml:space="preserve">not</w:t>
      </w:r>
      <w:r>
        <w:t xml:space="preserve"> </w:t>
      </w:r>
      <w:r>
        <w:t xml:space="preserve">to purchase or sell stock. Plaintiff’s entire testimony could be dependent upon uncorroborated oral evidence of many of the crucial elements of his claim, and still be sufficient to go to the jury. The jury would not even have the benefit of weighing the plaintiff’s version against the defendant’s version, since the elements to which the plaintiff would testify would be in many cases totally unknown and unknowable to the defendant. The very real risk in permitting those in respondent’s position to sue under Rule 10b-5 is that the door will be open to recovery of substantial damages on the part of one who offers only his own testimony to prove that he ever consulted a prospectus of the issuer, that he paid any attention to it, or that the representations contained in it damaged him.</w:t>
      </w:r>
      <w:r>
        <w:rPr>
          <w:rStyle w:val="FootnoteReference"/>
        </w:rPr>
        <w:footnoteReference w:customMarkFollows="1" w:id="226"/>
        <w:t xml:space="preserve">10</w:t>
      </w:r>
      <w:r>
        <w:t xml:space="preserve"> </w:t>
      </w:r>
      <w:r>
        <w:t xml:space="preserve">The virtue of the</w:t>
      </w:r>
      <w:r>
        <w:t xml:space="preserve"> </w:t>
      </w:r>
      <w:r>
        <w:rPr>
          <w:iCs/>
          <w:i/>
        </w:rPr>
        <w:t xml:space="preserve">Birnbaum</w:t>
      </w:r>
      <w:r>
        <w:t xml:space="preserve"> </w:t>
      </w:r>
      <w:r>
        <w:t xml:space="preserve">rule, simply stated, in this situation, is that it limits the class of plaintiffs to those who have at least dealt in the security to which the prospectus, representation, or omission relates. And their dealing in the security, whether by way of purchase or sale, will generally be an objectively demonstrable fact in an area of the law otherwise very much dependent upon oral testimony. In the absence of the</w:t>
      </w:r>
      <w:r>
        <w:t xml:space="preserve"> </w:t>
      </w:r>
      <w:r>
        <w:rPr>
          <w:iCs/>
          <w:i/>
        </w:rPr>
        <w:t xml:space="preserve">Birnbaum</w:t>
      </w:r>
      <w:r>
        <w:t xml:space="preserve"> </w:t>
      </w:r>
      <w:r>
        <w:t xml:space="preserve">doctrine, bystanders to the securities marketing process could await developments on the sidelines without risk, claiming that inaccuracies in disclosure caused nonselling in a falling market and that unduly pessimistic predictions by the issuer followed by a rising market caused them to allow retrospectively golden opportunities to pass.</w:t>
      </w:r>
    </w:p>
    <w:p>
      <w:pPr>
        <w:pStyle w:val="CaseBody"/>
      </w:pPr>
      <w:r>
        <w:t xml:space="preserve">While much of the development of the law of deceit has been the elimination of artificial barriers to recovery on just claims' we are not the first court to express concern that the inexorable broadening of the class of plaintiff who may sue in this area of the law will ultimately result in more harm than good. In</w:t>
      </w:r>
      <w:r>
        <w:t xml:space="preserve"> </w:t>
      </w:r>
      <w:r>
        <w:rPr>
          <w:iCs/>
          <w:i/>
        </w:rPr>
        <w:t xml:space="preserve">Ultramares Corp.</w:t>
      </w:r>
      <w:r>
        <w:t xml:space="preserve"> </w:t>
      </w:r>
      <w:r>
        <w:t xml:space="preserve">v.</w:t>
      </w:r>
      <w:r>
        <w:t xml:space="preserve"> </w:t>
      </w:r>
      <w:r>
        <w:rPr>
          <w:iCs/>
          <w:i/>
        </w:rPr>
        <w:t xml:space="preserve">Touche,</w:t>
      </w:r>
      <w:r>
        <w:t xml:space="preserve"> </w:t>
      </w:r>
      <w:r>
        <w:t xml:space="preserve">255 N. Y. 170</w:t>
      </w:r>
      <w:r>
        <w:t xml:space="preserve">,</w:t>
      </w:r>
      <w:r>
        <w:t xml:space="preserve"> </w:t>
      </w:r>
      <w:r>
        <w:t xml:space="preserve">174 N. E. 441</w:t>
      </w:r>
      <w:r>
        <w:t xml:space="preserve"> </w:t>
      </w:r>
      <w:r>
        <w:t xml:space="preserve">(1931), Chief Judge Cardozo observed with respect to “a liability in an indeterminate amount for an indeterminate time to an indeterminate class”:</w:t>
      </w:r>
    </w:p>
    <w:p>
      <w:pPr>
        <w:pStyle w:val="BlockText"/>
      </w:pPr>
      <w:r>
        <w:t xml:space="preserve">“The hazards of a business conducted on these terms are so extreme as to enkindle doubt whether a flaw may not exist in the implication of a duty that exposes to these consequences.”</w:t>
      </w:r>
      <w:r>
        <w:t xml:space="preserve"> </w:t>
      </w:r>
      <w:r>
        <w:rPr>
          <w:iCs/>
          <w:i/>
        </w:rPr>
        <w:t xml:space="preserve">Id.,</w:t>
      </w:r>
      <w:r>
        <w:t xml:space="preserve"> </w:t>
      </w:r>
      <w:r>
        <w:t xml:space="preserve">at 179-180,</w:t>
      </w:r>
      <w:r>
        <w:t xml:space="preserve"> </w:t>
      </w:r>
      <w:r>
        <w:t xml:space="preserve">174 N. E., at 444</w:t>
      </w:r>
      <w:r>
        <w:t xml:space="preserve">.</w:t>
      </w:r>
    </w:p>
    <w:p>
      <w:pPr>
        <w:pStyle w:val="CaseBody"/>
      </w:pPr>
      <w:r>
        <w:t xml:space="preserve">In</w:t>
      </w:r>
      <w:r>
        <w:t xml:space="preserve"> </w:t>
      </w:r>
      <w:r>
        <w:rPr>
          <w:iCs/>
          <w:i/>
        </w:rPr>
        <w:t xml:space="preserve">Herpich</w:t>
      </w:r>
      <w:r>
        <w:t xml:space="preserve"> </w:t>
      </w:r>
      <w:r>
        <w:t xml:space="preserve">v.</w:t>
      </w:r>
      <w:r>
        <w:t xml:space="preserve"> </w:t>
      </w:r>
      <w:r>
        <w:rPr>
          <w:iCs/>
          <w:i/>
        </w:rPr>
        <w:t xml:space="preserve">Wallace,</w:t>
      </w:r>
      <w:r>
        <w:t xml:space="preserve"> </w:t>
      </w:r>
      <w:r>
        <w:t xml:space="preserve">430 F. 2d 792</w:t>
      </w:r>
      <w:r>
        <w:t xml:space="preserve">, 804-805 (CA5 1970), a case adopting the</w:t>
      </w:r>
      <w:r>
        <w:t xml:space="preserve"> </w:t>
      </w:r>
      <w:r>
        <w:rPr>
          <w:iCs/>
          <w:i/>
        </w:rPr>
        <w:t xml:space="preserve">Birnbaum</w:t>
      </w:r>
      <w:r>
        <w:t xml:space="preserve"> </w:t>
      </w:r>
      <w:r>
        <w:t xml:space="preserve">limitation on the class of plaintiffs who might bring an action for damages based on a violation of Rule 1 Ob-5, Judge Ainsworth expressed concern similar to that expressed by Chief Judge Cardozo. Judge Stevens, writing in</w:t>
      </w:r>
      <w:r>
        <w:t xml:space="preserve"> </w:t>
      </w:r>
      <w:r>
        <w:rPr>
          <w:iCs/>
          <w:i/>
        </w:rPr>
        <w:t xml:space="preserve">Eason</w:t>
      </w:r>
      <w:r>
        <w:t xml:space="preserve"> </w:t>
      </w:r>
      <w:r>
        <w:t xml:space="preserve">v.</w:t>
      </w:r>
      <w:r>
        <w:t xml:space="preserve"> </w:t>
      </w:r>
      <w:r>
        <w:rPr>
          <w:iCs/>
          <w:i/>
        </w:rPr>
        <w:t xml:space="preserve">General Motors Acceptance Corp.,</w:t>
      </w:r>
      <w:r>
        <w:t xml:space="preserve"> </w:t>
      </w:r>
      <w:r>
        <w:t xml:space="preserve">490 F. 2d, at 660</w:t>
      </w:r>
      <w:r>
        <w:t xml:space="preserve">, stated that court’s view that these concerns were unduly emphasized, and went on to say that “we may not for that reason reject what we believe to be a correct interpretation of the statute or the rule.” He relied in part on the view that Rule 10b-5 should be interpreted, in keeping with this Court’s repeated admonition, “ ‘not technically and restrictively, but flexibly to effectuate its remedial purposes.’ ”</w:t>
      </w:r>
      <w:r>
        <w:t xml:space="preserve"> </w:t>
      </w:r>
      <w:r>
        <w:rPr>
          <w:iCs/>
          <w:i/>
        </w:rPr>
        <w:t xml:space="preserve">Affiliated Ute Citizens</w:t>
      </w:r>
      <w:r>
        <w:t xml:space="preserve"> </w:t>
      </w:r>
      <w:r>
        <w:t xml:space="preserve">v.</w:t>
      </w:r>
      <w:r>
        <w:t xml:space="preserve"> </w:t>
      </w:r>
      <w:r>
        <w:rPr>
          <w:iCs/>
          <w:i/>
        </w:rPr>
        <w:t xml:space="preserve">United States,</w:t>
      </w:r>
      <w:r>
        <w:t xml:space="preserve"> </w:t>
      </w:r>
      <w:r>
        <w:t xml:space="preserve">406 U. S., at 151</w:t>
      </w:r>
      <w:r>
        <w:t xml:space="preserve">.</w:t>
      </w:r>
    </w:p>
    <w:p>
      <w:pPr>
        <w:pStyle w:val="CaseBody"/>
      </w:pPr>
      <w:r>
        <w:t xml:space="preserve">We quite agree that if Congress had legislated the elements of a private cause of action for damages, the duty of the Judicial Branch would be to administer the law which Congress enacted; the Judiciary may not circumscribe a right which Congress has conferred because of any disagreement it might have with Congress about the wisdom of creating so expansive a liability. But as we have pointed out, we are not dealing here with any private right created by the express language of § 10 (b) or of Rule 10b-5. No language in either of those provisions speaks at all to the contours of a private cause of action for their violation. However flexibly we may construe the language of both provisions, nothing in such construction militates against the</w:t>
      </w:r>
      <w:r>
        <w:t xml:space="preserve"> </w:t>
      </w:r>
      <w:r>
        <w:rPr>
          <w:iCs/>
          <w:i/>
        </w:rPr>
        <w:t xml:space="preserve">Birnbaum</w:t>
      </w:r>
      <w:r>
        <w:t xml:space="preserve"> </w:t>
      </w:r>
      <w:r>
        <w:t xml:space="preserve">rule. We are dealing with a private cause of action which has been judicially found to exist, and which will have to be judicially delimited one way or another unless and until Congress addresses the question. Given the peculiar blend of legislative, administrative, and judicial history which now surrounds Rule 10b-5, we believe that practical factors to which we have adverted, and to which other courts have referred, are entitled to a good deal of weight.</w:t>
      </w:r>
    </w:p>
    <w:p>
      <w:pPr>
        <w:pStyle w:val="CaseBody"/>
      </w:pPr>
      <w:r>
        <w:t xml:space="preserve">Thus we conclude that what may be called considerations of policy, which we are free to weigh in deciding this case, are by no means entirely on one side of the scale. Taken together with the precedential support for the</w:t>
      </w:r>
      <w:r>
        <w:t xml:space="preserve"> </w:t>
      </w:r>
      <w:r>
        <w:rPr>
          <w:iCs/>
          <w:i/>
        </w:rPr>
        <w:t xml:space="preserve">Birnbaum</w:t>
      </w:r>
      <w:r>
        <w:t xml:space="preserve"> </w:t>
      </w:r>
      <w:r>
        <w:t xml:space="preserve">rule over a period of more than 20 years, and the consistency of that rule with what we can glean from the intent of Congress, they lead us to conclude that it is a sound rule and should be followed.</w:t>
      </w:r>
    </w:p>
    <w:p>
      <w:pPr>
        <w:pStyle w:val="CaseBody"/>
      </w:pPr>
      <w:r>
        <w:t xml:space="preserve">IV</w:t>
      </w:r>
    </w:p>
    <w:p>
      <w:pPr>
        <w:pStyle w:val="CaseBody"/>
      </w:pPr>
      <w:r>
        <w:t xml:space="preserve">The majority of the Court of Appeals in this case expressed no disagreement with the general proposition that one asserting a claim for damages based on the violation of Rule 10b-5 must be either a purchaser or seller of securities. However, it noted that prior cases have held that persons owning contractual rights to buy or sell securities are not excluded by the</w:t>
      </w:r>
      <w:r>
        <w:t xml:space="preserve"> </w:t>
      </w:r>
      <w:r>
        <w:rPr>
          <w:iCs/>
          <w:i/>
        </w:rPr>
        <w:t xml:space="preserve">Birnbaum</w:t>
      </w:r>
      <w:r>
        <w:t xml:space="preserve"> </w:t>
      </w:r>
      <w:r>
        <w:t xml:space="preserve">rule. Relying on these cases, it concluded that respondent’s status as an offeree pursuant to the terms of the consent decree served the same function, for purposes of delimiting the class of plaintiffs, as is normally performed by the requirement of a contractual relationship.</w:t>
      </w:r>
      <w:r>
        <w:t xml:space="preserve"> </w:t>
      </w:r>
      <w:r>
        <w:t xml:space="preserve">492 F. 2d, at 142</w:t>
      </w:r>
      <w:r>
        <w:t xml:space="preserve">.</w:t>
      </w:r>
    </w:p>
    <w:p>
      <w:pPr>
        <w:pStyle w:val="CaseBody"/>
      </w:pPr>
      <w:r>
        <w:t xml:space="preserve">The Court of Appeals recognized, and respondent concedes here,</w:t>
      </w:r>
      <w:r>
        <w:rPr>
          <w:rStyle w:val="FootnoteReference"/>
        </w:rPr>
        <w:footnoteReference w:customMarkFollows="1" w:id="243"/>
        <w:t xml:space="preserve">11</w:t>
      </w:r>
      <w:r>
        <w:t xml:space="preserve"> </w:t>
      </w:r>
      <w:r>
        <w:t xml:space="preserve">that a well-settled line of authority from this Court establishes that a consent decree is not enforceable directly or in collateral proceedings by those who are not parties to it even though they were intended to be benefited by it.</w:t>
      </w:r>
      <w:r>
        <w:t xml:space="preserve"> </w:t>
      </w:r>
      <w:r>
        <w:rPr>
          <w:iCs/>
          <w:i/>
        </w:rPr>
        <w:t xml:space="preserve">United States</w:t>
      </w:r>
      <w:r>
        <w:t xml:space="preserve"> </w:t>
      </w:r>
      <w:r>
        <w:t xml:space="preserve">v.</w:t>
      </w:r>
      <w:r>
        <w:t xml:space="preserve"> </w:t>
      </w:r>
      <w:r>
        <w:rPr>
          <w:iCs/>
          <w:i/>
        </w:rPr>
        <w:t xml:space="preserve">Armour &amp; Co.,</w:t>
      </w:r>
      <w:r>
        <w:t xml:space="preserve"> </w:t>
      </w:r>
      <w:r>
        <w:t xml:space="preserve">402 U. S. 673</w:t>
      </w:r>
      <w:r>
        <w:t xml:space="preserve"> </w:t>
      </w:r>
      <w:r>
        <w:t xml:space="preserve">(1971);</w:t>
      </w:r>
      <w:r>
        <w:t xml:space="preserve"> </w:t>
      </w:r>
      <w:r>
        <w:rPr>
          <w:iCs/>
          <w:i/>
        </w:rPr>
        <w:t xml:space="preserve">Buckeye Co.</w:t>
      </w:r>
      <w:r>
        <w:t xml:space="preserve"> </w:t>
      </w:r>
      <w:r>
        <w:t xml:space="preserve">v.</w:t>
      </w:r>
      <w:r>
        <w:t xml:space="preserve"> </w:t>
      </w:r>
      <w:r>
        <w:rPr>
          <w:iCs/>
          <w:i/>
        </w:rPr>
        <w:t xml:space="preserve">Hocking Valley Co.,</w:t>
      </w:r>
      <w:r>
        <w:t xml:space="preserve"> </w:t>
      </w:r>
      <w:r>
        <w:t xml:space="preserve">269 U. S. 42</w:t>
      </w:r>
      <w:r>
        <w:t xml:space="preserve"> </w:t>
      </w:r>
      <w:r>
        <w:t xml:space="preserve">(1925).</w:t>
      </w:r>
      <w:r>
        <w:rPr>
          <w:rStyle w:val="FootnoteReference"/>
        </w:rPr>
        <w:footnoteReference w:customMarkFollows="1" w:id="259"/>
        <w:t xml:space="preserve">12</w:t>
      </w:r>
    </w:p>
    <w:p>
      <w:pPr>
        <w:pStyle w:val="CaseBody"/>
      </w:pPr>
      <w:r>
        <w:t xml:space="preserve">A contract to purchase or sell securities is expressly defined by § 3 (a) of the 1934 Act, 15 U. S. C. § 78c (a),</w:t>
      </w:r>
      <w:r>
        <w:rPr>
          <w:rStyle w:val="FootnoteReference"/>
        </w:rPr>
        <w:footnoteReference w:customMarkFollows="1" w:id="275"/>
        <w:t xml:space="preserve">13</w:t>
      </w:r>
      <w:r>
        <w:t xml:space="preserve"> </w:t>
      </w:r>
      <w:r>
        <w:t xml:space="preserve">as a purchase or sale of securities for the purposes of that Act. Unlike respondent, which had no contractual right or duty to purchase Blue Chip’s securities, the holders of puts, calls, options, and other contractual rights or duties to purchase or sell securities have been recognized as “purchasers” or “sellers” of securities for purposes of Rule 10b-5, not because of a judicial conclusion that they were similarly situated to “purchasers” or “sellers,” but because the definitional provisions of the 1934 Act themselves grant them such a status.</w:t>
      </w:r>
    </w:p>
    <w:p>
      <w:pPr>
        <w:pStyle w:val="CaseBody"/>
      </w:pPr>
      <w:r>
        <w:t xml:space="preserve">Even if we were to accept the notion that the</w:t>
      </w:r>
      <w:r>
        <w:t xml:space="preserve"> </w:t>
      </w:r>
      <w:r>
        <w:rPr>
          <w:iCs/>
          <w:i/>
        </w:rPr>
        <w:t xml:space="preserve">Birnbaum,</w:t>
      </w:r>
      <w:r>
        <w:t xml:space="preserve"> </w:t>
      </w:r>
      <w:r>
        <w:t xml:space="preserve">rule could be circumvented on a case-by-case basis through particularized judicial inquiry into the facts surrounding a complaint, this respondent arid the members of its alleged class would be unlikely candidates for such a judicially created exception. While the</w:t>
      </w:r>
      <w:r>
        <w:t xml:space="preserve"> </w:t>
      </w:r>
      <w:r>
        <w:rPr>
          <w:iCs/>
          <w:i/>
        </w:rPr>
        <w:t xml:space="preserve">Birnbaum</w:t>
      </w:r>
      <w:r>
        <w:t xml:space="preserve"> </w:t>
      </w:r>
      <w:r>
        <w:t xml:space="preserve">rule has been flexibly interpreted by lower federal courts,</w:t>
      </w:r>
      <w:r>
        <w:rPr>
          <w:rStyle w:val="FootnoteReference"/>
        </w:rPr>
        <w:footnoteReference w:customMarkFollows="1" w:id="291"/>
        <w:t xml:space="preserve">14</w:t>
      </w:r>
      <w:r>
        <w:t xml:space="preserve"> </w:t>
      </w:r>
      <w:r>
        <w:t xml:space="preserve">we have been unable to locate a single decided case from any court in the 20-odd years of litigation since the</w:t>
      </w:r>
      <w:r>
        <w:t xml:space="preserve"> </w:t>
      </w:r>
      <w:r>
        <w:rPr>
          <w:iCs/>
          <w:i/>
        </w:rPr>
        <w:t xml:space="preserve">Birnbaum</w:t>
      </w:r>
      <w:r>
        <w:t xml:space="preserve"> </w:t>
      </w:r>
      <w:r>
        <w:t xml:space="preserve">decision which would support the right of persons who were in the position of respondent here to bring a private suit under Rule 10b-5. Respondent was not only not a buyer or seller of any security but it was not even a shareholder of the corporate petitioners.</w:t>
      </w:r>
    </w:p>
    <w:p>
      <w:pPr>
        <w:pStyle w:val="CaseBody"/>
      </w:pPr>
      <w:r>
        <w:t xml:space="preserve">As indicated, the 1934 Act, under which respondent seeks to assert a cause of action, is general in scope but chiefly concerned with the regulation of post-distribution trading on the Nation’s stock exchanges and securities trading markets. The 1933 Act is a far narrower statute chiefly concerned -with disclosure and fraud in connection with offerings of securities — primarily, as here, initial distributions of newly issued stock from corporate issuers. 1 L. Loss, Securities Regulation 130-131 (2d ed. 1961). Respondent, who derives no entitlement from the antitrust consent decree and does not otherwise possess any contractual rights relating to the offered stock, stands in the same position as any other disappointed offeree of a stock offering registered under the 1933 Act who claims that an overly pessimistic prospectus, prepared and distributed as required by §§ 5 and 10 of the 1933 Act, has caused it to allow its opportunity to purchase to pass.</w:t>
      </w:r>
    </w:p>
    <w:p>
      <w:pPr>
        <w:pStyle w:val="CaseBody"/>
      </w:pPr>
      <w:r>
        <w:t xml:space="preserve">There is strong evidence that application of the</w:t>
      </w:r>
      <w:r>
        <w:t xml:space="preserve"> </w:t>
      </w:r>
      <w:r>
        <w:rPr>
          <w:iCs/>
          <w:i/>
        </w:rPr>
        <w:t xml:space="preserve">Birnbaum</w:t>
      </w:r>
      <w:r>
        <w:t xml:space="preserve"> </w:t>
      </w:r>
      <w:r>
        <w:t xml:space="preserve">rule to preclude suit by the disappointed offeree of a registered 1933 Act offering under Rule 10b-5 furthers the intention of Congress as expressed in the 1933 Act.</w:t>
      </w:r>
      <w:r>
        <w:rPr>
          <w:rStyle w:val="FootnoteReference"/>
        </w:rPr>
        <w:footnoteReference w:customMarkFollows="1" w:id="307"/>
        <w:t xml:space="preserve">15</w:t>
      </w:r>
      <w:r>
        <w:t xml:space="preserve"> </w:t>
      </w:r>
      <w:r>
        <w:t xml:space="preserve">Congress left little doubt that its purpose in imposing the prospectus and registration requirements of the 1933 Act was to prevent the “[h]igh pressure salesmanship rather than careful counsel,” causing inflated new issues, through direct limitation by the SEC of “the selling arguments hitherto employed.” H. R. Rep. No. 85, 73d Cong., 1st Sess., 2, 8 (1933).</w:t>
      </w:r>
    </w:p>
    <w:p>
      <w:pPr>
        <w:pStyle w:val="BlockText"/>
      </w:pPr>
      <w:r>
        <w:t xml:space="preserve">“Any objection that the compulsory incorporation in selling literature and sales argument of substantially all information concerning the issue, will frighten the buyer with the intricacy of the transaction, states one of the best arguments for the provision.”</w:t>
      </w:r>
      <w:r>
        <w:t xml:space="preserve"> </w:t>
      </w:r>
      <w:r>
        <w:rPr>
          <w:iCs/>
          <w:i/>
        </w:rPr>
        <w:t xml:space="preserve">Id.,</w:t>
      </w:r>
      <w:r>
        <w:t xml:space="preserve"> </w:t>
      </w:r>
      <w:r>
        <w:t xml:space="preserve">at 8.</w:t>
      </w:r>
    </w:p>
    <w:p>
      <w:pPr>
        <w:pStyle w:val="CaseBody"/>
      </w:pPr>
      <w:r>
        <w:t xml:space="preserve">The SEC, in accord with the congressional purposes, specifically requires prominent emphasis be given in filed registration statements and prospectuses to material adverse contingencies. See,</w:t>
      </w:r>
      <w:r>
        <w:t xml:space="preserve"> </w:t>
      </w:r>
      <w:r>
        <w:rPr>
          <w:iCs/>
          <w:i/>
        </w:rPr>
        <w:t xml:space="preserve">e. g.,</w:t>
      </w:r>
      <w:r>
        <w:t xml:space="preserve"> </w:t>
      </w:r>
      <w:r>
        <w:t xml:space="preserve">SEC Securities Act Release No. 4936, Guides for the Preparation and Filing of Registration Statements 6, ¶ 6 (1968);</w:t>
      </w:r>
      <w:r>
        <w:t xml:space="preserve"> </w:t>
      </w:r>
      <w:r>
        <w:rPr>
          <w:iCs/>
          <w:i/>
        </w:rPr>
        <w:t xml:space="preserve">In re Universal Camera Corp.,</w:t>
      </w:r>
      <w:r>
        <w:t xml:space="preserve"> </w:t>
      </w:r>
      <w:r>
        <w:t xml:space="preserve">19 S. E. C. 648, 654-656 (1945); Wheat &amp; Blackstone, Guideposts for a First Public Offering, 15 Bus. Law. 539, 560-562 (1960).</w:t>
      </w:r>
    </w:p>
    <w:p>
      <w:pPr>
        <w:pStyle w:val="CaseBody"/>
      </w:pPr>
      <w:r>
        <w:t xml:space="preserve">Sections 11 and 12 of the 1933 Act provide express civil remedies for misrepresentations and omissions in registration statements and prospectuses filed under the Act, as here charged, but restrict recovery to the offering priee of shares actually purchased:</w:t>
      </w:r>
    </w:p>
    <w:p>
      <w:pPr>
        <w:pStyle w:val="BlockText"/>
      </w:pPr>
      <w:r>
        <w:t xml:space="preserve">“To impose a greater responsibility, apart from constitutional doubts, would unnecessarily restrain the conscientious administration of honest business with no compensating advantage to the public.” H. R. Rep. No. 85,</w:t>
      </w:r>
      <w:r>
        <w:t xml:space="preserve"> </w:t>
      </w:r>
      <w:r>
        <w:rPr>
          <w:iCs/>
          <w:i/>
        </w:rPr>
        <w:t xml:space="preserve">supra,</w:t>
      </w:r>
      <w:r>
        <w:t xml:space="preserve"> </w:t>
      </w:r>
      <w:r>
        <w:t xml:space="preserve">at 9.</w:t>
      </w:r>
    </w:p>
    <w:p>
      <w:pPr>
        <w:pStyle w:val="CaseBody"/>
      </w:pPr>
      <w:r>
        <w:t xml:space="preserve">And in Title II of the 1934 Act,</w:t>
      </w:r>
      <w:r>
        <w:t xml:space="preserve"> </w:t>
      </w:r>
      <w:r>
        <w:t xml:space="preserve">48 Stat. 905</w:t>
      </w:r>
      <w:r>
        <w:t xml:space="preserve">-908, the same Act adopting § 10 (b), Congress amended § 11 of the 1933 Act to limit still further the express civil remedy it conferred. See generally James, Amendments to the Securities Act of 1933,</w:t>
      </w:r>
      <w:r>
        <w:t xml:space="preserve"> </w:t>
      </w:r>
      <w:r>
        <w:t xml:space="preserve">32 Mich. L. Rev. 1130</w:t>
      </w:r>
      <w:r>
        <w:t xml:space="preserve">, 1134 (1934). The additional congressional restrictions, contained in Title II of the 1934 Act, on the already limited express civil remedies provided by the 1933 Act for misrepresentations or omissions in a registration statement or prospectus reflected congressional concern over the impact of even these limited remedies on the new issues market. 78 Cong. Rec. 8668-8669 (1934). There is thus ample evidence that Congress did not intend to extend a private cause of action for money damages to the nonpurchasing offeree of a stock offering registered under the 1933 Act for loss of the opportunity to purchase due to an overly pessimistic prospectus.</w:t>
      </w:r>
    </w:p>
    <w:p>
      <w:pPr>
        <w:pStyle w:val="CaseBody"/>
      </w:pPr>
      <w:r>
        <w:t xml:space="preserve">Beyond the difficulties evident in an extension of standing to this respondent, we do not believe that the</w:t>
      </w:r>
      <w:r>
        <w:t xml:space="preserve"> </w:t>
      </w:r>
      <w:r>
        <w:rPr>
          <w:iCs/>
          <w:i/>
        </w:rPr>
        <w:t xml:space="preserve">Bimbaum</w:t>
      </w:r>
      <w:r>
        <w:t xml:space="preserve"> </w:t>
      </w:r>
      <w:r>
        <w:t xml:space="preserve">rule is merely a shorthand judgment on the nature of a particular plaintiff’s proof. As a purely practical matter, it is doubtless true that respondent and the members of its class, as offerees and recipients of the prospectus of New Blue Chip, are a smaller class of potential plaintiffs than would be all those who might conceivably assert that they obtained information violative of Rule 10b-5 and attributable to the issuer in the financial pages of their local newspaper. And since respondent likewise had a prior connection with some of petitioners as a result of using the trading stamps marketed by Old Blue Chip, and was intended to benefit from the provisions of the consent decree, there is doubtless more likelihood that its managers read and were damaged by the allegedly misleading statements in the prospectus than there would be in a case filed by a complete stranger to the corporation.</w:t>
      </w:r>
    </w:p>
    <w:p>
      <w:pPr>
        <w:pStyle w:val="CaseBody"/>
      </w:pPr>
      <w:r>
        <w:t xml:space="preserve">But respondent and the members of its class are neither “purchasers” nor “sellers,” as those terms are defined in the 1934 Act, and therefore to the extent that their claim of standing to sue were recognized, it would mean that the lesser practical difficulties of corroborating at least some elements of their proof would be regarded as sufficient to avoid the</w:t>
      </w:r>
      <w:r>
        <w:t xml:space="preserve"> </w:t>
      </w:r>
      <w:r>
        <w:rPr>
          <w:iCs/>
          <w:i/>
        </w:rPr>
        <w:t xml:space="preserve">Birnbaum</w:t>
      </w:r>
      <w:r>
        <w:t xml:space="preserve"> </w:t>
      </w:r>
      <w:r>
        <w:t xml:space="preserve">rule. While we have noted that these practical difficulties, particularly in the case of a complete stranger to the corporation, support the retention of that rule, they are by no means the only factor which does so. The general adoption of the rule by other federal courts in the 25 years since it was announced, and the consistency of the rule with the statutes involved and their legislative history, are likewise bases for retaining the rule. Were we to agree with the Court of Appeals in this case, we would leave the</w:t>
      </w:r>
      <w:r>
        <w:t xml:space="preserve"> </w:t>
      </w:r>
      <w:r>
        <w:rPr>
          <w:iCs/>
          <w:i/>
        </w:rPr>
        <w:t xml:space="preserve">Birnbaum</w:t>
      </w:r>
      <w:r>
        <w:t xml:space="preserve"> </w:t>
      </w:r>
      <w:r>
        <w:t xml:space="preserve">rule open to endless case-by-case erosion depending on whether a particular group of plaintiffs was thought by the court in which the issue was being litigated to be sufficiently more discrete than the world of potential purchasers at large to justify an exception. We do not believe that such a shifting and highly fact-oriented disposition of the issue of who may bring a damages claim for violation of Rule 10b-5 is a satisfactory basis for a rule of liability imposed on the. conduct of business transactions. Nor is it as consistent as a straightforward application of the</w:t>
      </w:r>
      <w:r>
        <w:t xml:space="preserve"> </w:t>
      </w:r>
      <w:r>
        <w:rPr>
          <w:iCs/>
          <w:i/>
        </w:rPr>
        <w:t xml:space="preserve">Birnbaum</w:t>
      </w:r>
      <w:r>
        <w:t xml:space="preserve"> </w:t>
      </w:r>
      <w:r>
        <w:t xml:space="preserve">rule with the other factors which support the retention of that rule. We therefore hold that respondent was not entitled to sue for violation of Rule 10b-5, and the judgment of the Court of Appeals is</w:t>
      </w:r>
    </w:p>
    <w:p>
      <w:pPr>
        <w:pStyle w:val="CaseBody"/>
      </w:pPr>
      <w:r>
        <w:rPr>
          <w:iCs/>
          <w:i/>
        </w:rPr>
        <w:t xml:space="preserve">Reversed.</w:t>
      </w:r>
    </w:p>
    <w:p>
      <w:pPr>
        <w:pStyle w:val="CaseBody"/>
      </w:pPr>
      <w:r>
        <w:t xml:space="preserve">Mr. Justice Powell,</w:t>
      </w:r>
    </w:p>
    <w:p>
      <w:pPr>
        <w:pStyle w:val="CaseBody"/>
      </w:pPr>
      <w:r>
        <w:t xml:space="preserve">with whom Mr. Justice Stewart and Mr. Justice Marshall join, concurring.</w:t>
      </w:r>
    </w:p>
    <w:p>
      <w:pPr>
        <w:pStyle w:val="CaseBody"/>
      </w:pPr>
      <w:r>
        <w:t xml:space="preserve">Although I join the opinion of the Court, I write to emphasize the significance of the texts of the Acts of 1933 and 1934 and especially the language of § 10 (b) and Rule 10b-5.</w:t>
      </w:r>
    </w:p>
    <w:p>
      <w:pPr>
        <w:pStyle w:val="CaseBody"/>
      </w:pPr>
      <w:r>
        <w:t xml:space="preserve">I</w:t>
      </w:r>
    </w:p>
    <w:p>
      <w:pPr>
        <w:pStyle w:val="CaseBody"/>
      </w:pPr>
      <w:r>
        <w:t xml:space="preserve">The starting point in every case involving construction of a statute is the language itself. The critical phrase in both the statute and the Rule is “in connection with the</w:t>
      </w:r>
      <w:r>
        <w:t xml:space="preserve"> </w:t>
      </w:r>
      <w:r>
        <w:rPr>
          <w:iCs/>
          <w:i/>
        </w:rPr>
        <w:t xml:space="preserve">purchase</w:t>
      </w:r>
      <w:r>
        <w:t xml:space="preserve"> </w:t>
      </w:r>
      <w:r>
        <w:t xml:space="preserve">or</w:t>
      </w:r>
      <w:r>
        <w:t xml:space="preserve"> </w:t>
      </w:r>
      <w:r>
        <w:rPr>
          <w:iCs/>
          <w:i/>
        </w:rPr>
        <w:t xml:space="preserve">sale</w:t>
      </w:r>
      <w:r>
        <w:t xml:space="preserve"> </w:t>
      </w:r>
      <w:r>
        <w:t xml:space="preserve">of any security.” 15 U. S. C. § 78j (b);</w:t>
      </w:r>
      <w:r>
        <w:t xml:space="preserve"> </w:t>
      </w:r>
      <w:r>
        <w:t xml:space="preserve">17 CFR § 240</w:t>
      </w:r>
      <w:r>
        <w:t xml:space="preserve">.10b-5 (1975) (emphasis added). Section 3 (a) (14) of the 1934 Act, 15 U. S. C. § 78c (a) (14), provides that the term “sale” shall “include any contract to sell or otherwise dispose of” securities. There is no hint in any provision of the Act that the term “sale,” as used in § 10 (b), was intended — in addition to its long-established legal meaning — to include an “offer to sell.” Respondent, nevertheless, would have us amend the controlling language in § 10 (b) to read:</w:t>
      </w:r>
    </w:p>
    <w:p>
      <w:pPr>
        <w:pStyle w:val="BlockText"/>
      </w:pPr>
      <w:r>
        <w:t xml:space="preserve">“in connection with the purchase or sale of, or an offer to sell, any security.”</w:t>
      </w:r>
    </w:p>
    <w:p>
      <w:pPr>
        <w:pStyle w:val="CaseBody"/>
      </w:pPr>
      <w:r>
        <w:t xml:space="preserve">Before a court properly could consider taking such liberty with statutory language there should be, at least, unmistakable support in the history and structure of the legislation. None exists in this case.</w:t>
      </w:r>
    </w:p>
    <w:p>
      <w:pPr>
        <w:pStyle w:val="CaseBody"/>
      </w:pPr>
      <w:r>
        <w:t xml:space="preserve">Nothing in the history of the 1933 and 1934 Acts supports any congressional intent to include mere offers in § 10 (b). Moreover, as the Court’s opinion indicates, impressive evidence in the texts of the two Acts demonstrates clearly that Congress selectively and carefully distinguished between offers, purchases, and sales. For example, § 17 (a), the antifraud provision of the 1933 Act, 15 U. S. C. § 77q (a), expressly includes “offer[s]” of securities within its terms while § 10 (b) of the 1934 Act and Rule 10b-5 do not. The 1933 Act also defines “offer to sell” as something distinct from a sale. § 2 (3), 15 U. S. C. § 77b (3).</w:t>
      </w:r>
    </w:p>
    <w:p>
      <w:pPr>
        <w:pStyle w:val="CaseBody"/>
      </w:pPr>
      <w:r>
        <w:t xml:space="preserve">If further evidence of congressional intent were needed, it may be found in the subsequent history of these Acts. As noted in the Court’s opinion, the Securities and Exchange Commission unsuccessfully sought, in 1957 and again in 1959, to persuade Congress to broaden § 10 (b) by adding to the critical language: “or any attempt to purchase or sell” any security. See</w:t>
      </w:r>
      <w:r>
        <w:t xml:space="preserve"> </w:t>
      </w:r>
      <w:r>
        <w:rPr>
          <w:iCs/>
          <w:i/>
        </w:rPr>
        <w:t xml:space="preserve">ante,</w:t>
      </w:r>
      <w:r>
        <w:t xml:space="preserve"> </w:t>
      </w:r>
      <w:r>
        <w:t xml:space="preserve">at 732.</w:t>
      </w:r>
    </w:p>
    <w:p>
      <w:pPr>
        <w:pStyle w:val="CaseBody"/>
      </w:pPr>
      <w:r>
        <w:t xml:space="preserve">This case involves no “purchase or sale” of securities.</w:t>
      </w:r>
      <w:r>
        <w:rPr>
          <w:rStyle w:val="FootnoteReference"/>
        </w:rPr>
        <w:footnoteReference w:customMarkFollows="1" w:id="20"/>
        <w:t xml:space="preserve">1</w:t>
      </w:r>
      <w:r>
        <w:t xml:space="preserve"> </w:t>
      </w:r>
      <w:r>
        <w:t xml:space="preserve">Respondent was a mere offeree, which instituted this suit some two years after the shares were issued and after the market price had soared. Having “missed the market” on a stock, it is hardly in a unique position. The capital that fuels our enterprise system comes from investors who have frequent opportunities to purchase, or not to purchase, securities being offered publicly. The market prices of new issues rarely remain static: almost invariably they go up or down, and they often fluctuate widely over a period far less than the two years during which respondent reflected on its lost opportunity. Most investors have unhappy memories of decisions not to buy stocks which later performed well.</w:t>
      </w:r>
    </w:p>
    <w:p>
      <w:pPr>
        <w:pStyle w:val="CaseBody"/>
      </w:pPr>
      <w:r>
        <w:t xml:space="preserve">The opinion of the Court, and the dissenting opinion of Judge Hufstedler in the Court of Appeals, correctly emphasize the subjective nature of the inevitable inquiry if the term “offer” were read into the Act and some arguable error could be found in an offering prospectus: “Would I have purchased this particular security at the time it was offered if I had known the correct facts?” Apart from the human temptation for the plaintiff to answer this question in a self-serving fashion, the offeror of the securities — defendant in the suit — is severely handicapped in challenging the predictable testimony.</w:t>
      </w:r>
      <w:r>
        <w:rPr>
          <w:rStyle w:val="FootnoteReference"/>
        </w:rPr>
        <w:footnoteReference w:customMarkFollows="1" w:id="51"/>
        <w:t xml:space="preserve">2</w:t>
      </w:r>
      <w:r>
        <w:t xml:space="preserve"> </w:t>
      </w:r>
      <w:r>
        <w:t xml:space="preserve">The subjective issues would be even more speculative in the class actions that inevitably would follow if we held that offers to sell securities are covered by § 10 (b) and Rule 10b-5.</w:t>
      </w:r>
    </w:p>
    <w:p>
      <w:pPr>
        <w:pStyle w:val="CaseBody"/>
      </w:pPr>
      <w:r>
        <w:t xml:space="preserve">In this case respondent was clearly identifiable as an offeree, as here the shares were offered to designated persons.</w:t>
      </w:r>
      <w:r>
        <w:rPr>
          <w:rStyle w:val="FootnoteReference"/>
        </w:rPr>
        <w:footnoteReference w:customMarkFollows="1" w:id="78"/>
        <w:t xml:space="preserve">3</w:t>
      </w:r>
      <w:r>
        <w:t xml:space="preserve"> </w:t>
      </w:r>
      <w:r>
        <w:t xml:space="preserve">In the more customary public sale of securities, identification of those who in fact were bona fide offerees would present severe problems of proof. The 1933 Act requires that offers to sell registered securities be made by means of an effective prospectus. § 5 (b), 15 U. S. C. §77e(b). Issues are usually marketed through underwriters and dealers, often including scores of investment banking and brokerage firms across the country. Copies of the prospectus may be widely distributed through the dealer group, and then passed hand to hand among countless persons whose identities cannot be known. If § 10 (b) were extended to embrace offers to sell, the number of persons claiming to have been offerees could be legion with respect to any security that subsequently proved to be a rewarding investment.</w:t>
      </w:r>
    </w:p>
    <w:p>
      <w:pPr>
        <w:pStyle w:val="CaseBody"/>
      </w:pPr>
      <w:r>
        <w:t xml:space="preserve">We are entitled to assume that the Congress, in enacting § 10 (b) and in subsequently declining to extend it, took into account these and similar considerations. The courts already have inferred a private cause of action that was not authorized by the legislation. In doing this, however, it was unnecessary to rewrite the precise language of § 10 (b) and Rule 10b-5. This is exactly what respondent — joined, surprisingly, by the SEC— sought in this case.</w:t>
      </w:r>
      <w:r>
        <w:rPr>
          <w:rStyle w:val="FootnoteReference"/>
        </w:rPr>
        <w:footnoteReference w:customMarkFollows="1" w:id="103"/>
        <w:t xml:space="preserve">4</w:t>
      </w:r>
      <w:r>
        <w:t xml:space="preserve"> </w:t>
      </w:r>
      <w:r>
        <w:t xml:space="preserve">If such a far-reaching change is to be made, with unpredictable consequences for the process of raising capital so necessary to our économic well-being, it is a matter for the Congress, not the courts.</w:t>
      </w:r>
    </w:p>
    <w:p>
      <w:pPr>
        <w:pStyle w:val="CaseBody"/>
      </w:pPr>
      <w:r>
        <w:t xml:space="preserve">II</w:t>
      </w:r>
    </w:p>
    <w:p>
      <w:pPr>
        <w:pStyle w:val="CaseBody"/>
      </w:pPr>
      <w:r>
        <w:t xml:space="preserve">Mr. Justice Blackmun’s dissent charges the Court with “a preternatural solicitousness for corporate well-being and a seeming callousness toward the investing public.” Our task in this case is to construe a statute. In my view, the answer is plainly compelled by the language as well as the legislative history of the 1933 and 1934 Acts. But even if the language is not “plain” to all, I would have thought none could doubt that the statute can be read fairly to support the result the Court reaches. Indeed, if one takes a different view — and imputes callousness to all who disagree — he must attribute a lack of legal and social perception to the scores of federal judges who have followed</w:t>
      </w:r>
      <w:r>
        <w:t xml:space="preserve"> </w:t>
      </w:r>
      <w:r>
        <w:rPr>
          <w:iCs/>
          <w:i/>
        </w:rPr>
        <w:t xml:space="preserve">Birnbaum</w:t>
      </w:r>
      <w:r>
        <w:t xml:space="preserve"> </w:t>
      </w:r>
      <w:r>
        <w:t xml:space="preserve">for two decades.</w:t>
      </w:r>
    </w:p>
    <w:p>
      <w:pPr>
        <w:pStyle w:val="CaseBody"/>
      </w:pPr>
      <w:r>
        <w:t xml:space="preserve">The dissenting opinion also charges the Court with paying “no heed to the unremedied wrong” arising from the type of “fraud” that may result from reaffirmance of the</w:t>
      </w:r>
      <w:r>
        <w:t xml:space="preserve"> </w:t>
      </w:r>
      <w:r>
        <w:rPr>
          <w:iCs/>
          <w:i/>
        </w:rPr>
        <w:t xml:space="preserve">Birnbaum</w:t>
      </w:r>
      <w:r>
        <w:t xml:space="preserve"> </w:t>
      </w:r>
      <w:r>
        <w:t xml:space="preserve">rule. If an issue of statutory construction is to be decided on the basis of assuring a</w:t>
      </w:r>
      <w:r>
        <w:t xml:space="preserve"> </w:t>
      </w:r>
      <w:r>
        <w:rPr>
          <w:iCs/>
          <w:i/>
        </w:rPr>
        <w:t xml:space="preserve">federal</w:t>
      </w:r>
      <w:r>
        <w:t xml:space="preserve"> </w:t>
      </w:r>
      <w:r>
        <w:t xml:space="preserve">remedy — in addition to state remedies — for every perceived fraud, at least we should strike a balance between the opportunities for fraud presented by the contending views. It may well be conceded that</w:t>
      </w:r>
      <w:r>
        <w:t xml:space="preserve"> </w:t>
      </w:r>
      <w:r>
        <w:rPr>
          <w:iCs/>
          <w:i/>
        </w:rPr>
        <w:t xml:space="preserve">Birnbaum</w:t>
      </w:r>
      <w:r>
        <w:t xml:space="preserve"> </w:t>
      </w:r>
      <w:r>
        <w:t xml:space="preserve">does allow some fraud to go unremedied under the federal securities Acts. But the construction advocated by the dissent could result in wider opportunities for fraud. As the Court’s opinion makes plain, abandoning the</w:t>
      </w:r>
      <w:r>
        <w:t xml:space="preserve"> </w:t>
      </w:r>
      <w:r>
        <w:rPr>
          <w:iCs/>
          <w:i/>
        </w:rPr>
        <w:t xml:space="preserve">Birnbaum</w:t>
      </w:r>
      <w:r>
        <w:t xml:space="preserve"> </w:t>
      </w:r>
      <w:r>
        <w:t xml:space="preserve">construction in favor of the rule urged by the dissent would invite any person who failed to purchase a newly offered security that subsequently enjoyed substantial market appreciation to file a claim alleging that the offering prospectus understated the company’s potential. The number of possible plaintiffs with respect to a public offering would be virtually unlimited. As noted above (at 758 n. 2), an honest offeror could be confronted with subjective claims by plaintiffs who had neither purchased its securities nor seriously considered the investment. It frequently would be impossible to refute a plaintiff’s assertion that he relied on the prospectus, or even that he made a decision not to buy the offered securities. A rule allowing this type of open-ended litigation would itself be an invitation to fraud.</w:t>
      </w:r>
      <w:r>
        <w:rPr>
          <w:rStyle w:val="FootnoteReference"/>
        </w:rPr>
        <w:footnoteReference w:customMarkFollows="1" w:id="126"/>
        <w:t xml:space="preserve">5</w:t>
      </w:r>
    </w:p>
    <w:p>
      <w:pPr>
        <w:pStyle w:val="CaseBody"/>
      </w:pPr>
      <w:r>
        <w:t xml:space="preserve">Mb. Justice Blackmun,</w:t>
      </w:r>
    </w:p>
    <w:p>
      <w:pPr>
        <w:pStyle w:val="CaseBody"/>
      </w:pPr>
      <w:r>
        <w:t xml:space="preserve">with whom Me. Justice Douglas and Mb. Justice Bbennan join, dissenting.</w:t>
      </w:r>
    </w:p>
    <w:p>
      <w:pPr>
        <w:pStyle w:val="CaseBody"/>
      </w:pPr>
      <w:r>
        <w:t xml:space="preserve">Today the Court graves into stone</w:t>
      </w:r>
      <w:r>
        <w:t xml:space="preserve"> </w:t>
      </w:r>
      <w:r>
        <w:rPr>
          <w:iCs/>
          <w:i/>
        </w:rPr>
        <w:t xml:space="preserve">Birnbaum’s</w:t>
      </w:r>
      <w:r>
        <w:t xml:space="preserve"> </w:t>
      </w:r>
      <w:r>
        <w:t xml:space="preserve"> </w:t>
      </w:r>
      <w:r>
        <w:t xml:space="preserve"> </w:t>
      </w:r>
      <w:r>
        <w:t xml:space="preserve">arbitrary principle of standing. For this task the Court, unfortunately, chooses to utilize three blunt chisels: (1) reliance on the legislative history of the 1933 and 1934 Securities Acts, conceded as inconclusive in this particular context; (2) acceptance as precedent of two decades of lower court decisions following a doctrine, never before examined here, that was pronounced by a justifiably esteemed panel of that Court of Appeals regarded as the “Mother Court” in this area of the law,</w:t>
      </w:r>
      <w:r>
        <w:rPr>
          <w:rStyle w:val="FootnoteReference"/>
        </w:rPr>
        <w:footnoteReference w:customMarkFollows="1" w:id="52"/>
        <w:t xml:space="preserve">2</w:t>
      </w:r>
      <w:r>
        <w:t xml:space="preserve"> </w:t>
      </w:r>
      <w:r>
        <w:t xml:space="preserve">but under entirely different circumstances; and (3) resort to utter pragmatically and a conjectural assertion of “policy considerations” deemed to arise in distinguishing the meritorious Rule 10b-5 suit from the meretricious one. In so doing, the Court exhibits a preternatural solicitousness for corporate well-being and a seeming callousness toward the investing public quite out of keeping, it seems to me, with our own traditions and the intent of the securities laws. See</w:t>
      </w:r>
      <w:r>
        <w:t xml:space="preserve"> </w:t>
      </w:r>
      <w:r>
        <w:rPr>
          <w:iCs/>
          <w:i/>
        </w:rPr>
        <w:t xml:space="preserve">Affiliated Ute Citizens</w:t>
      </w:r>
      <w:r>
        <w:t xml:space="preserve"> </w:t>
      </w:r>
      <w:r>
        <w:t xml:space="preserve">v.</w:t>
      </w:r>
      <w:r>
        <w:t xml:space="preserve"> </w:t>
      </w:r>
      <w:r>
        <w:rPr>
          <w:iCs/>
          <w:i/>
        </w:rPr>
        <w:t xml:space="preserve">United States,</w:t>
      </w:r>
      <w:r>
        <w:t xml:space="preserve"> </w:t>
      </w:r>
      <w:r>
        <w:t xml:space="preserve">406 U. S. 128</w:t>
      </w:r>
      <w:r>
        <w:t xml:space="preserve">, 151 (1972);</w:t>
      </w:r>
      <w:r>
        <w:t xml:space="preserve"> </w:t>
      </w:r>
      <w:r>
        <w:rPr>
          <w:iCs/>
          <w:i/>
        </w:rPr>
        <w:t xml:space="preserve">Superintendent of Insurance</w:t>
      </w:r>
      <w:r>
        <w:t xml:space="preserve"> </w:t>
      </w:r>
      <w:r>
        <w:t xml:space="preserve">v.</w:t>
      </w:r>
      <w:r>
        <w:t xml:space="preserve"> </w:t>
      </w:r>
      <w:r>
        <w:rPr>
          <w:iCs/>
          <w:i/>
        </w:rPr>
        <w:t xml:space="preserve">Bankers Life &amp; Cas. Co.,</w:t>
      </w:r>
      <w:r>
        <w:t xml:space="preserve"> </w:t>
      </w:r>
      <w:r>
        <w:t xml:space="preserve">404 U. S. 6</w:t>
      </w:r>
      <w:r>
        <w:t xml:space="preserve">, 12 (1971);</w:t>
      </w:r>
      <w:r>
        <w:t xml:space="preserve"> </w:t>
      </w:r>
      <w:r>
        <w:rPr>
          <w:iCs/>
          <w:i/>
        </w:rPr>
        <w:t xml:space="preserve">SEC</w:t>
      </w:r>
      <w:r>
        <w:t xml:space="preserve"> </w:t>
      </w:r>
      <w:r>
        <w:t xml:space="preserve">v.</w:t>
      </w:r>
      <w:r>
        <w:t xml:space="preserve"> </w:t>
      </w:r>
      <w:r>
        <w:rPr>
          <w:iCs/>
          <w:i/>
        </w:rPr>
        <w:t xml:space="preserve">National Securities, Inc.,</w:t>
      </w:r>
      <w:r>
        <w:t xml:space="preserve"> </w:t>
      </w:r>
      <w:r>
        <w:t xml:space="preserve">393 U. S. 453</w:t>
      </w:r>
      <w:r>
        <w:t xml:space="preserve">, 463 (1969);</w:t>
      </w:r>
      <w:r>
        <w:t xml:space="preserve"> </w:t>
      </w:r>
      <w:r>
        <w:rPr>
          <w:iCs/>
          <w:i/>
        </w:rPr>
        <w:t xml:space="preserve">Tcherepnin</w:t>
      </w:r>
      <w:r>
        <w:t xml:space="preserve"> </w:t>
      </w:r>
      <w:r>
        <w:t xml:space="preserve">v.</w:t>
      </w:r>
      <w:r>
        <w:t xml:space="preserve"> </w:t>
      </w:r>
      <w:r>
        <w:rPr>
          <w:iCs/>
          <w:i/>
        </w:rPr>
        <w:t xml:space="preserve">Knight,</w:t>
      </w:r>
      <w:r>
        <w:t xml:space="preserve"> </w:t>
      </w:r>
      <w:r>
        <w:t xml:space="preserve">389 U. S. 332</w:t>
      </w:r>
      <w:r>
        <w:t xml:space="preserve">, 336 (1967);</w:t>
      </w:r>
      <w:r>
        <w:t xml:space="preserve"> </w:t>
      </w:r>
      <w:r>
        <w:rPr>
          <w:iCs/>
          <w:i/>
        </w:rPr>
        <w:t xml:space="preserve">SEC</w:t>
      </w:r>
      <w:r>
        <w:t xml:space="preserve"> </w:t>
      </w:r>
      <w:r>
        <w:t xml:space="preserve">v.</w:t>
      </w:r>
      <w:r>
        <w:t xml:space="preserve"> </w:t>
      </w:r>
      <w:r>
        <w:rPr>
          <w:iCs/>
          <w:i/>
        </w:rPr>
        <w:t xml:space="preserve">Capital Gains Bureau,</w:t>
      </w:r>
      <w:r>
        <w:t xml:space="preserve"> </w:t>
      </w:r>
      <w:r>
        <w:t xml:space="preserve">375 U. S. 180</w:t>
      </w:r>
      <w:r>
        <w:t xml:space="preserve">, 195 (1963).</w:t>
      </w:r>
    </w:p>
    <w:p>
      <w:pPr>
        <w:pStyle w:val="CaseBody"/>
      </w:pPr>
      <w:r>
        <w:t xml:space="preserve">The plaintiff’s complaint — and that is all that is before us now — raises disturbing claims of fraud. It alleges that the directors of “New Blue Chip” and the majority shareholders of “Old Blue Chip” engaged in a deceptive and manipulative scheme designed to subvert the intent of the 1967 antitrust consent decree and to enhance the value of their own shares in a subsequent offering. Although the complaint is too long to reproduce here, see App. 4-22, the plaintiff, in short, contends that the much-negotiated plan of reorganization of Old Blue Chip, pursuant to the decree and approved by the District Court, was intended to compensate former retailer-users of Blue Chip stamps for damages suffered as a result of the antitrust violations. Accordingly, the majority shareholders were to be divested of 55% of their interest; Old Blue Chip was to be merged into a new company; and 55% of the common shares of the new company were to be offered to the former users on a pro rata basis, determined by the quantity of stamps issued to each of these nonshareholding users during a designated period. Some 621,000 shares were thus to be offered in units, each consisting of three shares of common and a $100 debenture, in return for $1Q1 cash.</w:t>
      </w:r>
    </w:p>
    <w:p>
      <w:pPr>
        <w:pStyle w:val="CaseBody"/>
      </w:pPr>
      <w:r>
        <w:t xml:space="preserve">It is the plaintiff’s pleaded position that this offer to the former users was intended by the antitrust court and the Government to be a “bargain,” since the then reasonable market value of each unit was actually $315. The plaintiff alleged, however, that the offering shareholders had no intention of complying in good faith with the terms of the consent decree and of permitting the former users of Blue Chip stamps to obtain the bargain offering. Rather, they conspired to dissuade the offerees from purchasing the units by including substantially misleading and negative information in the prospectus under the heading “Items of Special Interest.” The prospectus contained the following statements, allegedly false ánd allegedly made to deter the plaintiff and its class from purchasing the units: (1) that “[n]et income for the current fiscal year will be adversely affected by payments aggregating $8,486,000 made since March 2,1968 in settlement of claims” against New Blue Chip; (2) that net income “would be adversely affected by a substantial decrease in the use of the Company’s trading stamp service”; (3) that net income “would be adversely affected by a sale of one-third of the Company’s trading stamp business in California”; (4) that “Claims or Causes of Action (as defined) against the Company, including prayers for treble damages, now aggregate approximately $29,000,000”; and (5) that, based upon “statistical evaluations,” “the Company presently estimates that 97.5% of all stamps issued will ultimately be redeemed.” App. 56, 66.</w:t>
      </w:r>
    </w:p>
    <w:p>
      <w:pPr>
        <w:pStyle w:val="CaseBody"/>
      </w:pPr>
      <w:r>
        <w:t xml:space="preserve">Plaintiff alleged that these negative statements were known, or should have been known, by the defendants to be false since, for example, the $29,000,000 in purported legal claims were settled for less than $1,000,000 only three months later, and, as a historical fact, less than 90% of all trading stamps are redeemed. Importantly, when the defendants offered their own shares for sale to the public a year later, the prospectus issued at that time made no reference to these factors even though, to the extent that they were relevant on the date of the first prospectus, one year earlier, they would have been equally relevant on the date of the second. As a result of the defendants’ negative statements, plaintiff claims that it and its class were dissuaded from exercising their option to purchase Blue Chip shares and that they were damaged accordingly.</w:t>
      </w:r>
    </w:p>
    <w:p>
      <w:pPr>
        <w:pStyle w:val="CaseBody"/>
      </w:pPr>
      <w:r>
        <w:t xml:space="preserve">From a reading of the complaint in relation to the language of § 10 (b) of the 1934 Act and of Rule 10b-5, it is manifest that plaintiff has alleged the use of a deceptive scheme “in connection with the purchase or sale of any security.” To my mind, the word “sale” ordinarily and naturally may be understood to mean, not only a single, individualized act transferring property from one party to another, but also the generalized event of public disposal of property through advertisement, auction, or some other market mechanism. Here, there is an obvious, indeed a court-ordered, “sale” of securities in the special offering of New Blue Chip shares and debentures to former users. Yet the Court denies this plaintiff the right to maintain a suit under Rule 10b-5 because it does not fit into the mechanistic categories of either “purchaser” or “seller.” This, surely, is an anomaly, for the very purpose of the alleged scheme was to inhibit this plaintiff from ever acquiring the status of “purchaser.” Faced with this abnormal divergence from the usual pattern of securities frauds, the Court pays no heed to the unremedied wrong or to the portmanteau nature of § 10 (b).</w:t>
      </w:r>
    </w:p>
    <w:p>
      <w:pPr>
        <w:pStyle w:val="CaseBody"/>
      </w:pPr>
      <w:r>
        <w:t xml:space="preserve">The broad purpose and scope of the Securities Exchange Act of 1934 are manifest. Senator Fletcher, Chairman of the Senate Committee on Banking and Currency, in introducing S. 2693, the bill that became the 1934 Act, reviewed the general purposes of the legislation:</w:t>
      </w:r>
    </w:p>
    <w:p>
      <w:pPr>
        <w:pStyle w:val="BlockText"/>
      </w:pPr>
      <w:r>
        <w:t xml:space="preserve">“Manipulators who have in the past had a comparatively free hand to befuddle and fool the public and to extract from the public millions of dollars through stock-exchange operations are to be curbed and deprived of the opportunity to grow fat on the savings of the average man and woman of America. Under this bill the securities exchanges will not only have the appearance of an open market place for investors but will be truly open to them, free from the hectic operations and dangerous practices which in the past have enabled a handful of men to operate with stacked cards against the general body of the outside investors. For example, besides forbidding fraudulent practices and unwholesome manipulations by professional market operators, the bill seeks to deprive corporate directdrs, corporate officers, and other corporate insiders of the opportunity to play the stocks of their companies against the interests of the stockholders of their companies.” 78 Cong. Rec. 2271 (1934).</w:t>
      </w:r>
    </w:p>
    <w:p>
      <w:pPr>
        <w:pStyle w:val="CaseBody"/>
      </w:pPr>
      <w:r>
        <w:t xml:space="preserve">The Senator went on to describe the function of each of the many provisions of the bill, including § 9 (c) which, without significant alteration, became § 10 (b) of the Act. He said, as to this section, in terms that surely are broad:</w:t>
      </w:r>
    </w:p>
    <w:p>
      <w:pPr>
        <w:pStyle w:val="BlockText"/>
      </w:pPr>
      <w:r>
        <w:t xml:space="preserve">“The Commission is also given power to forbid any other devices in connection with security transactions which it finds detrimental to the public interest or to the proper protection of investors.”</w:t>
      </w:r>
      <w:r>
        <w:t xml:space="preserve"> </w:t>
      </w:r>
      <w:r>
        <w:rPr>
          <w:iCs/>
          <w:i/>
        </w:rPr>
        <w:t xml:space="preserve">Ibid.</w:t>
      </w:r>
    </w:p>
    <w:p>
      <w:pPr>
        <w:pStyle w:val="CaseBody"/>
      </w:pPr>
      <w:r>
        <w:t xml:space="preserve">Similarly, the broad scope of the identical provision in the House version of the bill was emphasized by one of the principal draftsmen, in testimony before the House Committee on Interstate and Foreign Commerce. Summing up § 9 (c), he stated:</w:t>
      </w:r>
    </w:p>
    <w:p>
      <w:pPr>
        <w:pStyle w:val="BlockText"/>
      </w:pPr>
      <w:r>
        <w:t xml:space="preserve">“Subsection (c) says, 'Thou shalt not devise any other cunning devices.’</w:t>
      </w:r>
    </w:p>
    <w:p>
      <w:pPr>
        <w:pStyle w:val="BlockText"/>
      </w:pPr>
      <w:r>
        <w:t xml:space="preserve">“. . . Of course subsection (c) is a catch-all clause to prevent manipulative devices[.] I do not think there is any objection to that kind of a clause. The Commission should have the authority to deal with new manipulative devices.” Testimony of Thomas G. Corcoran, Hearing on H. R. 7852 and H. R. 8720 before the House Committee on Interstate and Foreign Commerce, 73d Cong., 2d Sess., 115 (1934).</w:t>
      </w:r>
    </w:p>
    <w:p>
      <w:pPr>
        <w:pStyle w:val="CaseBody"/>
      </w:pPr>
      <w:r>
        <w:t xml:space="preserve">In adopting Rule 10b-5 in 1942, the Securities and Exchange Commission issued a press release stating: “The new rule closes a loophole in the protections against fraud administered by the Commission by prohibiting individuals or companies from buying securities if they engage in fraud in their purchase.” SEC Release No. 3230 (May 21, 1942). To say specifically that certain types of fraud are within Rule 10b-5, of course, is not to say that others are necessarily excluded. That this is so is confirmed by the apparently casual origins of the Rule, as recalled by a former SEC staff attorney in remarks- made at a conference on federal securities laws several years ago:</w:t>
      </w:r>
    </w:p>
    <w:p>
      <w:pPr>
        <w:pStyle w:val="BlockText"/>
      </w:pPr>
      <w:r>
        <w:t xml:space="preserve">“It was one day in the year 1943, I believe. I was sitting in my office in the S. E. C. building in Philadelphia and I received a call from Jim Treanor who was then the Director of the Trading and Exchange Division. He said, ‘I have just been on the telephone with Paul Rowen,’ who was then the S. E. C. Regional Administrator in Boston, ‘and he has told me about the president of some company in Boston who is going around buying up the stock of his company from his own shareholders at $4.00 a share, and he has been telling them that the company is doing very badly, whereas, in fact, the earnings are going to be quadrupled and will be $2.00 a share for this coming year. Is there anything we can do about it?’ So he came upstairs and I called in my secretary and I looked at Section 10 (b) and I looked at Section 17, and I put them together, and the only discussion we had there was where ‘in connection with the purchase or sale’ should be, and we decided it should be at the end.</w:t>
      </w:r>
    </w:p>
    <w:p>
      <w:pPr>
        <w:pStyle w:val="BlockText"/>
      </w:pPr>
      <w:r>
        <w:t xml:space="preserve">“We called the Commission and we got on the calendar, and I don’t remember whether we got there that morning or after lunch. We passed a piece of paper around to all the commissioners. All the commissioners read the rule and they tossed it on the table, indicating approval. Nobody said anything except Sumner Pike who said, ‘Well,’ he said, ‘we are against fraud, aren’t we?’ That is how it happened.” Remarks of Milton Freeman, Conference on Codification of the Federal Securities Laws, 22 Bus. Law. 793, 922 (1967).</w:t>
      </w:r>
    </w:p>
    <w:p>
      <w:pPr>
        <w:pStyle w:val="CaseBody"/>
      </w:pPr>
      <w:r>
        <w:t xml:space="preserve">The question under both Rule 10b-5 and its parent statute, § 10 (b), is whether fraud was employed — and the language is critical — by “any person ... in connection with the purchase or sale of any security.” On the allegations here, the nexus between the asserted fraud and the conducting of a “sale” is obvious and inescapable, and no more should be required to sustain the plaintiff’s complaint against a motion to dismiss.</w:t>
      </w:r>
    </w:p>
    <w:p>
      <w:pPr>
        <w:pStyle w:val="CaseBody"/>
      </w:pPr>
      <w:r>
        <w:t xml:space="preserve">The fact situation in</w:t>
      </w:r>
      <w:r>
        <w:t xml:space="preserve"> </w:t>
      </w:r>
      <w:r>
        <w:rPr>
          <w:iCs/>
          <w:i/>
        </w:rPr>
        <w:t xml:space="preserve">Birnbaum,</w:t>
      </w:r>
      <w:r>
        <w:t xml:space="preserve"> </w:t>
      </w:r>
      <w:r>
        <w:t xml:space="preserve">itself, of course, is far removed from that now before the Court, for there the fundament of the complaint was that the controlling shareholder had misrepresented the circumstances of an attractive merger offer and then, after rejecting the merger, had sold his controlling shares at a price double their then market value to a corporation formed by 10 manufacturers who wished control of a captive source’s supply when there was a market shortage. The Second Circuit turned aside an effort by small shareholders to bring this claim of breach of fiduciary duty under Rule 10b-5 by concluding that the Rule and § 10 (b) protected only those who had bought or had sold securities.</w:t>
      </w:r>
    </w:p>
    <w:p>
      <w:pPr>
        <w:pStyle w:val="CaseBody"/>
      </w:pPr>
      <w:r>
        <w:t xml:space="preserve">Many cases applying the</w:t>
      </w:r>
      <w:r>
        <w:t xml:space="preserve"> </w:t>
      </w:r>
      <w:r>
        <w:rPr>
          <w:iCs/>
          <w:i/>
        </w:rPr>
        <w:t xml:space="preserve">Birnbaum</w:t>
      </w:r>
      <w:r>
        <w:t xml:space="preserve"> </w:t>
      </w:r>
      <w:r>
        <w:t xml:space="preserve">doctrine and continuing critical comments from the academic world</w:t>
      </w:r>
      <w:r>
        <w:rPr>
          <w:rStyle w:val="FootnoteReference"/>
        </w:rPr>
        <w:footnoteReference w:customMarkFollows="1" w:id="79"/>
        <w:t xml:space="preserve">3</w:t>
      </w:r>
      <w:r>
        <w:t xml:space="preserve"> </w:t>
      </w:r>
      <w:r>
        <w:t xml:space="preserve">followed in its wake, but until today the Court remained serenely above the fray.</w:t>
      </w:r>
    </w:p>
    <w:p>
      <w:pPr>
        <w:pStyle w:val="CaseBody"/>
      </w:pPr>
      <w:r>
        <w:t xml:space="preserve">To support its decision to adopt the</w:t>
      </w:r>
      <w:r>
        <w:t xml:space="preserve"> </w:t>
      </w:r>
      <w:r>
        <w:rPr>
          <w:iCs/>
          <w:i/>
        </w:rPr>
        <w:t xml:space="preserve">Birnbaum</w:t>
      </w:r>
      <w:r>
        <w:t xml:space="preserve"> </w:t>
      </w:r>
      <w:r>
        <w:t xml:space="preserve">doctrine, the Court points to the “longstanding acceptance by the courts” and to “Congress’ failure to reject</w:t>
      </w:r>
      <w:r>
        <w:t xml:space="preserve"> </w:t>
      </w:r>
      <w:r>
        <w:rPr>
          <w:iCs/>
          <w:i/>
        </w:rPr>
        <w:t xml:space="preserve">Birnbaum’s</w:t>
      </w:r>
      <w:r>
        <w:t xml:space="preserve"> </w:t>
      </w:r>
      <w:r>
        <w:t xml:space="preserve">reasonable interpretation of the wording of § 10 (b).”</w:t>
      </w:r>
      <w:r>
        <w:t xml:space="preserve"> </w:t>
      </w:r>
      <w:r>
        <w:rPr>
          <w:iCs/>
          <w:i/>
        </w:rPr>
        <w:t xml:space="preserve">Ante,</w:t>
      </w:r>
      <w:r>
        <w:t xml:space="preserve"> </w:t>
      </w:r>
      <w:r>
        <w:t xml:space="preserve">at 733. In addition, the Court purports to find support in “evidence from the texts of the 1933 and 1934 Acts,” although it concedes this to be “not conclusive.”</w:t>
      </w:r>
      <w:r>
        <w:t xml:space="preserve"> </w:t>
      </w:r>
      <w:r>
        <w:rPr>
          <w:iCs/>
          <w:i/>
        </w:rPr>
        <w:t xml:space="preserve">Ibid.</w:t>
      </w:r>
      <w:r>
        <w:t xml:space="preserve"> </w:t>
      </w:r>
      <w:r>
        <w:t xml:space="preserve">But the greater portion of the Court’s opinion is devoted to its discussion of the “danger of vexatiousness,”</w:t>
      </w:r>
      <w:r>
        <w:t xml:space="preserve"> </w:t>
      </w:r>
      <w:r>
        <w:rPr>
          <w:iCs/>
          <w:i/>
        </w:rPr>
        <w:t xml:space="preserve">ante,</w:t>
      </w:r>
      <w:r>
        <w:t xml:space="preserve"> </w:t>
      </w:r>
      <w:r>
        <w:t xml:space="preserve">at 739, that accompanies litigation under Rule 10b-5 and that is said to be “different in degree and in kind from that which accompanies litigation in general.”</w:t>
      </w:r>
      <w:r>
        <w:t xml:space="preserve"> </w:t>
      </w:r>
      <w:r>
        <w:rPr>
          <w:iCs/>
          <w:i/>
        </w:rPr>
        <w:t xml:space="preserve">Ibid.</w:t>
      </w:r>
      <w:r>
        <w:t xml:space="preserve"> </w:t>
      </w:r>
      <w:r>
        <w:t xml:space="preserve">It speaks of harm from the “very pendency of the lawsuit,”</w:t>
      </w:r>
      <w:r>
        <w:t xml:space="preserve"> </w:t>
      </w:r>
      <w:r>
        <w:rPr>
          <w:iCs/>
          <w:i/>
        </w:rPr>
        <w:t xml:space="preserve">ante,</w:t>
      </w:r>
      <w:r>
        <w:t xml:space="preserve"> </w:t>
      </w:r>
      <w:r>
        <w:t xml:space="preserve">at 740, something like the recognized dilemma of the physician sued for malpractice; of the “disruption of normal business activities which may accompany a lawsuit,”</w:t>
      </w:r>
      <w:r>
        <w:t xml:space="preserve"> </w:t>
      </w:r>
      <w:r>
        <w:rPr>
          <w:iCs/>
          <w:i/>
        </w:rPr>
        <w:t xml:space="preserve">ante,</w:t>
      </w:r>
      <w:r>
        <w:t xml:space="preserve"> </w:t>
      </w:r>
      <w:r>
        <w:t xml:space="preserve">at 743; and of “proof . . . which depend [s] almost entirely on oral testimony,”</w:t>
      </w:r>
      <w:r>
        <w:t xml:space="preserve"> </w:t>
      </w:r>
      <w:r>
        <w:rPr>
          <w:iCs/>
          <w:i/>
        </w:rPr>
        <w:t xml:space="preserve">ibid.,</w:t>
      </w:r>
      <w:r>
        <w:t xml:space="preserve"> </w:t>
      </w:r>
      <w:r>
        <w:t xml:space="preserve">as if all these were unknown to lawsuits taking place in America’s courthouses every day. In. turning to, and being influenced by, these “policy considerations,”</w:t>
      </w:r>
      <w:r>
        <w:t xml:space="preserve"> </w:t>
      </w:r>
      <w:r>
        <w:rPr>
          <w:iCs/>
          <w:i/>
        </w:rPr>
        <w:t xml:space="preserve">ante,</w:t>
      </w:r>
      <w:r>
        <w:t xml:space="preserve"> </w:t>
      </w:r>
      <w:r>
        <w:t xml:space="preserve">at 737, or these “considerations of policy,”</w:t>
      </w:r>
      <w:r>
        <w:t xml:space="preserve"> </w:t>
      </w:r>
      <w:r>
        <w:rPr>
          <w:iCs/>
          <w:i/>
        </w:rPr>
        <w:t xml:space="preserve">ante,</w:t>
      </w:r>
      <w:r>
        <w:t xml:space="preserve"> </w:t>
      </w:r>
      <w:r>
        <w:t xml:space="preserve">at 749, the Court, in my view, unfortunately mires itself in speculation and conjecture not usually seen in its opinions. In order to support an interpretation that obviously narrows a provision of the securities laws designed to be a “catch-all,” the Court takes alarm at the “practical difficulties,”</w:t>
      </w:r>
      <w:r>
        <w:t xml:space="preserve"> </w:t>
      </w:r>
      <w:r>
        <w:rPr>
          <w:iCs/>
          <w:i/>
        </w:rPr>
        <w:t xml:space="preserve">ante,</w:t>
      </w:r>
      <w:r>
        <w:t xml:space="preserve"> </w:t>
      </w:r>
      <w:r>
        <w:t xml:space="preserve">at 754,755, that would follow the removal of</w:t>
      </w:r>
      <w:r>
        <w:t xml:space="preserve"> </w:t>
      </w:r>
      <w:r>
        <w:rPr>
          <w:iCs/>
          <w:i/>
        </w:rPr>
        <w:t xml:space="preserve">Birnbaum’?,</w:t>
      </w:r>
      <w:r>
        <w:t xml:space="preserve"> </w:t>
      </w:r>
      <w:r>
        <w:t xml:space="preserve">barrier.</w:t>
      </w:r>
    </w:p>
    <w:p>
      <w:pPr>
        <w:pStyle w:val="CaseBody"/>
      </w:pPr>
      <w:r>
        <w:t xml:space="preserve">Certainly, this Court must be aware of the realities of life, but it is unwarranted for the Court to take a form of attenuated judicial notice of the motivations that defense counsel may have in settling a case, or of the difficulties that a plaintiff may have in proving his claim.</w:t>
      </w:r>
    </w:p>
    <w:p>
      <w:pPr>
        <w:pStyle w:val="CaseBody"/>
      </w:pPr>
      <w:r>
        <w:t xml:space="preserve">Perhaps it is true that more cases that come within the</w:t>
      </w:r>
      <w:r>
        <w:t xml:space="preserve"> </w:t>
      </w:r>
      <w:r>
        <w:rPr>
          <w:iCs/>
          <w:i/>
        </w:rPr>
        <w:t xml:space="preserve">Birnbaum</w:t>
      </w:r>
      <w:r>
        <w:t xml:space="preserve"> </w:t>
      </w:r>
      <w:r>
        <w:t xml:space="preserve">doctrine can be properly proved than those that fall outside it. But this is no reason for denying standing to sue to plaintiffs, such as the one in this case, who allegedly are injured by novel forms of manipulation. We should be wary about heeding the seductive call of expediency and about substituting convenience and ease of processing for the more difficult task of separating the genuine claim from the unfounded one.</w:t>
      </w:r>
    </w:p>
    <w:p>
      <w:pPr>
        <w:pStyle w:val="CaseBody"/>
      </w:pPr>
      <w:r>
        <w:t xml:space="preserve">Instead of the artificiality of</w:t>
      </w:r>
      <w:r>
        <w:t xml:space="preserve"> </w:t>
      </w:r>
      <w:r>
        <w:rPr>
          <w:iCs/>
          <w:i/>
        </w:rPr>
        <w:t xml:space="preserve">Birnbaum,</w:t>
      </w:r>
      <w:r>
        <w:t xml:space="preserve"> </w:t>
      </w:r>
      <w:r>
        <w:t xml:space="preserve">the essential test of a valid Rule 10b-5 claim, it seems to me, must be the showing of a logical nexus between the alleged fraud and the sale or. purchase of a security. It is inconceivable that Congress could have intended a broad-ranging antifraud provision, such as § 10 (b), and, at the same time, have intended to impose, or be deemed to welcome, a mechanical overtone and requirement such as the</w:t>
      </w:r>
      <w:r>
        <w:t xml:space="preserve"> </w:t>
      </w:r>
      <w:r>
        <w:rPr>
          <w:iCs/>
          <w:i/>
        </w:rPr>
        <w:t xml:space="preserve">Birnbaum</w:t>
      </w:r>
      <w:r>
        <w:t xml:space="preserve"> </w:t>
      </w:r>
      <w:r>
        <w:t xml:space="preserve">doctrine. The facts of this case, if proved and accepted by the factfinder, surely are within the conduct that Congress intended to ban. Whether this particular plaintiff, or any plaintiff, will be able eventually to carry the burdens of proving fraud and of proving reliance and damage — that is, causality and injury — is a matter that should not be left to speculations of “policy” of the kind now advanced in this forum so far removed from witnesses and evidence.</w:t>
      </w:r>
    </w:p>
    <w:p>
      <w:pPr>
        <w:pStyle w:val="CaseBody"/>
      </w:pPr>
      <w:r>
        <w:t xml:space="preserve">Finally, I am uneasy about the type of precedent the present decision establishes. Policy considerations can be applied and utilized in like fashion in other situations. The acceptance of this decisional route in this case may well come back to haunt us elsewhere before long. I would decide the case to fulfill the broad purpose that the language of the statutes and the legislative history dictate, and I would avoid the Court’s pragmatic solution resting upon a 20-odd-year-old, severely criticized doctrine enunciated for a factually distinct situation.</w:t>
      </w:r>
    </w:p>
    <w:p>
      <w:pPr>
        <w:pStyle w:val="CaseBody"/>
      </w:pPr>
      <w:r>
        <w:t xml:space="preserve">In short, I would abandon the</w:t>
      </w:r>
      <w:r>
        <w:t xml:space="preserve"> </w:t>
      </w:r>
      <w:r>
        <w:rPr>
          <w:iCs/>
          <w:i/>
        </w:rPr>
        <w:t xml:space="preserve">Birnbaum</w:t>
      </w:r>
      <w:r>
        <w:t xml:space="preserve"> </w:t>
      </w:r>
      <w:r>
        <w:t xml:space="preserve">doctrine as a rule of decision in favor of a more general test of nexus, just as the Seventh Circuit did in</w:t>
      </w:r>
      <w:r>
        <w:t xml:space="preserve"> </w:t>
      </w:r>
      <w:r>
        <w:rPr>
          <w:iCs/>
          <w:i/>
        </w:rPr>
        <w:t xml:space="preserve">Eason</w:t>
      </w:r>
      <w:r>
        <w:t xml:space="preserve"> </w:t>
      </w:r>
      <w:r>
        <w:t xml:space="preserve">v.</w:t>
      </w:r>
      <w:r>
        <w:t xml:space="preserve"> </w:t>
      </w:r>
      <w:r>
        <w:rPr>
          <w:iCs/>
          <w:i/>
        </w:rPr>
        <w:t xml:space="preserve">General Motors Acceptance Corp.,</w:t>
      </w:r>
      <w:r>
        <w:t xml:space="preserve"> </w:t>
      </w:r>
      <w:r>
        <w:t xml:space="preserve">490 F. 2d 654</w:t>
      </w:r>
      <w:r>
        <w:t xml:space="preserve">, 661 (1973), cert. denied,</w:t>
      </w:r>
      <w:r>
        <w:t xml:space="preserve"> </w:t>
      </w:r>
      <w:r>
        <w:t xml:space="preserve">416 U. S. 960</w:t>
      </w:r>
      <w:r>
        <w:t xml:space="preserve"> </w:t>
      </w:r>
      <w:r>
        <w:t xml:space="preserve">(1974). I would not worry about any imagined inability of our federal trial and appellate courts to control the flowering of the types of cases that the Court fears might result. Nor would I yet be disturbed about dire consequences that a basically pessimistic attitude foresees if the</w:t>
      </w:r>
      <w:r>
        <w:t xml:space="preserve"> </w:t>
      </w:r>
      <w:r>
        <w:rPr>
          <w:iCs/>
          <w:i/>
        </w:rPr>
        <w:t xml:space="preserve">Birnbaum</w:t>
      </w:r>
      <w:r>
        <w:t xml:space="preserve"> </w:t>
      </w:r>
      <w:r>
        <w:t xml:space="preserve">doctrine were allowed quietly to expire. Sensible standards of proof and of demonstrable damages would evolve and serve to protect the worthy and shut out the frivolous.</w:t>
      </w:r>
    </w:p>
    <w:bookmarkStart w:id="74" w:name="_auto_toc_74"/>
    <w:bookmarkEnd w:id="74"/>
    <w:p>
      <w:pPr>
        <w:pStyle w:val="ResourceNumber"/>
      </w:pPr>
      <w:r>
        <w:t xml:space="preserve">6.2.6</w:t>
      </w:r>
    </w:p>
    <w:p>
      <w:pPr>
        <w:pStyle w:val="ResourceTitle"/>
      </w:pPr>
      <w:r>
        <w:t xml:space="preserve">Dura Pharmaceuticals, Inc. v. Broudo</w:t>
      </w:r>
    </w:p>
    <w:p>
      <w:pPr>
        <w:pStyle w:val="HeadEnd"/>
      </w:pPr>
      <w:r>
        <w:t xml:space="preserve"> </w:t>
      </w:r>
    </w:p>
    <w:p>
      <w:pPr>
        <w:pStyle w:val="CaseHeader"/>
      </w:pPr>
      <w:r>
        <w:t xml:space="preserve">Supreme Court of the United States</w:t>
      </w:r>
    </w:p>
    <w:p>
      <w:pPr>
        <w:pStyle w:val="CaseHeader"/>
      </w:pPr>
      <w:r>
        <w:t xml:space="preserve">544 U.S. 336, 161 L. Ed. 2d 577, 125 S. Ct. 1627, SCDB 2004-040, 2005 U.S. LEXIS 3478</w:t>
      </w:r>
    </w:p>
    <w:p>
      <w:pPr>
        <w:pStyle w:val="CaseHeader"/>
      </w:pPr>
      <w:r>
        <w:t xml:space="preserve">No. 03-932</w:t>
      </w:r>
    </w:p>
    <w:p>
      <w:pPr>
        <w:pStyle w:val="CaseHeader"/>
      </w:pPr>
      <w:r>
        <w:t xml:space="preserve">2005-04-19</w:t>
      </w:r>
    </w:p>
    <w:p>
      <w:pPr>
        <w:pStyle w:val="CaseBody"/>
      </w:pPr>
      <w:r>
        <w:t xml:space="preserve">Argued January 12, 2005</w:t>
      </w:r>
    </w:p>
    <w:p>
      <w:pPr>
        <w:pStyle w:val="CaseBody"/>
      </w:pPr>
      <w:r>
        <w:t xml:space="preserve">Breyek, J., delivered the opinion for a unanimous Court.</w:t>
      </w:r>
    </w:p>
    <w:p>
      <w:pPr>
        <w:pStyle w:val="CaseBody"/>
      </w:pPr>
      <w:r>
        <w:rPr>
          <w:iCs/>
          <w:i/>
        </w:rPr>
        <w:t xml:space="preserve">William F. Sullivan</w:t>
      </w:r>
      <w:r>
        <w:t xml:space="preserve"> </w:t>
      </w:r>
      <w:r>
        <w:t xml:space="preserve">argued the cause for petitioners. With him on the briefs were</w:t>
      </w:r>
      <w:r>
        <w:t xml:space="preserve"> </w:t>
      </w:r>
      <w:r>
        <w:rPr>
          <w:iCs/>
          <w:i/>
        </w:rPr>
        <w:t xml:space="preserve">Christopher H. McGrath</w:t>
      </w:r>
      <w:r>
        <w:t xml:space="preserve"> </w:t>
      </w:r>
      <w:r>
        <w:t xml:space="preserve">and</w:t>
      </w:r>
      <w:r>
        <w:t xml:space="preserve"> </w:t>
      </w:r>
      <w:r>
        <w:rPr>
          <w:iCs/>
          <w:i/>
        </w:rPr>
        <w:t xml:space="preserve">Tracey L. DeLange.</w:t>
      </w:r>
    </w:p>
    <w:p>
      <w:pPr>
        <w:pStyle w:val="CaseBody"/>
      </w:pPr>
      <w:r>
        <w:rPr>
          <w:iCs/>
          <w:i/>
        </w:rPr>
        <w:t xml:space="preserve">Deputy Solicitor General Hungar</w:t>
      </w:r>
      <w:r>
        <w:t xml:space="preserve"> </w:t>
      </w:r>
      <w:r>
        <w:t xml:space="preserve">argued the cause for the United States as</w:t>
      </w:r>
      <w:r>
        <w:t xml:space="preserve"> </w:t>
      </w:r>
      <w:r>
        <w:rPr>
          <w:iCs/>
          <w:i/>
        </w:rPr>
        <w:t xml:space="preserve">amicus curiae</w:t>
      </w:r>
      <w:r>
        <w:t xml:space="preserve"> </w:t>
      </w:r>
      <w:r>
        <w:t xml:space="preserve">urging reversal. With him on the brief were</w:t>
      </w:r>
      <w:r>
        <w:t xml:space="preserve"> </w:t>
      </w:r>
      <w:r>
        <w:rPr>
          <w:iCs/>
          <w:i/>
        </w:rPr>
        <w:t xml:space="preserve">Acting Solicitor General Clement, Dan Himmelfarb, Jacob H. Stillman, Eric Summergrad,</w:t>
      </w:r>
      <w:r>
        <w:t xml:space="preserve"> </w:t>
      </w:r>
      <w:r>
        <w:t xml:space="preserve">and</w:t>
      </w:r>
      <w:r>
        <w:t xml:space="preserve"> </w:t>
      </w:r>
      <w:r>
        <w:rPr>
          <w:iCs/>
          <w:i/>
        </w:rPr>
        <w:t xml:space="preserve">Allan A. Capute.</w:t>
      </w:r>
    </w:p>
    <w:p>
      <w:pPr>
        <w:pStyle w:val="CaseBody"/>
      </w:pPr>
      <w:r>
        <w:rPr>
          <w:iCs/>
          <w:i/>
        </w:rPr>
        <w:t xml:space="preserve">Patrick J. Coughlin</w:t>
      </w:r>
      <w:r>
        <w:t xml:space="preserve"> </w:t>
      </w:r>
      <w:r>
        <w:t xml:space="preserve">argued the cause for respondents. With him on the brief were</w:t>
      </w:r>
      <w:r>
        <w:t xml:space="preserve"> </w:t>
      </w:r>
      <w:r>
        <w:rPr>
          <w:iCs/>
          <w:i/>
        </w:rPr>
        <w:t xml:space="preserve">Sanford Svetcov, Eric Alan Isaacson, Joseph D. Daley, Alan Schulman, Myron Mosko-vitz, Daniel S. Sommers,</w:t>
      </w:r>
      <w:r>
        <w:t xml:space="preserve"> </w:t>
      </w:r>
      <w:r>
        <w:t xml:space="preserve">and</w:t>
      </w:r>
      <w:r>
        <w:t xml:space="preserve"> </w:t>
      </w:r>
      <w:r>
        <w:rPr>
          <w:iCs/>
          <w:i/>
        </w:rPr>
        <w:t xml:space="preserve">Paul R. Hoeber.</w:t>
      </w:r>
      <w:r>
        <w:t xml:space="preserve"> </w:t>
      </w:r>
    </w:p>
    <w:p>
      <w:pPr>
        <w:pStyle w:val="CaseFootnoteText"/>
      </w:pPr>
      <w:r>
        <w:rPr>
          <w:rStyle w:val="FootnoteReference"/>
        </w:rPr>
        <w:t xml:space="preserve">*</w:t>
      </w:r>
      <w:r>
        <w:t xml:space="preserve"> </w:t>
      </w:r>
      <w:r>
        <w:t xml:space="preserve">Briefs of</w:t>
      </w:r>
      <w:r>
        <w:t xml:space="preserve"> </w:t>
      </w:r>
      <w:r>
        <w:rPr>
          <w:iCs/>
          <w:i/>
        </w:rPr>
        <w:t xml:space="preserve">amici curiae</w:t>
      </w:r>
      <w:r>
        <w:t xml:space="preserve"> </w:t>
      </w:r>
      <w:r>
        <w:t xml:space="preserve">urging reversal were filed for the American Institute of Certified Public Accountants by</w:t>
      </w:r>
      <w:r>
        <w:t xml:space="preserve"> </w:t>
      </w:r>
      <w:r>
        <w:rPr>
          <w:iCs/>
          <w:i/>
        </w:rPr>
        <w:t xml:space="preserve">Lawrence S. Robbins, Kathryn S. Zecca,</w:t>
      </w:r>
      <w:r>
        <w:t xml:space="preserve"> </w:t>
      </w:r>
      <w:r>
        <w:t xml:space="preserve">and</w:t>
      </w:r>
      <w:r>
        <w:t xml:space="preserve"> </w:t>
      </w:r>
      <w:r>
        <w:rPr>
          <w:iCs/>
          <w:i/>
        </w:rPr>
        <w:t xml:space="preserve">Richard I. Miller;</w:t>
      </w:r>
      <w:r>
        <w:t xml:space="preserve"> </w:t>
      </w:r>
      <w:r>
        <w:t xml:space="preserve">for Broadcom Corp. by</w:t>
      </w:r>
      <w:r>
        <w:t xml:space="preserve"> </w:t>
      </w:r>
      <w:r>
        <w:rPr>
          <w:iCs/>
          <w:i/>
        </w:rPr>
        <w:t xml:space="preserve">Kenneth R. Heitz, David Siegel,</w:t>
      </w:r>
      <w:r>
        <w:t xml:space="preserve"> </w:t>
      </w:r>
      <w:r>
        <w:t xml:space="preserve">and</w:t>
      </w:r>
      <w:r>
        <w:t xml:space="preserve"> </w:t>
      </w:r>
      <w:r>
        <w:rPr>
          <w:iCs/>
          <w:i/>
        </w:rPr>
        <w:t xml:space="preserve">Richard H. Zelichov;</w:t>
      </w:r>
      <w:r>
        <w:t xml:space="preserve"> </w:t>
      </w:r>
      <w:r>
        <w:t xml:space="preserve">for the Chamber of Commerce of the United States by</w:t>
      </w:r>
      <w:r>
        <w:t xml:space="preserve"> </w:t>
      </w:r>
      <w:r>
        <w:rPr>
          <w:iCs/>
          <w:i/>
        </w:rPr>
        <w:t xml:space="preserve">Neil M. Gorsuch</w:t>
      </w:r>
      <w:r>
        <w:t xml:space="preserve"> </w:t>
      </w:r>
      <w:r>
        <w:t xml:space="preserve">and</w:t>
      </w:r>
      <w:r>
        <w:t xml:space="preserve"> </w:t>
      </w:r>
      <w:r>
        <w:rPr>
          <w:iCs/>
          <w:i/>
        </w:rPr>
        <w:t xml:space="preserve">Robin S. Conrad;</w:t>
      </w:r>
      <w:r>
        <w:t xml:space="preserve"> </w:t>
      </w:r>
      <w:r>
        <w:t xml:space="preserve">for Merrill Lynch &amp; Co., Inc., by</w:t>
      </w:r>
      <w:r>
        <w:t xml:space="preserve"> </w:t>
      </w:r>
      <w:r>
        <w:rPr>
          <w:iCs/>
          <w:i/>
        </w:rPr>
        <w:t xml:space="preserve">Stephen M. Shapiro, Timothy S. Bishop, Andrew L. Frey,</w:t>
      </w:r>
      <w:r>
        <w:t xml:space="preserve"> </w:t>
      </w:r>
      <w:r>
        <w:t xml:space="preserve">and</w:t>
      </w:r>
      <w:r>
        <w:t xml:space="preserve"> </w:t>
      </w:r>
      <w:r>
        <w:rPr>
          <w:iCs/>
          <w:i/>
        </w:rPr>
        <w:t xml:space="preserve">Kenneth S. Geller;</w:t>
      </w:r>
      <w:r>
        <w:t xml:space="preserve"> </w:t>
      </w:r>
      <w:r>
        <w:t xml:space="preserve">for the Securities Industry Association et al. by</w:t>
      </w:r>
      <w:r>
        <w:t xml:space="preserve"> </w:t>
      </w:r>
      <w:r>
        <w:rPr>
          <w:iCs/>
          <w:i/>
        </w:rPr>
        <w:t xml:space="preserve">Carter G. Phillips, Richard D. Bernstein,</w:t>
      </w:r>
      <w:r>
        <w:t xml:space="preserve"> </w:t>
      </w:r>
      <w:r>
        <w:t xml:space="preserve">and</w:t>
      </w:r>
      <w:r>
        <w:t xml:space="preserve"> </w:t>
      </w:r>
      <w:r>
        <w:rPr>
          <w:iCs/>
          <w:i/>
        </w:rPr>
        <w:t xml:space="preserve">Jacqueline G. Cooper;</w:t>
      </w:r>
      <w:r>
        <w:t xml:space="preserve"> </w:t>
      </w:r>
      <w:r>
        <w:t xml:space="preserve">for Technology Network by</w:t>
      </w:r>
      <w:r>
        <w:t xml:space="preserve"> </w:t>
      </w:r>
      <w:r>
        <w:rPr>
          <w:iCs/>
          <w:i/>
        </w:rPr>
        <w:t xml:space="preserve">John R. Reese</w:t>
      </w:r>
      <w:r>
        <w:t xml:space="preserve"> </w:t>
      </w:r>
      <w:r>
        <w:t xml:space="preserve">and</w:t>
      </w:r>
      <w:r>
        <w:t xml:space="preserve"> </w:t>
      </w:r>
      <w:r>
        <w:rPr>
          <w:iCs/>
          <w:i/>
        </w:rPr>
        <w:t xml:space="preserve">Dale E. Barnes, Jr.;</w:t>
      </w:r>
      <w:r>
        <w:t xml:space="preserve"> </w:t>
      </w:r>
      <w:r>
        <w:t xml:space="preserve">and for the Washington Legal Foundation by</w:t>
      </w:r>
      <w:r>
        <w:t xml:space="preserve"> </w:t>
      </w:r>
      <w:r>
        <w:rPr>
          <w:iCs/>
          <w:i/>
        </w:rPr>
        <w:t xml:space="preserve">Michael L. Kichline, David A. Kotler, Daniel J. Popeo,</w:t>
      </w:r>
      <w:r>
        <w:t xml:space="preserve"> </w:t>
      </w:r>
      <w:r>
        <w:t xml:space="preserve">and</w:t>
      </w:r>
      <w:r>
        <w:t xml:space="preserve"> </w:t>
      </w:r>
      <w:r>
        <w:rPr>
          <w:iCs/>
          <w:i/>
        </w:rPr>
        <w:t xml:space="preserve">Paul D. Kamenar.</w:t>
      </w:r>
    </w:p>
    <w:p>
      <w:pPr>
        <w:pStyle w:val="CaseFootnoteText"/>
      </w:pPr>
      <w:r>
        <w:t xml:space="preserve">Briefs of</w:t>
      </w:r>
      <w:r>
        <w:t xml:space="preserve"> </w:t>
      </w:r>
      <w:r>
        <w:rPr>
          <w:iCs/>
          <w:i/>
        </w:rPr>
        <w:t xml:space="preserve">amici curiae</w:t>
      </w:r>
      <w:r>
        <w:t xml:space="preserve"> </w:t>
      </w:r>
      <w:r>
        <w:t xml:space="preserve">urging affirmance were filed for the New Jersey Dept, of Treasury et al. by</w:t>
      </w:r>
      <w:r>
        <w:t xml:space="preserve"> </w:t>
      </w:r>
      <w:r>
        <w:rPr>
          <w:iCs/>
          <w:i/>
        </w:rPr>
        <w:t xml:space="preserve">Melvyn I. Weiss;</w:t>
      </w:r>
      <w:r>
        <w:t xml:space="preserve"> </w:t>
      </w:r>
      <w:r>
        <w:t xml:space="preserve">for the City of New York Pension Funds et al. by</w:t>
      </w:r>
      <w:r>
        <w:t xml:space="preserve"> </w:t>
      </w:r>
      <w:r>
        <w:rPr>
          <w:iCs/>
          <w:i/>
        </w:rPr>
        <w:t xml:space="preserve">Jay W. Eisenhofer, Geoffrey C. Jarvis, Leonard J. Koerner, Peter H. Mixon, David L. Muir,</w:t>
      </w:r>
      <w:r>
        <w:t xml:space="preserve"> </w:t>
      </w:r>
      <w:r>
        <w:t xml:space="preserve">and</w:t>
      </w:r>
      <w:r>
        <w:t xml:space="preserve"> </w:t>
      </w:r>
      <w:r>
        <w:rPr>
          <w:iCs/>
          <w:i/>
        </w:rPr>
        <w:t xml:space="preserve">Christopher W. Waddell;</w:t>
      </w:r>
      <w:r>
        <w:t xml:space="preserve"> </w:t>
      </w:r>
      <w:r>
        <w:t xml:space="preserve">for the National Association of Shareholder and Consumer Attorneys et al. by</w:t>
      </w:r>
      <w:r>
        <w:t xml:space="preserve"> </w:t>
      </w:r>
      <w:r>
        <w:rPr>
          <w:iCs/>
          <w:i/>
        </w:rPr>
        <w:t xml:space="preserve">Kevin P. Roddy, Deborah M. Zuckerman,</w:t>
      </w:r>
      <w:r>
        <w:t xml:space="preserve"> </w:t>
      </w:r>
      <w:r>
        <w:t xml:space="preserve">and</w:t>
      </w:r>
      <w:r>
        <w:t xml:space="preserve"> </w:t>
      </w:r>
      <w:r>
        <w:rPr>
          <w:iCs/>
          <w:i/>
        </w:rPr>
        <w:t xml:space="preserve">Michael Schuster;</w:t>
      </w:r>
      <w:r>
        <w:t xml:space="preserve"> </w:t>
      </w:r>
      <w:r>
        <w:t xml:space="preserve">for the North American Securities Administrators Association, Inc., by</w:t>
      </w:r>
      <w:r>
        <w:t xml:space="preserve"> </w:t>
      </w:r>
      <w:r>
        <w:rPr>
          <w:iCs/>
          <w:i/>
        </w:rPr>
        <w:t xml:space="preserve">Mark J. Davis;</w:t>
      </w:r>
      <w:r>
        <w:t xml:space="preserve"> </w:t>
      </w:r>
      <w:r>
        <w:t xml:space="preserve">for the Regents of the University of California by</w:t>
      </w:r>
      <w:r>
        <w:t xml:space="preserve"> </w:t>
      </w:r>
      <w:r>
        <w:rPr>
          <w:iCs/>
          <w:i/>
        </w:rPr>
        <w:t xml:space="preserve">James E. Holst</w:t>
      </w:r>
      <w:r>
        <w:t xml:space="preserve"> </w:t>
      </w:r>
      <w:r>
        <w:t xml:space="preserve">and</w:t>
      </w:r>
      <w:r>
        <w:t xml:space="preserve"> </w:t>
      </w:r>
      <w:r>
        <w:rPr>
          <w:iCs/>
          <w:i/>
        </w:rPr>
        <w:t xml:space="preserve">Christopher M. Patti;</w:t>
      </w:r>
      <w:r>
        <w:t xml:space="preserve"> </w:t>
      </w:r>
      <w:r>
        <w:t xml:space="preserve">and for James J. Hayes by</w:t>
      </w:r>
      <w:r>
        <w:t xml:space="preserve"> </w:t>
      </w:r>
      <w:r>
        <w:rPr>
          <w:iCs/>
          <w:i/>
        </w:rPr>
        <w:t xml:space="preserve">Edward M. Selfe.</w:t>
      </w:r>
    </w:p>
    <w:p>
      <w:pPr>
        <w:pStyle w:val="CaseBody"/>
      </w:pPr>
      <w:r>
        <w:t xml:space="preserve">Justice Breyer</w:t>
      </w:r>
    </w:p>
    <w:p>
      <w:pPr>
        <w:pStyle w:val="CaseBody"/>
      </w:pPr>
      <w:r>
        <w:t xml:space="preserve">delivered the opinion of the Court.</w:t>
      </w:r>
    </w:p>
    <w:p>
      <w:pPr>
        <w:pStyle w:val="CaseBody"/>
      </w:pPr>
      <w:r>
        <w:t xml:space="preserve">A private plaintiff who claims securities fraud must prove that the defendant’s fraud caused an economic loss.</w:t>
      </w:r>
      <w:r>
        <w:t xml:space="preserve"> </w:t>
      </w:r>
      <w:r>
        <w:t xml:space="preserve">109 Stat. 747,15</w:t>
      </w:r>
      <w:r>
        <w:t xml:space="preserve"> </w:t>
      </w:r>
      <w:r>
        <w:t xml:space="preserve">U. S. C. § 78u-4(b)(4). We consider a Ninth Circuit holding that a plaintiff can satisfy this requirement— a requirement that courts call “loss causation” — simply by alleging in the complaint and subsequently establishing that “the price” of the security</w:t>
      </w:r>
      <w:r>
        <w:t xml:space="preserve"> </w:t>
      </w:r>
      <w:r>
        <w:rPr>
          <w:iCs/>
          <w:i/>
        </w:rPr>
        <w:t xml:space="preserve">“on the date of purchase</w:t>
      </w:r>
      <w:r>
        <w:t xml:space="preserve"> </w:t>
      </w:r>
      <w:r>
        <w:t xml:space="preserve">was inflated because of the misrepresentation.”</w:t>
      </w:r>
      <w:r>
        <w:t xml:space="preserve"> </w:t>
      </w:r>
      <w:r>
        <w:t xml:space="preserve">339 F. 3d 933</w:t>
      </w:r>
      <w:r>
        <w:t xml:space="preserve">, 938 (2003) (internal quotation marks omitted). In our view, the Ninth Circuit is wrong, both in respect to what a plaintiff must prove and in respect to what the plaintiffs’ complaint here must allege.</w:t>
      </w:r>
    </w:p>
    <w:p>
      <w:pPr>
        <w:pStyle w:val="CaseBody"/>
      </w:pPr>
      <w:r>
        <w:t xml:space="preserve">I.</w:t>
      </w:r>
    </w:p>
    <w:p>
      <w:pPr>
        <w:pStyle w:val="CaseBody"/>
      </w:pPr>
      <w:r>
        <w:t xml:space="preserve">Respondents are individuals who bought stock in Dura Pharmaceuticals, Inc., on the public securities market between April 15, 1997, and February 24, 1998. They have brought this securities fraud class action against Dura and some of its managers and directors (hereinafter Dura) in federal court. In respect to the question before us, their detailed amended (181 paragraph) complaint makes substantially the following allegations:</w:t>
      </w:r>
    </w:p>
    <w:p>
      <w:pPr>
        <w:pStyle w:val="BlockText"/>
      </w:pPr>
      <w:r>
        <w:t xml:space="preserve">(1) Before and during the purchase period, Dura (or its officials) made false statements concerning both Dura’s drug profits and future Food and Drug Administration (FDA) approval of a new asthmatic spray device. See,</w:t>
      </w:r>
      <w:r>
        <w:t xml:space="preserve"> </w:t>
      </w:r>
      <w:r>
        <w:rPr>
          <w:iCs/>
          <w:i/>
        </w:rPr>
        <w:t xml:space="preserve">e. g.,</w:t>
      </w:r>
      <w:r>
        <w:t xml:space="preserve"> </w:t>
      </w:r>
      <w:r>
        <w:t xml:space="preserve">App. 45a, 55a, 89a.</w:t>
      </w:r>
    </w:p>
    <w:p>
      <w:pPr>
        <w:pStyle w:val="BlockText"/>
      </w:pPr>
      <w:r>
        <w:t xml:space="preserve">(2) In respect to drug profits, Dura falsely claimed that it expected that its drug sales would prove profitable. See,</w:t>
      </w:r>
      <w:r>
        <w:t xml:space="preserve"> </w:t>
      </w:r>
      <w:r>
        <w:rPr>
          <w:iCs/>
          <w:i/>
        </w:rPr>
        <w:t xml:space="preserve">e. g.,</w:t>
      </w:r>
      <w:r>
        <w:rPr>
          <w:iCs/>
          <w:i/>
        </w:rPr>
        <w:t xml:space="preserve"> </w:t>
      </w:r>
      <w:r>
        <w:rPr>
          <w:iCs/>
          <w:i/>
        </w:rPr>
        <w:t xml:space="preserve">id.,</w:t>
      </w:r>
      <w:r>
        <w:t xml:space="preserve"> </w:t>
      </w:r>
      <w:r>
        <w:t xml:space="preserve">at 66a-69a.</w:t>
      </w:r>
    </w:p>
    <w:p>
      <w:pPr>
        <w:pStyle w:val="BlockText"/>
      </w:pPr>
      <w:r>
        <w:t xml:space="preserve">(3) In respect to the asthmatic spray device, Dura falsely claimed that it expected the FDA would soon grant its approval. See,</w:t>
      </w:r>
      <w:r>
        <w:t xml:space="preserve"> </w:t>
      </w:r>
      <w:r>
        <w:rPr>
          <w:iCs/>
          <w:i/>
        </w:rPr>
        <w:t xml:space="preserve">e. g.,</w:t>
      </w:r>
      <w:r>
        <w:rPr>
          <w:iCs/>
          <w:i/>
        </w:rPr>
        <w:t xml:space="preserve"> </w:t>
      </w:r>
      <w:r>
        <w:rPr>
          <w:iCs/>
          <w:i/>
        </w:rPr>
        <w:t xml:space="preserve">id.,</w:t>
      </w:r>
      <w:r>
        <w:t xml:space="preserve"> </w:t>
      </w:r>
      <w:r>
        <w:t xml:space="preserve">at 89a-90a, 103a-104a.</w:t>
      </w:r>
    </w:p>
    <w:p>
      <w:pPr>
        <w:pStyle w:val="BlockText"/>
      </w:pPr>
      <w:r>
        <w:t xml:space="preserve">(4) On the last day of the purchase period, February 24, 1998, Dura announced that its earnings would be lower than expected, principally due to slow drug sales.</w:t>
      </w:r>
      <w:r>
        <w:t xml:space="preserve"> </w:t>
      </w:r>
      <w:r>
        <w:rPr>
          <w:iCs/>
          <w:i/>
        </w:rPr>
        <w:t xml:space="preserve">Id.,</w:t>
      </w:r>
      <w:r>
        <w:t xml:space="preserve"> </w:t>
      </w:r>
      <w:r>
        <w:t xml:space="preserve">at 51a.</w:t>
      </w:r>
    </w:p>
    <w:p>
      <w:pPr>
        <w:pStyle w:val="BlockText"/>
      </w:pPr>
      <w:r>
        <w:t xml:space="preserve">(5) The next day Dura’s shares lost almost half their value (falling from about $39 per share to about $21).</w:t>
      </w:r>
      <w:r>
        <w:t xml:space="preserve"> </w:t>
      </w:r>
      <w:r>
        <w:rPr>
          <w:iCs/>
          <w:i/>
        </w:rPr>
        <w:t xml:space="preserve">Ibid.</w:t>
      </w:r>
    </w:p>
    <w:p>
      <w:pPr>
        <w:pStyle w:val="BlockText"/>
      </w:pPr>
      <w:r>
        <w:t xml:space="preserve">(6) About eight months later (in November 1998), Dura announced that the FDA would not approve Dura’s new asthmatic spray device.</w:t>
      </w:r>
      <w:r>
        <w:t xml:space="preserve"> </w:t>
      </w:r>
      <w:r>
        <w:rPr>
          <w:iCs/>
          <w:i/>
        </w:rPr>
        <w:t xml:space="preserve">Id.,</w:t>
      </w:r>
      <w:r>
        <w:t xml:space="preserve"> </w:t>
      </w:r>
      <w:r>
        <w:t xml:space="preserve">at 110a.</w:t>
      </w:r>
    </w:p>
    <w:p>
      <w:pPr>
        <w:pStyle w:val="BlockText"/>
      </w:pPr>
      <w:r>
        <w:t xml:space="preserve">(7) The next day Dura’s share price temporarily fell but almost fully recovered within one week.</w:t>
      </w:r>
      <w:r>
        <w:t xml:space="preserve"> </w:t>
      </w:r>
      <w:r>
        <w:rPr>
          <w:iCs/>
          <w:i/>
        </w:rPr>
        <w:t xml:space="preserve">Id.,</w:t>
      </w:r>
      <w:r>
        <w:t xml:space="preserve"> </w:t>
      </w:r>
      <w:r>
        <w:t xml:space="preserve">at 156a.</w:t>
      </w:r>
    </w:p>
    <w:p>
      <w:pPr>
        <w:pStyle w:val="CaseBody"/>
      </w:pPr>
      <w:r>
        <w:t xml:space="preserve">Most importantly, the complaint says the following (and nothing significantly more than the following) about economic losses attributable to the spray device misstatement:</w:t>
      </w:r>
      <w:r>
        <w:t xml:space="preserve"> </w:t>
      </w:r>
      <w:r>
        <w:rPr>
          <w:iCs/>
          <w:i/>
        </w:rPr>
        <w:t xml:space="preserve">“In reliance on the integrity of the market, [the plaintiffs] . . . paid artificially inflated prices for Dura securities” and the plaintiffs suffered “damagefs]” thereby.</w:t>
      </w:r>
      <w:r>
        <w:rPr>
          <w:iCs/>
          <w:i/>
        </w:rPr>
        <w:t xml:space="preserve"> </w:t>
      </w:r>
      <w:r>
        <w:rPr>
          <w:iCs/>
          <w:i/>
        </w:rPr>
        <w:t xml:space="preserve">Id.,</w:t>
      </w:r>
      <w:r>
        <w:t xml:space="preserve"> </w:t>
      </w:r>
      <w:r>
        <w:t xml:space="preserve">at 139a (emphasis added).</w:t>
      </w:r>
    </w:p>
    <w:p>
      <w:pPr>
        <w:pStyle w:val="CaseBody"/>
      </w:pPr>
      <w:r>
        <w:t xml:space="preserve">The District Court dismissed the complaint. In respect to the plaintiffs’ drug-profitability claim, it held that the complaint failed adequately to allege an appropriate state of mind,</w:t>
      </w:r>
      <w:r>
        <w:t xml:space="preserve"> </w:t>
      </w:r>
      <w:r>
        <w:rPr>
          <w:iCs/>
          <w:i/>
        </w:rPr>
        <w:t xml:space="preserve">i. e.,</w:t>
      </w:r>
      <w:r>
        <w:t xml:space="preserve"> </w:t>
      </w:r>
      <w:r>
        <w:t xml:space="preserve">that defendants had acted knowingly, or the like. In respect to the plaintiffs’ spray device claim, it held that the complaint failed adequately to allege “loss causation.”</w:t>
      </w:r>
    </w:p>
    <w:p>
      <w:pPr>
        <w:pStyle w:val="CaseBody"/>
      </w:pPr>
      <w:r>
        <w:t xml:space="preserve">The Court of Appeals for the Ninth Circuit reversed. In the portion of the court’s decision now before us — the portion that concerns the spray device claim — the Circuit held that the complaint adequately alleged “loss causation.” The Circuit wrote that “plaintiffs establish loss causation if they have shown that the price</w:t>
      </w:r>
      <w:r>
        <w:t xml:space="preserve"> </w:t>
      </w:r>
      <w:r>
        <w:rPr>
          <w:iCs/>
          <w:i/>
        </w:rPr>
        <w:t xml:space="preserve">on the date of purchase</w:t>
      </w:r>
      <w:r>
        <w:t xml:space="preserve"> </w:t>
      </w:r>
      <w:r>
        <w:t xml:space="preserve">was inflated because of the misrepresentation.”</w:t>
      </w:r>
      <w:r>
        <w:t xml:space="preserve"> </w:t>
      </w:r>
      <w:r>
        <w:t xml:space="preserve">339 F. 3d, at 938</w:t>
      </w:r>
      <w:r>
        <w:t xml:space="preserve"> </w:t>
      </w:r>
      <w:r>
        <w:t xml:space="preserve">(emphasis in original; internal quotation marks and citation omitted). It added that “the injury occurs at the time of the transaction.”</w:t>
      </w:r>
      <w:r>
        <w:t xml:space="preserve"> </w:t>
      </w:r>
      <w:r>
        <w:rPr>
          <w:iCs/>
          <w:i/>
        </w:rPr>
        <w:t xml:space="preserve">Ibid.</w:t>
      </w:r>
      <w:r>
        <w:t xml:space="preserve"> </w:t>
      </w:r>
      <w:r>
        <w:t xml:space="preserve">Since the complaint pleaded “that the price at the time of purchase was overstated,” and it sufficiently identified the cause, its allegations were legally sufficient.</w:t>
      </w:r>
      <w:r>
        <w:t xml:space="preserve"> </w:t>
      </w:r>
      <w:r>
        <w:rPr>
          <w:iCs/>
          <w:i/>
        </w:rPr>
        <w:t xml:space="preserve">Ibid.</w:t>
      </w:r>
    </w:p>
    <w:p>
      <w:pPr>
        <w:pStyle w:val="CaseBody"/>
      </w:pPr>
      <w:r>
        <w:t xml:space="preserve">Because the Ninth Circuit’s views about loss causation differ from those of other Circuits that have considered this issue, we granted Dura’s petition for certiorari. Compare</w:t>
      </w:r>
      <w:r>
        <w:t xml:space="preserve"> </w:t>
      </w:r>
      <w:r>
        <w:rPr>
          <w:iCs/>
          <w:i/>
        </w:rPr>
        <w:t xml:space="preserve">ibid,</w:t>
      </w:r>
      <w:r>
        <w:t xml:space="preserve"> </w:t>
      </w:r>
      <w:r>
        <w:t xml:space="preserve">with,</w:t>
      </w:r>
      <w:r>
        <w:t xml:space="preserve"> </w:t>
      </w:r>
      <w:r>
        <w:rPr>
          <w:iCs/>
          <w:i/>
        </w:rPr>
        <w:t xml:space="preserve">e. g., Emergent Capital Investment Management, LLC</w:t>
      </w:r>
      <w:r>
        <w:t xml:space="preserve"> </w:t>
      </w:r>
      <w:r>
        <w:t xml:space="preserve">v.</w:t>
      </w:r>
      <w:r>
        <w:t xml:space="preserve"> </w:t>
      </w:r>
      <w:r>
        <w:rPr>
          <w:iCs/>
          <w:i/>
        </w:rPr>
        <w:t xml:space="preserve">Stonepath Group, Inc.,</w:t>
      </w:r>
      <w:r>
        <w:t xml:space="preserve"> </w:t>
      </w:r>
      <w:r>
        <w:t xml:space="preserve">343 F. 3d 189</w:t>
      </w:r>
      <w:r>
        <w:t xml:space="preserve">, 198 (CA2 2003);</w:t>
      </w:r>
      <w:r>
        <w:t xml:space="preserve"> </w:t>
      </w:r>
      <w:r>
        <w:rPr>
          <w:iCs/>
          <w:i/>
        </w:rPr>
        <w:t xml:space="preserve">Semerenko</w:t>
      </w:r>
      <w:r>
        <w:t xml:space="preserve"> </w:t>
      </w:r>
      <w:r>
        <w:t xml:space="preserve">v.</w:t>
      </w:r>
      <w:r>
        <w:t xml:space="preserve"> </w:t>
      </w:r>
      <w:r>
        <w:rPr>
          <w:iCs/>
          <w:i/>
        </w:rPr>
        <w:t xml:space="preserve">Cendant Corp.,</w:t>
      </w:r>
      <w:r>
        <w:t xml:space="preserve"> </w:t>
      </w:r>
      <w:r>
        <w:t xml:space="preserve">223 F. 3d 165</w:t>
      </w:r>
      <w:r>
        <w:t xml:space="preserve">, 185 (CA3 2000);</w:t>
      </w:r>
      <w:r>
        <w:t xml:space="preserve"> </w:t>
      </w:r>
      <w:r>
        <w:rPr>
          <w:iCs/>
          <w:i/>
        </w:rPr>
        <w:t xml:space="preserve">Robbins</w:t>
      </w:r>
      <w:r>
        <w:t xml:space="preserve"> </w:t>
      </w:r>
      <w:r>
        <w:t xml:space="preserve">v.</w:t>
      </w:r>
      <w:r>
        <w:t xml:space="preserve"> </w:t>
      </w:r>
      <w:r>
        <w:rPr>
          <w:iCs/>
          <w:i/>
        </w:rPr>
        <w:t xml:space="preserve">Koger Properties, Inc.,</w:t>
      </w:r>
      <w:r>
        <w:t xml:space="preserve"> </w:t>
      </w:r>
      <w:r>
        <w:t xml:space="preserve">116 F. 3d 1441</w:t>
      </w:r>
      <w:r>
        <w:t xml:space="preserve">, 1447-1448 (CA11 1997); cf.</w:t>
      </w:r>
      <w:r>
        <w:t xml:space="preserve"> </w:t>
      </w:r>
      <w:r>
        <w:rPr>
          <w:iCs/>
          <w:i/>
        </w:rPr>
        <w:t xml:space="preserve">Bastian</w:t>
      </w:r>
      <w:r>
        <w:t xml:space="preserve"> </w:t>
      </w:r>
      <w:r>
        <w:t xml:space="preserve">v.</w:t>
      </w:r>
      <w:r>
        <w:t xml:space="preserve"> </w:t>
      </w:r>
      <w:r>
        <w:rPr>
          <w:iCs/>
          <w:i/>
        </w:rPr>
        <w:t xml:space="preserve">Petren Resources Corp.,</w:t>
      </w:r>
      <w:r>
        <w:t xml:space="preserve"> </w:t>
      </w:r>
      <w:r>
        <w:t xml:space="preserve">892 F. 2d 680</w:t>
      </w:r>
      <w:r>
        <w:t xml:space="preserve">, 685 (CA7 1990). We now reverse.</w:t>
      </w:r>
    </w:p>
    <w:p>
      <w:pPr>
        <w:pStyle w:val="CaseBody"/>
      </w:pPr>
      <w:r>
        <w:t xml:space="preserve">I — I</w:t>
      </w:r>
    </w:p>
    <w:p>
      <w:pPr>
        <w:pStyle w:val="CaseBody"/>
      </w:pPr>
      <w:r>
        <w:t xml:space="preserve">Private federal securities fraud actions are based upon federal securities statutes and their implementing regulations. Section 10(b) of the Securities Exchange Act of 1934 forbids (1) the “use or employ[ment] ... of any . . . deceptive device,” (2) “in connection .with the purchase or sale of any security,” and (8) “in contravention of” Securities and Exchange Commission “rules and regulations.” 15 U. S. C. §78j(b). Commission Rule 10b-5 forbids, among other things, the making of any “untrue statement of a material fact” or the omission of any material fact “necessary in order to make the statements made ... not misleading.”</w:t>
      </w:r>
      <w:r>
        <w:t xml:space="preserve"> </w:t>
      </w:r>
      <w:r>
        <w:t xml:space="preserve">17 CFR §240</w:t>
      </w:r>
      <w:r>
        <w:t xml:space="preserve">.10b-5 (2004).</w:t>
      </w:r>
    </w:p>
    <w:p>
      <w:pPr>
        <w:pStyle w:val="CaseBody"/>
      </w:pPr>
      <w:r>
        <w:t xml:space="preserve">The courts have implied from these statutes and Rule a private damages action, which resembles, but is not identical to, common-law tort actions for deceit and misrepresentation. See,</w:t>
      </w:r>
      <w:r>
        <w:t xml:space="preserve"> </w:t>
      </w:r>
      <w:r>
        <w:rPr>
          <w:iCs/>
          <w:i/>
        </w:rPr>
        <w:t xml:space="preserve">e. g., Blue Chip Stamps</w:t>
      </w:r>
      <w:r>
        <w:t xml:space="preserve"> </w:t>
      </w:r>
      <w:r>
        <w:t xml:space="preserve">v.</w:t>
      </w:r>
      <w:r>
        <w:t xml:space="preserve"> </w:t>
      </w:r>
      <w:r>
        <w:rPr>
          <w:iCs/>
          <w:i/>
        </w:rPr>
        <w:t xml:space="preserve">Manor Drug Stores,</w:t>
      </w:r>
      <w:r>
        <w:t xml:space="preserve"> </w:t>
      </w:r>
      <w:r>
        <w:t xml:space="preserve">421 U. S. 723</w:t>
      </w:r>
      <w:r>
        <w:t xml:space="preserve">, 730, 744 (1975);</w:t>
      </w:r>
      <w:r>
        <w:t xml:space="preserve"> </w:t>
      </w:r>
      <w:r>
        <w:rPr>
          <w:iCs/>
          <w:i/>
        </w:rPr>
        <w:t xml:space="preserve">Ernst &amp; Ernst</w:t>
      </w:r>
      <w:r>
        <w:t xml:space="preserve"> </w:t>
      </w:r>
      <w:r>
        <w:t xml:space="preserve">v.</w:t>
      </w:r>
      <w:r>
        <w:t xml:space="preserve"> </w:t>
      </w:r>
      <w:r>
        <w:rPr>
          <w:iCs/>
          <w:i/>
        </w:rPr>
        <w:t xml:space="preserve">Hochfelder,</w:t>
      </w:r>
      <w:r>
        <w:t xml:space="preserve"> </w:t>
      </w:r>
      <w:r>
        <w:t xml:space="preserve">425 U. S. 185</w:t>
      </w:r>
      <w:r>
        <w:t xml:space="preserve">, 196 (1976). And Congress has imposed statutory requirements on that private action.</w:t>
      </w:r>
      <w:r>
        <w:t xml:space="preserve"> </w:t>
      </w:r>
      <w:r>
        <w:rPr>
          <w:iCs/>
          <w:i/>
        </w:rPr>
        <w:t xml:space="preserve">E. g.,</w:t>
      </w:r>
      <w:r>
        <w:t xml:space="preserve"> </w:t>
      </w:r>
      <w:r>
        <w:t xml:space="preserve">15 U. S. C. § 78u-4(b)(4).</w:t>
      </w:r>
    </w:p>
    <w:p>
      <w:pPr>
        <w:pStyle w:val="CaseBody"/>
      </w:pPr>
      <w:r>
        <w:t xml:space="preserve">In cases involving publicly traded securities and purchases or sales in public securities markets, the action’s basic elements include:</w:t>
      </w:r>
    </w:p>
    <w:p>
      <w:pPr>
        <w:pStyle w:val="BlockText"/>
      </w:pPr>
      <w:r>
        <w:t xml:space="preserve">(1)</w:t>
      </w:r>
      <w:r>
        <w:t xml:space="preserve"> </w:t>
      </w:r>
      <w:r>
        <w:rPr>
          <w:iCs/>
          <w:i/>
        </w:rPr>
        <w:t xml:space="preserve">a material misrepresentation (or omission),</w:t>
      </w:r>
      <w:r>
        <w:t xml:space="preserve"> </w:t>
      </w:r>
      <w:r>
        <w:t xml:space="preserve">see</w:t>
      </w:r>
      <w:r>
        <w:t xml:space="preserve"> </w:t>
      </w:r>
      <w:r>
        <w:rPr>
          <w:iCs/>
          <w:i/>
        </w:rPr>
        <w:t xml:space="preserve">Basic Inc.</w:t>
      </w:r>
      <w:r>
        <w:t xml:space="preserve"> </w:t>
      </w:r>
      <w:r>
        <w:t xml:space="preserve">v.</w:t>
      </w:r>
      <w:r>
        <w:t xml:space="preserve"> </w:t>
      </w:r>
      <w:r>
        <w:rPr>
          <w:iCs/>
          <w:i/>
        </w:rPr>
        <w:t xml:space="preserve">Levinson,</w:t>
      </w:r>
      <w:r>
        <w:t xml:space="preserve"> </w:t>
      </w:r>
      <w:r>
        <w:t xml:space="preserve">485 U. S. 224</w:t>
      </w:r>
      <w:r>
        <w:t xml:space="preserve">, 231-232 (1988);</w:t>
      </w:r>
    </w:p>
    <w:p>
      <w:pPr>
        <w:pStyle w:val="BlockText"/>
      </w:pPr>
      <w:r>
        <w:t xml:space="preserve">(2)</w:t>
      </w:r>
      <w:r>
        <w:t xml:space="preserve"> </w:t>
      </w:r>
      <w:r>
        <w:rPr>
          <w:iCs/>
          <w:i/>
        </w:rPr>
        <w:t xml:space="preserve">scienter, i. e.,</w:t>
      </w:r>
      <w:r>
        <w:t xml:space="preserve"> </w:t>
      </w:r>
      <w:r>
        <w:t xml:space="preserve">a wrongful state of mind, see</w:t>
      </w:r>
      <w:r>
        <w:t xml:space="preserve"> </w:t>
      </w:r>
      <w:r>
        <w:rPr>
          <w:iCs/>
          <w:i/>
        </w:rPr>
        <w:t xml:space="preserve">Ernst &amp; Ernst,</w:t>
      </w:r>
      <w:r>
        <w:rPr>
          <w:iCs/>
          <w:i/>
        </w:rPr>
        <w:t xml:space="preserve"> </w:t>
      </w:r>
      <w:r>
        <w:rPr>
          <w:iCs/>
          <w:i/>
        </w:rPr>
        <w:t xml:space="preserve">supra,</w:t>
      </w:r>
      <w:r>
        <w:rPr>
          <w:iCs/>
          <w:i/>
        </w:rPr>
        <w:t xml:space="preserve"> </w:t>
      </w:r>
      <w:r>
        <w:t xml:space="preserve">at 197, 199</w:t>
      </w:r>
      <w:r>
        <w:t xml:space="preserve">;</w:t>
      </w:r>
    </w:p>
    <w:p>
      <w:pPr>
        <w:pStyle w:val="BlockText"/>
      </w:pPr>
      <w:r>
        <w:t xml:space="preserve">(3)</w:t>
      </w:r>
      <w:r>
        <w:t xml:space="preserve"> </w:t>
      </w:r>
      <w:r>
        <w:rPr>
          <w:iCs/>
          <w:i/>
        </w:rPr>
        <w:t xml:space="preserve">a connection with the purchase or sale of a security,</w:t>
      </w:r>
      <w:r>
        <w:t xml:space="preserve"> </w:t>
      </w:r>
      <w:r>
        <w:t xml:space="preserve">see</w:t>
      </w:r>
      <w:r>
        <w:t xml:space="preserve"> </w:t>
      </w:r>
      <w:r>
        <w:rPr>
          <w:iCs/>
          <w:i/>
        </w:rPr>
        <w:t xml:space="preserve">Blue Chip Stamps,</w:t>
      </w:r>
      <w:r>
        <w:rPr>
          <w:iCs/>
          <w:i/>
        </w:rPr>
        <w:t xml:space="preserve"> </w:t>
      </w:r>
      <w:r>
        <w:rPr>
          <w:iCs/>
          <w:i/>
        </w:rPr>
        <w:t xml:space="preserve">supra,</w:t>
      </w:r>
      <w:r>
        <w:rPr>
          <w:iCs/>
          <w:i/>
        </w:rPr>
        <w:t xml:space="preserve"> </w:t>
      </w:r>
      <w:r>
        <w:t xml:space="preserve">at 730-731</w:t>
      </w:r>
      <w:r>
        <w:t xml:space="preserve">;</w:t>
      </w:r>
    </w:p>
    <w:p>
      <w:pPr>
        <w:pStyle w:val="BlockText"/>
      </w:pPr>
      <w:r>
        <w:t xml:space="preserve">(4)</w:t>
      </w:r>
      <w:r>
        <w:t xml:space="preserve"> </w:t>
      </w:r>
      <w:r>
        <w:rPr>
          <w:iCs/>
          <w:i/>
        </w:rPr>
        <w:t xml:space="preserve">reliance,</w:t>
      </w:r>
      <w:r>
        <w:t xml:space="preserve"> </w:t>
      </w:r>
      <w:r>
        <w:t xml:space="preserve">often referred to in cases involving public securities markets (fraud-on-the-market cases) as “transaction causation,” see</w:t>
      </w:r>
      <w:r>
        <w:t xml:space="preserve"> </w:t>
      </w:r>
      <w:r>
        <w:rPr>
          <w:iCs/>
          <w:i/>
        </w:rPr>
        <w:t xml:space="preserve">Basic, supra,</w:t>
      </w:r>
      <w:r>
        <w:t xml:space="preserve"> </w:t>
      </w:r>
      <w:r>
        <w:t xml:space="preserve">at 248-249 (nonconclusively presuming that the price of a publicly traded share reflects a material misrepresentation and that plaintiffs have relied upon that misrepresentation as long as they would not have bought the share in its absence);</w:t>
      </w:r>
    </w:p>
    <w:p>
      <w:pPr>
        <w:pStyle w:val="BlockText"/>
      </w:pPr>
      <w:r>
        <w:t xml:space="preserve">(5)</w:t>
      </w:r>
      <w:r>
        <w:t xml:space="preserve"> </w:t>
      </w:r>
      <w:r>
        <w:rPr>
          <w:iCs/>
          <w:i/>
        </w:rPr>
        <w:t xml:space="preserve">economic loss,</w:t>
      </w:r>
      <w:r>
        <w:t xml:space="preserve"> </w:t>
      </w:r>
      <w:r>
        <w:t xml:space="preserve">15 U. S. C. § 78u-4(b)(4); and</w:t>
      </w:r>
    </w:p>
    <w:p>
      <w:pPr>
        <w:pStyle w:val="BlockText"/>
      </w:pPr>
      <w:r>
        <w:t xml:space="preserve">(6)</w:t>
      </w:r>
      <w:r>
        <w:t xml:space="preserve"> </w:t>
      </w:r>
      <w:r>
        <w:rPr>
          <w:iCs/>
          <w:i/>
        </w:rPr>
        <w:t xml:space="preserve">“loss causation,” i. e.,</w:t>
      </w:r>
      <w:r>
        <w:t xml:space="preserve"> </w:t>
      </w:r>
      <w:r>
        <w:t xml:space="preserve">a causal connection between the material misrepresentation and the loss,</w:t>
      </w:r>
      <w:r>
        <w:t xml:space="preserve"> </w:t>
      </w:r>
      <w:r>
        <w:rPr>
          <w:iCs/>
          <w:i/>
        </w:rPr>
        <w:t xml:space="preserve">ibid.;</w:t>
      </w:r>
      <w:r>
        <w:t xml:space="preserve"> </w:t>
      </w:r>
      <w:r>
        <w:t xml:space="preserve">cf. T. Hazen, Law of Securities Regulation §§ 12.11[1], [3] (5th ed. 2005).</w:t>
      </w:r>
    </w:p>
    <w:p>
      <w:pPr>
        <w:pStyle w:val="CaseBody"/>
      </w:pPr>
      <w:r>
        <w:t xml:space="preserve">Dura argues that the complaint’s allegations are inadequate in respect to these last two elements.</w:t>
      </w:r>
    </w:p>
    <w:p>
      <w:pPr>
        <w:pStyle w:val="CaseBody"/>
      </w:pPr>
      <w:r>
        <w:t xml:space="preserve">A</w:t>
      </w:r>
    </w:p>
    <w:p>
      <w:pPr>
        <w:pStyle w:val="CaseBody"/>
      </w:pPr>
      <w:r>
        <w:t xml:space="preserve">We begin with the Ninth Circuit’s basic reason for finding the complaint adequate, namely, that at the end of the day plaintiffs need only “establish,”</w:t>
      </w:r>
      <w:r>
        <w:t xml:space="preserve"> </w:t>
      </w:r>
      <w:r>
        <w:rPr>
          <w:iCs/>
          <w:i/>
        </w:rPr>
        <w:t xml:space="preserve">i. e.,</w:t>
      </w:r>
      <w:r>
        <w:t xml:space="preserve"> </w:t>
      </w:r>
      <w:r>
        <w:t xml:space="preserve">prove, that “the price</w:t>
      </w:r>
      <w:r>
        <w:t xml:space="preserve"> </w:t>
      </w:r>
      <w:r>
        <w:rPr>
          <w:iCs/>
          <w:i/>
        </w:rPr>
        <w:t xml:space="preserve">on the date of purchase</w:t>
      </w:r>
      <w:r>
        <w:t xml:space="preserve"> </w:t>
      </w:r>
      <w:r>
        <w:t xml:space="preserve">was inflated because of the misrepresentation.”</w:t>
      </w:r>
      <w:r>
        <w:t xml:space="preserve"> </w:t>
      </w:r>
      <w:r>
        <w:t xml:space="preserve">339 F. 3d, at 938</w:t>
      </w:r>
      <w:r>
        <w:t xml:space="preserve"> </w:t>
      </w:r>
      <w:r>
        <w:t xml:space="preserve">(internal quotation marks and citation omitted). In our view, this statement of the law is wrong. Normally, in cases such as this one (i.</w:t>
      </w:r>
      <w:r>
        <w:t xml:space="preserve"> </w:t>
      </w:r>
      <w:r>
        <w:rPr>
          <w:iCs/>
          <w:i/>
        </w:rPr>
        <w:t xml:space="preserve">e.,</w:t>
      </w:r>
      <w:r>
        <w:t xml:space="preserve"> </w:t>
      </w:r>
      <w:r>
        <w:t xml:space="preserve">fraud-on-the-market cases), an inflated purchase price will not itself constitute or proximately cause the relevant economic loss.</w:t>
      </w:r>
    </w:p>
    <w:p>
      <w:pPr>
        <w:pStyle w:val="CaseBody"/>
      </w:pPr>
      <w:r>
        <w:t xml:space="preserve">For one thing, as a matter of pure logic, at the moment the transaction takes place, the plaintiff has suffered no loss; the inflated purchase payment is offset by ownership of a share that</w:t>
      </w:r>
      <w:r>
        <w:t xml:space="preserve"> </w:t>
      </w:r>
      <w:r>
        <w:rPr>
          <w:iCs/>
          <w:i/>
        </w:rPr>
        <w:t xml:space="preserve">at that instant</w:t>
      </w:r>
      <w:r>
        <w:t xml:space="preserve"> </w:t>
      </w:r>
      <w:r>
        <w:t xml:space="preserve">possesses equivalent value. Moreover, the logical link between the inflated share purchase price and any later economic loss is not invariably strong. Shares are normally purchased with an eye toward a later sale. But if, say, the purchaser sells the shares quickly before the relevant truth begins to leak out, the misrepresentation will not have led to any loss. If the purchaser sells later after the truth makes its way into the marketplace, an initially inflated purchase price</w:t>
      </w:r>
      <w:r>
        <w:t xml:space="preserve"> </w:t>
      </w:r>
      <w:r>
        <w:rPr>
          <w:iCs/>
          <w:i/>
        </w:rPr>
        <w:t xml:space="preserve">might</w:t>
      </w:r>
      <w:r>
        <w:t xml:space="preserve"> </w:t>
      </w:r>
      <w:r>
        <w:t xml:space="preserve">mean a later loss. But that is far from inevitably so. When the purchaser subsequently resells such shares, even at a lower price, that lower price may reflect, not the earlier misrepresentation, but changed economic circumstances, changed investor expectations, new industry-specific or firm-specific facts, conditions, or other events, which taken separately or together account for some or all of that lower price. (The same is true in respect to a claim that a share’s higher price is lower than it would otherwise have been — a claim we do not consider here.) Other things being equal, the longer the time between purchase and sale, the more likely that this is so,</w:t>
      </w:r>
      <w:r>
        <w:t xml:space="preserve"> </w:t>
      </w:r>
      <w:r>
        <w:rPr>
          <w:iCs/>
          <w:i/>
        </w:rPr>
        <w:t xml:space="preserve">i. e.,</w:t>
      </w:r>
      <w:r>
        <w:t xml:space="preserve"> </w:t>
      </w:r>
      <w:r>
        <w:t xml:space="preserve">the more likely that other factors caused the loss.</w:t>
      </w:r>
    </w:p>
    <w:p>
      <w:pPr>
        <w:pStyle w:val="CaseBody"/>
      </w:pPr>
      <w:r>
        <w:t xml:space="preserve">Given the tangle of factors affecting price, the most logic alone permits us to say is that the higher purchase price will</w:t>
      </w:r>
      <w:r>
        <w:t xml:space="preserve"> </w:t>
      </w:r>
      <w:r>
        <w:rPr>
          <w:iCs/>
          <w:i/>
        </w:rPr>
        <w:t xml:space="preserve">sometimes</w:t>
      </w:r>
      <w:r>
        <w:t xml:space="preserve"> </w:t>
      </w:r>
      <w:r>
        <w:t xml:space="preserve">play a role in bringing about a future loss. It may prove to be a necessary condition of any such loss, and in that sense one might say that the inflated purchase price suggests that the misrepresentation (using language the Ninth Circuit used) “touches upon” a later economic loss.</w:t>
      </w:r>
      <w:r>
        <w:t xml:space="preserve"> </w:t>
      </w:r>
      <w:r>
        <w:rPr>
          <w:iCs/>
          <w:i/>
        </w:rPr>
        <w:t xml:space="preserve">Ibid.</w:t>
      </w:r>
      <w:r>
        <w:t xml:space="preserve"> </w:t>
      </w:r>
      <w:r>
        <w:t xml:space="preserve">But, even if that is so, it is insufficient. To “touch upon” a loss is not to</w:t>
      </w:r>
      <w:r>
        <w:t xml:space="preserve"> </w:t>
      </w:r>
      <w:r>
        <w:rPr>
          <w:iCs/>
          <w:i/>
        </w:rPr>
        <w:t xml:space="preserve">cause</w:t>
      </w:r>
      <w:r>
        <w:t xml:space="preserve"> </w:t>
      </w:r>
      <w:r>
        <w:t xml:space="preserve">a loss, and it is the latter that the law requires. 15 U. S. C. § 78u-4(b)(4).</w:t>
      </w:r>
    </w:p>
    <w:p>
      <w:pPr>
        <w:pStyle w:val="CaseBody"/>
      </w:pPr>
      <w:r>
        <w:t xml:space="preserve">For another thing, the Ninth Circuit’s holding lacks support in precedent. Judicially implied private securities fraud actions resemble in many (but not all) respects common-law deceit and misrepresentation actions. See</w:t>
      </w:r>
      <w:r>
        <w:t xml:space="preserve"> </w:t>
      </w:r>
      <w:r>
        <w:rPr>
          <w:iCs/>
          <w:i/>
        </w:rPr>
        <w:t xml:space="preserve">Blue Chip Stamps,</w:t>
      </w:r>
      <w:r>
        <w:rPr>
          <w:iCs/>
          <w:i/>
        </w:rPr>
        <w:t xml:space="preserve"> </w:t>
      </w:r>
      <w:r>
        <w:rPr>
          <w:iCs/>
          <w:i/>
        </w:rPr>
        <w:t xml:space="preserve">supra,</w:t>
      </w:r>
      <w:r>
        <w:rPr>
          <w:iCs/>
          <w:i/>
        </w:rPr>
        <w:t xml:space="preserve"> </w:t>
      </w:r>
      <w:r>
        <w:t xml:space="preserve">at 744</w:t>
      </w:r>
      <w:r>
        <w:t xml:space="preserve">; see also L. Loss &amp; J. Seligman, Fundamentals of Securities Regulation 910-918 (5th ed. 2004) (describing relationship to common-law deceit). The common law of deceit subjects a person who “fraudulently” makes a “misrepresentation” to liability “for pecuniary loss caused” to one who justifiably relies upon that misrepresentation. Restatement (Second) of Torts §525, p. 55 (1976) (hereinafter Restatement of Torts); see also</w:t>
      </w:r>
      <w:r>
        <w:t xml:space="preserve"> </w:t>
      </w:r>
      <w:r>
        <w:rPr>
          <w:iCs/>
          <w:i/>
        </w:rPr>
        <w:t xml:space="preserve">Southern Development Co.</w:t>
      </w:r>
      <w:r>
        <w:t xml:space="preserve"> </w:t>
      </w:r>
      <w:r>
        <w:t xml:space="preserve">v.</w:t>
      </w:r>
      <w:r>
        <w:t xml:space="preserve"> </w:t>
      </w:r>
      <w:r>
        <w:rPr>
          <w:iCs/>
          <w:i/>
        </w:rPr>
        <w:t xml:space="preserve">Silva,</w:t>
      </w:r>
      <w:r>
        <w:t xml:space="preserve"> </w:t>
      </w:r>
      <w:r>
        <w:t xml:space="preserve">125 U. S. 247</w:t>
      </w:r>
      <w:r>
        <w:t xml:space="preserve">, 250 (1888) (setting forth elements of fraudulent misrepresentation). And the common law has long insisted that a plaintiff in such a case show not only that had he known the truth he would not have acted but also that he suffered actual economic loss. See,</w:t>
      </w:r>
      <w:r>
        <w:t xml:space="preserve"> </w:t>
      </w:r>
      <w:r>
        <w:rPr>
          <w:iCs/>
          <w:i/>
        </w:rPr>
        <w:t xml:space="preserve">e. g., Pasley</w:t>
      </w:r>
      <w:r>
        <w:t xml:space="preserve"> </w:t>
      </w:r>
      <w:r>
        <w:t xml:space="preserve">v.</w:t>
      </w:r>
      <w:r>
        <w:t xml:space="preserve"> </w:t>
      </w:r>
      <w:r>
        <w:rPr>
          <w:iCs/>
          <w:i/>
        </w:rPr>
        <w:t xml:space="preserve">Freeman,</w:t>
      </w:r>
      <w:r>
        <w:t xml:space="preserve"> </w:t>
      </w:r>
      <w:r>
        <w:t xml:space="preserve">3 T. R. 51, 65, 100 Eng. Rep. 450, 457 (1789) (if “no injury is occasioned by the lie, it is not actionable: but if it be attended with a damage, it then becomes the subject of an action”);</w:t>
      </w:r>
      <w:r>
        <w:t xml:space="preserve"> </w:t>
      </w:r>
      <w:r>
        <w:rPr>
          <w:iCs/>
          <w:i/>
        </w:rPr>
        <w:t xml:space="preserve">Freeman</w:t>
      </w:r>
      <w:r>
        <w:t xml:space="preserve"> </w:t>
      </w:r>
      <w:r>
        <w:t xml:space="preserve">v.</w:t>
      </w:r>
      <w:r>
        <w:t xml:space="preserve"> </w:t>
      </w:r>
      <w:r>
        <w:rPr>
          <w:iCs/>
          <w:i/>
        </w:rPr>
        <w:t xml:space="preserve">Venner,</w:t>
      </w:r>
      <w:r>
        <w:t xml:space="preserve"> </w:t>
      </w:r>
      <w:r>
        <w:t xml:space="preserve">120 Mass. 424</w:t>
      </w:r>
      <w:r>
        <w:t xml:space="preserve">, 426 (1876) (a mortgagee cannot bring a tort action for damages stemming from a fraudulent note that a misrepresentation led him to execute unless and until the note has to be paid); see also M. Bigelow, Law of Torts 101 (8th ed. 1907) (damage “must already have been suffered before the bringing of the suit”); 2 T. Cooley, Law of Torts § 348, p. 551 (4th ed. 1932) (plaintiff must show that he “suffered damage” and that the “damage followed proximately the deception”); W. Keeton, D. Dobbs, R. Keeton, &amp; D. Owen, Prosser and Keeton on Law of Torts § 110, p. 765 (5th ed. 1984) (hereinafter Prosser and Keeton) (plaintiff “must have suffered substantial damage,” not simply nominal damages, before “the cause of action can arise”).</w:t>
      </w:r>
    </w:p>
    <w:p>
      <w:pPr>
        <w:pStyle w:val="CaseBody"/>
      </w:pPr>
      <w:r>
        <w:t xml:space="preserve">Given the common-law roots of the securities fraud action (and the common-law requirement that a plaintiff show actual damages), it is not surprising that other Courts of Appeals have rejected the Ninth Circuit’s “inflated purchase price” approach to proving causation and loss. See,</w:t>
      </w:r>
      <w:r>
        <w:t xml:space="preserve"> </w:t>
      </w:r>
      <w:r>
        <w:rPr>
          <w:iCs/>
          <w:i/>
        </w:rPr>
        <w:t xml:space="preserve">e.g., Emergent Capital,</w:t>
      </w:r>
      <w:r>
        <w:t xml:space="preserve"> </w:t>
      </w:r>
      <w:r>
        <w:t xml:space="preserve">343 F. 3d, at 198</w:t>
      </w:r>
      <w:r>
        <w:t xml:space="preserve"> </w:t>
      </w:r>
      <w:r>
        <w:t xml:space="preserve">(inflation of purchase price alone cannot satisfy loss causation);</w:t>
      </w:r>
      <w:r>
        <w:t xml:space="preserve"> </w:t>
      </w:r>
      <w:r>
        <w:rPr>
          <w:iCs/>
          <w:i/>
        </w:rPr>
        <w:t xml:space="preserve">Semerenko,</w:t>
      </w:r>
      <w:r>
        <w:t xml:space="preserve"> </w:t>
      </w:r>
      <w:r>
        <w:t xml:space="preserve">223 F. 3d, at 185</w:t>
      </w:r>
      <w:r>
        <w:t xml:space="preserve"> </w:t>
      </w:r>
      <w:r>
        <w:t xml:space="preserve">(same);</w:t>
      </w:r>
      <w:r>
        <w:t xml:space="preserve"> </w:t>
      </w:r>
      <w:r>
        <w:rPr>
          <w:iCs/>
          <w:i/>
        </w:rPr>
        <w:t xml:space="preserve">Robbins,</w:t>
      </w:r>
      <w:r>
        <w:t xml:space="preserve"> </w:t>
      </w:r>
      <w:r>
        <w:t xml:space="preserve">116 F. 3d, at 1448</w:t>
      </w:r>
      <w:r>
        <w:t xml:space="preserve"> </w:t>
      </w:r>
      <w:r>
        <w:t xml:space="preserve">(same); cf.</w:t>
      </w:r>
      <w:r>
        <w:t xml:space="preserve"> </w:t>
      </w:r>
      <w:r>
        <w:rPr>
          <w:iCs/>
          <w:i/>
        </w:rPr>
        <w:t xml:space="preserve">Bastian,</w:t>
      </w:r>
      <w:r>
        <w:t xml:space="preserve"> </w:t>
      </w:r>
      <w:r>
        <w:t xml:space="preserve">892 F. 2d, at 685</w:t>
      </w:r>
      <w:r>
        <w:t xml:space="preserve">. Indeed, the Restatement of Torts, in setting forth the judicial consensus, says that a person who “misrepresents the financial condition of a corporation in order to sell its stock” becomes liable to a relying purchaser “for the loss” the purchaser sustains “when the facts . . . become generally known” and “as a result” share value “depreciated].” § 548A, Comment</w:t>
      </w:r>
      <w:r>
        <w:t xml:space="preserve"> </w:t>
      </w:r>
      <w:r>
        <w:rPr>
          <w:iCs/>
          <w:i/>
        </w:rPr>
        <w:t xml:space="preserve">b,</w:t>
      </w:r>
      <w:r>
        <w:t xml:space="preserve"> </w:t>
      </w:r>
      <w:r>
        <w:t xml:space="preserve">at 107. Treatise writers, too, have emphasized the need to prove proximate causation. Prosser and Keeton § 110, at 767 (losses do “not afford any basis for recovery” if “brought about by business conditions or other factors”).</w:t>
      </w:r>
    </w:p>
    <w:p>
      <w:pPr>
        <w:pStyle w:val="CaseBody"/>
      </w:pPr>
      <w:r>
        <w:t xml:space="preserve">We cannot reconcile the Ninth Circuit’s “inflated purchase price” approach with these views of other courts. And the uniqueness of its perspective argues against the validity of its approach in a case like this one where we consider the contours of a judicially implied cause of action with roots in the common law.</w:t>
      </w:r>
    </w:p>
    <w:p>
      <w:pPr>
        <w:pStyle w:val="CaseBody"/>
      </w:pPr>
      <w:r>
        <w:t xml:space="preserve">Finally, the Ninth Circuit’s approach overlooks an important securities law objective. The securities statutes seek to maintain public confidence. in the marketplace. See</w:t>
      </w:r>
      <w:r>
        <w:t xml:space="preserve"> </w:t>
      </w:r>
      <w:r>
        <w:rPr>
          <w:iCs/>
          <w:i/>
        </w:rPr>
        <w:t xml:space="preserve">United States</w:t>
      </w:r>
      <w:r>
        <w:t xml:space="preserve"> </w:t>
      </w:r>
      <w:r>
        <w:t xml:space="preserve">v.</w:t>
      </w:r>
      <w:r>
        <w:t xml:space="preserve"> </w:t>
      </w:r>
      <w:r>
        <w:rPr>
          <w:iCs/>
          <w:i/>
        </w:rPr>
        <w:t xml:space="preserve">O’Hagan,</w:t>
      </w:r>
      <w:r>
        <w:t xml:space="preserve"> </w:t>
      </w:r>
      <w:r>
        <w:t xml:space="preserve">521 U. S. 642</w:t>
      </w:r>
      <w:r>
        <w:t xml:space="preserve">, 658 (1997). They do so by deterring fraud, in part, through the availability of private securities fraud actions.</w:t>
      </w:r>
      <w:r>
        <w:t xml:space="preserve"> </w:t>
      </w:r>
      <w:r>
        <w:rPr>
          <w:iCs/>
          <w:i/>
        </w:rPr>
        <w:t xml:space="preserve">Randall</w:t>
      </w:r>
      <w:r>
        <w:t xml:space="preserve"> </w:t>
      </w:r>
      <w:r>
        <w:t xml:space="preserve">v.</w:t>
      </w:r>
      <w:r>
        <w:t xml:space="preserve"> </w:t>
      </w:r>
      <w:r>
        <w:rPr>
          <w:iCs/>
          <w:i/>
        </w:rPr>
        <w:t xml:space="preserve">Loftsgaarden,</w:t>
      </w:r>
      <w:r>
        <w:t xml:space="preserve"> </w:t>
      </w:r>
      <w:r>
        <w:t xml:space="preserve">478 U. S. 647</w:t>
      </w:r>
      <w:r>
        <w:t xml:space="preserve">, 664 (1986). But the statutes make these latter actions available, not to provide investors with broad insurance against market losses, but to protect them against those economic losses that misrepresentations actually cause. Cf.</w:t>
      </w:r>
      <w:r>
        <w:t xml:space="preserve"> </w:t>
      </w:r>
      <w:r>
        <w:rPr>
          <w:iCs/>
          <w:i/>
        </w:rPr>
        <w:t xml:space="preserve">Basic,</w:t>
      </w:r>
      <w:r>
        <w:t xml:space="preserve"> </w:t>
      </w:r>
      <w:r>
        <w:t xml:space="preserve">485 U. S., at 252</w:t>
      </w:r>
      <w:r>
        <w:t xml:space="preserve"> </w:t>
      </w:r>
      <w:r>
        <w:t xml:space="preserve">(White, J., joined by O’Connor, J., concurring in part and dissenting in part) (“[A]flowing recovery in the face of affirmative evidence of nonreliance — would effectively convert Rule 10b-5 into a scheme of investor’s insurance. There is no support in the Securities Exchange Act, the Rule, or our cases for such a result” (internal quotation marks and citations omitted)).</w:t>
      </w:r>
    </w:p>
    <w:p>
      <w:pPr>
        <w:pStyle w:val="CaseBody"/>
      </w:pPr>
      <w:r>
        <w:t xml:space="preserve">The statutory provision at issue here and the paragraphs that precede it emphasize this last mentioned objective. Private Securities Litigation Reform Act of 1995,</w:t>
      </w:r>
      <w:r>
        <w:t xml:space="preserve"> </w:t>
      </w:r>
      <w:r>
        <w:t xml:space="preserve">109 Stat. 737</w:t>
      </w:r>
      <w:r>
        <w:t xml:space="preserve">. The statute insists that securities fraud complaints “specify” each misleading statement; that they set forth the facts “on which [a] belief” that a statement is misleading was “formed”; and that they “state with particularity facts giving rise to a strong inference that the defendant acted with the required state' of mind.” 15 U. S. C. §§78u-4(b)(1), (2). And the statute expressly imposes on plaintiffs “the burden of proving” that the defendant’s misrepresentations “caused the loss for which the plaintiff seeks to recover.” § 78u-4(b)(4).</w:t>
      </w:r>
    </w:p>
    <w:p>
      <w:pPr>
        <w:pStyle w:val="CaseBody"/>
      </w:pPr>
      <w:r>
        <w:t xml:space="preserve">The statute thereby makes clear Congress’ intent to permit private securities fraud actions for recovery where, but only where, plaintiffs adequately allege and prove the traditional elements of causation and loss. By way of contrast, the Ninth Circuit’s approach would allow recovery where a misrepresentation leads to an inflated purchase price but nonetheless does not proximately cause any economic loss. That is to say, it would permit recovery where these two traditional elements in fact are missing.</w:t>
      </w:r>
    </w:p>
    <w:p>
      <w:pPr>
        <w:pStyle w:val="CaseBody"/>
      </w:pPr>
      <w:r>
        <w:t xml:space="preserve">In sum, we find the Ninth Circuit’s approach inconsistent with the law’s requirement that a plaintiff prove that the defendant’s misrepresentation (or other fraudulent conduct) proximately caused the plaintiff’s economic loss. We need not, and do not, consider other proximate cause or loss-related questions.</w:t>
      </w:r>
    </w:p>
    <w:p>
      <w:pPr>
        <w:pStyle w:val="CaseBody"/>
      </w:pPr>
      <w:r>
        <w:t xml:space="preserve">B</w:t>
      </w:r>
    </w:p>
    <w:p>
      <w:pPr>
        <w:pStyle w:val="CaseBody"/>
      </w:pPr>
      <w:r>
        <w:t xml:space="preserve">Our holding about plaintiffs’ need to</w:t>
      </w:r>
      <w:r>
        <w:t xml:space="preserve"> </w:t>
      </w:r>
      <w:r>
        <w:rPr>
          <w:iCs/>
          <w:i/>
        </w:rPr>
        <w:t xml:space="preserve">prove</w:t>
      </w:r>
      <w:r>
        <w:t xml:space="preserve"> </w:t>
      </w:r>
      <w:r>
        <w:t xml:space="preserve">proximate causation and economic loss leads us also to conclude that the plaintiffs’ complaint here failed adequately to</w:t>
      </w:r>
      <w:r>
        <w:t xml:space="preserve"> </w:t>
      </w:r>
      <w:r>
        <w:rPr>
          <w:iCs/>
          <w:i/>
        </w:rPr>
        <w:t xml:space="preserve">allege</w:t>
      </w:r>
      <w:r>
        <w:t xml:space="preserve"> </w:t>
      </w:r>
      <w:r>
        <w:t xml:space="preserve">these requirements. We concede that the Federal Rules of Civil Procedure require only “a short and plain statement of the claim showing that the pleader is entitled to relief.” Fed. Rule Civ. Proc. 8(a)(2). And we assume, at least for argument’s sake, that neither the Rules nor the securities statutes impose any special further requirement in respect to the pleading of proximate causation or economic loss. But, even so, the “short and plain statement” must provide the defendant with “fair notice of what the plaintiff’s claim is and the grounds upon which it rests.”</w:t>
      </w:r>
      <w:r>
        <w:t xml:space="preserve"> </w:t>
      </w:r>
      <w:r>
        <w:rPr>
          <w:iCs/>
          <w:i/>
        </w:rPr>
        <w:t xml:space="preserve">Conley</w:t>
      </w:r>
      <w:r>
        <w:t xml:space="preserve"> </w:t>
      </w:r>
      <w:r>
        <w:t xml:space="preserve">v. Gibson,</w:t>
      </w:r>
      <w:r>
        <w:t xml:space="preserve"> </w:t>
      </w:r>
      <w:r>
        <w:t xml:space="preserve">355 U. S. 41</w:t>
      </w:r>
      <w:r>
        <w:t xml:space="preserve">, 47 (1957). The complaint before us fails this simple test.</w:t>
      </w:r>
    </w:p>
    <w:p>
      <w:pPr>
        <w:pStyle w:val="CaseBody"/>
      </w:pPr>
      <w:r>
        <w:t xml:space="preserve">As we have pointed out, the plaintiffs’ lengthy complaint contains only one statement that we can fairly read as describing the loss caused by the defendants’ “spray device” misrepresentations. That statement says that the plaintiffs “paid artificially inflated prices for Dura[’s] securities” and suffered “damage[s].” App. 139a. The statement implies that the plaintiffs’ loss consisted of the “artificially inflated” purchase “prices.” The complaint’s failure to claim that Dura’s share price fell significantly after the truth became known suggests that the plaintiffs considered the allegation of purchase price inflation alone sufficient. The complaint contains nothing that suggests otherwise.</w:t>
      </w:r>
    </w:p>
    <w:p>
      <w:pPr>
        <w:pStyle w:val="CaseBody"/>
      </w:pPr>
      <w:r>
        <w:t xml:space="preserve">For reasons set forth in Part II-A,</w:t>
      </w:r>
      <w:r>
        <w:t xml:space="preserve"> </w:t>
      </w:r>
      <w:r>
        <w:rPr>
          <w:iCs/>
          <w:i/>
        </w:rPr>
        <w:t xml:space="preserve">supra,</w:t>
      </w:r>
      <w:r>
        <w:t xml:space="preserve"> </w:t>
      </w:r>
      <w:r>
        <w:t xml:space="preserve">however, the “artificially inflated purchase price” is not itself a relevant economic loss. And the complaint nowhere else provides the defendants with notice of what the relevant economic loss might be or of what the causal connection might be between that loss and the misrepresentation concerning Dura’s “spray device.”</w:t>
      </w:r>
    </w:p>
    <w:p>
      <w:pPr>
        <w:pStyle w:val="CaseBody"/>
      </w:pPr>
      <w:r>
        <w:t xml:space="preserve">We concede that ordinary pleading rules are not meant to impose a great burden upon a plaintiff.</w:t>
      </w:r>
      <w:r>
        <w:t xml:space="preserve"> </w:t>
      </w:r>
      <w:r>
        <w:rPr>
          <w:iCs/>
          <w:i/>
        </w:rPr>
        <w:t xml:space="preserve">Swierkiewicz</w:t>
      </w:r>
      <w:r>
        <w:t xml:space="preserve"> </w:t>
      </w:r>
      <w:r>
        <w:t xml:space="preserve">v.</w:t>
      </w:r>
      <w:r>
        <w:t xml:space="preserve"> </w:t>
      </w:r>
      <w:r>
        <w:rPr>
          <w:iCs/>
          <w:i/>
        </w:rPr>
        <w:t xml:space="preserve">Sorema N.</w:t>
      </w:r>
      <w:r>
        <w:t xml:space="preserve"> </w:t>
      </w:r>
      <w:r>
        <w:t xml:space="preserve">A.,</w:t>
      </w:r>
      <w:r>
        <w:t xml:space="preserve"> </w:t>
      </w:r>
      <w:r>
        <w:t xml:space="preserve">534 U. S. 506</w:t>
      </w:r>
      <w:r>
        <w:t xml:space="preserve">, 513-515 (2002). But it should not prove burdensome for a plaintiff who has suffered an economic loss to provide a defendant with some indication of the loss and the causal connection that the plaintiff has in mind. At the same time, allowing a plaintiff to forgo giving any indication of the economic loss and proximate cause that the plaintiff has in mind would bring about harm of the very sort the statutes seek to avoid. Cf. H. R. Conf. Rep. No. 104-369, p. 31 (1995) (criticizing “abusive” practices including “the routine filing of lawsuits . . . with only [a] faint hope that the discovery process might lead eventually to some plausible cause of action”). It would permit a plaintiff “with a largely groundless claim to simply take up the time of a number of other people, with the right to do so representing an</w:t>
      </w:r>
      <w:r>
        <w:t xml:space="preserve"> </w:t>
      </w:r>
      <w:r>
        <w:rPr>
          <w:iCs/>
          <w:i/>
        </w:rPr>
        <w:t xml:space="preserve">in terrorem</w:t>
      </w:r>
      <w:r>
        <w:t xml:space="preserve"> </w:t>
      </w:r>
      <w:r>
        <w:t xml:space="preserve">increment of the settlement value, rather than a reasonably founded hope that the [discovery] process will reveal relevant evidence.”</w:t>
      </w:r>
      <w:r>
        <w:t xml:space="preserve"> </w:t>
      </w:r>
      <w:r>
        <w:rPr>
          <w:iCs/>
          <w:i/>
        </w:rPr>
        <w:t xml:space="preserve">Blue Chip Stamps,</w:t>
      </w:r>
      <w:r>
        <w:t xml:space="preserve"> </w:t>
      </w:r>
      <w:r>
        <w:t xml:space="preserve">421 U. S., at 741</w:t>
      </w:r>
      <w:r>
        <w:t xml:space="preserve">. Such a rule would tend to transform a private securities action into a partial downside insurance policy. See H. R. Conf. Rep. No. 104-369, at 31; see also</w:t>
      </w:r>
      <w:r>
        <w:t xml:space="preserve"> </w:t>
      </w:r>
      <w:r>
        <w:rPr>
          <w:iCs/>
          <w:i/>
        </w:rPr>
        <w:t xml:space="preserve">Basic,</w:t>
      </w:r>
      <w:r>
        <w:t xml:space="preserve"> </w:t>
      </w:r>
      <w:r>
        <w:t xml:space="preserve">486 U. S., at 252 (White, J., joined by O’Connor, J., concurring in part and dissenting in part).</w:t>
      </w:r>
    </w:p>
    <w:p>
      <w:pPr>
        <w:pStyle w:val="CaseBody"/>
      </w:pPr>
      <w:r>
        <w:t xml:space="preserve">For these reasons, we find the plaintiffs’ complaint legally insufficient. We reverse the judgment of the Ninth Circuit, and we remand the case for further proceedings consistent with this opinion.</w:t>
      </w:r>
    </w:p>
    <w:p>
      <w:pPr>
        <w:pStyle w:val="CaseBody"/>
      </w:pPr>
      <w:r>
        <w:t xml:space="preserve">It</w:t>
      </w:r>
      <w:r>
        <w:t xml:space="preserve"> </w:t>
      </w:r>
      <w:r>
        <w:rPr>
          <w:iCs/>
          <w:i/>
        </w:rPr>
        <w:t xml:space="preserve">is so ordered.</w:t>
      </w:r>
    </w:p>
    <w:p>
      <w:pPr>
        <w:pStyle w:val="NodeEnd"/>
      </w:pPr>
      <w:r>
        <w:t xml:space="preserve"> </w:t>
      </w:r>
    </w:p>
    <w:p>
      <w:pPr>
        <w:pStyle w:val="NodeStart"/>
      </w:pPr>
      <w:r>
        <w:t xml:space="preserve"> </w:t>
      </w:r>
    </w:p>
    <w:p>
      <w:pPr>
        <w:pStyle w:val="HeadSeparator"/>
      </w:pPr>
      <w:r>
        <w:t xml:space="preserve"> </w:t>
      </w:r>
    </w:p>
    <w:bookmarkStart w:id="75" w:name="_auto_toc_75"/>
    <w:bookmarkEnd w:id="75"/>
    <w:p>
      <w:pPr>
        <w:pStyle w:val="ResourceNumber"/>
      </w:pPr>
      <w:r>
        <w:t xml:space="preserve">6.2.7</w:t>
      </w:r>
    </w:p>
    <w:p>
      <w:pPr>
        <w:pStyle w:val="ResourceTitle"/>
      </w:pPr>
      <w:r>
        <w:t xml:space="preserve">Halliburton Supreme Court Decision of June 2014</w:t>
      </w:r>
    </w:p>
    <w:p>
      <w:pPr>
        <w:pStyle w:val="HeadFieldSeparator"/>
      </w:pPr>
      <w:r>
        <w:t xml:space="preserve"> </w:t>
      </w:r>
    </w:p>
    <w:p>
      <w:pPr>
        <w:pStyle w:val="ResourceLink"/>
      </w:pPr>
      <w:hyperlink r:id="rId144">
        <w:r>
          <w:rPr>
            <w:rStyle w:val="Hyperlink"/>
          </w:rPr>
          <w:t xml:space="preserve">https://supreme.justia.com/cases/federal/us/573/258/</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76" w:name="_auto_toc_76"/>
    <w:bookmarkEnd w:id="76"/>
    <w:p>
      <w:pPr>
        <w:pStyle w:val="SectionNumber"/>
      </w:pPr>
      <w:r>
        <w:t xml:space="preserve">6.3</w:t>
      </w:r>
    </w:p>
    <w:p>
      <w:pPr>
        <w:pStyle w:val="SectionTitle"/>
      </w:pPr>
      <w:r>
        <w:t xml:space="preserve">Statutes for all companies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77" w:name="_auto_toc_77"/>
    <w:bookmarkEnd w:id="77"/>
    <w:p>
      <w:pPr>
        <w:pStyle w:val="ResourceNumber"/>
      </w:pPr>
      <w:r>
        <w:t xml:space="preserve">6.3.1</w:t>
      </w:r>
    </w:p>
    <w:p>
      <w:pPr>
        <w:pStyle w:val="ResourceTitle"/>
      </w:pPr>
      <w:r>
        <w:t xml:space="preserve">Foreign Corrupt Practices Act Part I</w:t>
      </w:r>
    </w:p>
    <w:p>
      <w:pPr>
        <w:pStyle w:val="HeadFieldSeparator"/>
      </w:pPr>
      <w:r>
        <w:t xml:space="preserve"> </w:t>
      </w:r>
    </w:p>
    <w:p>
      <w:pPr>
        <w:pStyle w:val="ResourceLink"/>
      </w:pPr>
      <w:hyperlink r:id="rId145">
        <w:r>
          <w:rPr>
            <w:rStyle w:val="Hyperlink"/>
          </w:rPr>
          <w:t xml:space="preserve">https://www.law.cornell.edu/uscode/text/15/78dd-1</w:t>
        </w:r>
      </w:hyperlink>
    </w:p>
    <w:p>
      <w:pPr>
        <w:pStyle w:val="HeadFieldSeparator"/>
      </w:pPr>
      <w:r>
        <w:t xml:space="preserve"> </w:t>
      </w:r>
    </w:p>
    <w:p>
      <w:pPr>
        <w:pStyle w:val="ResourceHeadnote"/>
      </w:pPr>
      <w:r>
        <w:t xml:space="preserve">The Foreign Corrupt Practices Act was adopted in 1977. It contains several parts. In general terms, the first two parts ban SEC-registered (public) companies as well as all "</w:t>
      </w:r>
      <w:r>
        <w:rPr>
          <w:bCs/>
          <w:b/>
        </w:rPr>
        <w:t xml:space="preserve">domestic concerns</w:t>
      </w:r>
      <w:r>
        <w:t xml:space="preserve">" from bribing non-U.S. government officials. These parts of the FCPA are enforced primarily by the Department of Justice.</w:t>
      </w:r>
    </w:p>
    <w:p>
      <w:pPr>
        <w:pStyle w:val="ResourceHeadnote"/>
      </w:pPr>
      <w:r>
        <w:t xml:space="preserve">"</w:t>
      </w:r>
      <w:r>
        <w:rPr>
          <w:bCs/>
          <w:b/>
        </w:rPr>
        <w:t xml:space="preserve">Domestic concerns</w:t>
      </w:r>
      <w:r>
        <w:t xml:space="preserve">" include</w:t>
      </w:r>
      <w:r>
        <w:t xml:space="preserve"> </w:t>
      </w:r>
      <w:r>
        <w:t xml:space="preserve">any individual who is a citizen, national, or resident of the United States; and</w:t>
      </w:r>
      <w:r>
        <w:t xml:space="preserve"> </w:t>
      </w:r>
      <w:r>
        <w:rPr>
          <w:bCs/>
          <w:b/>
        </w:rPr>
        <w:t xml:space="preserve">any corporation</w:t>
      </w:r>
      <w:r>
        <w:t xml:space="preserve">, as well as partnerships and other kinds of legal entities and sole proprietorships, if they either have their principal places of business in the United States, or are organized under U.S. law.</w:t>
      </w:r>
      <w:r>
        <w:t xml:space="preserve"> </w:t>
      </w:r>
    </w:p>
    <w:p>
      <w:pPr>
        <w:pStyle w:val="ResourceHeadnote"/>
      </w:pPr>
      <w:r>
        <w:t xml:space="preserve">Since most foreign companies operate through U.S. subsidiaries, these parts of the law basically extend to any business operating in the U.S. (Other laws also ban bribery of U.S. officials.)</w:t>
      </w:r>
    </w:p>
    <w:p>
      <w:pPr>
        <w:pStyle w:val="ResourceHeadnote"/>
      </w:pPr>
      <w:r>
        <w:t xml:space="preserve">Another part of the FCPA is limited to SEC-registered companies, and is included above.</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78" w:name="_auto_toc_78"/>
    <w:bookmarkEnd w:id="78"/>
    <w:p>
      <w:pPr>
        <w:pStyle w:val="ResourceNumber"/>
      </w:pPr>
      <w:r>
        <w:t xml:space="preserve">6.3.2</w:t>
      </w:r>
    </w:p>
    <w:p>
      <w:pPr>
        <w:pStyle w:val="ResourceTitle"/>
      </w:pPr>
      <w:r>
        <w:t xml:space="preserve">Foreign Corrupt Practices Act Part II</w:t>
      </w:r>
    </w:p>
    <w:p>
      <w:pPr>
        <w:pStyle w:val="HeadFieldSeparator"/>
      </w:pPr>
      <w:r>
        <w:t xml:space="preserve"> </w:t>
      </w:r>
    </w:p>
    <w:p>
      <w:pPr>
        <w:pStyle w:val="ResourceLink"/>
      </w:pPr>
      <w:hyperlink r:id="rId146">
        <w:r>
          <w:rPr>
            <w:rStyle w:val="Hyperlink"/>
          </w:rPr>
          <w:t xml:space="preserve">https://www.law.cornell.edu/uscode/text/15/78dd-2</w:t>
        </w:r>
      </w:hyperlink>
    </w:p>
    <w:p>
      <w:pPr>
        <w:pStyle w:val="HeadFieldSeparator"/>
      </w:pPr>
      <w:r>
        <w:t xml:space="preserve"> </w:t>
      </w:r>
    </w:p>
    <w:p>
      <w:pPr>
        <w:pStyle w:val="ResourceHeadnote"/>
      </w:pPr>
      <w:r>
        <w:t xml:space="preserve">This part of the FCPA extends the first (anti-bribery) part to "domestic concerns," which includes private companies. It too is enforced by the Department of Justice.</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79" w:name="_auto_toc_79"/>
    <w:bookmarkEnd w:id="79"/>
    <w:p>
      <w:pPr>
        <w:pStyle w:val="ResourceNumber"/>
      </w:pPr>
      <w:r>
        <w:t xml:space="preserve">6.3.3</w:t>
      </w:r>
    </w:p>
    <w:p>
      <w:pPr>
        <w:pStyle w:val="ResourceTitle"/>
      </w:pPr>
      <w:r>
        <w:t xml:space="preserve">Beneficial ownership reporting requirements for private companies</w:t>
      </w:r>
    </w:p>
    <w:p>
      <w:pPr>
        <w:pStyle w:val="HeadFieldSeparator"/>
      </w:pPr>
      <w:r>
        <w:t xml:space="preserve"> </w:t>
      </w:r>
    </w:p>
    <w:p>
      <w:pPr>
        <w:pStyle w:val="ResourceLink"/>
      </w:pPr>
      <w:hyperlink r:id="rId147">
        <w:r>
          <w:rPr>
            <w:rStyle w:val="Hyperlink"/>
          </w:rPr>
          <w:t xml:space="preserve">https://www.law.cornell.edu/uscode/text/31/5336</w:t>
        </w:r>
      </w:hyperlink>
    </w:p>
    <w:p>
      <w:pPr>
        <w:pStyle w:val="HeadFieldSeparator"/>
      </w:pPr>
      <w:r>
        <w:t xml:space="preserve"> </w:t>
      </w:r>
    </w:p>
    <w:p>
      <w:pPr>
        <w:pStyle w:val="ResourceHeadnote"/>
      </w:pPr>
      <w:r>
        <w:t xml:space="preserve">In 2021, the US adopted for the first time mandatory beneficial ownership reporting requirements for private companies. Most kinds of regulated entities, including public companies, are exempt, as are inactive domestic shell companies in existence for more than one year. All other kinds of corporations, however, must now report their owners to FinCEN, the part of the U.S. Treasury that combats money laundering and similar crimes. Most European countries have similar reporting requirements.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80" w:name="_auto_toc_80"/>
    <w:bookmarkEnd w:id="80"/>
    <w:p>
      <w:pPr>
        <w:pStyle w:val="SectionNumber"/>
      </w:pPr>
      <w:r>
        <w:t xml:space="preserve">6.4</w:t>
      </w:r>
    </w:p>
    <w:p>
      <w:pPr>
        <w:pStyle w:val="SectionTitle"/>
      </w:pPr>
      <w:r>
        <w:t xml:space="preserve">Statutes for public (SEC-registered) companies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81" w:name="_auto_toc_81"/>
    <w:bookmarkEnd w:id="81"/>
    <w:p>
      <w:pPr>
        <w:pStyle w:val="ResourceNumber"/>
      </w:pPr>
      <w:r>
        <w:t xml:space="preserve">6.4.1</w:t>
      </w:r>
    </w:p>
    <w:p>
      <w:pPr>
        <w:pStyle w:val="ResourceTitle"/>
      </w:pPr>
      <w:r>
        <w:t xml:space="preserve">Foreign Corrupt Practices Act Part III</w:t>
      </w:r>
    </w:p>
    <w:p>
      <w:pPr>
        <w:pStyle w:val="HeadFieldSeparator"/>
      </w:pPr>
      <w:r>
        <w:t xml:space="preserve"> </w:t>
      </w:r>
    </w:p>
    <w:p>
      <w:pPr>
        <w:pStyle w:val="ResourceSubtitle"/>
      </w:pPr>
      <w:r>
        <w:t xml:space="preserve">Section 13(b)(2) of 15 U.S.C. 78m(b)(2)</w:t>
      </w:r>
    </w:p>
    <w:p>
      <w:pPr>
        <w:pStyle w:val="HeadFieldSeparator"/>
      </w:pPr>
      <w:r>
        <w:t xml:space="preserve"> </w:t>
      </w:r>
    </w:p>
    <w:p>
      <w:pPr>
        <w:pStyle w:val="ResourceLink"/>
      </w:pPr>
      <w:hyperlink r:id="rId148">
        <w:r>
          <w:rPr>
            <w:rStyle w:val="Hyperlink"/>
          </w:rPr>
          <w:t xml:space="preserve">https://www.law.cornell.edu/uscode/text/15/78m</w:t>
        </w:r>
      </w:hyperlink>
    </w:p>
    <w:p>
      <w:pPr>
        <w:pStyle w:val="HeadFieldSeparator"/>
      </w:pPr>
      <w:r>
        <w:t xml:space="preserve"> </w:t>
      </w:r>
    </w:p>
    <w:p>
      <w:pPr>
        <w:pStyle w:val="ResourceHeadnote"/>
      </w:pPr>
      <w:r>
        <w:t xml:space="preserve">This part of the FCPA applies solely to SEC-registered companies and is enforced by the SEC. It added Section 13(b)(2) to the Exchange Act, now codified at 15 U.S.C. 78m(b)(2), linked here.</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82" w:name="_auto_toc_82"/>
    <w:bookmarkEnd w:id="82"/>
    <w:p>
      <w:pPr>
        <w:pStyle w:val="ResourceNumber"/>
      </w:pPr>
      <w:r>
        <w:t xml:space="preserve">6.4.2</w:t>
      </w:r>
    </w:p>
    <w:p>
      <w:pPr>
        <w:pStyle w:val="ResourceTitle"/>
      </w:pPr>
      <w:r>
        <w:t xml:space="preserve">Sarbanes-Oxley Act</w:t>
      </w:r>
    </w:p>
    <w:p>
      <w:pPr>
        <w:pStyle w:val="HeadFieldSeparator"/>
      </w:pPr>
      <w:r>
        <w:t xml:space="preserve"> </w:t>
      </w:r>
    </w:p>
    <w:p>
      <w:pPr>
        <w:pStyle w:val="ResourceLink"/>
      </w:pPr>
      <w:hyperlink r:id="rId149">
        <w:r>
          <w:rPr>
            <w:rStyle w:val="Hyperlink"/>
          </w:rPr>
          <w:t xml:space="preserve">https://www.govinfo.gov/content/pkg/PLAW-107publ204/html/PLAW-107publ204.htm</w:t>
        </w:r>
      </w:hyperlink>
    </w:p>
    <w:p>
      <w:pPr>
        <w:pStyle w:val="HeadFieldSeparator"/>
      </w:pPr>
      <w:r>
        <w:t xml:space="preserve"> </w:t>
      </w:r>
    </w:p>
    <w:p>
      <w:pPr>
        <w:pStyle w:val="ResourceHeadnote"/>
      </w:pPr>
      <w:r>
        <w:t xml:space="preserve">Following the collapse of Enron, Worldcom, et al. in 2002, Congress passed the Sarbanes-Oxley Act by an overwhelming and bi-partisan vote, and the bill was signed into law by President Bush. The act created the Public Company Accounting Oversight Board (PCAOB), which oversees independent auditors of public companies, required disclosure of weaknesses in "controls" mandated in Part III of the FCPA, as well as independent auditor "attestation" to the controls disclosures, and made a number of other less important changes to federal securities law. Most components of "SOX," as it's called, are now reflected in the Securities and Exchange Act of 1934, which you've already seen, but sometimes it's useful to look at those provisions in the context of SOX as a stand-alone act, which is linked here.</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83" w:name="_auto_toc_83"/>
    <w:bookmarkEnd w:id="83"/>
    <w:p>
      <w:pPr>
        <w:pStyle w:val="ResourceNumber"/>
      </w:pPr>
      <w:r>
        <w:t xml:space="preserve">6.4.3</w:t>
      </w:r>
    </w:p>
    <w:p>
      <w:pPr>
        <w:pStyle w:val="ResourceTitle"/>
      </w:pPr>
      <w:r>
        <w:t xml:space="preserve">Dodd-Frank Act</w:t>
      </w:r>
    </w:p>
    <w:p>
      <w:pPr>
        <w:pStyle w:val="HeadFieldSeparator"/>
      </w:pPr>
      <w:r>
        <w:t xml:space="preserve"> </w:t>
      </w:r>
    </w:p>
    <w:p>
      <w:pPr>
        <w:pStyle w:val="ResourceLink"/>
      </w:pPr>
      <w:hyperlink r:id="rId150">
        <w:r>
          <w:rPr>
            <w:rStyle w:val="Hyperlink"/>
          </w:rPr>
          <w:t xml:space="preserve">https://www.govinfo.gov/content/pkg/PLAW-111publ203/pdf/PLAW-111publ203.pdf</w:t>
        </w:r>
      </w:hyperlink>
    </w:p>
    <w:p>
      <w:pPr>
        <w:pStyle w:val="HeadFieldSeparator"/>
      </w:pPr>
      <w:r>
        <w:t xml:space="preserve"> </w:t>
      </w:r>
    </w:p>
    <w:p>
      <w:pPr>
        <w:pStyle w:val="ResourceHeadnote"/>
      </w:pPr>
      <w:r>
        <w:t xml:space="preserve">Following the financial crisis of 2007-09, Congress passed the Dodd-Frank Act. While most of it addresses regulation of financial institutions and markets, some of its provisions added corporate governance and disclosure requirements for public (SEC-registered) companies. As with SOX, most of the Dodd-Frank elements applicable to corporations generally are separately built into the Securities Exchange Act of 1934, but as with SOX, it's sometimes helpful to see the Dodd-Frank provisions as they were enacted in the stand-alone law, linked here.</w:t>
      </w:r>
    </w:p>
    <w:p>
      <w:pPr>
        <w:pStyle w:val="HeadEnd"/>
      </w:pPr>
      <w:r>
        <w:t xml:space="preserve"> </w:t>
      </w:r>
    </w:p>
    <w:p>
      <w:pPr>
        <w:pStyle w:val="NodeEnd"/>
      </w:pPr>
      <w:r>
        <w:t xml:space="preserve"> </w:t>
      </w:r>
    </w:p>
    <w:p>
      <w:pPr>
        <w:pStyle w:val="NodeStart"/>
      </w:pPr>
      <w:r>
        <w:t xml:space="preserve"> </w:t>
      </w:r>
    </w:p>
    <w:p>
      <w:pPr>
        <w:pStyle w:val="HeadSeparator"/>
      </w:pPr>
      <w:r>
        <w:t xml:space="preserve"> </w:t>
      </w:r>
    </w:p>
    <w:p>
      <w:pPr>
        <w:pStyle w:val="ChapterSpacer"/>
        <w:sectPr>
          <w:footerReference w:type="even" r:id="rId14"/>
          <w:footerReference w:type="default" r:id="rId14"/>
          <w:headerReference w:type="even" r:id="rId11"/>
          <w:headerReference w:type="default" r:id="rId12"/>
          <w:pgSz w:h="15840" w:w="12240"/>
          <w:pgMar w:bottom="1440" w:gutter="720" w:header="1440" w:left="1440" w:right="1440" w:top="1800"/>
          <w:pgNumType w:pgNumType="decimal"/>
        </w:sectPr>
      </w:pPr>
      <w:r>
        <w:t xml:space="preserve"> </w:t>
      </w:r>
    </w:p>
    <w:bookmarkStart w:id="84" w:name="_auto_toc_84"/>
    <w:bookmarkEnd w:id="84"/>
    <w:p>
      <w:pPr>
        <w:pStyle w:val="ChapterNumber"/>
      </w:pPr>
      <w:r>
        <w:t xml:space="preserve">7</w:t>
      </w:r>
    </w:p>
    <w:p>
      <w:pPr>
        <w:pStyle w:val="ChapterTitle"/>
      </w:pPr>
      <w:r>
        <w:t xml:space="preserve">Shareholder litigation</w:t>
      </w:r>
    </w:p>
    <w:p>
      <w:pPr>
        <w:pStyle w:val="HeadEnd"/>
        <w:sectPr>
          <w:footerReference w:type="even" r:id="rId14"/>
          <w:footerReference w:type="default" r:id="rId14"/>
          <w:headerReference w:type="even" r:id="rId11"/>
          <w:headerReference w:type="default" r:id="rId12"/>
          <w:type w:val="oddPage"/>
          <w:pgSz w:h="15840" w:w="12240"/>
          <w:pgMar w:bottom="1440" w:gutter="720" w:header="1440" w:left="1440" w:right="1440" w:top="1800"/>
          <w:pgNumType w:pgNumType="decimal"/>
        </w:sectPr>
      </w:pPr>
      <w:r>
        <w:t xml:space="preserve"> </w:t>
      </w:r>
    </w:p>
    <w:p>
      <w:pPr>
        <w:pStyle w:val="NodeEnd"/>
      </w:pPr>
      <w:r>
        <w:t xml:space="preserve"> </w:t>
      </w:r>
    </w:p>
    <w:p>
      <w:pPr>
        <w:pStyle w:val="NodeStart"/>
      </w:pPr>
      <w:r>
        <w:t xml:space="preserve"> </w:t>
      </w:r>
    </w:p>
    <w:p>
      <w:pPr>
        <w:pStyle w:val="HeadSeparator"/>
      </w:pPr>
      <w:r>
        <w:t xml:space="preserve"> </w:t>
      </w:r>
    </w:p>
    <w:bookmarkStart w:id="85" w:name="_auto_toc_85"/>
    <w:bookmarkEnd w:id="85"/>
    <w:p>
      <w:pPr>
        <w:pStyle w:val="SectionNumber"/>
      </w:pPr>
      <w:r>
        <w:t xml:space="preserve">7.1</w:t>
      </w:r>
    </w:p>
    <w:p>
      <w:pPr>
        <w:pStyle w:val="SectionTitle"/>
      </w:pPr>
      <w:r>
        <w:t xml:space="preserve">Reference 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86" w:name="_auto_toc_86"/>
    <w:bookmarkEnd w:id="86"/>
    <w:p>
      <w:pPr>
        <w:pStyle w:val="ResourceNumber"/>
      </w:pPr>
      <w:r>
        <w:t xml:space="preserve">7.1.1</w:t>
      </w:r>
    </w:p>
    <w:p>
      <w:pPr>
        <w:pStyle w:val="ResourceTitle"/>
      </w:pPr>
      <w:r>
        <w:t xml:space="preserve">Kandell v. Niv (FXCM) [Knowing Breaches of Law]</w:t>
      </w:r>
    </w:p>
    <w:p>
      <w:pPr>
        <w:pStyle w:val="HeadFieldSeparator"/>
      </w:pPr>
      <w:r>
        <w:t xml:space="preserve"> </w:t>
      </w:r>
    </w:p>
    <w:p>
      <w:pPr>
        <w:pStyle w:val="ResourceLink"/>
      </w:pPr>
      <w:hyperlink r:id="rId151">
        <w:r>
          <w:rPr>
            <w:rStyle w:val="Hyperlink"/>
          </w:rPr>
          <w:t xml:space="preserve">https://courts.delaware.gov/Opinions/Download.aspx?id=262420</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87" w:name="_auto_toc_87"/>
    <w:bookmarkEnd w:id="87"/>
    <w:p>
      <w:pPr>
        <w:pStyle w:val="ResourceNumber"/>
      </w:pPr>
      <w:r>
        <w:t xml:space="preserve">7.1.2</w:t>
      </w:r>
    </w:p>
    <w:p>
      <w:pPr>
        <w:pStyle w:val="ResourceTitle"/>
      </w:pPr>
      <w:r>
        <w:t xml:space="preserve">Graham v. Allis-Chalmers Manufacturing Co.</w:t>
      </w:r>
    </w:p>
    <w:p>
      <w:pPr>
        <w:pStyle w:val="HeadEnd"/>
      </w:pPr>
      <w:r>
        <w:t xml:space="preserve"> </w:t>
      </w:r>
    </w:p>
    <w:p>
      <w:pPr>
        <w:pStyle w:val="CaseHeader"/>
      </w:pPr>
      <w:r>
        <w:t xml:space="preserve">Delaware Court of Chancery</w:t>
      </w:r>
    </w:p>
    <w:p>
      <w:pPr>
        <w:pStyle w:val="CaseHeader"/>
      </w:pPr>
      <w:r>
        <w:t xml:space="preserve">41 Del. Ch. 78</w:t>
      </w:r>
    </w:p>
    <w:p>
      <w:pPr>
        <w:pStyle w:val="CaseHeader"/>
      </w:pPr>
      <w:r>
        <w:t xml:space="preserve">1963-01-24</w:t>
      </w:r>
    </w:p>
    <w:p>
      <w:pPr>
        <w:pStyle w:val="CaseBody"/>
      </w:pPr>
      <w:r>
        <w:rPr>
          <w:iCs/>
          <w:i/>
        </w:rPr>
        <w:t xml:space="preserve">H. James</w:t>
      </w:r>
      <w:r>
        <w:t xml:space="preserve"> </w:t>
      </w:r>
      <w:r>
        <w:t xml:space="preserve">Conaway,</w:t>
      </w:r>
      <w:r>
        <w:t xml:space="preserve"> </w:t>
      </w:r>
      <w:r>
        <w:rPr>
          <w:iCs/>
          <w:i/>
        </w:rPr>
        <w:t xml:space="preserve">Jr.,</w:t>
      </w:r>
      <w:r>
        <w:t xml:space="preserve"> </w:t>
      </w:r>
      <w:r>
        <w:t xml:space="preserve">of Morford, Young &amp; Conaway, Wilmington, and</w:t>
      </w:r>
      <w:r>
        <w:t xml:space="preserve"> </w:t>
      </w:r>
      <w:r>
        <w:rPr>
          <w:iCs/>
          <w:i/>
        </w:rPr>
        <w:t xml:space="preserve">Marvin Katz</w:t>
      </w:r>
      <w:r>
        <w:t xml:space="preserve"> </w:t>
      </w:r>
      <w:r>
        <w:t xml:space="preserve">and</w:t>
      </w:r>
      <w:r>
        <w:t xml:space="preserve"> </w:t>
      </w:r>
      <w:r>
        <w:rPr>
          <w:iCs/>
          <w:i/>
        </w:rPr>
        <w:t xml:space="preserve">Harry Norman Ball,</w:t>
      </w:r>
      <w:r>
        <w:t xml:space="preserve"> </w:t>
      </w:r>
      <w:r>
        <w:t xml:space="preserve">Philadelphia, Penna., for appellants.</w:t>
      </w:r>
    </w:p>
    <w:p>
      <w:pPr>
        <w:pStyle w:val="CaseBody"/>
      </w:pPr>
      <w:r>
        <w:rPr>
          <w:iCs/>
          <w:i/>
        </w:rPr>
        <w:t xml:space="preserve">George Tyler Coulson,</w:t>
      </w:r>
      <w:r>
        <w:t xml:space="preserve"> </w:t>
      </w:r>
      <w:r>
        <w:t xml:space="preserve">of Morris, Nichols, Arsht &amp; Tunnell, Wilmington, and</w:t>
      </w:r>
      <w:r>
        <w:t xml:space="preserve"> </w:t>
      </w:r>
      <w:r>
        <w:rPr>
          <w:iCs/>
          <w:i/>
        </w:rPr>
        <w:t xml:space="preserve">Charles S. Quarles,</w:t>
      </w:r>
      <w:r>
        <w:t xml:space="preserve"> </w:t>
      </w:r>
      <w:r>
        <w:t xml:space="preserve">of Quarles, Herriott &amp; Clemons, Milwaukee, Wis., for individual defendants.</w:t>
      </w:r>
    </w:p>
    <w:p>
      <w:pPr>
        <w:pStyle w:val="CaseBody"/>
      </w:pPr>
      <w:r>
        <w:rPr>
          <w:iCs/>
          <w:i/>
        </w:rPr>
        <w:t xml:space="preserve">Richard F. Corroon,</w:t>
      </w:r>
      <w:r>
        <w:t xml:space="preserve"> </w:t>
      </w:r>
      <w:r>
        <w:t xml:space="preserve">of Berl, Potter &amp; Anderson, Wilmington, for Allis-Chalmers Manufacturing Co.,</w:t>
      </w:r>
    </w:p>
    <w:p>
      <w:pPr>
        <w:pStyle w:val="CaseBody"/>
      </w:pPr>
      <w:r>
        <w:t xml:space="preserve">Southerland, C. J., and Wolcott and Terry, JJ., sitting.</w:t>
      </w:r>
    </w:p>
    <w:p>
      <w:pPr>
        <w:pStyle w:val="CaseBody"/>
      </w:pPr>
      <w:r>
        <w:t xml:space="preserve">Wolcott, Justice:</w:t>
      </w:r>
    </w:p>
    <w:p>
      <w:pPr>
        <w:pStyle w:val="CaseBody"/>
      </w:pPr>
      <w:r>
        <w:t xml:space="preserve">This is a derivative action on behalf of Allis-Chalmers against its directors and four of its non-director employees. The complaint is based upon indictments of Allis-Chalmers and the four non-director employees named as defendants herein who, with the corporation, entered pleas of guilty to the indictments. The indictments, eight in number, charged violations of the Federal antitrust laws. The suit seeks to recover damages which Allis-Chalmers is claimed to have suffered by reason of these violations.</w:t>
      </w:r>
    </w:p>
    <w:p>
      <w:pPr>
        <w:pStyle w:val="CaseBody"/>
      </w:pPr>
      <w:r>
        <w:t xml:space="preserve">The directors of Allis-Chalmers appeared in the cause voluntarily. The non-director defendants have neither appeared in the cause nor been served with process. Three of the non-director defendants are still employed by Allis-Chalmers. The fourth is under contract with it as a consultant.</w:t>
      </w:r>
    </w:p>
    <w:p>
      <w:pPr>
        <w:pStyle w:val="CaseBody"/>
      </w:pPr>
      <w:r>
        <w:t xml:space="preserve">The complaint alleges actual knowledge on the part of the director defendants of the anti-trust conduct upon which the indictments were based or, in the alternative, knowledge of facts which should have put them on notice of such conduct.</w:t>
      </w:r>
    </w:p>
    <w:p>
      <w:pPr>
        <w:pStyle w:val="CaseBody"/>
      </w:pPr>
      <w:r>
        <w:t xml:space="preserve">However, the hearing and depositions produced no evidence that any director had any actual knowledge of the anti-trust activity, or had actual knowledge of any facts which should have put them on notice that anti-trust activity was being carried on by some of their company’s employees. The plaintiffs, appellants here, thereupon shifted the theory of the case to the proposition that the directors are liable as a matter of law by reason of their failure to take action designed to learn of and prevent anti-trust activity on the part of any employees of Allis-Chalmers.</w:t>
      </w:r>
    </w:p>
    <w:p>
      <w:pPr>
        <w:pStyle w:val="CaseBody"/>
      </w:pPr>
      <w:r>
        <w:t xml:space="preserve">By this appeal the plaintiffs seek to have us reverse the Vice Chancellor’s ruling of non-liability of the defendant directors upon this theory, and also seek reversal of certain interlocutory rulings of the Vice Chancellor refusing to compel pre-trial production of documents, and refusing to compel the four non-director defendants to testify on oral depositions. We will in this opinion pass upon all the questions raised, but, as a preliminary, a summarized statement of the facts of the cause is required in order to fully understand the issues.</w:t>
      </w:r>
    </w:p>
    <w:p>
      <w:pPr>
        <w:pStyle w:val="CaseBody"/>
      </w:pPr>
      <w:r>
        <w:t xml:space="preserve">Allis-Chalmers is a manufacturer of a variety of electrical equipment. It employs in excess of 31,000 people, has a total of 24 plants, 145 sales offices, 5000 dealers and distributors, and its sales volume is in excess of $500,000,000 annually. The operations of the company are conducted by two groups, each of which is under the direction of a senior vice president. One of these groups is the Industries Group under the direction of Singleton, director defendant. This group is divided into five divisions. One of these, the Power Equipment Division, produced the products, the sale of which involved the anti-trust activities referred to in the indictments. The Power Equipment Division, presided over by McMullen, non-director defendant, contains ten departments, each of which is presided over by a manager or general manager.</w:t>
      </w:r>
    </w:p>
    <w:p>
      <w:pPr>
        <w:pStyle w:val="CaseBody"/>
      </w:pPr>
      <w:r>
        <w:t xml:space="preserve">The operating policy of Allis-Chalmers is to decentralize by the delegation of authority to the lowest possible management level capable of fulfilling the delegated responsibility. Thus, prices of products are ordinarily set by the particular department manager, except that if the product being priced is large and special, the department manager might confer with the general manager of the division. Products of a standard character involving repetitive manufacturing processes are sold out of a price list which is established by a price leader for the electrical equipment industry as a whole.</w:t>
      </w:r>
    </w:p>
    <w:p>
      <w:pPr>
        <w:pStyle w:val="CaseBody"/>
      </w:pPr>
      <w:r>
        <w:t xml:space="preserve">Annually, the Board of Directors reviews group and departmental profit goal budgets. On occasion, the Board considers general questions concerning price levels, but because of the complexity of the company’s operations the Board does not participate in decisions fixing the prices of specific products.</w:t>
      </w:r>
    </w:p>
    <w:p>
      <w:pPr>
        <w:pStyle w:val="CaseBody"/>
      </w:pPr>
      <w:r>
        <w:t xml:space="preserve">The Board of Directors of fourteen members, four of whom are officers, meets once a month, October excepted, and considers a previously prepared agenda for the meeting. Supplied to the Directors at the meetings are financial and operating data relating to all phases of the company’s activities. The Board meetings are customarily of several hours’ duration in which all the Directors participate actively. Apparently, the Board considers and decides matters concerning the general business policy of the company. By reason of the extent and complexity of the company’s operations, it is not practicable for the Board to consider in detail specific problems of the various divisions.</w:t>
      </w:r>
    </w:p>
    <w:p>
      <w:pPr>
        <w:pStyle w:val="CaseBody"/>
      </w:pPr>
      <w:r>
        <w:t xml:space="preserve">The indictments to which Allis-Chalmers and the four non-director defendants pied guilty charge that the company and individual non-director defendants, commencing in 1956, conspired with other manufacturers and their employees to fix prices and to rig bids to private electric utilities and governmental agencies in violation of the anti-trust laws of the United States. None of the director defendants in this cause were named as defendants in the indictments. Indeed, the Federal Government acknowledged that it had uncovered no probative evidence which could lead to the conviction of the defendant directors.</w:t>
      </w:r>
    </w:p>
    <w:p>
      <w:pPr>
        <w:pStyle w:val="CaseBody"/>
      </w:pPr>
      <w:r>
        <w:t xml:space="preserve">The first actual knowledge the directors had of anti-trust violotions by some of the company’s employees was in the summer of 1959 from newspaper stories that TVA proposed an investigation of identical bids. Singleton, in charge of the Industries Group of the company, investigated but unearthed nothing. Thereafter, in November of 1959, some of the company’s employees were subpoenaed before the Grand Jury. Further investigation by the company’s Legal Division gave reason to suspect the illegal activity and all of the subpoenaed employees were instructed to tell the whole truth.</w:t>
      </w:r>
    </w:p>
    <w:p>
      <w:pPr>
        <w:pStyle w:val="CaseBody"/>
      </w:pPr>
      <w:r>
        <w:t xml:space="preserve">Thereafter, on February 8, 1960, at the direction of the Board, a policy statement relating to anti-trust problems was issued, and the Legal Division commenced a series of meetings with all employees of the company in possible areas of anti-trust activity. The purpose and effect of these steps was to eliminate any possibility of further and future violations of the anti-trust laws.</w:t>
      </w:r>
    </w:p>
    <w:p>
      <w:pPr>
        <w:pStyle w:val="CaseBody"/>
      </w:pPr>
      <w:r>
        <w:t xml:space="preserve">As we have pointed out, there is no evidence in the record that the defendant directors had actual knowledge of the illegal antitrust actions of the company’s employees. Plaintiffs, however, point to two FTC decrees of 1937 as warning to the directors that anti-trust activity by the company’s employees had taken place in the past. It is argued that they were thus put on notice of their duty to ferret out such activity and to take active steps to insure that it would not be repeated.</w:t>
      </w:r>
    </w:p>
    <w:p>
      <w:pPr>
        <w:pStyle w:val="CaseBody"/>
      </w:pPr>
      <w:r>
        <w:t xml:space="preserve">The decrees in question were consent decrees entered in 1937 against Allis-Chalmers and nine others enjoining agreements to fix uniform prices on condensors and turbine generators. The decrees recited that they were consented to for the sole purpose of avoiding the trouble and expense of the proceeding.</w:t>
      </w:r>
    </w:p>
    <w:p>
      <w:pPr>
        <w:pStyle w:val="CaseBody"/>
      </w:pPr>
      <w:r>
        <w:t xml:space="preserve">None of the director defendants were directors or officers of Allis-Chalmers in 1937. The director defendants and now officers of the company either were employed in very subordinate capacities or had no connection with the company in 1937. At the time, copies of the decrees were circulated to the heads of concerned departments and were explained to the Managers Committee.</w:t>
      </w:r>
    </w:p>
    <w:p>
      <w:pPr>
        <w:pStyle w:val="CaseBody"/>
      </w:pPr>
      <w:r>
        <w:t xml:space="preserve">In 1943, Singleton, officer and director defendant, first learned of the decrees upon becoming Assistant Manager of the Steam Turbine Department, and consulted the company’s General Counsel as to them. He investigated his department and learned the decrees were being complied with and, in any event, he concluded that the company had not in the first place been guilty of the practice enjoined.</w:t>
      </w:r>
    </w:p>
    <w:p>
      <w:pPr>
        <w:pStyle w:val="CaseBody"/>
      </w:pPr>
      <w:r>
        <w:t xml:space="preserve">Stevenson, officer and director defendant, first learned of the decrees in 1951 in a conversation with Singleton about their respective areas of the company’s operations. He satisfied himself that the company was not then and in fact had not been guilty of quoting uniform prices and had consented to the decrees in order to avoid the expense and vexation of the proceeding.</w:t>
      </w:r>
    </w:p>
    <w:p>
      <w:pPr>
        <w:pStyle w:val="CaseBody"/>
      </w:pPr>
      <w:r>
        <w:t xml:space="preserve">Scholl, officer and director defendant, learned of the decrees in 1956 in a discussion with Singleton on matters affecting the Industries Group. He was informed that no similar problem was then in existence in the company.</w:t>
      </w:r>
    </w:p>
    <w:p>
      <w:pPr>
        <w:pStyle w:val="CaseBody"/>
      </w:pPr>
      <w:r>
        <w:t xml:space="preserve">Plaintiffs argue that because of the 1937 consent decrees, the directors were put on notice that they should take steps to ensure that no employee of Allis-Chalmers would violate the anti-trust laws. The difficulty the argument has is that only three of the present directors knew of the decrees, and all three of them satisfied themselves that Allis-Chalmers had not engaged in the practice enjoined and had consented to the decrees merely to avoid expense and the necessity of defending the company’s position. Under the circumstances, we think knowledge by three of the directors that in 1937 the company had consented to the entry of decrees enjoining it from doing something they had satisfied themselves it had never done, did not put the Board on notice of the possibility of future illegal price fixing.</w:t>
      </w:r>
    </w:p>
    <w:p>
      <w:pPr>
        <w:pStyle w:val="CaseBody"/>
      </w:pPr>
      <w:r>
        <w:t xml:space="preserve">Plaintiffs have wholly failed to establish either actual notice or imputed notice to the Board of Directors of facts which should have put them on guard, and have caused them to take steps to prevent the future possibility of illegal price fixing and bid rigging. Plaintiffs say that as a minimum in this respect the Board should have taken the steps it took in 1960 when knowledge of the facts first actually came to their attention as a result of the Grand Jury investigation. Whatever duty, however, there was upon the Board to take such steps, the fact of the 1937 decrees has no bearing upon the question, for under the circumstances they were notice of nothing.</w:t>
      </w:r>
    </w:p>
    <w:p>
      <w:pPr>
        <w:pStyle w:val="CaseBody"/>
      </w:pPr>
      <w:r>
        <w:t xml:space="preserve">Plaintiffs are thus forced to rely solely upon the legal proposition advanced by them that directors of a corporation, as a matter of law, are liable for losses suffered by their corporations by reason of their gross inattention to the common law duty of actively supervising and managing the corporate affairs. Plaintiffs rely mainly upon</w:t>
      </w:r>
      <w:r>
        <w:t xml:space="preserve"> </w:t>
      </w:r>
      <w:r>
        <w:rPr>
          <w:iCs/>
          <w:i/>
        </w:rPr>
        <w:t xml:space="preserve">Briggs v. Spaulding,</w:t>
      </w:r>
      <w:r>
        <w:t xml:space="preserve"> </w:t>
      </w:r>
      <w:r>
        <w:t xml:space="preserve">141</w:t>
      </w:r>
      <w:r>
        <w:t xml:space="preserve"> </w:t>
      </w:r>
      <w:r>
        <w:rPr>
          <w:iCs/>
          <w:i/>
        </w:rPr>
        <w:t xml:space="preserve">U.S.</w:t>
      </w:r>
      <w:r>
        <w:t xml:space="preserve"> </w:t>
      </w:r>
      <w:r>
        <w:t xml:space="preserve">132</w:t>
      </w:r>
      <w:r>
        <w:t xml:space="preserve">,</w:t>
      </w:r>
      <w:r>
        <w:t xml:space="preserve"> </w:t>
      </w:r>
      <w:r>
        <w:t xml:space="preserve">11</w:t>
      </w:r>
      <w:r>
        <w:t xml:space="preserve"> </w:t>
      </w:r>
      <w:r>
        <w:rPr>
          <w:iCs/>
          <w:i/>
        </w:rPr>
        <w:t xml:space="preserve">S.Ct.</w:t>
      </w:r>
      <w:r>
        <w:t xml:space="preserve"> </w:t>
      </w:r>
      <w:r>
        <w:t xml:space="preserve">924</w:t>
      </w:r>
      <w:r>
        <w:t xml:space="preserve">,</w:t>
      </w:r>
      <w:r>
        <w:t xml:space="preserve"> </w:t>
      </w:r>
      <w:r>
        <w:t xml:space="preserve">35</w:t>
      </w:r>
      <w:r>
        <w:t xml:space="preserve"> </w:t>
      </w:r>
      <w:r>
        <w:rPr>
          <w:iCs/>
          <w:i/>
        </w:rPr>
        <w:t xml:space="preserve">L.Ed.</w:t>
      </w:r>
      <w:r>
        <w:t xml:space="preserve"> </w:t>
      </w:r>
      <w:r>
        <w:t xml:space="preserve">662</w:t>
      </w:r>
      <w:r>
        <w:t xml:space="preserve">.</w:t>
      </w:r>
    </w:p>
    <w:p>
      <w:pPr>
        <w:pStyle w:val="CaseBody"/>
      </w:pPr>
      <w:r>
        <w:t xml:space="preserve">From the Briggs case and others cited by plaintiffs,</w:t>
      </w:r>
      <w:r>
        <w:t xml:space="preserve"> </w:t>
      </w:r>
      <w:r>
        <w:rPr>
          <w:iCs/>
          <w:i/>
        </w:rPr>
        <w:t xml:space="preserve">e.g., Bowerman v. Hamner,</w:t>
      </w:r>
      <w:r>
        <w:t xml:space="preserve"> </w:t>
      </w:r>
      <w:r>
        <w:t xml:space="preserve">250</w:t>
      </w:r>
      <w:r>
        <w:t xml:space="preserve"> </w:t>
      </w:r>
      <w:r>
        <w:rPr>
          <w:iCs/>
          <w:i/>
        </w:rPr>
        <w:t xml:space="preserve">U.S.</w:t>
      </w:r>
      <w:r>
        <w:t xml:space="preserve"> </w:t>
      </w:r>
      <w:r>
        <w:t xml:space="preserve">504</w:t>
      </w:r>
      <w:r>
        <w:t xml:space="preserve">,</w:t>
      </w:r>
      <w:r>
        <w:t xml:space="preserve"> </w:t>
      </w:r>
      <w:r>
        <w:t xml:space="preserve">39</w:t>
      </w:r>
      <w:r>
        <w:t xml:space="preserve"> </w:t>
      </w:r>
      <w:r>
        <w:rPr>
          <w:iCs/>
          <w:i/>
        </w:rPr>
        <w:t xml:space="preserve">S.Ct.</w:t>
      </w:r>
      <w:r>
        <w:t xml:space="preserve"> </w:t>
      </w:r>
      <w:r>
        <w:t xml:space="preserve">549</w:t>
      </w:r>
      <w:r>
        <w:t xml:space="preserve">,</w:t>
      </w:r>
      <w:r>
        <w:t xml:space="preserve"> </w:t>
      </w:r>
      <w:r>
        <w:t xml:space="preserve">63</w:t>
      </w:r>
      <w:r>
        <w:t xml:space="preserve"> </w:t>
      </w:r>
      <w:r>
        <w:rPr>
          <w:iCs/>
          <w:i/>
        </w:rPr>
        <w:t xml:space="preserve">L.Ed.</w:t>
      </w:r>
      <w:r>
        <w:t xml:space="preserve"> </w:t>
      </w:r>
      <w:r>
        <w:t xml:space="preserve">1113</w:t>
      </w:r>
      <w:r>
        <w:t xml:space="preserve">;</w:t>
      </w:r>
      <w:r>
        <w:t xml:space="preserve"> </w:t>
      </w:r>
      <w:r>
        <w:rPr>
          <w:iCs/>
          <w:i/>
        </w:rPr>
        <w:t xml:space="preserve">Gamble v. Brown,</w:t>
      </w:r>
      <w:r>
        <w:t xml:space="preserve"> </w:t>
      </w:r>
      <w:r>
        <w:t xml:space="preserve">4</w:t>
      </w:r>
      <w:r>
        <w:t xml:space="preserve"> </w:t>
      </w:r>
      <w:r>
        <w:rPr>
          <w:iCs/>
          <w:i/>
        </w:rPr>
        <w:t xml:space="preserve">Cir.,</w:t>
      </w:r>
      <w:r>
        <w:t xml:space="preserve"> </w:t>
      </w:r>
      <w:r>
        <w:t xml:space="preserve">29</w:t>
      </w:r>
      <w:r>
        <w:t xml:space="preserve"> </w:t>
      </w:r>
      <w:r>
        <w:rPr>
          <w:iCs/>
          <w:i/>
        </w:rPr>
        <w:t xml:space="preserve">F.2d</w:t>
      </w:r>
      <w:r>
        <w:t xml:space="preserve"> </w:t>
      </w:r>
      <w:r>
        <w:t xml:space="preserve">366</w:t>
      </w:r>
      <w:r>
        <w:t xml:space="preserve">, and</w:t>
      </w:r>
      <w:r>
        <w:t xml:space="preserve"> </w:t>
      </w:r>
      <w:r>
        <w:rPr>
          <w:iCs/>
          <w:i/>
        </w:rPr>
        <w:t xml:space="preserve">Atherton v. Anderson, 6 Cir.,</w:t>
      </w:r>
      <w:r>
        <w:rPr>
          <w:iCs/>
          <w:i/>
        </w:rPr>
        <w:t xml:space="preserve"> </w:t>
      </w:r>
      <w:r>
        <w:rPr>
          <w:iCs/>
          <w:i/>
        </w:rPr>
        <w:t xml:space="preserve">99 F.2d</w:t>
      </w:r>
      <w:r>
        <w:rPr>
          <w:iCs/>
          <w:i/>
        </w:rPr>
        <w:t xml:space="preserve"> </w:t>
      </w:r>
      <w:r>
        <w:t xml:space="preserve">883</w:t>
      </w:r>
      <w:r>
        <w:t xml:space="preserve">, it appears that directors of a corporation in managing the corporate affairs are bound to use that amount of care which ordinarily careful and prudent men would use in similar circumstances. Their duties are those of control, and whether or not by neglect they have made themselves liable for failure to exercise proper control depends on the circumstances and facts of the particular case.</w:t>
      </w:r>
    </w:p>
    <w:p>
      <w:pPr>
        <w:pStyle w:val="CaseBody"/>
      </w:pPr>
      <w:r>
        <w:t xml:space="preserve">The precise charge made against these director defendants is that, even though they had no knowledge of any suspicion of wrongdoing on the part of the company’s employees, they still should have put into effect a system of watchfulness which would have brought such misconduct to their attention in ample time to have brought it to an end. However, the Briggs case expressly rejects such an idea. On the contrary, it appears that directors are entitled to rely on the honesty and integrity of their subordinates until something occurs to put them on suspicion that something is wrong. If such occurs and goes unheeded, then liability of the directors might well follow, but absent cause for suspicion there is no duty upon the directors to install and operate a corporate system of espionage to ferret out wrongdoing which they have no reason to suspect exists.</w:t>
      </w:r>
    </w:p>
    <w:p>
      <w:pPr>
        <w:pStyle w:val="CaseBody"/>
      </w:pPr>
      <w:r>
        <w:t xml:space="preserve">The duties of the Allis-Chalmers Directors were fixed by the nature of the enterprise which employed in excess of 30,000 persons, and extended over a large geographical area. By force of necessity, the company’s Directors could not know personally all the company’s employees. The very magnitude of the enterprise required them to confine their control to the broad policy decisions. That they did this is clear from the record. At the meetings of the Board in which all Directors participated, these questions were considered and decided on the basis of summaries, reports and corporate records. These they were entitled to rely on, not only, we think, under general principles of the common law, but by reason of 8</w:t>
      </w:r>
      <w:r>
        <w:t xml:space="preserve"> </w:t>
      </w:r>
      <w:r>
        <w:rPr>
          <w:iCs/>
          <w:i/>
        </w:rPr>
        <w:t xml:space="preserve">Del.C.</w:t>
      </w:r>
      <w:r>
        <w:t xml:space="preserve"> </w:t>
      </w:r>
      <w:r>
        <w:t xml:space="preserve">§ 141(f) as well, which in term's fully protects a director who relies on such in the performance of his duties.</w:t>
      </w:r>
    </w:p>
    <w:p>
      <w:pPr>
        <w:pStyle w:val="CaseBody"/>
      </w:pPr>
      <w:r>
        <w:t xml:space="preserve">In the last analysis, the question of whether a corporate director has become liable for losses to the corporation through neglect of duty is determined by the circumstances. If he has recklessly reposed confidence in an obviously untrustworthy employee, has refused or neglected cavalierly to perform his duty as a director, or has ignored either willfully or through inattention obvious danger signs of employee wrongdoing, the law will cast the burden of liability upon him. This is not the case at bar, however, for as soon as it became evident that there were grounds for suspicion, the Board acted promptly to end it and prevent its recurrence.</w:t>
      </w:r>
    </w:p>
    <w:p>
      <w:pPr>
        <w:pStyle w:val="CaseBody"/>
      </w:pPr>
      <w:r>
        <w:t xml:space="preserve">Plaintiffs say these steps should have been taken long before, even in the absence of suspicion, but we think not, for we know of no rule of law which requires a corporate director to assume, with no justification whatsoever, that all corporate employees are incipient law violators who, but for a tight checkrein, will give free vent to their unlawful propensities.</w:t>
      </w:r>
    </w:p>
    <w:p>
      <w:pPr>
        <w:pStyle w:val="CaseBody"/>
      </w:pPr>
      <w:r>
        <w:t xml:space="preserve">We therefore affirm the Vice Chancellor’s ruling that the individual director defendants are not liable as a matter of law merely because, unknown to them, some employees of Allis-Chalmers violated the anti-trust laws thus subjecting the corporation to loss.</w:t>
      </w:r>
    </w:p>
    <w:p>
      <w:pPr>
        <w:pStyle w:val="CaseBody"/>
      </w:pPr>
      <w:r>
        <w:t xml:space="preserve">Plaintiffs concede that they did not prove affirmatively that the Directors knew of the anti-trust violations of the company’s employees, or that there were any facts brought to the Directors’ knowledge which should have put them on guard against such activities. They argue, however, that they were prevented from doing so by unreasonable restrictions put upon their pre-trial discovery by the Vice Chancellor. They argue before us that this restriction was an abuse by the Vice Chancellor of judicial discretion and, hence, reversible error.</w:t>
      </w:r>
    </w:p>
    <w:p>
      <w:pPr>
        <w:pStyle w:val="CaseBody"/>
      </w:pPr>
      <w:r>
        <w:t xml:space="preserve">The argument made under this phase of the appeal breaks down into three categories,</w:t>
      </w:r>
      <w:r>
        <w:t xml:space="preserve"> </w:t>
      </w:r>
      <w:r>
        <w:rPr>
          <w:iCs/>
          <w:i/>
        </w:rPr>
        <w:t xml:space="preserve">vis.,</w:t>
      </w:r>
      <w:r>
        <w:t xml:space="preserve"> </w:t>
      </w:r>
      <w:r>
        <w:t xml:space="preserve">first, the refusal to order the production of certain documents; second, the refusal to order the production of statements taken by the company’s Legal Division in connection with its investigations of the anti-trust violations and in preparation for the company’s defense to the indictments, and, third, the refusal to order the four non-appearing defendants whose depositions were being taken in Wisconsin to answer certain questions, or, in the alternative, to impose sanctions on the appearing defendants. We will take these subjects up in the order stated.</w:t>
      </w:r>
    </w:p>
    <w:p>
      <w:pPr>
        <w:pStyle w:val="CaseBody"/>
      </w:pPr>
      <w:r>
        <w:t xml:space="preserve">The documents which the Vice Chancellor refused to order production of are described in paragraphs 3 and 5(a) of the plaintiffs’ motion to produce of January 23, 1961. Paragraph 3 of the motion asks production of all correspondence, notes, memoranda, etc., arising out of meetings, conferences and conversations in which company personnel participated dealing with the anti-trust activity, limited to the subject matter of the criminal indictments. Paragraph 5(a) of the motion asks the production of all such documents submitted to the Board of Directors.</w:t>
      </w:r>
    </w:p>
    <w:p>
      <w:pPr>
        <w:pStyle w:val="CaseBody"/>
      </w:pPr>
      <w:r>
        <w:t xml:space="preserve">With respect to the request contained in paragraph 5(a), it appears that earlier plaintiffs had sought and obtained such documents. We are concerned, therefore, solely with the denial of an order to produce those documents specified in paragraph 3.</w:t>
      </w:r>
    </w:p>
    <w:p>
      <w:pPr>
        <w:pStyle w:val="CaseBody"/>
      </w:pPr>
      <w:r>
        <w:t xml:space="preserve">The Vice Chancellor refused to order the production of the called-for documents on the grounds that the request was so broad as to open up a cumbersome and time-consuming examination of all aspects of the corporation’s business within the field of inquiry, and would involve the disclosure, contrary to a long-established company policy, of precise sales information. He was of the opinion that the documents sought possibly would constitute evidence in a later accounting phase of the cause which, however, would be reached only if the liability of the Directors had been established. In his opinion, the sought-for documents would not support the theory of director liability and, consequently, at the then juncture of the cause were not the proper subject of discovery.</w:t>
      </w:r>
    </w:p>
    <w:p>
      <w:pPr>
        <w:pStyle w:val="CaseBody"/>
      </w:pPr>
      <w:r>
        <w:t xml:space="preserve">We must bear in mind that this motion was made under</w:t>
      </w:r>
      <w:r>
        <w:t xml:space="preserve"> </w:t>
      </w:r>
      <w:r>
        <w:rPr>
          <w:iCs/>
          <w:i/>
        </w:rPr>
        <w:t xml:space="preserve">Chancery Rule</w:t>
      </w:r>
      <w:r>
        <w:t xml:space="preserve"> </w:t>
      </w:r>
      <w:r>
        <w:t xml:space="preserve">34,</w:t>
      </w:r>
      <w:r>
        <w:t xml:space="preserve"> </w:t>
      </w:r>
      <w:r>
        <w:rPr>
          <w:iCs/>
          <w:i/>
        </w:rPr>
        <w:t xml:space="preserve">Del.C.Ann.</w:t>
      </w:r>
      <w:r>
        <w:t xml:space="preserve"> </w:t>
      </w:r>
      <w:r>
        <w:t xml:space="preserve">which requires a showing of good cause before an order for production will be made. This means that the movant must demonstrate a need beyond the relevancy or materiality of the documents, and that no other avenue is open to him to obtain discovery.</w:t>
      </w:r>
      <w:r>
        <w:t xml:space="preserve"> </w:t>
      </w:r>
      <w:r>
        <w:rPr>
          <w:iCs/>
          <w:i/>
        </w:rPr>
        <w:t xml:space="preserve">Empire Box Corporation of Stroudsburg v. Illinois Cereal</w:t>
      </w:r>
      <w:r>
        <w:t xml:space="preserve"> </w:t>
      </w:r>
      <w:r>
        <w:t xml:space="preserve">Mills,</w:t>
      </w:r>
      <w:r>
        <w:t xml:space="preserve"> </w:t>
      </w:r>
      <w:r>
        <w:t xml:space="preserve">8</w:t>
      </w:r>
      <w:r>
        <w:t xml:space="preserve"> </w:t>
      </w:r>
      <w:r>
        <w:rPr>
          <w:iCs/>
          <w:i/>
        </w:rPr>
        <w:t xml:space="preserve">Terry</w:t>
      </w:r>
      <w:r>
        <w:t xml:space="preserve"> </w:t>
      </w:r>
      <w:r>
        <w:t xml:space="preserve">283</w:t>
      </w:r>
      <w:r>
        <w:t xml:space="preserve">,</w:t>
      </w:r>
      <w:r>
        <w:t xml:space="preserve"> </w:t>
      </w:r>
      <w:r>
        <w:t xml:space="preserve">90</w:t>
      </w:r>
      <w:r>
        <w:t xml:space="preserve"> </w:t>
      </w:r>
      <w:r>
        <w:rPr>
          <w:iCs/>
          <w:i/>
        </w:rPr>
        <w:t xml:space="preserve">A2d</w:t>
      </w:r>
      <w:r>
        <w:t xml:space="preserve"> </w:t>
      </w:r>
      <w:r>
        <w:t xml:space="preserve">672</w:t>
      </w:r>
      <w:r>
        <w:t xml:space="preserve">. As we read this record, no other avenue to get the sought-for documents was explored by plaintiffs.</w:t>
      </w:r>
    </w:p>
    <w:p>
      <w:pPr>
        <w:pStyle w:val="CaseBody"/>
      </w:pPr>
      <w:r>
        <w:t xml:space="preserve">We note, furthermore, that the request of paragraph 3 was not limited or particularized. The request is for all correspondence, etc., arising out of or pertaining to meetings, conferences, telephone or other conversations in which the company’s officers, directors or employees participated “on any and all occasions from 1951 to the present,” dealing with the subject matter of the indictments. The request sweeps within its embrace what could well be, in the language of the Vice Chancellor, “a vast assemblage of documents” and amounts in effect to a fishing expedition. Furthermore, we agree with the Vice Chancellor that the director defendants might well have no knowledge of these documents, and that they probably had no duty to have any knowledge of them.</w:t>
      </w:r>
    </w:p>
    <w:p>
      <w:pPr>
        <w:pStyle w:val="CaseBody"/>
      </w:pPr>
      <w:r>
        <w:t xml:space="preserve">The cause was tried below on the theory that preliminarily some showing of director liability must be made before Allis-Chalmers would be ordered to throw open its files to an untrammeled inspection by plaintiffs. They failed to make such a showing in fact as well as in law and, consequently, we think the Vice Chancellor committed no abuse of discretion in refusing to subject Allis-Chalmers to the harassment of unlimited and time-consuming</w:t>
      </w:r>
      <w:r>
        <w:t xml:space="preserve"> </w:t>
      </w:r>
      <w:r>
        <w:rPr>
          <w:iCs/>
          <w:i/>
        </w:rPr>
        <w:t xml:space="preserve">inspection</w:t>
      </w:r>
      <w:r>
        <w:t xml:space="preserve"> </w:t>
      </w:r>
      <w:r>
        <w:t xml:space="preserve">of records, which, except for broad generality of statement made by plaintiffs, bore no relation to. the issue of director liability.</w:t>
      </w:r>
    </w:p>
    <w:p>
      <w:pPr>
        <w:pStyle w:val="CaseBody"/>
      </w:pPr>
      <w:r>
        <w:t xml:space="preserve">The order denying the motion to produce the documents described in paragraph 3 is affirmed.</w:t>
      </w:r>
    </w:p>
    <w:p>
      <w:pPr>
        <w:pStyle w:val="CaseBody"/>
      </w:pPr>
      <w:r>
        <w:t xml:space="preserve">The second subject urged as error is the refusal of the Vice Chancellor to order the production of statements taken from the non-director defendants in connection with its investigation of the antitrust violations and in preparation for the defense of the indictments. It appears that the statements in question were taken by Allis-Chalmers’ attorneys as the result of interviews seeking to ascertain acts which, if imputed to Allis-Chalmers, might constitute anti-trust violations. The written memoranda made as the result of such interviews have remained in the exclusive possession of the company’s attorneys.</w:t>
      </w:r>
    </w:p>
    <w:p>
      <w:pPr>
        <w:pStyle w:val="CaseBody"/>
      </w:pPr>
      <w:r>
        <w:t xml:space="preserve">Plaintiffs seek production of these memoranda upon the authority of</w:t>
      </w:r>
      <w:r>
        <w:t xml:space="preserve"> </w:t>
      </w:r>
      <w:r>
        <w:rPr>
          <w:iCs/>
          <w:i/>
        </w:rPr>
        <w:t xml:space="preserve">Hickman v.</w:t>
      </w:r>
      <w:r>
        <w:t xml:space="preserve"> </w:t>
      </w:r>
      <w:r>
        <w:t xml:space="preserve">Taylor,</w:t>
      </w:r>
      <w:r>
        <w:t xml:space="preserve"> </w:t>
      </w:r>
      <w:r>
        <w:t xml:space="preserve">329</w:t>
      </w:r>
      <w:r>
        <w:t xml:space="preserve"> </w:t>
      </w:r>
      <w:r>
        <w:rPr>
          <w:iCs/>
          <w:i/>
        </w:rPr>
        <w:t xml:space="preserve">US.</w:t>
      </w:r>
      <w:r>
        <w:t xml:space="preserve"> </w:t>
      </w:r>
      <w:r>
        <w:t xml:space="preserve">495</w:t>
      </w:r>
      <w:r>
        <w:t xml:space="preserve">,</w:t>
      </w:r>
      <w:r>
        <w:t xml:space="preserve"> </w:t>
      </w:r>
      <w:r>
        <w:rPr>
          <w:iCs/>
          <w:i/>
        </w:rPr>
        <w:t xml:space="preserve">67 S.Ct.</w:t>
      </w:r>
      <w:r>
        <w:rPr>
          <w:iCs/>
          <w:i/>
        </w:rPr>
        <w:t xml:space="preserve"> </w:t>
      </w:r>
      <w:r>
        <w:t xml:space="preserve">385</w:t>
      </w:r>
      <w:r>
        <w:t xml:space="preserve">,</w:t>
      </w:r>
      <w:r>
        <w:t xml:space="preserve"> </w:t>
      </w:r>
      <w:r>
        <w:t xml:space="preserve">91</w:t>
      </w:r>
      <w:r>
        <w:t xml:space="preserve"> </w:t>
      </w:r>
      <w:r>
        <w:rPr>
          <w:iCs/>
          <w:i/>
        </w:rPr>
        <w:t xml:space="preserve">L.Ed.</w:t>
      </w:r>
      <w:r>
        <w:t xml:space="preserve"> </w:t>
      </w:r>
      <w:r>
        <w:t xml:space="preserve">451</w:t>
      </w:r>
      <w:r>
        <w:t xml:space="preserve">, which held that the attorney-client privilege does not apply to information and statements which a lawyer secures from a witness while acting for his client in preparation for litigation.</w:t>
      </w:r>
    </w:p>
    <w:p>
      <w:pPr>
        <w:pStyle w:val="CaseBody"/>
      </w:pPr>
      <w:r>
        <w:t xml:space="preserve">The rule of</w:t>
      </w:r>
      <w:r>
        <w:t xml:space="preserve"> </w:t>
      </w:r>
      <w:r>
        <w:rPr>
          <w:iCs/>
          <w:i/>
        </w:rPr>
        <w:t xml:space="preserve">Hickman v. Taylor,</w:t>
      </w:r>
      <w:r>
        <w:t xml:space="preserve"> </w:t>
      </w:r>
      <w:r>
        <w:t xml:space="preserve">however, has not been followed in this state. Prior to that decision, in</w:t>
      </w:r>
      <w:r>
        <w:t xml:space="preserve"> </w:t>
      </w:r>
      <w:r>
        <w:rPr>
          <w:iCs/>
          <w:i/>
        </w:rPr>
        <w:t xml:space="preserve">Wise v. Western Union Telegraph Co.,</w:t>
      </w:r>
      <w:r>
        <w:rPr>
          <w:iCs/>
          <w:i/>
        </w:rPr>
        <w:t xml:space="preserve"> </w:t>
      </w:r>
      <w:r>
        <w:rPr>
          <w:iCs/>
          <w:i/>
        </w:rPr>
        <w:t xml:space="preserve">6 W.W.Harr.</w:t>
      </w:r>
      <w:r>
        <w:rPr>
          <w:iCs/>
          <w:i/>
        </w:rPr>
        <w:t xml:space="preserve"> </w:t>
      </w:r>
      <w:r>
        <w:t xml:space="preserve">456</w:t>
      </w:r>
      <w:r>
        <w:t xml:space="preserve">,</w:t>
      </w:r>
      <w:r>
        <w:t xml:space="preserve"> </w:t>
      </w:r>
      <w:r>
        <w:t xml:space="preserve">178</w:t>
      </w:r>
      <w:r>
        <w:t xml:space="preserve"> </w:t>
      </w:r>
      <w:r>
        <w:rPr>
          <w:iCs/>
          <w:i/>
        </w:rPr>
        <w:t xml:space="preserve">A.</w:t>
      </w:r>
      <w:r>
        <w:t xml:space="preserve"> </w:t>
      </w:r>
      <w:r>
        <w:t xml:space="preserve">640</w:t>
      </w:r>
      <w:r>
        <w:t xml:space="preserve">, an accident report made by defendants’ agents as a result of interviews with defendant’s employees was held to be privileged if taken for the purpose of the guidance of an attorney in pending litigation. In so holding, the court adopted the so-called English Rule on the subject. Thereafter,</w:t>
      </w:r>
      <w:r>
        <w:t xml:space="preserve"> </w:t>
      </w:r>
      <w:r>
        <w:rPr>
          <w:iCs/>
          <w:i/>
        </w:rPr>
        <w:t xml:space="preserve">Hickman v. Taylor</w:t>
      </w:r>
      <w:r>
        <w:t xml:space="preserve"> </w:t>
      </w:r>
      <w:r>
        <w:t xml:space="preserve">was decided but in</w:t>
      </w:r>
      <w:r>
        <w:t xml:space="preserve"> </w:t>
      </w:r>
      <w:r>
        <w:rPr>
          <w:iCs/>
          <w:i/>
        </w:rPr>
        <w:t xml:space="preserve">Reeves v. Pennsylvania R. R. Co., D.C.,</w:t>
      </w:r>
      <w:r>
        <w:t xml:space="preserve"> </w:t>
      </w:r>
      <w:r>
        <w:t xml:space="preserve">8</w:t>
      </w:r>
      <w:r>
        <w:t xml:space="preserve"> </w:t>
      </w:r>
      <w:r>
        <w:rPr>
          <w:iCs/>
          <w:i/>
        </w:rPr>
        <w:t xml:space="preserve">F.R.D.</w:t>
      </w:r>
      <w:r>
        <w:t xml:space="preserve"> </w:t>
      </w:r>
      <w:r>
        <w:t xml:space="preserve">616</w:t>
      </w:r>
      <w:r>
        <w:t xml:space="preserve">, sitting in the Federal District Court for Delaware, the same judge who wrote the opinion in the</w:t>
      </w:r>
      <w:r>
        <w:t xml:space="preserve"> </w:t>
      </w:r>
      <w:r>
        <w:rPr>
          <w:iCs/>
          <w:i/>
        </w:rPr>
        <w:t xml:space="preserve">Wise</w:t>
      </w:r>
      <w:r>
        <w:t xml:space="preserve"> </w:t>
      </w:r>
      <w:r>
        <w:t xml:space="preserve">case held that the adoption of the 1948 Superior Court Rules, patterned on the Federal Rules of Civil Procedure, had not changed the rule of the</w:t>
      </w:r>
      <w:r>
        <w:t xml:space="preserve"> </w:t>
      </w:r>
      <w:r>
        <w:rPr>
          <w:iCs/>
          <w:i/>
        </w:rPr>
        <w:t xml:space="preserve">Wise</w:t>
      </w:r>
      <w:r>
        <w:t xml:space="preserve"> </w:t>
      </w:r>
      <w:r>
        <w:t xml:space="preserve">case. The same result was reached in</w:t>
      </w:r>
      <w:r>
        <w:t xml:space="preserve"> </w:t>
      </w:r>
      <w:r>
        <w:rPr>
          <w:iCs/>
          <w:i/>
        </w:rPr>
        <w:t xml:space="preserve">Zenith Radio Corp. v. Radio Corp. of America, D.C.</w:t>
      </w:r>
      <w:r>
        <w:t xml:space="preserve"> </w:t>
      </w:r>
      <w:r>
        <w:t xml:space="preserve">121</w:t>
      </w:r>
      <w:r>
        <w:t xml:space="preserve"> </w:t>
      </w:r>
      <w:r>
        <w:rPr>
          <w:iCs/>
          <w:i/>
        </w:rPr>
        <w:t xml:space="preserve">F.Supp.</w:t>
      </w:r>
      <w:r>
        <w:t xml:space="preserve"> </w:t>
      </w:r>
      <w:r>
        <w:t xml:space="preserve">792</w:t>
      </w:r>
      <w:r>
        <w:t xml:space="preserve">, in which the Federal District Court for Delaware applied the</w:t>
      </w:r>
      <w:r>
        <w:t xml:space="preserve"> </w:t>
      </w:r>
      <w:r>
        <w:rPr>
          <w:iCs/>
          <w:i/>
        </w:rPr>
        <w:t xml:space="preserve">Wise</w:t>
      </w:r>
      <w:r>
        <w:t xml:space="preserve"> </w:t>
      </w:r>
      <w:r>
        <w:t xml:space="preserve">rule. Similarly, in</w:t>
      </w:r>
      <w:r>
        <w:t xml:space="preserve"> </w:t>
      </w:r>
      <w:r>
        <w:rPr>
          <w:iCs/>
          <w:i/>
        </w:rPr>
        <w:t xml:space="preserve">Winter v. Pennsylvania R. R. Co.,</w:t>
      </w:r>
      <w:r>
        <w:t xml:space="preserve"> </w:t>
      </w:r>
      <w:r>
        <w:t xml:space="preserve">6</w:t>
      </w:r>
      <w:r>
        <w:t xml:space="preserve"> </w:t>
      </w:r>
      <w:r>
        <w:rPr>
          <w:iCs/>
          <w:i/>
        </w:rPr>
        <w:t xml:space="preserve">Terry</w:t>
      </w:r>
      <w:r>
        <w:t xml:space="preserve"> </w:t>
      </w:r>
      <w:r>
        <w:t xml:space="preserve">108</w:t>
      </w:r>
      <w:r>
        <w:t xml:space="preserve">,</w:t>
      </w:r>
      <w:r>
        <w:t xml:space="preserve"> </w:t>
      </w:r>
      <w:r>
        <w:t xml:space="preserve">68</w:t>
      </w:r>
      <w:r>
        <w:t xml:space="preserve"> </w:t>
      </w:r>
      <w:r>
        <w:rPr>
          <w:iCs/>
          <w:i/>
        </w:rPr>
        <w:t xml:space="preserve">A.2d</w:t>
      </w:r>
      <w:r>
        <w:t xml:space="preserve"> </w:t>
      </w:r>
      <w:r>
        <w:t xml:space="preserve">513</w:t>
      </w:r>
      <w:r>
        <w:t xml:space="preserve">, and</w:t>
      </w:r>
      <w:r>
        <w:t xml:space="preserve"> </w:t>
      </w:r>
      <w:r>
        <w:rPr>
          <w:iCs/>
          <w:i/>
        </w:rPr>
        <w:t xml:space="preserve">Empire Box Corp. of Stroudsburg v. Illinois Cereal Mills, supra,</w:t>
      </w:r>
      <w:r>
        <w:t xml:space="preserve"> </w:t>
      </w:r>
      <w:r>
        <w:t xml:space="preserve">the</w:t>
      </w:r>
      <w:r>
        <w:t xml:space="preserve"> </w:t>
      </w:r>
      <w:r>
        <w:rPr>
          <w:iCs/>
          <w:i/>
        </w:rPr>
        <w:t xml:space="preserve">Wise</w:t>
      </w:r>
      <w:r>
        <w:t xml:space="preserve"> </w:t>
      </w:r>
      <w:r>
        <w:t xml:space="preserve">case was considered as controlling authority, and in</w:t>
      </w:r>
      <w:r>
        <w:t xml:space="preserve"> </w:t>
      </w:r>
      <w:r>
        <w:rPr>
          <w:iCs/>
          <w:i/>
        </w:rPr>
        <w:t xml:space="preserve">Sparks Co. v. Huber Baking Co.,</w:t>
      </w:r>
      <w:r>
        <w:t xml:space="preserve"> </w:t>
      </w:r>
      <w:r>
        <w:t xml:space="preserve">10</w:t>
      </w:r>
      <w:r>
        <w:t xml:space="preserve"> </w:t>
      </w:r>
      <w:r>
        <w:rPr>
          <w:iCs/>
          <w:i/>
        </w:rPr>
        <w:t xml:space="preserve">Terry</w:t>
      </w:r>
      <w:r>
        <w:t xml:space="preserve"> </w:t>
      </w:r>
      <w:r>
        <w:t xml:space="preserve">267</w:t>
      </w:r>
      <w:r>
        <w:t xml:space="preserve">,</w:t>
      </w:r>
      <w:r>
        <w:t xml:space="preserve"> </w:t>
      </w:r>
      <w:r>
        <w:t xml:space="preserve">114</w:t>
      </w:r>
      <w:r>
        <w:t xml:space="preserve"> </w:t>
      </w:r>
      <w:r>
        <w:rPr>
          <w:iCs/>
          <w:i/>
        </w:rPr>
        <w:t xml:space="preserve">A.2d</w:t>
      </w:r>
      <w:r>
        <w:t xml:space="preserve"> </w:t>
      </w:r>
      <w:r>
        <w:t xml:space="preserve">657</w:t>
      </w:r>
      <w:r>
        <w:t xml:space="preserve">, the continuing authority of the</w:t>
      </w:r>
      <w:r>
        <w:t xml:space="preserve"> </w:t>
      </w:r>
      <w:r>
        <w:rPr>
          <w:iCs/>
          <w:i/>
        </w:rPr>
        <w:t xml:space="preserve">Wise</w:t>
      </w:r>
      <w:r>
        <w:t xml:space="preserve"> </w:t>
      </w:r>
      <w:r>
        <w:t xml:space="preserve">case was recognized.</w:t>
      </w:r>
    </w:p>
    <w:p>
      <w:pPr>
        <w:pStyle w:val="CaseBody"/>
      </w:pPr>
      <w:r>
        <w:t xml:space="preserve">The statements sought by this motion fall within the rule of the</w:t>
      </w:r>
      <w:r>
        <w:t xml:space="preserve"> </w:t>
      </w:r>
      <w:r>
        <w:rPr>
          <w:iCs/>
          <w:i/>
        </w:rPr>
        <w:t xml:space="preserve">Wise</w:t>
      </w:r>
      <w:r>
        <w:t xml:space="preserve"> </w:t>
      </w:r>
      <w:r>
        <w:t xml:space="preserve">case as privileged documents obtained by reason of an attorney-client relationship. As such, an inspection of them may not be enforced.</w:t>
      </w:r>
    </w:p>
    <w:p>
      <w:pPr>
        <w:pStyle w:val="CaseBody"/>
      </w:pPr>
      <w:r>
        <w:t xml:space="preserve">Thirdly, the plaintiffs complain against the refusal of the Vice Chancellor to order the four non-appearing defendants to answer certain questions they had refused to answer during the taking of their depositions in Wisconsin, or, in the alternative, to impose sanctions on the appearing defendants.</w:t>
      </w:r>
    </w:p>
    <w:p>
      <w:pPr>
        <w:pStyle w:val="CaseBody"/>
      </w:pPr>
      <w:r>
        <w:t xml:space="preserve">The refusal to answer took place during the taking in Wisconsin of the depositions of the four non-appearing defendants. These four men were represented during the depositions by their own separate counsel on whose advice they refused to answer on the ground of possible self-incrimination. They were at the time under indictment for violation of the anti-trust laws. At this time they had pleaded guilty to the indictments and were awaiting sentence. The refusal to answer was based upon possible self-incrimination under the Federal Anti-Trust Laws and under the Wisconsin Anti-trust Laws.</w:t>
      </w:r>
    </w:p>
    <w:p>
      <w:pPr>
        <w:pStyle w:val="CaseBody"/>
      </w:pPr>
      <w:r>
        <w:t xml:space="preserve">The Vice Chancellor did not rule on the validity of the constitutional privilege claimed, but refused to order the witnesses to answer on the ground that he was without power to compel answers from individuals over whom no jurisdiction had been obtained.</w:t>
      </w:r>
    </w:p>
    <w:p>
      <w:pPr>
        <w:pStyle w:val="CaseBody"/>
      </w:pPr>
      <w:r>
        <w:t xml:space="preserve">Plaintiffs argue that answers could have been forced by the imposition of sanctions under Chancery Rule 37(b) which applies to parties or managing agents of parties. It is, of course, true that the four non-appearing defendants were managing agents of Allis-Chalmers, and that, strictly speaking, the rule would seem to authorize the imposition of sanctions against Allis-Chalmers. The question immediately presents itself, however, as to what form the sanctions would take since, while a nominal defendant, Allis-Chalmers is the party on whose behalf this action has been brought. It would seem to aid the plaintiffs very little to penalize the corporation which their action seeks to benefit.</w:t>
      </w:r>
    </w:p>
    <w:p>
      <w:pPr>
        <w:pStyle w:val="CaseBody"/>
      </w:pPr>
      <w:r>
        <w:t xml:space="preserve">There is, however, a complete answer to the argument. Plaintiffs had a remedy to obtain a ruling on the propriety of the refusal to answer, and, if that ruling was favorable, to force answers under the ruling of a court. Plaintiffs could have examined the four witnesses in Wisconsin under a Commission issued pursuant to 10</w:t>
      </w:r>
      <w:r>
        <w:t xml:space="preserve"> </w:t>
      </w:r>
      <w:r>
        <w:rPr>
          <w:iCs/>
          <w:i/>
        </w:rPr>
        <w:t xml:space="preserve">Del.C.</w:t>
      </w:r>
      <w:r>
        <w:t xml:space="preserve"> </w:t>
      </w:r>
      <w:r>
        <w:t xml:space="preserve">§ 368, and thus obtained the aid of a Wisconsin court in compelling answers. This, we think, is a complete answer to plaintiffs’ argument and supports the ruling of the Vice Chancellor.</w:t>
      </w:r>
    </w:p>
    <w:p>
      <w:pPr>
        <w:pStyle w:val="CaseBody"/>
      </w:pPr>
      <w:r>
        <w:t xml:space="preserve">Finally, plaintiffs argue that error was committed by the failure of the Vice Chancellor to even consider whether or not an inference unfavorable to the Directors should be drawn from their failure to produce as witnesses at the trial the Allis-Chalmers employees named as defendants in the indictments. To be sure, no mention of the argument is made in the opinion below, but this does not necessarily mean that the argument was not considered. It may have been and discarded. In any event, we think, in the absence of any evidence telling against the Directors, any justifiable inference to be drawn from the failure to produce the witnesses could not rise to the height necessary to supply the plaintiffs’ deficiency of proof.</w:t>
      </w:r>
    </w:p>
    <w:p>
      <w:pPr>
        <w:pStyle w:val="CaseBody"/>
      </w:pPr>
      <w:r>
        <w:t xml:space="preserve">The judgment of the court below is affirmed.</w:t>
      </w:r>
    </w:p>
    <w:p>
      <w:pPr>
        <w:pStyle w:val="NodeEnd"/>
      </w:pPr>
      <w:r>
        <w:t xml:space="preserve"> </w:t>
      </w:r>
    </w:p>
    <w:p>
      <w:pPr>
        <w:pStyle w:val="NodeStart"/>
      </w:pPr>
      <w:r>
        <w:t xml:space="preserve"> </w:t>
      </w:r>
    </w:p>
    <w:p>
      <w:pPr>
        <w:pStyle w:val="HeadSeparator"/>
      </w:pPr>
      <w:r>
        <w:t xml:space="preserve"> </w:t>
      </w:r>
    </w:p>
    <w:bookmarkStart w:id="88" w:name="_auto_toc_88"/>
    <w:bookmarkEnd w:id="88"/>
    <w:p>
      <w:pPr>
        <w:pStyle w:val="ResourceNumber"/>
      </w:pPr>
      <w:r>
        <w:t xml:space="preserve">7.1.3</w:t>
      </w:r>
    </w:p>
    <w:p>
      <w:pPr>
        <w:pStyle w:val="ResourceTitle"/>
      </w:pPr>
      <w:r>
        <w:t xml:space="preserve">In re Caremark International Inc. Derivative Litigation</w:t>
      </w:r>
    </w:p>
    <w:p>
      <w:pPr>
        <w:pStyle w:val="HeadEnd"/>
      </w:pPr>
      <w:r>
        <w:t xml:space="preserve"> </w:t>
      </w:r>
    </w:p>
    <w:p>
      <w:pPr>
        <w:pStyle w:val="CaseHeader"/>
      </w:pPr>
      <w:r>
        <w:t xml:space="preserve">Delaware Court of Chancery</w:t>
      </w:r>
    </w:p>
    <w:p>
      <w:pPr>
        <w:pStyle w:val="CaseHeader"/>
      </w:pPr>
      <w:r>
        <w:t xml:space="preserve">698 A.2d 959</w:t>
      </w:r>
    </w:p>
    <w:p>
      <w:pPr>
        <w:pStyle w:val="CaseHeader"/>
      </w:pPr>
      <w:r>
        <w:t xml:space="preserve">Civil Action No. 13670</w:t>
      </w:r>
    </w:p>
    <w:p>
      <w:pPr>
        <w:pStyle w:val="CaseHeader"/>
      </w:pPr>
      <w:r>
        <w:t xml:space="preserve">1996-09-25</w:t>
      </w:r>
    </w:p>
    <w:p>
      <w:pPr>
        <w:pStyle w:val="CaseBody"/>
      </w:pPr>
      <w:r>
        <w:rPr>
          <w:rStyle w:val="Elision"/>
        </w:rPr>
        <w:t xml:space="preserve">[ … ]</w:t>
      </w:r>
    </w:p>
    <w:p>
      <w:pPr>
        <w:pStyle w:val="CaseBody"/>
      </w:pPr>
      <w:r>
        <w:t xml:space="preserve">OPINION</w:t>
      </w:r>
    </w:p>
    <w:p>
      <w:pPr>
        <w:pStyle w:val="CaseBody"/>
      </w:pPr>
      <w:r>
        <w:t xml:space="preserve">ALLEN, Chancellor.</w:t>
      </w:r>
    </w:p>
    <w:p>
      <w:pPr>
        <w:pStyle w:val="CaseBody"/>
      </w:pPr>
      <w:r>
        <w:t xml:space="preserve">Pending is a motion pursuant to Chancery Rule 23.1 to approve as fair and reasonable a proposed settlement of a consolidated derivative action on behalf of Caremark International, Inc. (“Caremark”). The suit involves claims that the members of Caremark’s board of directors (the “Board”) breached their fiduciary duty of care to Caremark in connection with alleged violations by Care-mark employees of federal and state laws and regulations applicable to health care providers. As a result of the alleged violations, Caremark was subject to an extensive four year investigation by the United States Department of Health and Human Services and the Department of Justice. In 1994 Care-mark was charged in an indictment with multiple felonies. It thereafter entered into a number of agreements with the Department of Justice and others. Those agreements included a plea agreement in which Caremark pleaded guilty to a single felony of mail fraud and agreed to pay civil and criminal fines. Subsequently, Caremark agreed to make reimbursements to various private and public parties. In all, the payments that Caremark has been required to make total approximately $250 million.</w:t>
      </w:r>
    </w:p>
    <w:p>
      <w:pPr>
        <w:pStyle w:val="CaseBody"/>
      </w:pPr>
      <w:r>
        <w:t xml:space="preserve">This suit was filed in 1994, purporting to seek on behalf of the company recovery of these losses from the individual defendants who constitute the board of directors of Caremark.</w:t>
      </w:r>
      <w:r>
        <w:rPr>
          <w:rStyle w:val="FootnoteReference"/>
        </w:rPr>
        <w:footnoteReference w:customMarkFollows="1" w:id="22"/>
        <w:t xml:space="preserve">1</w:t>
      </w:r>
      <w:r>
        <w:t xml:space="preserve"> </w:t>
      </w:r>
      <w:r>
        <w:t xml:space="preserve">The parties now propose that it be settled and, after notice to Caremark shareholders, a hearing on the fairness of the proposal was held on August 16,1996.</w:t>
      </w:r>
    </w:p>
    <w:p>
      <w:pPr>
        <w:pStyle w:val="CaseBody"/>
      </w:pPr>
      <w:r>
        <w:t xml:space="preserve">A motion of this type requires the court to assess the strengths and weaknesses of the claims asserted in light of the discovery record and to evaluate the fairness and adequacy of the consideration offered to the corporation in exchange for the release of all claims made or arising from the facts alleged. The ultimate issue then is whether the proposed settlement appears to be fair to the corporation and its absent shareholders. In this effort the court does not determine contested facts, but evaluates the claims and defenses on the discovery record to achieve a sense of the relative strengths of the parties’ positions.</w:t>
      </w:r>
      <w:r>
        <w:t xml:space="preserve"> </w:t>
      </w:r>
      <w:r>
        <w:rPr>
          <w:iCs/>
          <w:i/>
        </w:rPr>
        <w:t xml:space="preserve">Polk v.</w:t>
      </w:r>
      <w:r>
        <w:t xml:space="preserve"> </w:t>
      </w:r>
      <w:r>
        <w:t xml:space="preserve">Good, Del.Supr., 507 A.2d 531, 536 (1986). In doing this, in most instances, the court is constrained by the absence of a truly adversarial process, since inevitably both sides support the settlement and legally assisted objectors are rare. Thus, the facts stated hereafter represent the court’s effort to understand the context of the motion from the discovery record, but do not deserve the respect that judicial findings after trial are customarily accorded.</w:t>
      </w:r>
    </w:p>
    <w:p>
      <w:pPr>
        <w:pStyle w:val="CaseBody"/>
      </w:pPr>
      <w:r>
        <w:t xml:space="preserve">Legally, evaluation of the central claim made entails consideration of the legal standard governing a board of directors’ obligation to supervise or monitor corporate performance. For the reasons set forth below I conclude, in light of the discovery record, that there is a very low probability that it would be determined that the directors of Caremark breached any duty to appropriate- ■ ly monitor and supervise the enterprise. Indeed the record tends to show an active consideration by Caremark management and its Board of the Caremark structures and programs that ultimately led to the company’s indictment and to the large financial losses incurred in the settlement of those claims. It does not tend to show knowing or intentional violation of law. Neither the fact that the Board, although advised by lawyers and accountants, did not accurately predict the severe consequences to the company that would ultimately follow from the deployment by the company of the strategies and practices that ultimately led to this liability, nor the scale of the liability, gives rise to an inference of breach of any duty imposed by corporation law upon the directors of Care-mark.</w:t>
      </w:r>
    </w:p>
    <w:p>
      <w:pPr>
        <w:pStyle w:val="CaseBody"/>
      </w:pPr>
      <w:r>
        <w:rPr>
          <w:iCs/>
          <w:i/>
        </w:rPr>
        <w:t xml:space="preserve">I. BACKGROUND</w:t>
      </w:r>
    </w:p>
    <w:p>
      <w:pPr>
        <w:pStyle w:val="CaseBody"/>
      </w:pPr>
      <w:r>
        <w:t xml:space="preserve">For these purposes I regard the following facts, suggested by the discovery record, as material. Caremark, a Delaware corporation with its headquarters in Northbrook, Illinois, was created in November 1992 when it was spun-off from Baxter International, Inc. (“Baxter”) and became a publicly held company listed on the New York Stock Exchange. The business practices that created the problem pre-dated the spin-off. During the relevant period Caremark was involved in two main health care business segments, providing patient care and managed care services. As part of its patient care business, which accounted for the majority of Care-mark’s revenues, Caremark provided alternative site health care services, including infusion therapy, growth hormone therapy, HIV/ AIDS-related treatments and hemophilia therapy. Caremark’s managed care services included prescription drug programs and the operation of multi-specialty group practices.</w:t>
      </w:r>
    </w:p>
    <w:p>
      <w:pPr>
        <w:pStyle w:val="CaseBody"/>
      </w:pPr>
      <w:r>
        <w:t xml:space="preserve">A</w:t>
      </w:r>
      <w:r>
        <w:t xml:space="preserve"> </w:t>
      </w:r>
      <w:r>
        <w:rPr>
          <w:iCs/>
          <w:i/>
        </w:rPr>
        <w:t xml:space="preserve">Events Prior to the Government Investigation</w:t>
      </w:r>
    </w:p>
    <w:p>
      <w:pPr>
        <w:pStyle w:val="CaseBody"/>
      </w:pPr>
      <w:r>
        <w:t xml:space="preserve">A substantial part of the revenues generated by Caremark’s businesses is derived from third party payments, insurers, and Medicare and Medicaid reimbursement programs. The latter source of payments are subject to the terms of the Anti-Referral Payments Law (“ARPL”) which prohibits health care providers from paying any form of remuner-atíon to induce the referral of Medicare or Medicaid patients. From its inception, Care-mark entered into a variety of agreements with hospitals, physicians, and health care providers for advice and services, as well as distribution agreements with drug manufacturers, as had its predecessor prior to 1992. Specifically, Caremark did have a practice of entering into contracts for services</w:t>
      </w:r>
      <w:r>
        <w:t xml:space="preserve"> </w:t>
      </w:r>
      <w:r>
        <w:rPr>
          <w:iCs/>
          <w:i/>
        </w:rPr>
        <w:t xml:space="preserve">(e.g.,</w:t>
      </w:r>
      <w:r>
        <w:t xml:space="preserve"> </w:t>
      </w:r>
      <w:r>
        <w:t xml:space="preserve">consultation agreements and research grants) with physicians at least some of whom prescribed or recommended services or products that Caremark provided to Medicare recipients and other patients. Such contracts were not prohibited by the ARPL but they obviously raised a possibility of unlawful “kickbacks.”</w:t>
      </w:r>
    </w:p>
    <w:p>
      <w:pPr>
        <w:pStyle w:val="CaseBody"/>
      </w:pPr>
      <w:r>
        <w:t xml:space="preserve">As early as 1989, Caremark’s predecessor issued an internal “Guide to Contractual Relationships” (“Guide”) to govern its employees in entering into contracts with physicians and hospitals. The Guide tended to be reviewed annually by lawyers and updated. Each version of the Guide stated as Care-mark’s and its predecessor’s policy that no payments would be made in exchange for or to induce patient referrals. But what one might deem a prohibited</w:t>
      </w:r>
      <w:r>
        <w:t xml:space="preserve"> </w:t>
      </w:r>
      <w:r>
        <w:rPr>
          <w:iCs/>
          <w:i/>
        </w:rPr>
        <w:t xml:space="preserve">quid pro quo</w:t>
      </w:r>
      <w:r>
        <w:t xml:space="preserve"> </w:t>
      </w:r>
      <w:r>
        <w:t xml:space="preserve">was not always clear. Due to a scarcity of court decisions interpreting the ARPL, however, Caremark repeatedly publicly stated that there was uncertainty concerning Care-mark’s interpretation of the law.</w:t>
      </w:r>
    </w:p>
    <w:p>
      <w:pPr>
        <w:pStyle w:val="CaseBody"/>
      </w:pPr>
      <w:r>
        <w:t xml:space="preserve">To clarify the scope of the ARPL, the United States Department of Health and Human Services (“HHS”) issued “safe harbor” regulations in July 1991 stating conditions under which financial relationships between health care service providers and patient referral sources, such as physicians, would</w:t>
      </w:r>
      <w:r>
        <w:t xml:space="preserve"> </w:t>
      </w:r>
      <w:r>
        <w:rPr>
          <w:iCs/>
          <w:i/>
        </w:rPr>
        <w:t xml:space="preserve">not</w:t>
      </w:r>
      <w:r>
        <w:t xml:space="preserve"> </w:t>
      </w:r>
      <w:r>
        <w:t xml:space="preserve">violate the ARPL. Caremark contends that the narrowly drawn regulations gave limited guidance as to the legality of many of the agreements used by Caremark that did not fall within the safe-harbor. Caremark’s predecessor, however, amended many of its standard forms of agreement with health care providers and revised the Guide in an apparent attempt to comply with the new regulations.</w:t>
      </w:r>
    </w:p>
    <w:p>
      <w:pPr>
        <w:pStyle w:val="CaseBody"/>
      </w:pPr>
      <w:r>
        <w:rPr>
          <w:iCs/>
          <w:i/>
        </w:rPr>
        <w:t xml:space="preserve">B. Government Investigation and Related Litigation</w:t>
      </w:r>
    </w:p>
    <w:p>
      <w:pPr>
        <w:pStyle w:val="CaseBody"/>
      </w:pPr>
      <w:r>
        <w:t xml:space="preserve">In August 1991, the HHS Office of the Inspector General (“OIG”) initiated an investigation of Caremark’s predecessor. Care-mark’s predecessor was served with a subpoena requiring the production of documents, including contracts between Caremark’s predecessor and physicians (Quality Service Agreements (“QSAs”)). Under the QSAs, Caremark’s predecessor appears to have paid physicians fees for monitoring patients under Caremark’s predecessor’s care, including Medicare and Medicaid recipients. Sometimes apparently those monitoring patients were referring physicians, which raised ARPL concerns.</w:t>
      </w:r>
    </w:p>
    <w:p>
      <w:pPr>
        <w:pStyle w:val="CaseBody"/>
      </w:pPr>
      <w:r>
        <w:t xml:space="preserve">In March 1992, the Department of Justice (“DOJ”) joined the OIG investigation and separate investigations were commenced by several additional federal and state agencies.</w:t>
      </w:r>
      <w:r>
        <w:rPr>
          <w:rStyle w:val="FootnoteReference"/>
        </w:rPr>
        <w:footnoteReference w:customMarkFollows="1" w:id="53"/>
        <w:t xml:space="preserve">2</w:t>
      </w:r>
    </w:p>
    <w:p>
      <w:pPr>
        <w:pStyle w:val="CaseBody"/>
      </w:pPr>
      <w:r>
        <w:rPr>
          <w:iCs/>
          <w:i/>
        </w:rPr>
        <w:t xml:space="preserve">C. Caremark’s Response to the Investigation</w:t>
      </w:r>
    </w:p>
    <w:p>
      <w:pPr>
        <w:pStyle w:val="CaseBody"/>
      </w:pPr>
      <w:r>
        <w:t xml:space="preserve">During the relevant period, Caremark had approximately 7,000 employees and ninety branch operations. It had a decentralized management structure. By May 1991, however, Caremark asserts that it had begun making attempts to centralize its management structure in order to increase supervision over its branch operations.</w:t>
      </w:r>
    </w:p>
    <w:p>
      <w:pPr>
        <w:pStyle w:val="CaseBody"/>
      </w:pPr>
      <w:r>
        <w:t xml:space="preserve">The first action taken by management, as a result of the initiation of the OIG investigation, was an announcement that as of October 1, 1991, Caremark’s predecessor would no longer pay management fees to physicians for services to Medicare and Medicaid patients. Despite this decision, Caremark asserts that its management, pursuant to advice, did not believe that such payments were illegal under the existing laws and regulations.</w:t>
      </w:r>
    </w:p>
    <w:p>
      <w:pPr>
        <w:pStyle w:val="CaseBody"/>
      </w:pPr>
      <w:r>
        <w:t xml:space="preserve">During this period, Caremark’s Board took several additional steps consistent with an effort to assure compliance with company policies concerning the ARPL and the contractual forms in the Guide. In April 1992, Caremark published a fourth revised version of its Guide apparently designed to assure that its agreements either complied with the ARPL and regulations or excluded Medicare and Medicaid patients altogether. In addition, in September 1992, Caremark instituted a policy requiring its regional officers, Zone Presidents, to approve each contractual relationship entered into by Caremark with a physician.</w:t>
      </w:r>
    </w:p>
    <w:p>
      <w:pPr>
        <w:pStyle w:val="CaseBody"/>
      </w:pPr>
      <w:r>
        <w:t xml:space="preserve">Although there is evidence that inside and outside counsel had advised Caremark’s directors that their contracts were in accord with the law, Caremark recognized that some uncertainty respecting the correct interpretation of the law existed. In its 1992 annual report, Caremark disclosed the ongoing government investigations, acknowledged that if penalties were imposed on the company they could have a material adverse effect on Care-mark’s business, and stated that no assurance could be given that its interpretation of the ARPL would prevail if challenged.</w:t>
      </w:r>
    </w:p>
    <w:p>
      <w:pPr>
        <w:pStyle w:val="CaseBody"/>
      </w:pPr>
      <w:r>
        <w:t xml:space="preserve">Throughout the period of the government investigations, Caremark had an internal audit plan designed to assure compliance with business and ethics policies. In addition, Caremark employed Price Waterhouse as its outside auditor. On February 8, 1993, the Ethics Committee of Caremark’s Board received and reviewed an outside auditors report by Price Waterhouse which concluded that there were no material weaknesses in Caremark’s control structure.</w:t>
      </w:r>
      <w:r>
        <w:rPr>
          <w:rStyle w:val="FootnoteReference"/>
        </w:rPr>
        <w:footnoteReference w:customMarkFollows="1" w:id="80"/>
        <w:t xml:space="preserve">3</w:t>
      </w:r>
      <w:r>
        <w:t xml:space="preserve"> </w:t>
      </w:r>
      <w:r>
        <w:t xml:space="preserve">Despite the positive findings of Price Waterhouse, however, on April 20, 1993, the Audit &amp; Ethics Committee adopted a new internal audit charter requiring a comprehensive review of compliance policies and the compilation of an employee ethics handbook concerning such policies.</w:t>
      </w:r>
      <w:r>
        <w:rPr>
          <w:rStyle w:val="FootnoteReference"/>
        </w:rPr>
        <w:footnoteReference w:customMarkFollows="1" w:id="104"/>
        <w:t xml:space="preserve">4</w:t>
      </w:r>
    </w:p>
    <w:p>
      <w:pPr>
        <w:pStyle w:val="CaseBody"/>
      </w:pPr>
      <w:r>
        <w:t xml:space="preserve">The Board appears to have been informed about this project and other efforts to assure compliance with the law. For example, Caremark’s management reported to the Board that Caremark’s sales force was receiving an ongoing education regarding the ARPL and the proper use of Caremark’s form contracts which had been approved by in-house counsel. On July 27, 1993, the new ethics manual, expressly prohibiting payments in exchange for referrals and requiring employees to report all illegal conduct to a toll free confidential ethics hotline, was approved and allegedly disseminated.</w:t>
      </w:r>
      <w:r>
        <w:rPr>
          <w:rStyle w:val="FootnoteReference"/>
        </w:rPr>
        <w:footnoteReference w:customMarkFollows="1" w:id="127"/>
        <w:t xml:space="preserve">5</w:t>
      </w:r>
      <w:r>
        <w:t xml:space="preserve"> </w:t>
      </w:r>
      <w:r>
        <w:t xml:space="preserve">The record suggests that Caremark continued these policies in subsequent years, causing employees to be given revised versions of the ethics manual and requiring them to participate in training sessions concerning compliance with the law.</w:t>
      </w:r>
    </w:p>
    <w:p>
      <w:pPr>
        <w:pStyle w:val="CaseBody"/>
      </w:pPr>
      <w:r>
        <w:t xml:space="preserve">During 1993, Caremark took several additional steps which appear to have been aimed at increasing management supervision. These steps included new policies requiring local branch managers to secure home office approval for all disbursements under agreements with health care providers and to certify compliance with the ethics program. In addition, the chief financial officer was appointed to serve as Caremark’s compliance officer. In 1994, a fifth revised Guide was published.</w:t>
      </w:r>
    </w:p>
    <w:p>
      <w:pPr>
        <w:pStyle w:val="CaseBody"/>
      </w:pPr>
      <w:r>
        <w:rPr>
          <w:iCs/>
          <w:i/>
        </w:rPr>
        <w:t xml:space="preserve">D. Federal Indictments Against Care-mark and Officers</w:t>
      </w:r>
    </w:p>
    <w:p>
      <w:pPr>
        <w:pStyle w:val="CaseBody"/>
      </w:pPr>
      <w:r>
        <w:t xml:space="preserve">On August 4,1994, a federal grand jury in Minnesota issued a 47 page indictment charging Caremark, two of its officers (not the firm’s chief officer), an individual who had been a sales employee of Genentech, Inc., and David R. Brown, a physician practicing in Minneapolis, with violating the ARPL over a lengthy period. According to the indictment, over $1.1 million had been paid to Brown to induce him to distribute Protropin, a human growth hormone drug marketed by Caremark.</w:t>
      </w:r>
      <w:r>
        <w:rPr>
          <w:rStyle w:val="FootnoteReference"/>
        </w:rPr>
        <w:footnoteReference w:customMarkFollows="1" w:id="149"/>
        <w:t xml:space="preserve">6</w:t>
      </w:r>
      <w:r>
        <w:t xml:space="preserve"> </w:t>
      </w:r>
      <w:r>
        <w:t xml:space="preserve">The substantial payments involved started, according to the allegations of the indictment, in 1986 and continued through 1993. Some payments were “in the guise of research grants”, Ind. ¶20, and others were “consulting agreements”, Ind. ¶ 19. The indictment charged, for example, that Dr. Brown performed virtually none of the consulting functions described in his 1991 agreement with Care-mark, but was nevertheless neither required to return the money he had received nor precluded from receiving future funding from Caremark. In addition the indictment charged that Brown received from Caremark payments of staff and office expenses, including telephone answering services and fax rental expenses.</w:t>
      </w:r>
    </w:p>
    <w:p>
      <w:pPr>
        <w:pStyle w:val="CaseBody"/>
      </w:pPr>
      <w:r>
        <w:t xml:space="preserve">In reaction to the Minnesota Indictment and the subsequent filing of this and other derivative actions in 1994, the Board met and was informed by management that the investigation had resulted in an indictment; Care-mark denied any wrongdoing relating to the indictment and believed that the OIG investigation would have a favorable outcome. Management reiterated the grounds for its view that the contracts were in compliance with law.</w:t>
      </w:r>
    </w:p>
    <w:p>
      <w:pPr>
        <w:pStyle w:val="CaseBody"/>
      </w:pPr>
      <w:r>
        <w:t xml:space="preserve">Subsequently, five stockholder derivative actions were filed in this court and consolidated into this action. The original complaint, dated August 5, 1994, alleged, in relevant part, that Caremark’s directors breached their duty of care by failing adequately to supervise the conduct of Care-mark employees, or institute corrective measures, thereby exposing Caremark to fines and liability.</w:t>
      </w:r>
      <w:r>
        <w:rPr>
          <w:rStyle w:val="FootnoteReference"/>
        </w:rPr>
        <w:footnoteReference w:customMarkFollows="1" w:id="169"/>
        <w:t xml:space="preserve">7</w:t>
      </w:r>
    </w:p>
    <w:p>
      <w:pPr>
        <w:pStyle w:val="CaseBody"/>
      </w:pPr>
      <w:r>
        <w:t xml:space="preserve">On September 21, 1994, a federal grand jury in Columbus, Ohio issued another indictment alleging that an Ohio physician had defrauded the Medicare program by requesting and receiving $134,600 in exchange for referrals of patients whose medical costs were in part reimbursed by Medicare in violation of the ARPL. Although unidentified at that time, Caremark was the health care provider who allegedly made such payments. The indictment also charged that the physician, Elliot Neufeld, D.O., was provided with the services of a registered nurse to work in his office at the expense of the infusion company, in addition to free office equipment.</w:t>
      </w:r>
    </w:p>
    <w:p>
      <w:pPr>
        <w:pStyle w:val="CaseBody"/>
      </w:pPr>
      <w:r>
        <w:t xml:space="preserve">An October 28,1994 amended complaint in this action added allegations concerning the Ohio indictment as well as new allegations of over billing and inappropriate referral payments in connection with an action brought in Atlanta,</w:t>
      </w:r>
      <w:r>
        <w:t xml:space="preserve"> </w:t>
      </w:r>
      <w:r>
        <w:rPr>
          <w:iCs/>
          <w:i/>
        </w:rPr>
        <w:t xml:space="preserve">Booth v. Rankin.</w:t>
      </w:r>
      <w:r>
        <w:t xml:space="preserve"> </w:t>
      </w:r>
      <w:r>
        <w:t xml:space="preserve">Following a newspaper article report that federal investigators were expanding their inquiry to look at Caremark’s referral practices in Michigan as well as allegations of fraudulent billing of insurers, a second amended complaint was filed in this action. The third, and final, amended complaint was filed on April 11, 1995, adding allegations that the federal indictments had caused Caremark to incur significant legal fees and forced it to sell its home infusion business at a loss.</w:t>
      </w:r>
      <w:r>
        <w:rPr>
          <w:rStyle w:val="FootnoteReference"/>
        </w:rPr>
        <w:footnoteReference w:customMarkFollows="1" w:id="189"/>
        <w:t xml:space="preserve">8</w:t>
      </w:r>
    </w:p>
    <w:p>
      <w:pPr>
        <w:pStyle w:val="CaseBody"/>
      </w:pPr>
      <w:r>
        <w:t xml:space="preserve">After each complaint was filed, defendants filed a motion to dismiss. According to defendants, if a settlement had not been reached in this action, the case would have been dismissed on two grounds. First, they contend that the complaints fail to allege particularized facts sufficient to excuse the demand requirement under Delaware Chancery Court Rule 23.1. Second, defendants assert that plaintiffs had failed to state a cause of action due to the fact that Care-mark’s charter eliminates directors’ personal liability for money damages, to the extent permitted by law.</w:t>
      </w:r>
    </w:p>
    <w:p>
      <w:pPr>
        <w:pStyle w:val="CaseBody"/>
      </w:pPr>
      <w:r>
        <w:rPr>
          <w:iCs/>
          <w:i/>
        </w:rPr>
        <w:t xml:space="preserve">E. Settlement Negotiations</w:t>
      </w:r>
    </w:p>
    <w:p>
      <w:pPr>
        <w:pStyle w:val="CaseBody"/>
      </w:pPr>
      <w:r>
        <w:t xml:space="preserve">In September, following the announcement of the Ohio indictment, Caremark publicly announced that as of January 1, 1995, it would terminate all remaining financial relationships with physicians in its home infusion, hemophilia, and growth hormone lines of business.</w:t>
      </w:r>
      <w:r>
        <w:rPr>
          <w:rStyle w:val="FootnoteReference"/>
        </w:rPr>
        <w:footnoteReference w:customMarkFollows="1" w:id="208"/>
        <w:t xml:space="preserve">9</w:t>
      </w:r>
      <w:r>
        <w:t xml:space="preserve"> </w:t>
      </w:r>
      <w:r>
        <w:t xml:space="preserve">In addition, Caremark asserts that it extended its restrictive policies to all of its contractual relationships with physicians, rather than just those involving Medicare and Medicaid patients, and terminated its research grant program which had always involved some recipients who referred patients to Caremark.</w:t>
      </w:r>
    </w:p>
    <w:p>
      <w:pPr>
        <w:pStyle w:val="CaseBody"/>
      </w:pPr>
      <w:r>
        <w:t xml:space="preserve">Caremark began settlement negotiations with federal and state government entities in May 1995. In return for a guilty plea to a single count of mail fraud by the corporation, the payment of a criminal fine, the payment of substantial civil damages, and cooperation with further federal investigations on matters relating to the OIG investigation, the government entities agreed to negotiate a settlement that would permit Caremark to continue participating in Medicare and Medicaid programs. On June 15, 1995, the Board approved a settlement (“Government Settlement Agreement”) with the DOJ, OIG, U.S. Veterans Administration, U.S. Federal Employee Health Benefits Program, federal Civilian Health and Medical Program of the Uniformed Services, and related state agencies in all fifty states and the District of Columbia.</w:t>
      </w:r>
      <w:r>
        <w:rPr>
          <w:rStyle w:val="FootnoteReference"/>
        </w:rPr>
        <w:footnoteReference w:customMarkFollows="1" w:id="227"/>
        <w:t xml:space="preserve">10</w:t>
      </w:r>
      <w:r>
        <w:t xml:space="preserve"> </w:t>
      </w:r>
      <w:r>
        <w:t xml:space="preserve">No senior officers or directors were charged with wrongdoing in the Government Settlement Agreement or in any of the prior indictments. In fact, as part of the sentencing in the Ohio action on June 19, 1995, the United States stipulated that</w:t>
      </w:r>
      <w:r>
        <w:t xml:space="preserve"> </w:t>
      </w:r>
      <w:r>
        <w:rPr>
          <w:iCs/>
          <w:i/>
        </w:rPr>
        <w:t xml:space="preserve">no senior executive of Caremark participated in, condoned, or was willfully ignorant of wrongdoing in connection with the home infusion business</w:t>
      </w:r>
      <w:r>
        <w:t xml:space="preserve"> </w:t>
      </w:r>
      <w:r>
        <w:t xml:space="preserve">practices.</w:t>
      </w:r>
      <w:r>
        <w:rPr>
          <w:rStyle w:val="FootnoteReference"/>
        </w:rPr>
        <w:footnoteReference w:customMarkFollows="1" w:id="244"/>
        <w:t xml:space="preserve">11</w:t>
      </w:r>
    </w:p>
    <w:p>
      <w:pPr>
        <w:pStyle w:val="CaseBody"/>
      </w:pPr>
      <w:r>
        <w:t xml:space="preserve">The federal settlement included certain provisions in a “Corporate Integrity Agreement” designed to enhance future compliance with law. The parties have not discussed this agreement, except to say that the negotiated provisions of the settlement of this claim are not redundant of those in that agreement.</w:t>
      </w:r>
    </w:p>
    <w:p>
      <w:pPr>
        <w:pStyle w:val="CaseBody"/>
      </w:pPr>
      <w:r>
        <w:t xml:space="preserve">Settlement negotiations between the parties in this action commenced in May 1995 as well, based upon a letter proposal of the plaintiffs, dated May 16,1995.</w:t>
      </w:r>
      <w:r>
        <w:rPr>
          <w:rStyle w:val="FootnoteReference"/>
        </w:rPr>
        <w:footnoteReference w:customMarkFollows="1" w:id="260"/>
        <w:t xml:space="preserve">12</w:t>
      </w:r>
      <w:r>
        <w:t xml:space="preserve"> </w:t>
      </w:r>
      <w:r>
        <w:t xml:space="preserve">These negotiations resulted in a memorandum of understanding (“MOU”), dated June 7, 1995, and the execution of the Stipulation and Agreement of Compromise and Settlement on June 28, 1995, which is the subject of this action.</w:t>
      </w:r>
      <w:r>
        <w:rPr>
          <w:rStyle w:val="FootnoteReference"/>
        </w:rPr>
        <w:footnoteReference w:customMarkFollows="1" w:id="276"/>
        <w:t xml:space="preserve">13</w:t>
      </w:r>
      <w:r>
        <w:t xml:space="preserve"> </w:t>
      </w:r>
      <w:r>
        <w:t xml:space="preserve">The MOU, approved by the Board on June 15,1995, required the Board to adopt several resolutions, discussed below, and to create a new compliance committee. The Compliance and Ethics Committee has been reporting to the Board in accord with its newly specified duties.</w:t>
      </w:r>
    </w:p>
    <w:p>
      <w:pPr>
        <w:pStyle w:val="CaseBody"/>
      </w:pPr>
      <w:r>
        <w:t xml:space="preserve">After negotiating these settlements, Care-mark learned in December 1995 that several private insurance company payors (“Private Payors”) believed that Caremark was liable for damages to them for allegedly improper business practices related to those at issue in the OIG investigation. As a result of intensive negotiations with the Private Payors and the Board’s extensive consideration of the alternatives for dealing with such claims, the Board approved a $98.5 million settlement agreement with the Private Payors on March 18, 1996. In its public disclosure statement, Caremark asserted that the settlement did not involve current business practices and contained an express denial of any wrongdoing by Caremark. After further discovery in this action, the plaintiffs decided to continue seeking approval of the proposed settlement agreement.</w:t>
      </w:r>
    </w:p>
    <w:p>
      <w:pPr>
        <w:pStyle w:val="CaseBody"/>
      </w:pPr>
      <w:r>
        <w:rPr>
          <w:iCs/>
          <w:i/>
        </w:rPr>
        <w:t xml:space="preserve">F. The Proposed Settlement of this Litigation</w:t>
      </w:r>
    </w:p>
    <w:p>
      <w:pPr>
        <w:pStyle w:val="CaseBody"/>
      </w:pPr>
      <w:r>
        <w:t xml:space="preserve">In relevant part the terms upon which these claims asserted are proposed to be settled are as follows:</w:t>
      </w:r>
    </w:p>
    <w:p>
      <w:pPr>
        <w:pStyle w:val="BlockText"/>
      </w:pPr>
      <w:r>
        <w:t xml:space="preserve">1. That Caremark, undertakes that it and its employees, and agents not pay any form of compensation to a third party in exchange for the referral of a patient to a Caremark facility or service or the prescription of drugs marketed or distributed by Caremark for which reimbursement may be sought from Medicare, Medicaid, or a similar state reimbursement program;</w:t>
      </w:r>
    </w:p>
    <w:p>
      <w:pPr>
        <w:pStyle w:val="BlockText"/>
      </w:pPr>
      <w:r>
        <w:t xml:space="preserve">2. That Caremark, undertakes for itself and its employees, and agents not to pay to or split fees with physicians, joint ventures, any business combination in which Caremark maintains a direct financial interest, or other health care providers with whom Caremark has a financial relationship or interest, in exchange for the referral of a patient to a Caremark facility or service or the prescription of drugs marketed or distributed by Caremark for which reimbursement may be sought from Medicare, Medicaid, or a similar state reimbursement program;</w:t>
      </w:r>
    </w:p>
    <w:p>
      <w:pPr>
        <w:pStyle w:val="BlockText"/>
      </w:pPr>
      <w:r>
        <w:t xml:space="preserve">3. That the full Board shall discuss all relevant material changes in government health care regulations and their effect on relationships with health care providers on a semi-annual basis;</w:t>
      </w:r>
    </w:p>
    <w:p>
      <w:pPr>
        <w:pStyle w:val="BlockText"/>
      </w:pPr>
      <w:r>
        <w:t xml:space="preserve">4. That Caremark’s officers will remove all personnel from health care facilities or hospitals who have been placed in such facility for the purpose of providing remuneration in exchange for a patient referral for which reimbursement may be sought from Medicare, Medicaid, or a similar state reimbursement program;</w:t>
      </w:r>
    </w:p>
    <w:p>
      <w:pPr>
        <w:pStyle w:val="BlockText"/>
      </w:pPr>
      <w:r>
        <w:t xml:space="preserve">5. That every patient will receive written disclosure of any financial relationship between Caremark and the health care professional or provider who made the referral;</w:t>
      </w:r>
    </w:p>
    <w:p>
      <w:pPr>
        <w:pStyle w:val="BlockText"/>
      </w:pPr>
      <w:r>
        <w:t xml:space="preserve">6. That the Board will establish a Compliance and Ethics Committee of four directors, two of which will be non-management directors, to meet at least four times a year to effectuate these policies and monitor business segment compliance with the ARPL, and to report to the Board semi-annually concerning compliance by each business segment; and</w:t>
      </w:r>
    </w:p>
    <w:p>
      <w:pPr>
        <w:pStyle w:val="BlockText"/>
      </w:pPr>
      <w:r>
        <w:t xml:space="preserve">7. That corporate officers responsible for business segments shall serve as compliance officers who must report semi-annually to the Compliance and Ethics Committee and, with the assistance of outside counsel, review existing contracts and get advanced approval of any new contract forms.</w:t>
      </w:r>
    </w:p>
    <w:p>
      <w:pPr>
        <w:pStyle w:val="CaseBody"/>
      </w:pPr>
      <w:r>
        <w:rPr>
          <w:iCs/>
          <w:i/>
        </w:rPr>
        <w:t xml:space="preserve">II. LEGAL PRINCIPLES</w:t>
      </w:r>
    </w:p>
    <w:p>
      <w:pPr>
        <w:pStyle w:val="CaseBody"/>
      </w:pPr>
      <w:r>
        <w:rPr>
          <w:iCs/>
          <w:i/>
        </w:rPr>
        <w:t xml:space="preserve">A. Principles Governing Settlements of Derivative Claims</w:t>
      </w:r>
    </w:p>
    <w:p>
      <w:pPr>
        <w:pStyle w:val="CaseBody"/>
      </w:pPr>
      <w:r>
        <w:t xml:space="preserve">As noted at the outset of this opinion, this Court is now required to exercise an informed judgment whether the proposed settlement is fair and reasonable in the light of all relevant factors.</w:t>
      </w:r>
      <w:r>
        <w:t xml:space="preserve"> </w:t>
      </w:r>
      <w:r>
        <w:rPr>
          <w:iCs/>
          <w:i/>
        </w:rPr>
        <w:t xml:space="preserve">Polk v. Good</w:t>
      </w:r>
      <w:r>
        <w:t xml:space="preserve"> </w:t>
      </w:r>
      <w:r>
        <w:t xml:space="preserve">Del.Supr., 507 A.2d 531 (1986). On an application of this kind, this Court attempts to protect the best interests of the corporation and its absent shareholders all of whom will be barred from future litigation on these claims if the settlement is approved. The parties proposing the settlement bear the burden of persuading the court that it is in fact fair and reasonable.</w:t>
      </w:r>
      <w:r>
        <w:t xml:space="preserve"> </w:t>
      </w:r>
      <w:r>
        <w:rPr>
          <w:iCs/>
          <w:i/>
        </w:rPr>
        <w:t xml:space="preserve">Fins v. Pearlman,</w:t>
      </w:r>
      <w:r>
        <w:t xml:space="preserve"> </w:t>
      </w:r>
      <w:r>
        <w:t xml:space="preserve">Del.Supr., 424 A.2d 305 (1980).</w:t>
      </w:r>
    </w:p>
    <w:p>
      <w:pPr>
        <w:pStyle w:val="CaseBody"/>
      </w:pPr>
      <w:r>
        <w:rPr>
          <w:iCs/>
          <w:i/>
        </w:rPr>
        <w:t xml:space="preserve">B. Directors’ Duties To Monitor Corporate Operations</w:t>
      </w:r>
    </w:p>
    <w:p>
      <w:pPr>
        <w:pStyle w:val="CaseBody"/>
      </w:pPr>
      <w:r>
        <w:t xml:space="preserve">The complaint charges the director defendants with breach of their duty of attention or care in connection with the on-going operation of the corporation’s business. The claim is that the directors allowed a situation to develop and continue which exposed the corporation to enormous legal liability and that in so doing they violated a duty to be active monitors of corporate performance. The complaint thus does not charge either director self-dealing or the more difficult loyalty-type problems arising from cases of suspect director motivation, such as entrenchment or sale of control contexts.</w:t>
      </w:r>
      <w:r>
        <w:rPr>
          <w:rStyle w:val="FootnoteReference"/>
        </w:rPr>
        <w:footnoteReference w:customMarkFollows="1" w:id="292"/>
        <w:t xml:space="preserve">14</w:t>
      </w:r>
      <w:r>
        <w:t xml:space="preserve"> </w:t>
      </w:r>
      <w:r>
        <w:t xml:space="preserve">The theory here advanced is possibly the most difficult theory in corporation law upon which a plaintiff might hope to win a judgment. The good policy reasons why it is so difficult to charge directors with responsibility for corporate losses for an alleged breach of care, where there is no conflict of interest or no facts suggesting suspect motivation involved, were recently described in</w:t>
      </w:r>
      <w:r>
        <w:t xml:space="preserve"> </w:t>
      </w:r>
      <w:r>
        <w:rPr>
          <w:iCs/>
          <w:i/>
        </w:rPr>
        <w:t xml:space="preserve">Gagliardi v. TriFoods Int'l, Inc.,</w:t>
      </w:r>
      <w:r>
        <w:t xml:space="preserve"> </w:t>
      </w:r>
      <w:r>
        <w:t xml:space="preserve">Del.Ch., 683 A.2d 1049, 1051 (1996) (1996 Del.Ch. LEXIS 87 at p. 20).</w:t>
      </w:r>
    </w:p>
    <w:p>
      <w:pPr>
        <w:pStyle w:val="CaseBody"/>
      </w:pPr>
      <w:r>
        <w:t xml:space="preserve">1.</w:t>
      </w:r>
      <w:r>
        <w:t xml:space="preserve"> </w:t>
      </w:r>
      <w:r>
        <w:rPr>
          <w:iCs/>
          <w:i/>
        </w:rPr>
        <w:t xml:space="preserve">Potential liability for directo-ral decisions:</w:t>
      </w:r>
      <w:r>
        <w:t xml:space="preserve"> </w:t>
      </w:r>
      <w:r>
        <w:t xml:space="preserve">Director liability for a breach of the duty to exercise appropriate attention may, in theory, arise in two distinct contexts. First, such liability may be said to follow</w:t>
      </w:r>
      <w:r>
        <w:t xml:space="preserve"> </w:t>
      </w:r>
      <w:r>
        <w:rPr>
          <w:iCs/>
          <w:i/>
        </w:rPr>
        <w:t xml:space="preserve">from a board decision</w:t>
      </w:r>
      <w:r>
        <w:t xml:space="preserve"> </w:t>
      </w:r>
      <w:r>
        <w:t xml:space="preserve">that results in a loss because that decision was ill advised or “negligent”. Second, liability to the corporation for a loss may be said to arise from an</w:t>
      </w:r>
      <w:r>
        <w:t xml:space="preserve"> </w:t>
      </w:r>
      <w:r>
        <w:rPr>
          <w:iCs/>
          <w:i/>
        </w:rPr>
        <w:t xml:space="preserve">unconsidered failure of the board to act</w:t>
      </w:r>
      <w:r>
        <w:t xml:space="preserve"> </w:t>
      </w:r>
      <w:r>
        <w:t xml:space="preserve">in circumstances in which due attention would, arguably, have prevented the loss.</w:t>
      </w:r>
      <w:r>
        <w:t xml:space="preserve"> </w:t>
      </w:r>
      <w:r>
        <w:rPr>
          <w:iCs/>
          <w:i/>
        </w:rPr>
        <w:t xml:space="preserve">See generally</w:t>
      </w:r>
      <w:r>
        <w:t xml:space="preserve"> </w:t>
      </w:r>
      <w:r>
        <w:t xml:space="preserve">Veasey &amp; Seitz,</w:t>
      </w:r>
      <w:r>
        <w:t xml:space="preserve"> </w:t>
      </w:r>
      <w:r>
        <w:rPr>
          <w:iCs/>
          <w:i/>
        </w:rPr>
        <w:t xml:space="preserve">The Business Judgment Rule in the Revised Model Act</w:t>
      </w:r>
      <w:r>
        <w:t xml:space="preserve"> </w:t>
      </w:r>
      <w:r>
        <w:t xml:space="preserve">... 63 Texas L.Rev. 1483 (1985). The first class of cases will typically be subject to review under the director-protective business judgment rule, assuming the decision made was the product of</w:t>
      </w:r>
      <w:r>
        <w:t xml:space="preserve"> </w:t>
      </w:r>
      <w:r>
        <w:rPr>
          <w:iCs/>
          <w:i/>
        </w:rPr>
        <w:t xml:space="preserve">a process</w:t>
      </w:r>
      <w:r>
        <w:t xml:space="preserve"> </w:t>
      </w:r>
      <w:r>
        <w:t xml:space="preserve">that was</w:t>
      </w:r>
      <w:r>
        <w:t xml:space="preserve"> </w:t>
      </w:r>
      <w:r>
        <w:rPr>
          <w:iCs/>
          <w:i/>
        </w:rPr>
        <w:t xml:space="preserve">either</w:t>
      </w:r>
      <w:r>
        <w:t xml:space="preserve"> </w:t>
      </w:r>
      <w:r>
        <w:t xml:space="preserve">deliberately considered in good faith or was otherwise rational. See</w:t>
      </w:r>
      <w:r>
        <w:t xml:space="preserve"> </w:t>
      </w:r>
      <w:r>
        <w:rPr>
          <w:iCs/>
          <w:i/>
        </w:rPr>
        <w:t xml:space="preserve">Aronson v. Lewis,</w:t>
      </w:r>
      <w:r>
        <w:t xml:space="preserve"> </w:t>
      </w:r>
      <w:r>
        <w:t xml:space="preserve">Del.Supr., 473 A.2d 805 (1984);</w:t>
      </w:r>
      <w:r>
        <w:t xml:space="preserve"> </w:t>
      </w:r>
      <w:r>
        <w:rPr>
          <w:iCs/>
          <w:i/>
        </w:rPr>
        <w:t xml:space="preserve">Gagliardi v. TriFoods Int’l, Inc.,</w:t>
      </w:r>
      <w:r>
        <w:t xml:space="preserve"> </w:t>
      </w:r>
      <w:r>
        <w:t xml:space="preserve">Del.Ch., 683 A.2d 1049 (1996). What should be understood, but may not widely be understood by courts or commentators who are not often required to face such questions,</w:t>
      </w:r>
      <w:r>
        <w:rPr>
          <w:rStyle w:val="FootnoteReference"/>
        </w:rPr>
        <w:footnoteReference w:customMarkFollows="1" w:id="308"/>
        <w:t xml:space="preserve">15</w:t>
      </w:r>
      <w:r>
        <w:t xml:space="preserve"> </w:t>
      </w:r>
      <w:r>
        <w:t xml:space="preserve">is that compliance with a director’s duty of care can never appropriately be judicially determined by reference to</w:t>
      </w:r>
      <w:r>
        <w:t xml:space="preserve"> </w:t>
      </w:r>
      <w:r>
        <w:rPr>
          <w:iCs/>
          <w:i/>
        </w:rPr>
        <w:t xml:space="preserve">the content of the board decision</w:t>
      </w:r>
      <w:r>
        <w:t xml:space="preserve"> </w:t>
      </w:r>
      <w:r>
        <w:t xml:space="preserve">that leads to a corporate loss, apart from consideration of the good faith or rationality of the process employed. That is, whether a judge or jury considering the matter after the fact, believes a decision substantively wrong, or degrees of wrong extending through “stupid” to “egregious” or “irrational”, provides no ground for director liability, so long as the court determines that the process employed was either rational or employed in</w:t>
      </w:r>
      <w:r>
        <w:t xml:space="preserve"> </w:t>
      </w:r>
      <w:r>
        <w:rPr>
          <w:iCs/>
          <w:i/>
        </w:rPr>
        <w:t xml:space="preserve">a good faith</w:t>
      </w:r>
      <w:r>
        <w:t xml:space="preserve"> </w:t>
      </w:r>
      <w:r>
        <w:t xml:space="preserve">effort to advance corporate interests. To employ a different rule — one that permitted an “objective” evaluation of the decision — would expose directors to substantive second guessing by ill-equipped judges or juries, which would, in the long-run, be injurious to investor interests.</w:t>
      </w:r>
      <w:r>
        <w:rPr>
          <w:rStyle w:val="FootnoteReference"/>
        </w:rPr>
        <w:footnoteReference w:customMarkFollows="1" w:id="322"/>
        <w:t xml:space="preserve">16</w:t>
      </w:r>
      <w:r>
        <w:t xml:space="preserve"> </w:t>
      </w:r>
      <w:r>
        <w:t xml:space="preserve">Thus, the business judgment rule is process oriented and informed by a deep respect for all</w:t>
      </w:r>
      <w:r>
        <w:t xml:space="preserve"> </w:t>
      </w:r>
      <w:r>
        <w:rPr>
          <w:iCs/>
          <w:i/>
        </w:rPr>
        <w:t xml:space="preserve">good faith</w:t>
      </w:r>
      <w:r>
        <w:t xml:space="preserve"> </w:t>
      </w:r>
      <w:r>
        <w:t xml:space="preserve">board decisions.</w:t>
      </w:r>
    </w:p>
    <w:p>
      <w:pPr>
        <w:pStyle w:val="CaseBody"/>
      </w:pPr>
      <w:r>
        <w:t xml:space="preserve">Indeed, one wonders on what moral basis might shareholders attack a</w:t>
      </w:r>
      <w:r>
        <w:t xml:space="preserve"> </w:t>
      </w:r>
      <w:r>
        <w:rPr>
          <w:iCs/>
          <w:i/>
        </w:rPr>
        <w:t xml:space="preserve">good faith</w:t>
      </w:r>
      <w:r>
        <w:t xml:space="preserve"> </w:t>
      </w:r>
      <w:r>
        <w:t xml:space="preserve">business decision of a director as “unreasonable” or “irrational”. Where a director</w:t>
      </w:r>
      <w:r>
        <w:t xml:space="preserve"> </w:t>
      </w:r>
      <w:r>
        <w:rPr>
          <w:iCs/>
          <w:i/>
        </w:rPr>
        <w:t xml:space="preserve">in fact exercises a good faith effort to be informed and to exercise appropriate judgment,</w:t>
      </w:r>
      <w:r>
        <w:t xml:space="preserve"> </w:t>
      </w:r>
      <w:r>
        <w:t xml:space="preserve">he or she should be deemed to satisfy fully the duty of attention. If the shareholders thought themselves entitled to some other quality of judgment than such a director produces in the good faith exercise of the powers of office, then the shareholders should have elected other directors. Judge Learned Hand made the point rather better than can I. In speaking of the passive director defendant Mr. Andrews in</w:t>
      </w:r>
      <w:r>
        <w:t xml:space="preserve"> </w:t>
      </w:r>
      <w:r>
        <w:rPr>
          <w:iCs/>
          <w:i/>
        </w:rPr>
        <w:t xml:space="preserve">Barnes v. Andrews,</w:t>
      </w:r>
      <w:r>
        <w:t xml:space="preserve"> </w:t>
      </w:r>
      <w:r>
        <w:t xml:space="preserve">Judge Hand said:</w:t>
      </w:r>
    </w:p>
    <w:p>
      <w:pPr>
        <w:pStyle w:val="BlockText"/>
      </w:pPr>
      <w:r>
        <w:t xml:space="preserve">True, he was not very suited by experience for the job he had undertaken, but I cannot hold him on that account. After all it is the same corporation that chose him that now seeks to charge him_ Directors are not specialists like lawyers or doctors_ They are the general advis-ors of the business and if they faithfully give such ability as they have to their charge, it would not be lawful to hold them liable. Must a director guarantee that his judgment is good? Can a shareholder call him to account for deficiencies that then-votes assured him did not disqualify him for his office? While he may not have been the Cromwell for that Civil War, Andrews did not engage to play any such role.</w:t>
      </w:r>
      <w:r>
        <w:rPr>
          <w:rStyle w:val="FootnoteReference"/>
        </w:rPr>
        <w:footnoteReference w:customMarkFollows="1" w:id="336"/>
        <w:t xml:space="preserve">17</w:t>
      </w:r>
    </w:p>
    <w:p>
      <w:pPr>
        <w:pStyle w:val="CaseBody"/>
      </w:pPr>
      <w:r>
        <w:t xml:space="preserve">In this formulation Learned Hand correctly identifies, in my opinion, the core element of any corporate law duty of care inquiry: whether there was good faith effort to be informed and exercise judgment.</w:t>
      </w:r>
    </w:p>
    <w:p>
      <w:pPr>
        <w:pStyle w:val="CaseBody"/>
      </w:pPr>
      <w:r>
        <w:t xml:space="preserve">2.</w:t>
      </w:r>
      <w:r>
        <w:t xml:space="preserve"> </w:t>
      </w:r>
      <w:r>
        <w:rPr>
          <w:iCs/>
          <w:i/>
        </w:rPr>
        <w:t xml:space="preserve">Liability for failure to monitor:</w:t>
      </w:r>
      <w:r>
        <w:t xml:space="preserve"> </w:t>
      </w:r>
      <w:r>
        <w:t xml:space="preserve">The second class of cases in which director liability for inattention is theoretically possible entail circumstances in which a loss eventuates not from a decision but, from unconsidered inaction. Most of the decisions that a corporation, acting through its human agents, makes are, of course, not the subject of director attention. Legally, the board itself will be required only to authorize the most significant corporate acts or transactions: mergers, changes in capital structure, fundamental changes in business, appointment and compensation of the CEO, etc. As the facts of this case graphically demonstrate, ordinary business decisions that are made by officers and employees deeper in the interior of the organization can, however, vitally affect the welfare of the corporation and its ability to achieve its various strategic and financial goals. If this ease did not prove the point itself, recent business history would. Recall for example the displacement of senior management and much of the board of Salomon, Inc.;</w:t>
      </w:r>
      <w:r>
        <w:rPr>
          <w:rStyle w:val="FootnoteReference"/>
        </w:rPr>
        <w:footnoteReference w:customMarkFollows="1" w:id="349"/>
        <w:t xml:space="preserve">18</w:t>
      </w:r>
      <w:r>
        <w:t xml:space="preserve"> </w:t>
      </w:r>
      <w:r>
        <w:t xml:space="preserve">the replacement of senior management of Kidder, Peabody following the discovery of large trading losses resulting from phantom trades by a highly compensated trader;</w:t>
      </w:r>
      <w:r>
        <w:rPr>
          <w:rStyle w:val="FootnoteReference"/>
        </w:rPr>
        <w:footnoteReference w:customMarkFollows="1" w:id="362"/>
        <w:t xml:space="preserve">19</w:t>
      </w:r>
      <w:r>
        <w:t xml:space="preserve"> </w:t>
      </w:r>
      <w:r>
        <w:t xml:space="preserve">or the extensive financial loss and reputational injury suffered by Prudential Insurance as a result its junior officers misrepresentations in connection with the distribution of limited partnership interests.</w:t>
      </w:r>
      <w:r>
        <w:rPr>
          <w:rStyle w:val="FootnoteReference"/>
        </w:rPr>
        <w:footnoteReference w:customMarkFollows="1" w:id="375"/>
        <w:t xml:space="preserve">20</w:t>
      </w:r>
      <w:r>
        <w:t xml:space="preserve"> </w:t>
      </w:r>
      <w:r>
        <w:t xml:space="preserve">Financial and organizational disasters such as these raise the question, what is the board’s responsibility with respect to the organization and monitoring of the enterprise to assure that the corporation functions within the law to achieve its purposes?</w:t>
      </w:r>
    </w:p>
    <w:p>
      <w:pPr>
        <w:pStyle w:val="CaseBody"/>
      </w:pPr>
      <w:r>
        <w:t xml:space="preserve">Modernly this question has been given special importance by an increasing tendency, especially under federal law, to employ the criminal law to assure corporate compliance with external legal requirements, including environmental, financial, employee and product safety as well as assorted other health and safety regulations. In 1991, pursuant to the Sentencing Reform Act of 1984,</w:t>
      </w:r>
      <w:r>
        <w:rPr>
          <w:rStyle w:val="FootnoteReference"/>
        </w:rPr>
        <w:footnoteReference w:customMarkFollows="1" w:id="388"/>
        <w:t xml:space="preserve">21</w:t>
      </w:r>
      <w:r>
        <w:t xml:space="preserve"> </w:t>
      </w:r>
      <w:r>
        <w:t xml:space="preserve">the United States Sentencing Commission adopted Organizational Sentencing Guidelines which impact importantly on the prospective effect these criminal sanctions might have on business corporations. The Guidelines set forth a uniform sentencing structure for organizations to be sentenced for violation of federal criminal statutes and provide for penalties that equal or often massively exceed those previously imposed on corporations.</w:t>
      </w:r>
      <w:r>
        <w:rPr>
          <w:rStyle w:val="FootnoteReference"/>
        </w:rPr>
        <w:footnoteReference w:customMarkFollows="1" w:id="401"/>
        <w:t xml:space="preserve">22</w:t>
      </w:r>
      <w:r>
        <w:t xml:space="preserve"> </w:t>
      </w:r>
      <w:r>
        <w:t xml:space="preserve">The Guidelines offer powerful incentives for corporations today to have in place compliance programs to detect violations of law, promptly to report violations to appropriate public officials when discovered, and to take prompt, voluntary remedial efforts.</w:t>
      </w:r>
    </w:p>
    <w:p>
      <w:pPr>
        <w:pStyle w:val="CaseBody"/>
      </w:pPr>
      <w:r>
        <w:t xml:space="preserve">In 1963, the Delaware Supreme Court in</w:t>
      </w:r>
      <w:r>
        <w:t xml:space="preserve"> </w:t>
      </w:r>
      <w:r>
        <w:rPr>
          <w:iCs/>
          <w:i/>
        </w:rPr>
        <w:t xml:space="preserve">Graham v. Allis-Chalmers Mfg. Co.,</w:t>
      </w:r>
      <w:r>
        <w:rPr>
          <w:rStyle w:val="FootnoteReference"/>
          <w:iCs/>
          <w:i/>
        </w:rPr>
        <w:footnoteReference w:customMarkFollows="1" w:id="413"/>
        <w:t xml:space="preserve">23</w:t>
      </w:r>
      <w:r>
        <w:t xml:space="preserve"> </w:t>
      </w:r>
      <w:r>
        <w:t xml:space="preserve"> </w:t>
      </w:r>
      <w:r>
        <w:t xml:space="preserve">addressed the question of potential liability of board members for losses experienced by the corporation as a result of the corporation having violated the anti-trust laws of the United States. There was no claim in that case that the directors knew about the behavior of subordinate employees of the corporation that had resulted in the liability. Rather, as in this case, the claim asserted was that the directors</w:t>
      </w:r>
      <w:r>
        <w:t xml:space="preserve"> </w:t>
      </w:r>
      <w:r>
        <w:rPr>
          <w:iCs/>
          <w:i/>
        </w:rPr>
        <w:t xml:space="preserve">ought to have known</w:t>
      </w:r>
      <w:r>
        <w:t xml:space="preserve"> </w:t>
      </w:r>
      <w:r>
        <w:t xml:space="preserve">of it and if they had known they would have been under a duty to bring the corporation into compliance with the law and thus save the corporation from the loss. The Delaware Supreme Court concluded that, under the facts as they appeared, there was no basis to find that the directors had breached a duty to be informed of the ongoing operations of the firm. In notably colorful terms, the court stated that “absent cause for suspicion there is no duty upon the directors to install and operate a corporate system of espionage to ferret out wrongdoing which they have no reason to suspect exists.”</w:t>
      </w:r>
      <w:r>
        <w:rPr>
          <w:rStyle w:val="FootnoteReference"/>
        </w:rPr>
        <w:footnoteReference w:customMarkFollows="1" w:id="425"/>
        <w:t xml:space="preserve">24</w:t>
      </w:r>
      <w:r>
        <w:t xml:space="preserve"> </w:t>
      </w:r>
      <w:r>
        <w:t xml:space="preserve">The Court found that there were no grounds for suspicion in that case and, thus, concluded that the directors were blamelessly unaware of the conduct leading to the corporate liability.</w:t>
      </w:r>
      <w:r>
        <w:rPr>
          <w:rStyle w:val="FootnoteReference"/>
        </w:rPr>
        <w:footnoteReference w:customMarkFollows="1" w:id="436"/>
        <w:t xml:space="preserve">25</w:t>
      </w:r>
    </w:p>
    <w:p>
      <w:pPr>
        <w:pStyle w:val="CaseBody"/>
      </w:pPr>
      <w:r>
        <w:t xml:space="preserve">How does one generalize this holding today? Can it be said today that, absent some ground giving rise to suspicion of violation of law, that corporate directors have no duty to assure that a corporate information gathering and reporting systems exists which represents a good faith attempt to provide senior management and the Board with information respecting material acts, events or conditions within the corporation, including compliance with applicable statutes and regulations? I certainly do not believe so. I doubt that such a broad generalization of the</w:t>
      </w:r>
      <w:r>
        <w:t xml:space="preserve"> </w:t>
      </w:r>
      <w:r>
        <w:rPr>
          <w:iCs/>
          <w:i/>
        </w:rPr>
        <w:t xml:space="preserve">Graham</w:t>
      </w:r>
      <w:r>
        <w:t xml:space="preserve"> </w:t>
      </w:r>
      <w:r>
        <w:t xml:space="preserve">holding would have been accepted by the Supreme Court in 1963. The case can be more narrowly interpreted as standing for the proposition that, absent grounds to suspect deception, neither corporate boards nor senior officers can be charged with wrongdoing simply for assuming the integrity of employees and the honesty of their dealings on the company’s behalf.</w:t>
      </w:r>
      <w:r>
        <w:t xml:space="preserve"> </w:t>
      </w:r>
      <w:r>
        <w:rPr>
          <w:iCs/>
          <w:i/>
        </w:rPr>
        <w:t xml:space="preserve">See</w:t>
      </w:r>
      <w:r>
        <w:t xml:space="preserve"> </w:t>
      </w:r>
      <w:r>
        <w:t xml:space="preserve">188 A.2d at 130-31.</w:t>
      </w:r>
    </w:p>
    <w:p>
      <w:pPr>
        <w:pStyle w:val="CaseBody"/>
      </w:pPr>
      <w:r>
        <w:t xml:space="preserve">A broader interpretation of</w:t>
      </w:r>
      <w:r>
        <w:t xml:space="preserve"> </w:t>
      </w:r>
      <w:r>
        <w:rPr>
          <w:iCs/>
          <w:i/>
        </w:rPr>
        <w:t xml:space="preserve">Graham v. Al-lis-Chalmers</w:t>
      </w:r>
      <w:r>
        <w:t xml:space="preserve"> </w:t>
      </w:r>
      <w:r>
        <w:t xml:space="preserve">— that it means that a corporate board has no responsibility to assure that appropriate information and reporting sys-terns are established by management — would not, in any event, be accepted by the Delaware Supreme Court in 1996, in my opinion. In stating the basis for this view, I start with the recognition that in recent years the Delaware Supreme Court has made it clear— especially in its jurisprudence concerning takeovers, from</w:t>
      </w:r>
      <w:r>
        <w:t xml:space="preserve"> </w:t>
      </w:r>
      <w:r>
        <w:rPr>
          <w:iCs/>
          <w:i/>
        </w:rPr>
        <w:t xml:space="preserve">Smith v. Van Gorkom</w:t>
      </w:r>
      <w:r>
        <w:t xml:space="preserve"> </w:t>
      </w:r>
      <w:r>
        <w:t xml:space="preserve">through</w:t>
      </w:r>
      <w:r>
        <w:t xml:space="preserve"> </w:t>
      </w:r>
      <w:r>
        <w:rPr>
          <w:iCs/>
          <w:i/>
        </w:rPr>
        <w:t xml:space="preserve">Paramount Communications v. QVC</w:t>
      </w:r>
      <w:r>
        <w:rPr>
          <w:rStyle w:val="FootnoteReference"/>
          <w:iCs/>
          <w:i/>
        </w:rPr>
        <w:footnoteReference w:customMarkFollows="1" w:id="447"/>
        <w:t xml:space="preserve">26</w:t>
      </w:r>
      <w:r>
        <w:t xml:space="preserve"> </w:t>
      </w:r>
      <w:r>
        <w:t xml:space="preserve"> </w:t>
      </w:r>
      <w:r>
        <w:t xml:space="preserve">— the seriousness with which the corporation law views the role of the corporate board. Secondly, I note the elementary fact that relevant and timely</w:t>
      </w:r>
      <w:r>
        <w:t xml:space="preserve"> </w:t>
      </w:r>
      <w:r>
        <w:rPr>
          <w:iCs/>
          <w:i/>
        </w:rPr>
        <w:t xml:space="preserve">information</w:t>
      </w:r>
      <w:r>
        <w:t xml:space="preserve"> </w:t>
      </w:r>
      <w:r>
        <w:t xml:space="preserve">is an essential predicate for satisfaction of the board’s supervisory and monitoring role under Section 141 of the Delaware General Corporation Law. Thirdly, I note the potential impact of the federal organizational sentencing guidelines on any business organization. Any rational person attempting in good faith to meet an organizational governance responsibility would be bound to take into account this development and the enhanced penalties and the opportunities for reduced sanctions that it offers.</w:t>
      </w:r>
    </w:p>
    <w:p>
      <w:pPr>
        <w:pStyle w:val="CaseBody"/>
      </w:pPr>
      <w:r>
        <w:t xml:space="preserve">In light of these developments, it would, in my opinion, be a mistake to conclude that our Supreme Court’s statement in</w:t>
      </w:r>
      <w:r>
        <w:t xml:space="preserve"> </w:t>
      </w:r>
      <w:r>
        <w:rPr>
          <w:iCs/>
          <w:i/>
        </w:rPr>
        <w:t xml:space="preserve">Graham</w:t>
      </w:r>
      <w:r>
        <w:t xml:space="preserve"> </w:t>
      </w:r>
      <w:r>
        <w:t xml:space="preserve">concerning “espionage” means that corporate boards may satisfy their obligation to be reasonably informed concerning the corporation, without assuring themselves that information and reporting systems exist in the organization that are reasonably designed to provide to senior management and to the board itself timely, accurate information sufficient to allow management and the board, each within its scope, to reach informed judgments concerning both the corporation’s compliance with law and its business performance.</w:t>
      </w:r>
    </w:p>
    <w:p>
      <w:pPr>
        <w:pStyle w:val="CaseBody"/>
      </w:pPr>
      <w:r>
        <w:t xml:space="preserve">Obviously the level of detail that is appropriate for such an information system is a question of business judgment. And obviously too, no rationally designed information and reporting system will remove the possibility that the corporation will violate laws or regulations, or that senior officers or directors may nevertheless sometimes be misled or otherwise fail reasonably to detect acts material to the corporation’s compliance with the law. But it is important that the board exercise a good faith judgment that the corporation’s information and reporting system is in concept and design adequate to assure the board that appropriate information will come to its attention in a timely manner as a matter of ordinary operations, so that it may satisfy its responsibility.</w:t>
      </w:r>
    </w:p>
    <w:p>
      <w:pPr>
        <w:pStyle w:val="CaseBody"/>
      </w:pPr>
      <w:r>
        <w:t xml:space="preserve">Thus, I am of the view that a director’s obligation includes a duty to attempt in good faith to assure that a corporate information and reporting system, which the board concludes is adequate, exists, and that failure to do so under some circumstances may, in theory at least, render a director liable for losses caused by non-compliance with applicable legal standards</w:t>
      </w:r>
      <w:r>
        <w:rPr>
          <w:rStyle w:val="FootnoteReference"/>
        </w:rPr>
        <w:footnoteReference w:customMarkFollows="1" w:id="458"/>
        <w:t xml:space="preserve">27</w:t>
      </w:r>
      <w:r>
        <w:t xml:space="preserve">. I now turn to an analysis of the claims asserted with this concept of the directors duty of care, as a duty satisfied in part by assurance of adequate information flows to the board, in mind.</w:t>
      </w:r>
    </w:p>
    <w:p>
      <w:pPr>
        <w:pStyle w:val="CaseBody"/>
      </w:pPr>
      <w:r>
        <w:rPr>
          <w:iCs/>
          <w:i/>
        </w:rPr>
        <w:t xml:space="preserve">III. ANALYSIS OF THIRD AMENDED COMPLAINT AND SETTLEMENT</w:t>
      </w:r>
    </w:p>
    <w:p>
      <w:pPr>
        <w:pStyle w:val="CaseBody"/>
      </w:pPr>
      <w:r>
        <w:rPr>
          <w:iCs/>
          <w:i/>
        </w:rPr>
        <w:t xml:space="preserve">A. The Claims</w:t>
      </w:r>
    </w:p>
    <w:p>
      <w:pPr>
        <w:pStyle w:val="CaseBody"/>
      </w:pPr>
      <w:r>
        <w:t xml:space="preserve">On balance, after reviewing an extensive record in this case, including numerous documents and three depositions, I conclude that this settlement is fair and reasonable. In light of the fact that the Caremark Board already has a functioning committee charged with overseeing corporate compliance, the changes in corporate practice that are presented as consideration for the settlement do not impress one as very significant. Nonetheless, that consideration appears fully adequate to support dismissal of the derivative claims of director fault asserted, because those claims find no substantial evidentiary support in the record and quite likely were susceptible to a motion to dismiss in all events.</w:t>
      </w:r>
      <w:r>
        <w:rPr>
          <w:rStyle w:val="FootnoteReference"/>
        </w:rPr>
        <w:footnoteReference w:customMarkFollows="1" w:id="468"/>
        <w:t xml:space="preserve">28</w:t>
      </w:r>
    </w:p>
    <w:p>
      <w:pPr>
        <w:pStyle w:val="CaseBody"/>
      </w:pPr>
      <w:r>
        <w:t xml:space="preserve">In order to show that the Caremark directors breached their duty of care by failing adequately to control Caremark’s employees, plaintiffs would have to show either (1) that the directors knew or (2) should have known that violations of law were occurring and, in either event, (3) that the directors took no steps in a good faith effort to prevent of' remedy that situation, and (4) that such failure proximately resulted in the losses complained of, although under</w:t>
      </w:r>
      <w:r>
        <w:t xml:space="preserve"> </w:t>
      </w:r>
      <w:r>
        <w:rPr>
          <w:iCs/>
          <w:i/>
        </w:rPr>
        <w:t xml:space="preserve">Cede &amp; Co. v. Technicolor, Inc.,</w:t>
      </w:r>
      <w:r>
        <w:t xml:space="preserve"> </w:t>
      </w:r>
      <w:r>
        <w:t xml:space="preserve">Del.Supr., 636 A.2d 956 (1994) this last element may be thought to constitute an affirmative defense.</w:t>
      </w:r>
    </w:p>
    <w:p>
      <w:pPr>
        <w:pStyle w:val="CaseBody"/>
      </w:pPr>
      <w:r>
        <w:t xml:space="preserve">1.</w:t>
      </w:r>
      <w:r>
        <w:t xml:space="preserve"> </w:t>
      </w:r>
      <w:r>
        <w:rPr>
          <w:iCs/>
          <w:i/>
        </w:rPr>
        <w:t xml:space="preserve">Knowing violation for statute:</w:t>
      </w:r>
      <w:r>
        <w:t xml:space="preserve"> </w:t>
      </w:r>
      <w:r>
        <w:t xml:space="preserve">Concerning the possibility that the Caremark directors knew of violations of law, none of the documents submitted for review, nor any of the deposition transcripts appear to provide evidence of it. Certainly the Board understood that the company had entered into a variety of contracts with physicians, researchers, and health care providers and it was understood that some of these contracts were with persons who had prescribed treatments that Caremark participated in providing. The board was informed that the company’s reimbursement for patient care was frequently from government funded sources and that such services were subject to the ARPL. But the Board appears to have been informed by experts that the company’s practices while contestable, were lawful. There is no evidence that reliance on such reports was not reasonable. Thus, this case presents no occasion to apply a principle to the effect that knowingly causing the corporation to violate a criminal statute constitutes a breach of a director’s fiduciary duty.</w:t>
      </w:r>
      <w:r>
        <w:t xml:space="preserve"> </w:t>
      </w:r>
      <w:r>
        <w:rPr>
          <w:iCs/>
          <w:i/>
        </w:rPr>
        <w:t xml:space="preserve">See Roth v. Robertson,</w:t>
      </w:r>
      <w:r>
        <w:t xml:space="preserve"> </w:t>
      </w:r>
      <w:r>
        <w:t xml:space="preserve">N.Y.Sup.Ct., 64 Misc. 343, 118 N.Y.S. 351 (1909);</w:t>
      </w:r>
      <w:r>
        <w:t xml:space="preserve"> </w:t>
      </w:r>
      <w:r>
        <w:rPr>
          <w:iCs/>
          <w:i/>
        </w:rPr>
        <w:t xml:space="preserve">Miller v. American Tel. &amp; Tel. Co.,</w:t>
      </w:r>
      <w:r>
        <w:t xml:space="preserve"> </w:t>
      </w:r>
      <w:r>
        <w:t xml:space="preserve">507 F.2d 759 (3rd Cir.1974). It is not clear that the Board knew the detail found, for example, in the indictments arising from the Company’s payments. But, of course, the duty to act in good faith to be informed cannot be thought to require directors to possess detailed information about all aspects of the operation of the enterprise. Such a requirement would simple be inconsistent with the scale and scope of efficient organization size in this technological age.</w:t>
      </w:r>
    </w:p>
    <w:p>
      <w:pPr>
        <w:pStyle w:val="CaseBody"/>
      </w:pPr>
      <w:r>
        <w:t xml:space="preserve">2.</w:t>
      </w:r>
      <w:r>
        <w:t xml:space="preserve"> </w:t>
      </w:r>
      <w:r>
        <w:rPr>
          <w:iCs/>
          <w:i/>
        </w:rPr>
        <w:t xml:space="preserve">Failure to monitor:</w:t>
      </w:r>
      <w:r>
        <w:t xml:space="preserve"> </w:t>
      </w:r>
      <w:r>
        <w:t xml:space="preserve">Since it does appears that the Board was to some extent unaware of the activities that led to liability, I turn to a consideration of the other potential avenue to director liability that the pleadings take: director inattention or “negligence”. Generally where a claim of directorial liability for corporate loss is predicated upon ignorance of liability creating activities within the corporation, as in</w:t>
      </w:r>
      <w:r>
        <w:t xml:space="preserve"> </w:t>
      </w:r>
      <w:r>
        <w:rPr>
          <w:iCs/>
          <w:i/>
        </w:rPr>
        <w:t xml:space="preserve">Graham</w:t>
      </w:r>
      <w:r>
        <w:t xml:space="preserve"> </w:t>
      </w:r>
      <w:r>
        <w:t xml:space="preserve">or in this case, in my opinion only a sustained or systematic failure of the board to exercise oversight — such as an utter failure to attempt to assure a reasonable information and reporting system exits — vail establish the lack of good faith that is a necessary condition to liability. Such a test of liability — lack of good faith as evidenced by sustained or systematic failure of a director to exercise reasonable oversight — is quite high. But, a demanding test of liability in the oversight context is probably beneficial to corporate shareholders as a class, as it is in the board decision context, since it makes board service by qualified persons more likely, while continuing to act as a stimulus to</w:t>
      </w:r>
      <w:r>
        <w:t xml:space="preserve"> </w:t>
      </w:r>
      <w:r>
        <w:rPr>
          <w:iCs/>
          <w:i/>
        </w:rPr>
        <w:t xml:space="preserve">good faith 'performance of duty</w:t>
      </w:r>
      <w:r>
        <w:t xml:space="preserve"> </w:t>
      </w:r>
      <w:r>
        <w:t xml:space="preserve">by such directors.</w:t>
      </w:r>
    </w:p>
    <w:p>
      <w:pPr>
        <w:pStyle w:val="CaseBody"/>
      </w:pPr>
      <w:r>
        <w:t xml:space="preserve">Here the record supplies essentially no evidence that the director defendants were guilty of a sustained failure to exercise their oversight function. To the contrary, insofar as I am able to tell on this record, the corporation’s information systems appear to have represented a good faith attempt to be informed of relevant facts. If the directors did not know the specifics of the activities that lead to the indictments, they cannot be faulted.</w:t>
      </w:r>
    </w:p>
    <w:p>
      <w:pPr>
        <w:pStyle w:val="CaseBody"/>
      </w:pPr>
      <w:r>
        <w:t xml:space="preserve">The liability that eventuated in this instance was huge. But the fact that it resulted from a violation of criminal law alone does not create a breach of fiduciary duty by directors. The record at this stage does not support the conclusion that the defendants either lacked good faith in the exercise of their monitoring responsibilities or conscientiously permitted a known violation of law by the corporation to occur. The claims asserted against them must be viewed at this stage as extremely weak.</w:t>
      </w:r>
    </w:p>
    <w:p>
      <w:pPr>
        <w:pStyle w:val="CaseBody"/>
      </w:pPr>
      <w:r>
        <w:rPr>
          <w:rStyle w:val="Elision"/>
        </w:rPr>
        <w:t xml:space="preserve">[ … ]</w:t>
      </w:r>
    </w:p>
    <w:p>
      <w:pPr>
        <w:pStyle w:val="CaseBody"/>
      </w:pPr>
      <w:r>
        <w:rPr>
          <w:rStyle w:val="Elision"/>
        </w:rPr>
        <w:t xml:space="preserve">[ … ]</w:t>
      </w:r>
    </w:p>
    <w:p>
      <w:pPr>
        <w:pStyle w:val="NodeEnd"/>
      </w:pPr>
      <w:r>
        <w:t xml:space="preserve"> </w:t>
      </w:r>
    </w:p>
    <w:p>
      <w:pPr>
        <w:pStyle w:val="NodeStart"/>
      </w:pPr>
      <w:r>
        <w:t xml:space="preserve"> </w:t>
      </w:r>
    </w:p>
    <w:p>
      <w:pPr>
        <w:pStyle w:val="HeadSeparator"/>
      </w:pPr>
      <w:r>
        <w:t xml:space="preserve"> </w:t>
      </w:r>
    </w:p>
    <w:bookmarkStart w:id="89" w:name="_auto_toc_89"/>
    <w:bookmarkEnd w:id="89"/>
    <w:p>
      <w:pPr>
        <w:pStyle w:val="ResourceNumber"/>
      </w:pPr>
      <w:r>
        <w:t xml:space="preserve">7.1.4</w:t>
      </w:r>
    </w:p>
    <w:p>
      <w:pPr>
        <w:pStyle w:val="ResourceTitle"/>
      </w:pPr>
      <w:r>
        <w:t xml:space="preserve">Stone v. Ritter (Del. 2006)</w:t>
      </w:r>
    </w:p>
    <w:p>
      <w:pPr>
        <w:pStyle w:val="HeadFieldSeparator"/>
      </w:pPr>
      <w:r>
        <w:t xml:space="preserve"> </w:t>
      </w:r>
    </w:p>
    <w:p>
      <w:pPr>
        <w:pStyle w:val="ResourceHeadnote"/>
      </w:pPr>
      <w:r>
        <w:t xml:space="preserve">The business judgment rule, as authoritatively stated in</w:t>
      </w:r>
      <w:r>
        <w:t xml:space="preserve"> </w:t>
      </w:r>
      <w:r>
        <w:rPr>
          <w:iCs/>
          <w:i/>
        </w:rPr>
        <w:t xml:space="preserve">Aronson</w:t>
      </w:r>
      <w:r>
        <w:t xml:space="preserve"> </w:t>
      </w:r>
      <w:r>
        <w:t xml:space="preserve">and applied in</w:t>
      </w:r>
      <w:r>
        <w:t xml:space="preserve"> </w:t>
      </w:r>
      <w:r>
        <w:rPr>
          <w:iCs/>
          <w:i/>
        </w:rPr>
        <w:t xml:space="preserve">Disney</w:t>
      </w:r>
      <w:r>
        <w:t xml:space="preserve">, should provide comfort to directors and officers even in the absence of a 102(b)(7) waiver (which does not cover officers). For a long time, however, directors and officers might have been worried by the following passage from</w:t>
      </w:r>
      <w:r>
        <w:t xml:space="preserve"> </w:t>
      </w:r>
      <w:r>
        <w:rPr>
          <w:iCs/>
          <w:i/>
        </w:rPr>
        <w:t xml:space="preserve">Aronson</w:t>
      </w:r>
      <w:r>
        <w:t xml:space="preserve">:</w:t>
      </w:r>
    </w:p>
    <w:p>
      <w:pPr>
        <w:pStyle w:val="BlockText"/>
      </w:pPr>
      <w:r>
        <w:t xml:space="preserve">“However, it should be noted that the business judgment rule operates only in the context of director action. Technically speaking, it has no role where directors have either abdicated their functions, or absent a conscious decision, failed to act.”</w:t>
      </w:r>
    </w:p>
    <w:p>
      <w:pPr>
        <w:pStyle w:val="ResourceHeadnote"/>
      </w:pPr>
      <w:r>
        <w:br/>
      </w:r>
      <w:r>
        <w:rPr>
          <w:iCs/>
          <w:i/>
        </w:rPr>
        <w:t xml:space="preserve">Aronson v. Lewis</w:t>
      </w:r>
      <w:r>
        <w:t xml:space="preserve">, 473 A.2d 805, at 813 (Del. 1984).</w:t>
      </w:r>
      <w:r>
        <w:br/>
      </w:r>
      <w:r>
        <w:t xml:space="preserve">To be sure,</w:t>
      </w:r>
      <w:r>
        <w:t xml:space="preserve"> </w:t>
      </w:r>
      <w:r>
        <w:rPr>
          <w:iCs/>
          <w:i/>
        </w:rPr>
        <w:t xml:space="preserve">Aronson</w:t>
      </w:r>
      <w:r>
        <w:t xml:space="preserve"> </w:t>
      </w:r>
      <w:r>
        <w:t xml:space="preserve">continued that “a conscious decision to refrain from acting may nonetheless be a valid exercise of business judgment and enjoy the protections of the rule” and acknowledged in a footnote to the quoted paragraph that “questions of director liability in such cases have [nevertheless] been adjudicated upon</w:t>
      </w:r>
      <w:r>
        <w:t xml:space="preserve"> </w:t>
      </w:r>
      <w:r>
        <w:rPr>
          <w:iCs/>
          <w:i/>
        </w:rPr>
        <w:t xml:space="preserve">concepts of business judgment</w:t>
      </w:r>
      <w:r>
        <w:t xml:space="preserve">” (emphasis added). Doubts remained, however, and were only amplified by Chancellor Allen’s famous 1996</w:t>
      </w:r>
      <w:r>
        <w:t xml:space="preserve"> </w:t>
      </w:r>
      <w:r>
        <w:rPr>
          <w:iCs/>
          <w:i/>
        </w:rPr>
        <w:t xml:space="preserve">Caremark</w:t>
      </w:r>
      <w:r>
        <w:t xml:space="preserve"> </w:t>
      </w:r>
      <w:r>
        <w:t xml:space="preserve">decision, which mused that the absence of a reporting system could give rise to liability.</w:t>
      </w:r>
      <w:r>
        <w:t xml:space="preserve"> </w:t>
      </w:r>
      <w:r>
        <w:rPr>
          <w:iCs/>
          <w:i/>
        </w:rPr>
        <w:t xml:space="preserve">Stone</w:t>
      </w:r>
      <w:r>
        <w:t xml:space="preserve"> </w:t>
      </w:r>
      <w:r>
        <w:t xml:space="preserve">addressed this question.</w:t>
      </w:r>
    </w:p>
    <w:p>
      <w:pPr>
        <w:pStyle w:val="BlockText"/>
      </w:pPr>
      <w:r>
        <w:t xml:space="preserve">1. What is the rule of</w:t>
      </w:r>
      <w:r>
        <w:t xml:space="preserve"> </w:t>
      </w:r>
      <w:r>
        <w:rPr>
          <w:iCs/>
          <w:i/>
        </w:rPr>
        <w:t xml:space="preserve">Stone</w:t>
      </w:r>
      <w:r>
        <w:t xml:space="preserve">: what is the liability standard for oversight failures?</w:t>
      </w:r>
      <w:r>
        <w:br/>
      </w:r>
      <w:r>
        <w:t xml:space="preserve">2. How does the rule compare to the business judgment rule – is it more or less lenient for defendants, doctrinally speaking?</w:t>
      </w:r>
      <w:r>
        <w:br/>
      </w:r>
      <w:r>
        <w:t xml:space="preserve">3. Do you think the doctrinal difference matters in practice?</w:t>
      </w:r>
      <w:r>
        <w:br/>
      </w:r>
      <w:r>
        <w:t xml:space="preserve">4. What is the role of DGCL 102(b)(7) in this case?</w:t>
      </w:r>
    </w:p>
    <w:p>
      <w:pPr>
        <w:pStyle w:val="HeadEnd"/>
      </w:pPr>
      <w:r>
        <w:t xml:space="preserve"> </w:t>
      </w:r>
    </w:p>
    <w:p>
      <w:pPr>
        <w:pStyle w:val="BodyText"/>
      </w:pPr>
      <w:r>
        <w:t xml:space="preserve">911 A.2d 362 (2006)</w:t>
      </w:r>
    </w:p>
    <w:bookmarkStart w:id="152" w:name="william-stone-v.-c.-dowd-ritter"/>
    <w:p>
      <w:pPr>
        <w:pStyle w:val="Heading2"/>
      </w:pPr>
      <w:r>
        <w:t xml:space="preserve">William STONE</w:t>
      </w:r>
      <w:r>
        <w:t xml:space="preserve"> </w:t>
      </w:r>
      <w:r>
        <w:rPr>
          <w:rStyle w:val="Elision"/>
        </w:rPr>
        <w:t xml:space="preserve">[ … ]</w:t>
      </w:r>
      <w:r>
        <w:br/>
      </w:r>
      <w:r>
        <w:t xml:space="preserve">v.</w:t>
      </w:r>
      <w:r>
        <w:br/>
      </w:r>
      <w:r>
        <w:t xml:space="preserve">C. Dowd RITTER</w:t>
      </w:r>
      <w:r>
        <w:rPr>
          <w:rStyle w:val="Elision"/>
        </w:rPr>
        <w:t xml:space="preserve">[ … ]</w:t>
      </w:r>
    </w:p>
    <w:p>
      <w:pPr>
        <w:pStyle w:val="FirstParagraph"/>
      </w:pPr>
      <w:r>
        <w:rPr>
          <w:rStyle w:val="Elision"/>
        </w:rPr>
        <w:t xml:space="preserve">[ … ]</w:t>
      </w:r>
      <w:r>
        <w:br/>
      </w:r>
      <w:r>
        <w:t xml:space="preserve">Supreme Court of Delaware.</w:t>
      </w:r>
    </w:p>
    <w:p>
      <w:pPr>
        <w:pStyle w:val="BodyText"/>
      </w:pPr>
      <w:r>
        <w:rPr>
          <w:rStyle w:val="Elision"/>
        </w:rPr>
        <w:t xml:space="preserve">[ … ]</w:t>
      </w:r>
    </w:p>
    <w:p>
      <w:pPr>
        <w:pStyle w:val="BodyText"/>
      </w:pPr>
      <w:r>
        <w:rPr>
          <w:rStyle w:val="Elision"/>
        </w:rPr>
        <w:t xml:space="preserve">[ … ]</w:t>
      </w:r>
    </w:p>
    <w:p>
      <w:pPr>
        <w:pStyle w:val="BodyText"/>
      </w:pPr>
      <w:r>
        <w:rPr>
          <w:rStyle w:val="Elision"/>
        </w:rPr>
        <w:t xml:space="preserve">[ … ]</w:t>
      </w:r>
    </w:p>
    <w:bookmarkEnd w:id="152"/>
    <w:bookmarkStart w:id="153" w:name="holland-justice"/>
    <w:p>
      <w:pPr>
        <w:pStyle w:val="Heading2"/>
      </w:pPr>
      <w:r>
        <w:t xml:space="preserve">HOLLAND, Justice:</w:t>
      </w:r>
    </w:p>
    <w:p>
      <w:pPr>
        <w:pStyle w:val="FirstParagraph"/>
      </w:pPr>
      <w:r>
        <w:t xml:space="preserve">This is an appeal from a final judgment of the Court of Chancery dismissing a derivative complaint against fifteen present and former directors of AmSouth Bancorporation ("AmSouth"), a Delaware corporation. The plaintiffs-appellants, William and Sandra Stone, are AmSouth shareholders</w:t>
      </w:r>
      <w:r>
        <w:rPr>
          <w:rStyle w:val="Elision"/>
        </w:rPr>
        <w:t xml:space="preserve">[ … ]</w:t>
      </w:r>
      <w:r>
        <w:t xml:space="preserve">). The Court of Chancery held that the plaintiffs had failed to adequately plea</w:t>
      </w:r>
      <w:r>
        <w:rPr>
          <w:rStyle w:val="ReplacementText"/>
        </w:rPr>
        <w:t xml:space="preserve">a valid claim under the pleading standards for derivative actions, which go beyond simple notice pleading – cf. Aronson, infra</w:t>
      </w:r>
      <w:r>
        <w:t xml:space="preserve"> </w:t>
      </w:r>
      <w:r>
        <w:t xml:space="preserve">The Court, therefore, dismissed the derivative complaint</w:t>
      </w:r>
      <w:r>
        <w:rPr>
          <w:rStyle w:val="Elision"/>
        </w:rPr>
        <w:t xml:space="preserve">[ … ]</w:t>
      </w:r>
      <w:r>
        <w:t xml:space="preserve">1.</w:t>
      </w:r>
    </w:p>
    <w:p>
      <w:pPr>
        <w:pStyle w:val="BodyText"/>
      </w:pPr>
      <w:r>
        <w:t xml:space="preserve">The Court of Chancery characterized the allegations in the derivative complaint as a "classic</w:t>
      </w:r>
      <w:r>
        <w:t xml:space="preserve"> </w:t>
      </w:r>
      <w:r>
        <w:rPr>
          <w:iCs/>
          <w:i/>
        </w:rPr>
        <w:t xml:space="preserve">Caremark</w:t>
      </w:r>
      <w:r>
        <w:t xml:space="preserve"> </w:t>
      </w:r>
      <w:r>
        <w:t xml:space="preserve">claim," a claim that derives its name from</w:t>
      </w:r>
      <w:r>
        <w:t xml:space="preserve"> </w:t>
      </w:r>
      <w:r>
        <w:rPr>
          <w:iCs/>
          <w:i/>
        </w:rPr>
        <w:t xml:space="preserve">In re Caremark Int'l Deriv. Litig.</w:t>
      </w:r>
      <w:hyperlink w:anchor="Xef5637540ccb6acbbaf30be6aa376f22118e381">
        <w:r>
          <w:rPr>
            <w:rStyle w:val="Hyperlink"/>
            <w:vertAlign w:val="superscript"/>
          </w:rPr>
          <w:t xml:space="preserve">[1]</w:t>
        </w:r>
      </w:hyperlink>
      <w:r>
        <w:t xml:space="preserve"> </w:t>
      </w:r>
      <w:r>
        <w:t xml:space="preserve">In</w:t>
      </w:r>
      <w:r>
        <w:t xml:space="preserve"> </w:t>
      </w:r>
      <w:r>
        <w:rPr>
          <w:iCs/>
          <w:i/>
        </w:rPr>
        <w:t xml:space="preserve">Caremark,</w:t>
      </w:r>
      <w:r>
        <w:t xml:space="preserve"> </w:t>
      </w:r>
      <w:r>
        <w:t xml:space="preserve">the Court of Chancery recognized that: "[g]enerally where a claim of directorial liability for corporate loss is predicated upon ignorance of liability creating activities within the corporation . . . only a sustained or systematic failure of the board to exercise oversight—such as an utter failure to attempt to assure a reasonable information and reporting system exists—will establish the lack of good faith that is a necessary condition to liability."</w:t>
      </w:r>
      <w:hyperlink w:anchor="X22b096446e32c3981e5930558a0b50d9497a004">
        <w:r>
          <w:rPr>
            <w:rStyle w:val="Hyperlink"/>
            <w:vertAlign w:val="superscript"/>
          </w:rPr>
          <w:t xml:space="preserve">[2]</w:t>
        </w:r>
      </w:hyperlink>
    </w:p>
    <w:p>
      <w:pPr>
        <w:pStyle w:val="BodyText"/>
      </w:pPr>
      <w:r>
        <w:t xml:space="preserve">In this appeal, the plaintiffs acknowledge that the directors neither "knew [n]or should have known that violations of law were occurring,"</w:t>
      </w:r>
      <w:r>
        <w:t xml:space="preserve"> </w:t>
      </w:r>
      <w:r>
        <w:rPr>
          <w:iCs/>
          <w:i/>
        </w:rPr>
        <w:t xml:space="preserve">i.e.,</w:t>
      </w:r>
      <w:r>
        <w:t xml:space="preserve"> </w:t>
      </w:r>
      <w:r>
        <w:t xml:space="preserve">that there were no "red flags" before the directors. Nevertheless, the plaintiffs argue that the Court of Chancery erred by dismissing the derivative complaint which alleged that "the defendants had utterly failed to implement any sort of statutorily required monitoring, reporting or information controls that would have enabled them to learn of problems requiring their attention." The defendants argue that the plaintiffs' assertions are contradicted by the derivative complaint itself and by the documents incorporated therein by reference.</w:t>
      </w:r>
    </w:p>
    <w:p>
      <w:pPr>
        <w:pStyle w:val="BodyText"/>
      </w:pPr>
      <w:r>
        <w:t xml:space="preserve">[365] Consistent with our opinion in</w:t>
      </w:r>
      <w:r>
        <w:t xml:space="preserve"> </w:t>
      </w:r>
      <w:r>
        <w:rPr>
          <w:iCs/>
          <w:i/>
        </w:rPr>
        <w:t xml:space="preserve">In re Walt Disney Co. Deriv Litig,</w:t>
      </w:r>
      <w:r>
        <w:t xml:space="preserve"> </w:t>
      </w:r>
      <w:r>
        <w:t xml:space="preserve">we hold that</w:t>
      </w:r>
      <w:r>
        <w:t xml:space="preserve"> </w:t>
      </w:r>
      <w:r>
        <w:rPr>
          <w:iCs/>
          <w:i/>
        </w:rPr>
        <w:t xml:space="preserve">Caremark</w:t>
      </w:r>
      <w:r>
        <w:t xml:space="preserve"> </w:t>
      </w:r>
      <w:r>
        <w:t xml:space="preserve">articulates the necessary conditions for assessing director oversight liability.</w:t>
      </w:r>
      <w:hyperlink w:anchor="Xd6beb1efa6c6487577120165febec20bffac2b3">
        <w:r>
          <w:rPr>
            <w:rStyle w:val="Hyperlink"/>
            <w:vertAlign w:val="superscript"/>
          </w:rPr>
          <w:t xml:space="preserve">[3]</w:t>
        </w:r>
      </w:hyperlink>
      <w:r>
        <w:t xml:space="preserve"> </w:t>
      </w:r>
      <w:r>
        <w:t xml:space="preserve">We also conclude that the</w:t>
      </w:r>
      <w:r>
        <w:t xml:space="preserve"> </w:t>
      </w:r>
      <w:r>
        <w:rPr>
          <w:iCs/>
          <w:i/>
        </w:rPr>
        <w:t xml:space="preserve">Caremark</w:t>
      </w:r>
      <w:r>
        <w:t xml:space="preserve"> </w:t>
      </w:r>
      <w:r>
        <w:t xml:space="preserve">standard was properly applied to evaluate the derivative complaint in this case. Accordingly, the judgment of the Court of Chancery must be affirmed.</w:t>
      </w:r>
    </w:p>
    <w:bookmarkEnd w:id="153"/>
    <w:bookmarkStart w:id="154" w:name="facts"/>
    <w:p>
      <w:pPr>
        <w:pStyle w:val="Heading2"/>
      </w:pPr>
      <w:r>
        <w:t xml:space="preserve">Facts</w:t>
      </w:r>
    </w:p>
    <w:p>
      <w:pPr>
        <w:pStyle w:val="FirstParagraph"/>
      </w:pPr>
      <w:r>
        <w:t xml:space="preserve">This derivative action is brought on AmSouth's behalf by William and Sandra Stone, who allege that they owned AmSouth common stock "at all relevant times." The nominal defendant, AmSouth, is a Delaware corporation with its principal executive offices in Birmingham, Alabama. During the relevant period, AmSouth's wholly-owned subsidiary, AmSouth Bank, operated about 600 commercial banking branches in six states throughout the southeastern United States and employed more than 11,600 people.</w:t>
      </w:r>
    </w:p>
    <w:p>
      <w:pPr>
        <w:pStyle w:val="BodyText"/>
      </w:pPr>
      <w:r>
        <w:t xml:space="preserve">In 2004, AmSouth and AmSouth Bank paid $40 million in fines and $10 million in civil penalties to resolve government and regulatory investigations pertaining principally to the failure by bank employees to file "Suspicious Activity Reports" ("SARs"), as required by the federal Bank Secrecy Act ("BSA")</w:t>
      </w:r>
      <w:hyperlink w:anchor="Xe6d2e775f422fa4bd608b7bf93e2bc347ba55e3">
        <w:r>
          <w:rPr>
            <w:rStyle w:val="Hyperlink"/>
            <w:vertAlign w:val="superscript"/>
          </w:rPr>
          <w:t xml:space="preserve">[4]</w:t>
        </w:r>
      </w:hyperlink>
      <w:r>
        <w:t xml:space="preserve"> </w:t>
      </w:r>
      <w:r>
        <w:t xml:space="preserve">and various anti-money-laundering ("AML") regulations.</w:t>
      </w:r>
      <w:hyperlink w:anchor="X4bb08ac1b5e5fc1604d2a6b2fd84f5152819577">
        <w:r>
          <w:rPr>
            <w:rStyle w:val="Hyperlink"/>
            <w:vertAlign w:val="superscript"/>
          </w:rPr>
          <w:t xml:space="preserve">[5]</w:t>
        </w:r>
      </w:hyperlink>
      <w:r>
        <w:t xml:space="preserve"> </w:t>
      </w:r>
      <w:r>
        <w:t xml:space="preserve">Those investigations were conducted by the United States Attorney's Office for the Southern District of Mississippi ("USAO"), the Federal Reserve, FinCEN and the Alabama Banking Department. No fines or penalties were imposed on AmSouth's directors, and no other regulatory action was taken against them.</w:t>
      </w:r>
    </w:p>
    <w:p>
      <w:pPr>
        <w:pStyle w:val="BodyText"/>
      </w:pPr>
      <w:r>
        <w:t xml:space="preserve">The government investigations arose originally from an unlawful "Ponzi" scheme operated by Louis D. Hamric, II and Victor G. Nance. In August 2000, Hamric, then a licensed attorney, and Nance, then a registered investment advisor with Mutual of New York, contacted an AmSouth branch bank in Tennessee to arrange for custodial trust accounts to be created for "investors" in a "business venture." That venture (Hamric and Nance represented) involved the construction of medical clinics overseas. In reality, Nance had convinced more than forty of his clients to invest in promissory notes bearing high rates of return, by misrepresenting the nature and the risk of that investment. Relying on similar misrepresentations by Hamric and Nance, the AmSouth branch employees in Tennessee agreed to provide custodial accounts for the investors and to distribute monthly interest payments to each account upon receipt of a check from Hamric and instructions from Nance.</w:t>
      </w:r>
    </w:p>
    <w:p>
      <w:pPr>
        <w:pStyle w:val="BodyText"/>
      </w:pPr>
      <w:r>
        <w:t xml:space="preserve">The Hamric-Nance scheme was discovered in March 2002, when the investors did not receive their monthly interest payments. Thereafter, Hamric and Nance became the subject of several civil actions brought by the defrauded investors in Tennessee and Mississippi (and in which AmSouth [366] also was named as a defendant), and also the subject of a federal grand jury investigation in the Southern District of Mississippi. Hamric and Nance were indicted on federal money-laundering charges, and both pled guilty.</w:t>
      </w:r>
    </w:p>
    <w:p>
      <w:pPr>
        <w:pStyle w:val="BodyText"/>
      </w:pPr>
      <w:r>
        <w:t xml:space="preserve">The authorities examined AmSouth's compliance with its reporting and other obligations under the BSA. On November 17, 2003, the USAO advised AmSouth that it was the subject of a criminal investigation. On October 12, 2004, AmSouth and the USAO entered into a Deferred Prosecution Agreement ("DPA") in which AmSouth agreed: first, to the filing by USAO of a one-count Information in the United States District Court for the Southern District of Mississippi, charging AmSouth with failing to file SARs; and second, to pay a $40 million fine. In conjunction with the DPA, the USAO issued a "Statement of Facts," which noted that although in 2000 "at least one" AmSouth employee suspected that Hamric was involved in a possibly illegal scheme, AmSouth failed to file SARs in a timely manner. In neither the Statement of Facts nor anywhere else did the USAO ascribe any blame to the Board or to any individual director.</w:t>
      </w:r>
    </w:p>
    <w:p>
      <w:pPr>
        <w:pStyle w:val="BodyText"/>
      </w:pPr>
      <w:r>
        <w:t xml:space="preserve">On October 12, 2004, the Federal Reserve and the Alabama Banking Department concurrently issued a Cease and Desist Order against AmSouth, requiring it, for the first time, to improve its BSA/AML program. That Cease and Desist Order required AmSouth to (among other things) engage an independent consultant "to conduct a comprehensive review of the Bank's AML Compliance program and make recommendations, as appropriate, for new policies and procedures to be implemented by the Bank." KPMG Forensic Services ("KPMG") performed the role of independent consultant and issued its report on December 10, 2004 (the "KPMG Report").</w:t>
      </w:r>
    </w:p>
    <w:p>
      <w:pPr>
        <w:pStyle w:val="BodyText"/>
      </w:pPr>
      <w:r>
        <w:t xml:space="preserve">Also on October 12, 2004, FinCEN and the Federal Reserve jointly assessed a $10 million civil penalty against AmSouth for operating an inadequate anti-money-laundering program and for failing to file SARs. In connection with that assessment, FinCEN issued a written Assessment of Civil Money Penalty (the "Assessment"), which included detailed "determinations" regarding AmSouth's BSA compliance procedures. FinCEN found that "AmSouth violated the suspicious activity reporting requirements of the Bank Secrecy Act," and that "[s]ince April 24, 2002, AmSouth has been in violation of the anti-money-laundering program requirements of the Bank Secrecy Act." Among FinCEN's specific determinations were its conclusions that "AmSouth's [AML compliance] program lacked adequate board and management oversight," and that "reporting to management for the purposes of monitoring and oversight of compliance activities was materially deficient." AmSouth neither admitted nor denied FinCEN's determinations in this or any other forum</w:t>
      </w:r>
      <w:r>
        <w:rPr>
          <w:rStyle w:val="Elision"/>
        </w:rPr>
        <w:t xml:space="preserve">[ … ]</w:t>
      </w:r>
    </w:p>
    <w:p>
      <w:pPr>
        <w:pStyle w:val="BodyText"/>
      </w:pPr>
      <w:hyperlink w:anchor="Xa92a82ef2f89c11502b719984911718c92ebc6a">
        <w:r>
          <w:rPr>
            <w:rStyle w:val="Hyperlink"/>
            <w:vertAlign w:val="superscript"/>
          </w:rPr>
          <w:t xml:space="preserve">]</w:t>
        </w:r>
      </w:hyperlink>
    </w:p>
    <w:p>
      <w:pPr>
        <w:pStyle w:val="BodyText"/>
      </w:pPr>
      <w:r>
        <w:t xml:space="preserve">Critical to thi</w:t>
      </w:r>
      <w:r>
        <w:rPr>
          <w:rStyle w:val="ReplacementText"/>
        </w:rPr>
        <w:t xml:space="preserve">dispute</w:t>
      </w:r>
      <w:r>
        <w:t xml:space="preserve"> </w:t>
      </w:r>
      <w:r>
        <w:t xml:space="preserve">is the fact that the directors' potential personal liability depends upon whether or not their conduct can be exculpated by the section 102(b)(7) provision contained in the AmSouth certificate of incorporation.</w:t>
      </w:r>
      <w:hyperlink w:anchor="Xdc839bd83d8b0145e11ea77e5c0acf5d7c7a459">
        <w:r>
          <w:rPr>
            <w:rStyle w:val="Hyperlink"/>
            <w:vertAlign w:val="superscript"/>
          </w:rPr>
          <w:t xml:space="preserve">[13]</w:t>
        </w:r>
      </w:hyperlink>
      <w:r>
        <w:t xml:space="preserve"> </w:t>
      </w:r>
      <w:r>
        <w:t xml:space="preserve">Such a provision can exculpate directors from monetary liability for a breach of the duty of care, but not for conduct that is not in good faith or a breach of the duty of loyalty.</w:t>
      </w:r>
      <w:hyperlink w:anchor="X168cdf38942f1d2804309dfd5f48c2ed7af2ffb">
        <w:r>
          <w:rPr>
            <w:rStyle w:val="Hyperlink"/>
            <w:vertAlign w:val="superscript"/>
          </w:rPr>
          <w:t xml:space="preserve">[14]</w:t>
        </w:r>
      </w:hyperlink>
      <w:r>
        <w:t xml:space="preserve"> </w:t>
      </w:r>
      <w:r>
        <w:t xml:space="preserve">The standard for assessing a director's potential personal liability for failing to act in good faith in discharging his or her oversight responsibilities has evolved beginning with our decision in</w:t>
      </w:r>
      <w:r>
        <w:t xml:space="preserve"> </w:t>
      </w:r>
      <w:r>
        <w:rPr>
          <w:iCs/>
          <w:i/>
        </w:rPr>
        <w:t xml:space="preserve">Graham v. Allis-Chalmers</w:t>
      </w:r>
      <w:r>
        <w:t xml:space="preserve"> </w:t>
      </w:r>
      <w:r>
        <w:rPr>
          <w:iCs/>
          <w:i/>
        </w:rPr>
        <w:t xml:space="preserve">Manufacturing Company,</w:t>
      </w:r>
      <w:hyperlink w:anchor="Xd9142ea18d88a6d82ad3410846d10af00e4b11a">
        <w:r>
          <w:rPr>
            <w:rStyle w:val="Hyperlink"/>
            <w:vertAlign w:val="superscript"/>
          </w:rPr>
          <w:t xml:space="preserve">[15]</w:t>
        </w:r>
      </w:hyperlink>
      <w:r>
        <w:t xml:space="preserve"> </w:t>
      </w:r>
      <w:r>
        <w:t xml:space="preserve">through the Court of Chancery's</w:t>
      </w:r>
      <w:r>
        <w:t xml:space="preserve"> </w:t>
      </w:r>
      <w:r>
        <w:rPr>
          <w:iCs/>
          <w:i/>
        </w:rPr>
        <w:t xml:space="preserve">Caremark</w:t>
      </w:r>
      <w:r>
        <w:t xml:space="preserve"> </w:t>
      </w:r>
      <w:r>
        <w:t xml:space="preserve">decision to our most recent decision in</w:t>
      </w:r>
      <w:r>
        <w:t xml:space="preserve"> </w:t>
      </w:r>
      <w:r>
        <w:rPr>
          <w:iCs/>
          <w:i/>
        </w:rPr>
        <w:t xml:space="preserve">Disney.</w:t>
      </w:r>
      <w:hyperlink w:anchor="X8cf49f2a71d2e6141b596fde036d3d63c57fcd5">
        <w:r>
          <w:rPr>
            <w:rStyle w:val="Hyperlink"/>
            <w:vertAlign w:val="superscript"/>
          </w:rPr>
          <w:t xml:space="preserve">[16]</w:t>
        </w:r>
      </w:hyperlink>
      <w:r>
        <w:t xml:space="preserve"> </w:t>
      </w:r>
      <w:r>
        <w:t xml:space="preserve">A brief discussion of that evolution will help illuminate the standard that we adopt in this case.</w:t>
      </w:r>
    </w:p>
    <w:bookmarkEnd w:id="154"/>
    <w:bookmarkStart w:id="155" w:name="graham-and-caremark"/>
    <w:p>
      <w:pPr>
        <w:pStyle w:val="Heading2"/>
      </w:pPr>
      <w:r>
        <w:t xml:space="preserve">Graham and Caremark</w:t>
      </w:r>
    </w:p>
    <w:p>
      <w:pPr>
        <w:pStyle w:val="FirstParagraph"/>
      </w:pPr>
      <w:r>
        <w:rPr>
          <w:iCs/>
          <w:i/>
        </w:rPr>
        <w:t xml:space="preserve">Graham</w:t>
      </w:r>
      <w:r>
        <w:t xml:space="preserve"> </w:t>
      </w:r>
      <w:r>
        <w:t xml:space="preserve">was a derivative action brought against the directors of Allis-Chalmers for [368] failure to prevent violations of federal anti-trust laws by Allis-Chalmers employees. There was no claim that the Allis-Chalmers directors knew of the employees' conduct that resulted in the corporation's liability. Rather, the plaintiffs claimed that the Allis-Chalmers directors</w:t>
      </w:r>
      <w:r>
        <w:t xml:space="preserve"> </w:t>
      </w:r>
      <w:r>
        <w:rPr>
          <w:iCs/>
          <w:i/>
        </w:rPr>
        <w:t xml:space="preserve">should have known</w:t>
      </w:r>
      <w:r>
        <w:t xml:space="preserve"> </w:t>
      </w:r>
      <w:r>
        <w:t xml:space="preserve">of the illegal conduct by the corporation's employees. In</w:t>
      </w:r>
      <w:r>
        <w:t xml:space="preserve"> </w:t>
      </w:r>
      <w:r>
        <w:rPr>
          <w:iCs/>
          <w:i/>
        </w:rPr>
        <w:t xml:space="preserve">Graham,</w:t>
      </w:r>
      <w:r>
        <w:t xml:space="preserve"> </w:t>
      </w:r>
      <w:r>
        <w:t xml:space="preserve">this Court held that "</w:t>
      </w:r>
      <w:r>
        <w:rPr>
          <w:iCs/>
          <w:i/>
        </w:rPr>
        <w:t xml:space="preserve">absent cause for suspicion</w:t>
      </w:r>
      <w:r>
        <w:t xml:space="preserve"> </w:t>
      </w:r>
      <w:r>
        <w:t xml:space="preserve">there is no duty upon the directors to install and operate a corporate system of espionage to ferret out wrongdoing which they have no reason to suspect exists."</w:t>
      </w:r>
      <w:hyperlink w:anchor="Xfbc8b09db93ae268b40f1273f7f4b454685f3c5">
        <w:r>
          <w:rPr>
            <w:rStyle w:val="Hyperlink"/>
            <w:vertAlign w:val="superscript"/>
          </w:rPr>
          <w:t xml:space="preserve">[17]</w:t>
        </w:r>
      </w:hyperlink>
    </w:p>
    <w:p>
      <w:pPr>
        <w:pStyle w:val="BodyText"/>
      </w:pPr>
      <w:r>
        <w:t xml:space="preserve">In</w:t>
      </w:r>
      <w:r>
        <w:t xml:space="preserve"> </w:t>
      </w:r>
      <w:r>
        <w:rPr>
          <w:iCs/>
          <w:i/>
        </w:rPr>
        <w:t xml:space="preserve">Caremark,</w:t>
      </w:r>
      <w:r>
        <w:t xml:space="preserve"> </w:t>
      </w:r>
      <w:r>
        <w:t xml:space="preserve">the Court of Chancery reassessed the applicability of our holding in</w:t>
      </w:r>
      <w:r>
        <w:t xml:space="preserve"> </w:t>
      </w:r>
      <w:r>
        <w:rPr>
          <w:iCs/>
          <w:i/>
        </w:rPr>
        <w:t xml:space="preserve">Graham</w:t>
      </w:r>
      <w:r>
        <w:t xml:space="preserve"> </w:t>
      </w:r>
      <w:r>
        <w:t xml:space="preserve">when called upon to approve a settlement of a derivative lawsuit brought against the directors of Caremark International, Inc. The plaintiffs claimed that the Caremark directors should have known that certain officers and employees of Caremark were involved in violations of the federal Anti-Referral Payments Law. That law prohibits health care providers from paying any form of remuneration to induce the referral of Medicare or Medicaid patients. The plaintiffs claimed that the</w:t>
      </w:r>
      <w:r>
        <w:t xml:space="preserve"> </w:t>
      </w:r>
      <w:r>
        <w:rPr>
          <w:iCs/>
          <w:i/>
        </w:rPr>
        <w:t xml:space="preserve">Caremark</w:t>
      </w:r>
      <w:r>
        <w:t xml:space="preserve"> </w:t>
      </w:r>
      <w:r>
        <w:t xml:space="preserve">directors breached their fiduciary duty for having "allowed a situation to develop and continue which exposed the corporation to enormous legal liability and that in so doing they violated a duty to be active monitors of corporate performance."</w:t>
      </w:r>
      <w:hyperlink w:anchor="Xd0ece0ff93b27d84b6aed053182ae77c37364b3">
        <w:r>
          <w:rPr>
            <w:rStyle w:val="Hyperlink"/>
            <w:vertAlign w:val="superscript"/>
          </w:rPr>
          <w:t xml:space="preserve">[18]</w:t>
        </w:r>
      </w:hyperlink>
    </w:p>
    <w:p>
      <w:pPr>
        <w:pStyle w:val="BodyText"/>
      </w:pPr>
      <w:r>
        <w:t xml:space="preserve">In evaluating whether to approve the proposed settlement agreement in</w:t>
      </w:r>
      <w:r>
        <w:t xml:space="preserve"> </w:t>
      </w:r>
      <w:r>
        <w:rPr>
          <w:iCs/>
          <w:i/>
        </w:rPr>
        <w:t xml:space="preserve">Caremark,</w:t>
      </w:r>
      <w:r>
        <w:t xml:space="preserve"> </w:t>
      </w:r>
      <w:r>
        <w:t xml:space="preserve">the Court of Chancery narrowly construed our holding in</w:t>
      </w:r>
      <w:r>
        <w:t xml:space="preserve"> </w:t>
      </w:r>
      <w:r>
        <w:rPr>
          <w:iCs/>
          <w:i/>
        </w:rPr>
        <w:t xml:space="preserve">Graham</w:t>
      </w:r>
      <w:r>
        <w:t xml:space="preserve"> </w:t>
      </w:r>
      <w:r>
        <w:t xml:space="preserve">"as standing for the proposition that, absent grounds to suspect deception, neither corporate boards nor senior officers can be charged with wrongdoing simply for assuming the integrity of employees and the honesty of their dealings on the company's behalf."</w:t>
      </w:r>
      <w:hyperlink w:anchor="Xfeb03f31eddc10a4456a472b0d9dc2333447bc1">
        <w:r>
          <w:rPr>
            <w:rStyle w:val="Hyperlink"/>
            <w:vertAlign w:val="superscript"/>
          </w:rPr>
          <w:t xml:space="preserve">[19]</w:t>
        </w:r>
      </w:hyperlink>
      <w:r>
        <w:t xml:space="preserve"> </w:t>
      </w:r>
      <w:r>
        <w:t xml:space="preserve">The</w:t>
      </w:r>
      <w:r>
        <w:t xml:space="preserve"> </w:t>
      </w:r>
      <w:r>
        <w:rPr>
          <w:iCs/>
          <w:i/>
        </w:rPr>
        <w:t xml:space="preserve">Caremark</w:t>
      </w:r>
      <w:r>
        <w:t xml:space="preserve"> </w:t>
      </w:r>
      <w:r>
        <w:t xml:space="preserve">Court opined it would be a "mistake" to interpret this Court's decision in</w:t>
      </w:r>
      <w:r>
        <w:t xml:space="preserve"> </w:t>
      </w:r>
      <w:r>
        <w:rPr>
          <w:iCs/>
          <w:i/>
        </w:rPr>
        <w:t xml:space="preserve">Graham</w:t>
      </w:r>
      <w:r>
        <w:t xml:space="preserve"> </w:t>
      </w:r>
      <w:r>
        <w:t xml:space="preserve">to mean that:</w:t>
      </w:r>
    </w:p>
    <w:p>
      <w:pPr>
        <w:pStyle w:val="BlockText"/>
      </w:pPr>
      <w:r>
        <w:t xml:space="preserve">corporate boards may satisfy their obligation to be reasonably informed concerning the corporation, without assuring themselves that information and reporting systems exist in the organization that are reasonably designed to provide to senior management and to the board itself timely, accurate information sufficient to allow management and the board, each within its scope, to reach informed judgments concerning both the corporation's compliance with law and its business performance.</w:t>
      </w:r>
      <w:hyperlink w:anchor="X0afdc809d4f7865fbd17c6e788d77bc68ed5819">
        <w:r>
          <w:rPr>
            <w:rStyle w:val="Hyperlink"/>
            <w:vertAlign w:val="superscript"/>
          </w:rPr>
          <w:t xml:space="preserve">[20]</w:t>
        </w:r>
      </w:hyperlink>
    </w:p>
    <w:p>
      <w:pPr>
        <w:pStyle w:val="FirstParagraph"/>
      </w:pPr>
      <w:r>
        <w:t xml:space="preserve">To the contrary, the</w:t>
      </w:r>
      <w:r>
        <w:t xml:space="preserve"> </w:t>
      </w:r>
      <w:r>
        <w:rPr>
          <w:iCs/>
          <w:i/>
        </w:rPr>
        <w:t xml:space="preserve">Caremark</w:t>
      </w:r>
      <w:r>
        <w:t xml:space="preserve"> </w:t>
      </w:r>
      <w:r>
        <w:t xml:space="preserve">Court stated, "it is important that the board exercise a good faith judgment that the corporation's information and reporting system is in concept and design adequate to assure the board that appropriate information will come to its attention in a timely manner as a matter of ordinary operations, so that it may satisfy its responsibility."</w:t>
      </w:r>
      <w:hyperlink w:anchor="Xd6bfbcccf113fdf1f53e4dbb1efdb336dbb29c9">
        <w:r>
          <w:rPr>
            <w:rStyle w:val="Hyperlink"/>
            <w:vertAlign w:val="superscript"/>
          </w:rPr>
          <w:t xml:space="preserve">[21]</w:t>
        </w:r>
      </w:hyperlink>
      <w:r>
        <w:t xml:space="preserve"> </w:t>
      </w:r>
      <w:r>
        <w:t xml:space="preserve">The</w:t>
      </w:r>
      <w:r>
        <w:t xml:space="preserve"> </w:t>
      </w:r>
      <w:r>
        <w:rPr>
          <w:iCs/>
          <w:i/>
        </w:rPr>
        <w:t xml:space="preserve">Caremark</w:t>
      </w:r>
      <w:r>
        <w:t xml:space="preserve"> </w:t>
      </w:r>
      <w:r>
        <w:t xml:space="preserve">Court recognized, however, that "the duty to act in good faith to be informed cannot be thought to require directors to possess detailed information about all aspects of the operation of the enterprise."</w:t>
      </w:r>
      <w:hyperlink w:anchor="Xa938cb831446cd3d7b07223f401f1c3681b15b2">
        <w:r>
          <w:rPr>
            <w:rStyle w:val="Hyperlink"/>
            <w:vertAlign w:val="superscript"/>
          </w:rPr>
          <w:t xml:space="preserve">[22]</w:t>
        </w:r>
      </w:hyperlink>
      <w:r>
        <w:t xml:space="preserve"> </w:t>
      </w:r>
      <w:r>
        <w:t xml:space="preserve">The Court of Chancery then formulated the following standard for assessing the liability of directors where the directors are unaware of employee [369] misconduct that results in the corporation being held liable:</w:t>
      </w:r>
    </w:p>
    <w:p>
      <w:pPr>
        <w:pStyle w:val="BlockText"/>
      </w:pPr>
      <w:r>
        <w:t xml:space="preserve">Generally where a claim of directorial liability for corporate loss is predicated upon ignorance of liability creating activities within the corporation, as in</w:t>
      </w:r>
      <w:r>
        <w:t xml:space="preserve"> </w:t>
      </w:r>
      <w:r>
        <w:rPr>
          <w:iCs/>
          <w:i/>
        </w:rPr>
        <w:t xml:space="preserve">Graham</w:t>
      </w:r>
      <w:r>
        <w:t xml:space="preserve"> </w:t>
      </w:r>
      <w:r>
        <w:t xml:space="preserve">or in this case, . . . only a sustained or systematic failure of the board to exercise oversight—such as an utter failure to attempt to assure a reasonable information and reporting system exists—will establish the lack of good faith that is a necessary condition to liability.</w:t>
      </w:r>
      <w:hyperlink w:anchor="X244d62fb0d8bb3a715cf4b65f43b58281c7f5ec">
        <w:r>
          <w:rPr>
            <w:rStyle w:val="Hyperlink"/>
            <w:vertAlign w:val="superscript"/>
          </w:rPr>
          <w:t xml:space="preserve">[23]</w:t>
        </w:r>
      </w:hyperlink>
    </w:p>
    <w:bookmarkEnd w:id="155"/>
    <w:bookmarkStart w:id="156" w:name="caremark-standard-approved"/>
    <w:p>
      <w:pPr>
        <w:pStyle w:val="Heading2"/>
      </w:pPr>
      <w:r>
        <w:t xml:space="preserve">Caremark Standard Approved</w:t>
      </w:r>
    </w:p>
    <w:p>
      <w:pPr>
        <w:pStyle w:val="FirstParagraph"/>
      </w:pPr>
      <w:r>
        <w:t xml:space="preserve">As evidenced by the language quoted above, the</w:t>
      </w:r>
      <w:r>
        <w:t xml:space="preserve"> </w:t>
      </w:r>
      <w:r>
        <w:rPr>
          <w:iCs/>
          <w:i/>
        </w:rPr>
        <w:t xml:space="preserve">Caremark</w:t>
      </w:r>
      <w:r>
        <w:t xml:space="preserve"> </w:t>
      </w:r>
      <w:r>
        <w:t xml:space="preserve">standard for so-called "oversight" liability draws heavily upon the concept of director failure to act in good faith. That is consistent with the definition(s) of bad faith recently approved by this Court in its recent</w:t>
      </w:r>
      <w:r>
        <w:t xml:space="preserve"> </w:t>
      </w:r>
      <w:r>
        <w:rPr>
          <w:iCs/>
          <w:i/>
        </w:rPr>
        <w:t xml:space="preserve">Disney</w:t>
      </w:r>
      <w:hyperlink w:anchor="Xfd3a76f70703ed64d0cec87264f9534a9780d91">
        <w:r>
          <w:rPr>
            <w:rStyle w:val="Hyperlink"/>
            <w:vertAlign w:val="superscript"/>
          </w:rPr>
          <w:t xml:space="preserve">[24]</w:t>
        </w:r>
      </w:hyperlink>
      <w:r>
        <w:t xml:space="preserve"> </w:t>
      </w:r>
      <w:r>
        <w:t xml:space="preserve">decision, where we held that a failure to act in good faith requires conduct that is qualitatively different from, and more culpable than, the conduct giving rise to a violation of the fiduciary duty of care (i.e., gross negligence).</w:t>
      </w:r>
      <w:hyperlink w:anchor="X085389fb9b855302da0ab11017dcb5603262aed">
        <w:r>
          <w:rPr>
            <w:rStyle w:val="Hyperlink"/>
            <w:vertAlign w:val="superscript"/>
          </w:rPr>
          <w:t xml:space="preserve">[25]</w:t>
        </w:r>
      </w:hyperlink>
      <w:r>
        <w:t xml:space="preserve"> </w:t>
      </w:r>
      <w:r>
        <w:t xml:space="preserve">In</w:t>
      </w:r>
      <w:r>
        <w:t xml:space="preserve"> </w:t>
      </w:r>
      <w:r>
        <w:rPr>
          <w:iCs/>
          <w:i/>
        </w:rPr>
        <w:t xml:space="preserve">Disney,</w:t>
      </w:r>
      <w:r>
        <w:t xml:space="preserve"> </w:t>
      </w:r>
      <w:r>
        <w:t xml:space="preserve">we identified the following examples of conduct that would establish a failure to act in good faith:</w:t>
      </w:r>
    </w:p>
    <w:p>
      <w:pPr>
        <w:pStyle w:val="BlockText"/>
      </w:pPr>
      <w:r>
        <w:t xml:space="preserve">A failure to act in good faith may be shown, for instance, where the fiduciary intentionally acts with a purpose other than that of advancing the best interests of the corporation, where the fiduciary acts with the intent to violate applicable positive law, or where the fiduciary intentionally fails to act in the face of a known duty to act, demonstrating a conscious disregard for his duties. There may be other examples of bad faith yet to be proven or alleged, but these three are the most salient.</w:t>
      </w:r>
      <w:hyperlink w:anchor="X6c54de908c281fa21e48fc620c41763f0eb5aa5">
        <w:r>
          <w:rPr>
            <w:rStyle w:val="Hyperlink"/>
            <w:vertAlign w:val="superscript"/>
          </w:rPr>
          <w:t xml:space="preserve">[26]</w:t>
        </w:r>
      </w:hyperlink>
    </w:p>
    <w:p>
      <w:pPr>
        <w:pStyle w:val="FirstParagraph"/>
      </w:pPr>
      <w:r>
        <w:t xml:space="preserve">The third of these examples describes, and is fully consistent with, the lack of good faith conduct that the</w:t>
      </w:r>
      <w:r>
        <w:t xml:space="preserve"> </w:t>
      </w:r>
      <w:r>
        <w:rPr>
          <w:iCs/>
          <w:i/>
        </w:rPr>
        <w:t xml:space="preserve">Caremark</w:t>
      </w:r>
      <w:r>
        <w:t xml:space="preserve"> </w:t>
      </w:r>
      <w:r>
        <w:t xml:space="preserve">court held was a "necessary condition" for director oversight liability, i.e., "a sustained or systematic failure of the board to exercise oversight—such as an utter failure to attempt to assure a reasonable information and reporting system exists. . . ."</w:t>
      </w:r>
      <w:hyperlink w:anchor="Xdac4db4a3c04aace5a37ba94b9445e66a423d42">
        <w:r>
          <w:rPr>
            <w:rStyle w:val="Hyperlink"/>
            <w:vertAlign w:val="superscript"/>
          </w:rPr>
          <w:t xml:space="preserve">[27]</w:t>
        </w:r>
      </w:hyperlink>
      <w:r>
        <w:t xml:space="preserve"> </w:t>
      </w:r>
      <w:r>
        <w:t xml:space="preserve">Indeed, our opinion in</w:t>
      </w:r>
      <w:r>
        <w:t xml:space="preserve"> </w:t>
      </w:r>
      <w:r>
        <w:rPr>
          <w:iCs/>
          <w:i/>
        </w:rPr>
        <w:t xml:space="preserve">Disney</w:t>
      </w:r>
      <w:r>
        <w:t xml:space="preserve"> </w:t>
      </w:r>
      <w:r>
        <w:t xml:space="preserve">cited</w:t>
      </w:r>
      <w:r>
        <w:t xml:space="preserve"> </w:t>
      </w:r>
      <w:r>
        <w:rPr>
          <w:iCs/>
          <w:i/>
        </w:rPr>
        <w:t xml:space="preserve">Caremark</w:t>
      </w:r>
      <w:r>
        <w:t xml:space="preserve"> </w:t>
      </w:r>
      <w:r>
        <w:t xml:space="preserve">with approval for that proposition.</w:t>
      </w:r>
      <w:hyperlink w:anchor="Xba840387efc0d0598b66dda63d941b6c90335bc">
        <w:r>
          <w:rPr>
            <w:rStyle w:val="Hyperlink"/>
            <w:vertAlign w:val="superscript"/>
          </w:rPr>
          <w:t xml:space="preserve">[28]</w:t>
        </w:r>
      </w:hyperlink>
      <w:r>
        <w:t xml:space="preserve"> </w:t>
      </w:r>
      <w:r>
        <w:t xml:space="preserve">Accordingly, the Court of Chancery applied the correct standard in assessing whether</w:t>
      </w:r>
      <w:r>
        <w:rPr>
          <w:rStyle w:val="ReplacementText"/>
        </w:rPr>
        <w:t xml:space="preserve">the plaintiffs had plead sufficient facts</w:t>
      </w:r>
      <w:r>
        <w:t xml:space="preserve">d in this case where failure to exercise oversight was the basis or theory of the plaintiffs' claim for relief.</w:t>
      </w:r>
    </w:p>
    <w:p>
      <w:pPr>
        <w:pStyle w:val="BodyText"/>
      </w:pPr>
      <w:r>
        <w:t xml:space="preserve">It is important, in this context, to clarify a doctrinal issue that is critical to understanding fiduciary liability under</w:t>
      </w:r>
      <w:r>
        <w:t xml:space="preserve"> </w:t>
      </w:r>
      <w:r>
        <w:rPr>
          <w:iCs/>
          <w:i/>
        </w:rPr>
        <w:t xml:space="preserve">Caremark</w:t>
      </w:r>
      <w:r>
        <w:t xml:space="preserve"> </w:t>
      </w:r>
      <w:r>
        <w:t xml:space="preserve">as we construe that case. The phraseology used in</w:t>
      </w:r>
      <w:r>
        <w:t xml:space="preserve"> </w:t>
      </w:r>
      <w:r>
        <w:rPr>
          <w:iCs/>
          <w:i/>
        </w:rPr>
        <w:t xml:space="preserve">Caremark</w:t>
      </w:r>
      <w:r>
        <w:t xml:space="preserve"> </w:t>
      </w:r>
      <w:r>
        <w:t xml:space="preserve">and that we employ here—describing the lack of good faith as a "necessary condition to liability"—is deliberate. The purpose of that formulation is to communicate that a failure to act in good faith is not conduct that results,</w:t>
      </w:r>
      <w:r>
        <w:t xml:space="preserve"> </w:t>
      </w:r>
      <w:r>
        <w:rPr>
          <w:iCs/>
          <w:i/>
        </w:rPr>
        <w:t xml:space="preserve">ipso facto,</w:t>
      </w:r>
      <w:r>
        <w:t xml:space="preserve"> </w:t>
      </w:r>
      <w:r>
        <w:t xml:space="preserve">in the direct imposition of fiduciary liability.</w:t>
      </w:r>
      <w:hyperlink w:anchor="X68578f1522f2137127988a007c99db54cd2e843">
        <w:r>
          <w:rPr>
            <w:rStyle w:val="Hyperlink"/>
            <w:vertAlign w:val="superscript"/>
          </w:rPr>
          <w:t xml:space="preserve">[29]</w:t>
        </w:r>
      </w:hyperlink>
      <w:r>
        <w:t xml:space="preserve"> </w:t>
      </w:r>
      <w:r>
        <w:t xml:space="preserve">The failure to act in [370] good faith may result in liability because the requirement to act in good faith "is a subsidiary element[,]" i.e., a condition, "of the fundamental duty of loyalty."</w:t>
      </w:r>
      <w:hyperlink w:anchor="Xef6cbc0aa5bf74e2488f5906e8799fdadeec009">
        <w:r>
          <w:rPr>
            <w:rStyle w:val="Hyperlink"/>
            <w:vertAlign w:val="superscript"/>
          </w:rPr>
          <w:t xml:space="preserve">[30]</w:t>
        </w:r>
      </w:hyperlink>
      <w:r>
        <w:t xml:space="preserve"> </w:t>
      </w:r>
      <w:r>
        <w:t xml:space="preserve">It follows that because a showing of bad faith conduct, in the sense described in</w:t>
      </w:r>
      <w:r>
        <w:t xml:space="preserve"> </w:t>
      </w:r>
      <w:r>
        <w:rPr>
          <w:iCs/>
          <w:i/>
        </w:rPr>
        <w:t xml:space="preserve">Disney</w:t>
      </w:r>
      <w:r>
        <w:t xml:space="preserve"> </w:t>
      </w:r>
      <w:r>
        <w:t xml:space="preserve">and</w:t>
      </w:r>
      <w:r>
        <w:t xml:space="preserve"> </w:t>
      </w:r>
      <w:r>
        <w:rPr>
          <w:iCs/>
          <w:i/>
        </w:rPr>
        <w:t xml:space="preserve">Caremark,</w:t>
      </w:r>
      <w:r>
        <w:t xml:space="preserve"> </w:t>
      </w:r>
      <w:r>
        <w:t xml:space="preserve">is essential to establish director oversight liability, the fiduciary duty violated by that conduct is the duty of loyalty.</w:t>
      </w:r>
    </w:p>
    <w:p>
      <w:pPr>
        <w:pStyle w:val="BodyText"/>
      </w:pPr>
      <w:r>
        <w:t xml:space="preserve">This view of a failure to act in good faith results in two additional doctrinal consequences. First, although good faith may be described colloquially as part of a "triad" of fiduciary duties that includes the duties of care and loyalty,</w:t>
      </w:r>
      <w:hyperlink w:anchor="Xee952662d5ce01093124e4077ad961e6c4bdd6c">
        <w:r>
          <w:rPr>
            <w:rStyle w:val="Hyperlink"/>
            <w:vertAlign w:val="superscript"/>
          </w:rPr>
          <w:t xml:space="preserve">[31]</w:t>
        </w:r>
      </w:hyperlink>
      <w:r>
        <w:t xml:space="preserve"> </w:t>
      </w:r>
      <w:r>
        <w:t xml:space="preserve">the obligation to act in good faith does not establish an independent fiduciary duty that stands on the same footing as the duties of care and loyalty. Only the latter two duties, where violated, may directly result in liability, whereas a failure to act in good faith may do so, but indirectly. The second doctrinal consequence is that the fiduciary duty of loyalty is not limited to cases involving a financial or other cognizable fiduciary conflict of interest. It also encompasses cases where the fiduciary fails to act in good faith. As the Court of Chancery aptly put it in</w:t>
      </w:r>
      <w:r>
        <w:t xml:space="preserve"> </w:t>
      </w:r>
      <w:r>
        <w:rPr>
          <w:iCs/>
          <w:i/>
        </w:rPr>
        <w:t xml:space="preserve">Guttman,</w:t>
      </w:r>
      <w:r>
        <w:t xml:space="preserve"> </w:t>
      </w:r>
      <w:r>
        <w:t xml:space="preserve">"[a] director cannot act loyally towards the corporation unless she acts in the good faith belief that her actions are in the corporation's best interest."</w:t>
      </w:r>
      <w:hyperlink w:anchor="Xc434a9fe3ff71a7d3838c5b7398439664f9e8f2">
        <w:r>
          <w:rPr>
            <w:rStyle w:val="Hyperlink"/>
            <w:vertAlign w:val="superscript"/>
          </w:rPr>
          <w:t xml:space="preserve">[32]</w:t>
        </w:r>
      </w:hyperlink>
    </w:p>
    <w:p>
      <w:pPr>
        <w:pStyle w:val="BodyText"/>
      </w:pPr>
      <w:r>
        <w:t xml:space="preserve">We hold that</w:t>
      </w:r>
      <w:r>
        <w:t xml:space="preserve"> </w:t>
      </w:r>
      <w:r>
        <w:rPr>
          <w:iCs/>
          <w:i/>
        </w:rPr>
        <w:t xml:space="preserve">Caremark</w:t>
      </w:r>
      <w:r>
        <w:t xml:space="preserve"> </w:t>
      </w:r>
      <w:r>
        <w:t xml:space="preserve">articulates the necessary conditions predicate for director oversight liability: (a) the directors utterly failed to implement any reporting or information system or controls;</w:t>
      </w:r>
      <w:r>
        <w:t xml:space="preserve"> </w:t>
      </w:r>
      <w:r>
        <w:rPr>
          <w:iCs/>
          <w:i/>
        </w:rPr>
        <w:t xml:space="preserve">or</w:t>
      </w:r>
      <w:r>
        <w:t xml:space="preserve"> </w:t>
      </w:r>
      <w:r>
        <w:t xml:space="preserve">(b) having implemented such a system or controls, consciously failed to monitor or oversee its operations thus disabling themselves from being informed of risks or problems requiring their attention. In either case, imposition of liability requires a showing that the directors knew that they were not discharging their fiduciary obligations.</w:t>
      </w:r>
      <w:hyperlink w:anchor="X4116bbb942a66baa0003a3a58f16b8680be9451">
        <w:r>
          <w:rPr>
            <w:rStyle w:val="Hyperlink"/>
            <w:vertAlign w:val="superscript"/>
          </w:rPr>
          <w:t xml:space="preserve">[33]</w:t>
        </w:r>
      </w:hyperlink>
      <w:r>
        <w:t xml:space="preserve"> </w:t>
      </w:r>
      <w:r>
        <w:t xml:space="preserve">Where directors fail to act in the face of a known duty to act, thereby demonstrating a conscious disregard for their responsibilities,</w:t>
      </w:r>
      <w:hyperlink w:anchor="X722e14d6add4867100ceaa8490596e40c4594c2">
        <w:r>
          <w:rPr>
            <w:rStyle w:val="Hyperlink"/>
            <w:vertAlign w:val="superscript"/>
          </w:rPr>
          <w:t xml:space="preserve">[34]</w:t>
        </w:r>
      </w:hyperlink>
      <w:r>
        <w:t xml:space="preserve"> </w:t>
      </w:r>
      <w:r>
        <w:t xml:space="preserve">they breach their duty of loyalty by failing to discharge that fiduciary obligation in good faith.</w:t>
      </w:r>
      <w:hyperlink w:anchor="X0af232a77f72e638b8a4ef45a5faffe170596bd">
        <w:r>
          <w:rPr>
            <w:rStyle w:val="Hyperlink"/>
            <w:vertAlign w:val="superscript"/>
          </w:rPr>
          <w:t xml:space="preserve">[35]</w:t>
        </w:r>
      </w:hyperlink>
    </w:p>
    <w:bookmarkEnd w:id="156"/>
    <w:bookmarkStart w:id="157" w:name="chancery-court-decision"/>
    <w:p>
      <w:pPr>
        <w:pStyle w:val="Heading2"/>
      </w:pPr>
      <w:r>
        <w:t xml:space="preserve">Chancery Court Decision</w:t>
      </w:r>
    </w:p>
    <w:p>
      <w:pPr>
        <w:pStyle w:val="FirstParagraph"/>
      </w:pPr>
      <w:r>
        <w:t xml:space="preserve">The plaintiffs contend that</w:t>
      </w:r>
      <w:r>
        <w:rPr>
          <w:rStyle w:val="Elision"/>
        </w:rPr>
        <w:t xml:space="preserve">[ … ]</w:t>
      </w:r>
      <w:r>
        <w:t xml:space="preserve">e AmSouth's directors breached their oversight duty</w:t>
      </w:r>
      <w:r>
        <w:rPr>
          <w:rStyle w:val="Elision"/>
        </w:rPr>
        <w:t xml:space="preserve">[ … ]</w:t>
      </w:r>
      <w:r>
        <w:t xml:space="preserve"> </w:t>
      </w:r>
      <w:r>
        <w:t xml:space="preserve">as a result of their "utter failure" to act in good faith to put into place policies and procedures to ensure compliance with BSA and AML obligations. The Court of Chancery found that the plaintiffs did not plead the existence of "red flags"—"facts showing that the board ever was aware that AmSouth's internal controls were inadequate, that these inadequacies would result in illegal activity, and that the board chose to do nothing about problems it allegedly knew existed." In dismissing the derivative complaint in this action, the Court of Chancery concluded:</w:t>
      </w:r>
    </w:p>
    <w:p>
      <w:pPr>
        <w:pStyle w:val="BlockText"/>
      </w:pPr>
      <w:r>
        <w:t xml:space="preserve">This case is not about a board's failure to carefully consider a material corporate decision that was presented to the [371] board. This is a case where information was not reaching the board because of ineffective internal controls. . . . With the benefit of hindsight, it is beyond question that AmSouth's internal controls with respect to the Bank Secrecy Act and anti-money laundering regulations compliance were inadequate. Neither party disputes that the lack of internal controls resulted in a huge fine—$50 million, alleged to be the largest ever of its kind. The fact of those losses, however, is not alone enough for a court to conclude that</w:t>
      </w:r>
      <w:r>
        <w:rPr>
          <w:rStyle w:val="ReplacementText"/>
        </w:rPr>
        <w:t xml:space="preserve">there is a reasonable chance of liability, so as to meet the pleading standard for derivative actions</w:t>
      </w:r>
      <w:r>
        <w:t xml:space="preserve">e.</w:t>
      </w:r>
      <w:hyperlink w:anchor="X669fc63499811d10128f93bb276533648bd73d3">
        <w:r>
          <w:rPr>
            <w:rStyle w:val="Hyperlink"/>
            <w:vertAlign w:val="superscript"/>
          </w:rPr>
          <w:t xml:space="preserve">[36]</w:t>
        </w:r>
      </w:hyperlink>
    </w:p>
    <w:p>
      <w:pPr>
        <w:pStyle w:val="FirstParagraph"/>
      </w:pPr>
      <w:r>
        <w:t xml:space="preserve">This Court reviews</w:t>
      </w:r>
      <w:r>
        <w:t xml:space="preserve"> </w:t>
      </w:r>
      <w:r>
        <w:rPr>
          <w:iCs/>
          <w:i/>
        </w:rPr>
        <w:t xml:space="preserve">de novo</w:t>
      </w:r>
      <w:r>
        <w:t xml:space="preserve"> </w:t>
      </w:r>
      <w:r>
        <w:t xml:space="preserve">a Court of Chancery's decision to dismiss a derivative suit under Rule 23.1.</w:t>
      </w:r>
      <w:hyperlink w:anchor="X574a0b67f0afad5954403210e5acc1ef93fec28">
        <w:r>
          <w:rPr>
            <w:rStyle w:val="Hyperlink"/>
            <w:vertAlign w:val="superscript"/>
          </w:rPr>
          <w:t xml:space="preserve">[37]</w:t>
        </w:r>
      </w:hyperlink>
    </w:p>
    <w:bookmarkEnd w:id="157"/>
    <w:bookmarkStart w:id="158" w:name="reasonable-reporting-system-existed"/>
    <w:p>
      <w:pPr>
        <w:pStyle w:val="Heading2"/>
      </w:pPr>
      <w:r>
        <w:t xml:space="preserve">Reasonable Reporting System Existed</w:t>
      </w:r>
    </w:p>
    <w:p>
      <w:pPr>
        <w:pStyle w:val="FirstParagraph"/>
      </w:pPr>
      <w:r>
        <w:t xml:space="preserve">The KPMG Report evaluated the various components of AmSouth's longstanding BSA/AML compliance program. The KPMG Report reflects that AmSouth's Board dedicated considerable resources to the BSA/AML compliance program and put into place numerous procedures and systems to attempt to ensure compliance. According to KPMG, the program's various components exhibited between a low and high degree of compliance with applicable laws and regulations.</w:t>
      </w:r>
    </w:p>
    <w:p>
      <w:pPr>
        <w:pStyle w:val="BodyText"/>
      </w:pPr>
      <w:r>
        <w:t xml:space="preserve">The KPMG Report describes the numerous AmSouth employees, departments and committees established by the Board to oversee AmSouth's compliance with the BSA and to report violations to management and the Board:</w:t>
      </w:r>
    </w:p>
    <w:p>
      <w:pPr>
        <w:pStyle w:val="BlockText"/>
      </w:pPr>
      <w:r>
        <w:t xml:space="preserve">BSA Officer. Since 1998, AmSouth has had a "BSA Officer" "responsible for all BSA/AML-related matters including employee training, general communications, CTR reporting and SAR reporting," and "presenting AML policy and program changes to the Board of Directors, the managers at the various lines of business, and participants in the annual training of security and audit personnel[;]"</w:t>
      </w:r>
    </w:p>
    <w:p>
      <w:pPr>
        <w:pStyle w:val="BlockText"/>
      </w:pPr>
      <w:r>
        <w:t xml:space="preserve">BSA/AML Compliance Department. AmSouth has had for years a BSA/AML Compliance Department, headed by the BSA Officer and comprised of nineteen professionals, including a BSA/AML Compliance Manager and a Compliance Reporting Manager;</w:t>
      </w:r>
    </w:p>
    <w:p>
      <w:pPr>
        <w:pStyle w:val="BlockText"/>
      </w:pPr>
      <w:r>
        <w:t xml:space="preserve">Corporate Security Department. AmSouth's Corporate Security Department has been at all relevant times responsible for the detection and reporting of suspicious activity as it relates to fraudulent activity, and William Burch, the head of Corporate Security, has been with AmSouth since 1998 and served in the U.S. Secret Service from 1969 to 1998; and</w:t>
      </w:r>
    </w:p>
    <w:p>
      <w:pPr>
        <w:pStyle w:val="BlockText"/>
      </w:pPr>
      <w:r>
        <w:t xml:space="preserve">Suspicious Activity Oversight Committee. Since 2001, the "Suspicious Activity Oversight Committee" and its predecessor, the "AML Committee," have actively overseen AmSouth's BSA/AML compliance program. The Suspicious Activity Oversight Committee's mission has for years been to "oversee the policy, procedure, and process issues affecting the Corporate Security and BSA/ AML Compliance Programs, to ensure that an effective program exists at AmSouth to deter, detect, and report money laundering, suspicious activity and other fraudulent activity."</w:t>
      </w:r>
    </w:p>
    <w:p>
      <w:pPr>
        <w:pStyle w:val="FirstParagraph"/>
      </w:pPr>
      <w:r>
        <w:t xml:space="preserve">The KPMG Report reflects that the directors not only discharged their oversight [372] responsibility to establish an information and reporting system, but also proved that the system was designed to permit the directors to periodically monitor AmSouth's compliance with BSA and AML regulations. For example, as KPMG noted in 2004, AmSouth's designated BSA Officer "has made annual high-level presentations to the Board of Directors in each of the last five years." Further, the Board's Audit and Community Responsibility Committee (the "Audit Committee") oversaw AmSouth's BSA/AML compliance program on a quarterly basis. The KPMG Report states that "the BSA Officer presents BSA/AML training to the Board of Directors annually," and the "Corporate Security training is also presented to the Board of Directors."</w:t>
      </w:r>
    </w:p>
    <w:p>
      <w:pPr>
        <w:pStyle w:val="BodyText"/>
      </w:pPr>
      <w:r>
        <w:t xml:space="preserve">The KPMG Report shows that AmSouth's Board at various times enacted written policies and procedures designed to ensure compliance with the BSA and AML regulations. For example, the Board adopted an amended bank-wide "BSA/AML Policy" on July 17, 2003—four months before AmSouth became aware that it was the target of a government investigation. That policy was produced to plaintiffs in response to their demand to inspect AmSouth's books and records pursuant to section 220</w:t>
      </w:r>
      <w:hyperlink w:anchor="X316bc55c4f488dcda2fbb43748cf0d2b97de7f2">
        <w:r>
          <w:rPr>
            <w:rStyle w:val="Hyperlink"/>
            <w:vertAlign w:val="superscript"/>
          </w:rPr>
          <w:t xml:space="preserve">[38]</w:t>
        </w:r>
      </w:hyperlink>
      <w:r>
        <w:t xml:space="preserve"> </w:t>
      </w:r>
      <w:r>
        <w:t xml:space="preserve">and is included in plaintiffs' appendix. Among other things, the July 17, 2003, BSA/AML Policy directs all AmSouth employees to immediately report suspicious transactions or activity to the BSA/AML Compliance Department or Corporate Security.</w:t>
      </w:r>
    </w:p>
    <w:bookmarkEnd w:id="158"/>
    <w:bookmarkStart w:id="159" w:name="complaint-properly-dismissed"/>
    <w:p>
      <w:pPr>
        <w:pStyle w:val="Heading2"/>
      </w:pPr>
      <w:r>
        <w:t xml:space="preserve">Complaint Properly Dismissed</w:t>
      </w:r>
    </w:p>
    <w:p>
      <w:pPr>
        <w:pStyle w:val="FirstParagraph"/>
      </w:pPr>
      <w:r>
        <w:t xml:space="preserve">In this case, the adequacy of the plaintiffs'</w:t>
      </w:r>
      <w:r>
        <w:rPr>
          <w:rStyle w:val="ReplacementText"/>
        </w:rPr>
        <w:t xml:space="preserve">complaint</w:t>
      </w:r>
      <w:r>
        <w:t xml:space="preserve">d depends on whether the complaint alleges facts sufficient to show that the defendant</w:t>
      </w:r>
      <w:r>
        <w:t xml:space="preserve"> </w:t>
      </w:r>
      <w:r>
        <w:rPr>
          <w:iCs/>
          <w:i/>
        </w:rPr>
        <w:t xml:space="preserve">directors</w:t>
      </w:r>
      <w:r>
        <w:t xml:space="preserve"> </w:t>
      </w:r>
      <w:r>
        <w:t xml:space="preserve">are potentially personally liable for the failure of non-director bank</w:t>
      </w:r>
      <w:r>
        <w:t xml:space="preserve"> </w:t>
      </w:r>
      <w:r>
        <w:rPr>
          <w:iCs/>
          <w:i/>
        </w:rPr>
        <w:t xml:space="preserve">employees</w:t>
      </w:r>
      <w:r>
        <w:t xml:space="preserve"> </w:t>
      </w:r>
      <w:r>
        <w:t xml:space="preserve">to file SARs. Delaware courts have recognized that "[m]ost of the decisions that a corporation, acting through its human agents, makes are, of course, not the subject of director attention."</w:t>
      </w:r>
      <w:hyperlink w:anchor="Xf570681a0f910b2cecfbf3a7a4197510b70dc69">
        <w:r>
          <w:rPr>
            <w:rStyle w:val="Hyperlink"/>
            <w:vertAlign w:val="superscript"/>
          </w:rPr>
          <w:t xml:space="preserve">[39]</w:t>
        </w:r>
      </w:hyperlink>
      <w:r>
        <w:t xml:space="preserve"> </w:t>
      </w:r>
      <w:r>
        <w:t xml:space="preserve">Consequently, a claim that directors are subject to personal liability for employee failures is "possibly the most difficult theory in corporation law upon which a plaintiff might hope to win a judgment."</w:t>
      </w:r>
      <w:hyperlink w:anchor="Xf49ca01a2723bf9d69a0036fe37b431dbac52ed">
        <w:r>
          <w:rPr>
            <w:rStyle w:val="Hyperlink"/>
            <w:vertAlign w:val="superscript"/>
          </w:rPr>
          <w:t xml:space="preserve">[40]</w:t>
        </w:r>
      </w:hyperlink>
    </w:p>
    <w:p>
      <w:pPr>
        <w:pStyle w:val="BodyText"/>
      </w:pPr>
      <w:r>
        <w:t xml:space="preserve">For the plaintiffs' derivative complaint to withstand a motion to dismiss, "only a sustained or systematic failure of the board to exercise oversight—such as an utter failure to attempt to assure a reasonable information and reporting system exists—will establish the lack of good faith that is a necessary condition to liability."</w:t>
      </w:r>
      <w:hyperlink w:anchor="X98c68e26d3049818294e245dbb37d36bcbccd19">
        <w:r>
          <w:rPr>
            <w:rStyle w:val="Hyperlink"/>
            <w:vertAlign w:val="superscript"/>
          </w:rPr>
          <w:t xml:space="preserve">[41]</w:t>
        </w:r>
      </w:hyperlink>
      <w:r>
        <w:t xml:space="preserve"> </w:t>
      </w:r>
      <w:r>
        <w:t xml:space="preserve">As the</w:t>
      </w:r>
      <w:r>
        <w:t xml:space="preserve"> </w:t>
      </w:r>
      <w:r>
        <w:rPr>
          <w:iCs/>
          <w:i/>
        </w:rPr>
        <w:t xml:space="preserve">Caremark</w:t>
      </w:r>
      <w:r>
        <w:t xml:space="preserve"> </w:t>
      </w:r>
      <w:r>
        <w:t xml:space="preserve">decision noted:</w:t>
      </w:r>
    </w:p>
    <w:p>
      <w:pPr>
        <w:pStyle w:val="BlockText"/>
      </w:pPr>
      <w:r>
        <w:t xml:space="preserve">Such a test of liability—lack of good faith as evidenced by sustained or systematic failure of a director to exercise reasonable oversight—is quite high. But, a demanding test of liability in the oversight context is probably beneficial to corporate shareholders as a class, as it is in the board decision context, since it makes board service by qualified persons more likely, while continuing to act as a stimulus to</w:t>
      </w:r>
      <w:r>
        <w:t xml:space="preserve"> </w:t>
      </w:r>
      <w:r>
        <w:rPr>
          <w:iCs/>
          <w:i/>
        </w:rPr>
        <w:t xml:space="preserve">good faith performance of duty</w:t>
      </w:r>
      <w:r>
        <w:t xml:space="preserve"> </w:t>
      </w:r>
      <w:r>
        <w:t xml:space="preserve">by such directors.</w:t>
      </w:r>
      <w:hyperlink w:anchor="Xc70d90d5ec5e44577d964cd307199776941a06a">
        <w:r>
          <w:rPr>
            <w:rStyle w:val="Hyperlink"/>
            <w:vertAlign w:val="superscript"/>
          </w:rPr>
          <w:t xml:space="preserve">[42]</w:t>
        </w:r>
      </w:hyperlink>
    </w:p>
    <w:p>
      <w:pPr>
        <w:pStyle w:val="FirstParagraph"/>
      </w:pPr>
      <w:r>
        <w:t xml:space="preserve">The KPMG Report—which the plaintiffs explicitly incorporated by reference into their derivative complaint—refutes the assertion that the directors "never took the necessary steps . . . to ensure that a reasonable BSA compliance and reporting system existed." KPMG's findings reflect [373] that the Board received and approved relevant policies and procedures, delegated to certain employees and departments the responsibility for filing SARs and monitoring compliance, and exercised oversight by relying on periodic reports from them. Although there ultimately may have been failures by employees to report deficiencies to the Board, there is no basis for an oversight claim seeking to hold the directors personally liable for such failures by the employees.</w:t>
      </w:r>
    </w:p>
    <w:p>
      <w:pPr>
        <w:pStyle w:val="BodyText"/>
      </w:pPr>
      <w:r>
        <w:t xml:space="preserve">With the benefit of hindsight, the plaintiffs' complaint seeks to equate a bad outcome with bad faith. The lacuna in the plaintiffs' argument is a failure to recognize that the directors' good faith exercise of oversight responsibility may not invariably prevent employees from violating criminal laws, or from causing the corporation to incur significant financial liability, or both, as occurred in</w:t>
      </w:r>
      <w:r>
        <w:t xml:space="preserve"> </w:t>
      </w:r>
      <w:r>
        <w:rPr>
          <w:iCs/>
          <w:i/>
        </w:rPr>
        <w:t xml:space="preserve">Graham, Caremark</w:t>
      </w:r>
      <w:r>
        <w:t xml:space="preserve"> </w:t>
      </w:r>
      <w:r>
        <w:t xml:space="preserve">and this very case. In the absence of red flags, good faith in the context of oversight must be measured by the directors' actions "to assure a reasonable information and reporting system exists" and not by second-guessing after the occurrence of employee conduct that results in an unintended adverse outcome.</w:t>
      </w:r>
      <w:hyperlink w:anchor="Xf41cb8d1ce202e0f67f19c93709ff80101deac7">
        <w:r>
          <w:rPr>
            <w:rStyle w:val="Hyperlink"/>
            <w:vertAlign w:val="superscript"/>
          </w:rPr>
          <w:t xml:space="preserve">[43]</w:t>
        </w:r>
      </w:hyperlink>
      <w:r>
        <w:t xml:space="preserve"> </w:t>
      </w:r>
      <w:r>
        <w:t xml:space="preserve">Accordingly, we hold that the Court of Chancery properly applied</w:t>
      </w:r>
      <w:r>
        <w:t xml:space="preserve"> </w:t>
      </w:r>
      <w:r>
        <w:rPr>
          <w:iCs/>
          <w:i/>
        </w:rPr>
        <w:t xml:space="preserve">Caremark</w:t>
      </w:r>
      <w:r>
        <w:t xml:space="preserve"> </w:t>
      </w:r>
      <w:r>
        <w:t xml:space="preserve">and dismissed the plaintiffs' derivative complaint for failure to</w:t>
      </w:r>
      <w:r>
        <w:rPr>
          <w:rStyle w:val="Elision"/>
        </w:rPr>
        <w:t xml:space="preserve">[ … ]</w:t>
      </w:r>
      <w:r>
        <w:t xml:space="preserve"> </w:t>
      </w:r>
      <w:r>
        <w:t xml:space="preserve">alle</w:t>
      </w:r>
      <w:r>
        <w:rPr>
          <w:rStyle w:val="ReplacementText"/>
        </w:rPr>
        <w:t xml:space="preserve">e</w:t>
      </w:r>
      <w:r>
        <w:t xml:space="preserve">g particularized facts that created reason to doubt whether the directors had acted in good faith in exercising their oversight responsibilities.</w:t>
      </w:r>
    </w:p>
    <w:bookmarkEnd w:id="159"/>
    <w:bookmarkStart w:id="160" w:name="conclusion"/>
    <w:p>
      <w:pPr>
        <w:pStyle w:val="Heading2"/>
      </w:pPr>
      <w:r>
        <w:t xml:space="preserve">Conclusion</w:t>
      </w:r>
    </w:p>
    <w:p>
      <w:pPr>
        <w:pStyle w:val="FirstParagraph"/>
      </w:pPr>
      <w:r>
        <w:t xml:space="preserve">The judgment of the Court of Chancery is affirmed.</w:t>
      </w:r>
    </w:p>
    <w:p>
      <w:pPr>
        <w:pStyle w:val="BodyText"/>
      </w:pPr>
      <w:hyperlink w:anchor="X436cf80ac6fd9075711e7570ae75ac8daa38f0e">
        <w:r>
          <w:rPr>
            <w:rStyle w:val="Hyperlink"/>
          </w:rPr>
          <w:t xml:space="preserve">[1]</w:t>
        </w:r>
      </w:hyperlink>
      <w:r>
        <w:t xml:space="preserve"> </w:t>
      </w:r>
      <w:r>
        <w:rPr>
          <w:iCs/>
          <w:i/>
        </w:rPr>
        <w:t xml:space="preserve">In re Caremark Int'l Inc. Deriv. Litig.,</w:t>
      </w:r>
      <w:r>
        <w:t xml:space="preserve"> </w:t>
      </w:r>
      <w:r>
        <w:t xml:space="preserve">698 A.2d 959 (Del.Ch.1996).</w:t>
      </w:r>
    </w:p>
    <w:p>
      <w:pPr>
        <w:pStyle w:val="BodyText"/>
      </w:pPr>
      <w:hyperlink w:anchor="X37c9c7a4f9a6e262686e8867e235b06c4911796">
        <w:r>
          <w:rPr>
            <w:rStyle w:val="Hyperlink"/>
          </w:rPr>
          <w:t xml:space="preserve">[2]</w:t>
        </w:r>
      </w:hyperlink>
      <w:r>
        <w:t xml:space="preserve"> </w:t>
      </w:r>
      <w:r>
        <w:rPr>
          <w:iCs/>
          <w:i/>
        </w:rPr>
        <w:t xml:space="preserve">In re Caremark Int'l Inc. Deriv. Litig.,</w:t>
      </w:r>
      <w:r>
        <w:t xml:space="preserve"> </w:t>
      </w:r>
      <w:r>
        <w:t xml:space="preserve">698 A.2d at 97</w:t>
      </w:r>
      <w:r>
        <w:rPr>
          <w:rStyle w:val="Elision"/>
        </w:rPr>
        <w:t xml:space="preserve">[ … ]</w:t>
      </w:r>
      <w:r>
        <w:t xml:space="preserve">.</w:t>
      </w:r>
    </w:p>
    <w:p>
      <w:pPr>
        <w:pStyle w:val="BodyText"/>
      </w:pPr>
      <w:hyperlink w:anchor="X99820e4e54609a4acd2a2e71e2bfbece550a04a">
        <w:r>
          <w:rPr>
            <w:rStyle w:val="Hyperlink"/>
          </w:rPr>
          <w:t xml:space="preserve">[3]</w:t>
        </w:r>
      </w:hyperlink>
      <w:r>
        <w:t xml:space="preserve"> </w:t>
      </w:r>
      <w:r>
        <w:rPr>
          <w:iCs/>
          <w:i/>
        </w:rPr>
        <w:t xml:space="preserve">In re Walt Disney Co. Deriv. Litig.,</w:t>
      </w:r>
      <w:r>
        <w:t xml:space="preserve"> </w:t>
      </w:r>
      <w:r>
        <w:t xml:space="preserve">906 A.2d 27 (Del.2006).</w:t>
      </w:r>
    </w:p>
    <w:p>
      <w:pPr>
        <w:pStyle w:val="BodyText"/>
      </w:pPr>
      <w:hyperlink w:anchor="X62cd1fa6ab538d454f43b6f25d28c6cec97e84c">
        <w:r>
          <w:rPr>
            <w:rStyle w:val="Hyperlink"/>
          </w:rPr>
          <w:t xml:space="preserve">[4]</w:t>
        </w:r>
      </w:hyperlink>
      <w:r>
        <w:t xml:space="preserve"> </w:t>
      </w:r>
      <w:r>
        <w:t xml:space="preserve">31 U.S.C. § 5318 (2006)</w:t>
      </w:r>
      <w:r>
        <w:t xml:space="preserve"> </w:t>
      </w:r>
      <w:r>
        <w:rPr>
          <w:iCs/>
          <w:i/>
        </w:rPr>
        <w:t xml:space="preserve">et seq.</w:t>
      </w:r>
      <w:r>
        <w:t xml:space="preserve"> </w:t>
      </w:r>
      <w:r>
        <w:t xml:space="preserve">The Bank Secrecy Act and the regulations promulgated thereunder require banks to file with the Financial Crimes Enforcement Network, a bureau of the U.S. Department of the Treasury known as "FinCEN," a written "Suspicious Activity Report" (known as a "SAR") whenever,</w:t>
      </w:r>
      <w:r>
        <w:t xml:space="preserve"> </w:t>
      </w:r>
      <w:r>
        <w:rPr>
          <w:iCs/>
          <w:i/>
        </w:rPr>
        <w:t xml:space="preserve">inter alia,</w:t>
      </w:r>
      <w:r>
        <w:t xml:space="preserve"> </w:t>
      </w:r>
      <w:r>
        <w:t xml:space="preserve">a banking transaction involves at least $5,000 "and the bank knows, suspects, or has reason to suspect" that, among other possibilities, the "transaction involves funds derived from illegal activities or is intended or conducted in order to hide or disguise funds or assets derived from illegal activities. . . ."</w:t>
      </w:r>
      <w:r>
        <w:rPr>
          <w:rStyle w:val="Elision"/>
        </w:rPr>
        <w:t xml:space="preserve">[ … ]</w:t>
      </w:r>
    </w:p>
    <w:p>
      <w:pPr>
        <w:pStyle w:val="BodyText"/>
      </w:pPr>
      <w:r>
        <w:rPr>
          <w:rStyle w:val="Elision"/>
        </w:rPr>
        <w:t xml:space="preserve">[ … ]</w:t>
      </w:r>
    </w:p>
    <w:p>
      <w:pPr>
        <w:pStyle w:val="BodyText"/>
      </w:pPr>
      <w:r>
        <w:t xml:space="preserve">.</w:t>
      </w:r>
    </w:p>
    <w:p>
      <w:pPr>
        <w:pStyle w:val="BodyText"/>
      </w:pPr>
      <w:hyperlink w:anchor="X74120321a15757b8ca9c14b3a2fb2b0377bbcd4">
        <w:r>
          <w:rPr>
            <w:rStyle w:val="Hyperlink"/>
          </w:rPr>
          <w:t xml:space="preserve">[13]</w:t>
        </w:r>
      </w:hyperlink>
      <w:r>
        <w:t xml:space="preserve"> </w:t>
      </w:r>
      <w:r>
        <w:t xml:space="preserve">Del.Code Ann. tit. 8, § 102(b)(7) (2006).</w:t>
      </w:r>
    </w:p>
    <w:p>
      <w:pPr>
        <w:pStyle w:val="BodyText"/>
      </w:pPr>
      <w:hyperlink w:anchor="X624e3bfb7c0f8ee8e05c2f000d411586e5f74d5">
        <w:r>
          <w:rPr>
            <w:rStyle w:val="Hyperlink"/>
          </w:rPr>
          <w:t xml:space="preserve">[14]</w:t>
        </w:r>
      </w:hyperlink>
      <w:r>
        <w:t xml:space="preserve"> </w:t>
      </w:r>
      <w:r>
        <w:rPr>
          <w:iCs/>
          <w:i/>
        </w:rPr>
        <w:t xml:space="preserve">Id.</w:t>
      </w:r>
      <w:r>
        <w:t xml:space="preserve">;</w:t>
      </w:r>
      <w:r>
        <w:t xml:space="preserve"> </w:t>
      </w:r>
      <w:r>
        <w:rPr>
          <w:iCs/>
          <w:i/>
        </w:rPr>
        <w:t xml:space="preserve">see</w:t>
      </w:r>
      <w:r>
        <w:t xml:space="preserve"> </w:t>
      </w:r>
      <w:r>
        <w:rPr>
          <w:iCs/>
          <w:i/>
        </w:rPr>
        <w:t xml:space="preserve">In re Walt Disney Co. Deriv. Litig.,</w:t>
      </w:r>
      <w:r>
        <w:t xml:space="preserve"> </w:t>
      </w:r>
      <w:r>
        <w:t xml:space="preserve">906 A.2d 27 (Del.2006).</w:t>
      </w:r>
    </w:p>
    <w:p>
      <w:pPr>
        <w:pStyle w:val="BodyText"/>
      </w:pPr>
      <w:hyperlink w:anchor="Xc282a4534362ab221dcc2a8520890485858b5a3">
        <w:r>
          <w:rPr>
            <w:rStyle w:val="Hyperlink"/>
          </w:rPr>
          <w:t xml:space="preserve">[15]</w:t>
        </w:r>
      </w:hyperlink>
      <w:r>
        <w:t xml:space="preserve"> </w:t>
      </w:r>
      <w:r>
        <w:rPr>
          <w:iCs/>
          <w:i/>
        </w:rPr>
        <w:t xml:space="preserve">Graham v. Allis-Chalmers Mfg. Co.,</w:t>
      </w:r>
      <w:r>
        <w:t xml:space="preserve"> </w:t>
      </w:r>
      <w:r>
        <w:t xml:space="preserve">188 A.2d 125 (Del.1963)</w:t>
      </w:r>
      <w:r>
        <w:rPr>
          <w:rStyle w:val="Elision"/>
        </w:rPr>
        <w:t xml:space="preserve">[ … ]</w:t>
      </w:r>
    </w:p>
    <w:p>
      <w:pPr>
        <w:pStyle w:val="BodyText"/>
      </w:pPr>
      <w:r>
        <w:t xml:space="preserve">.</w:t>
      </w:r>
    </w:p>
    <w:p>
      <w:pPr>
        <w:pStyle w:val="BodyText"/>
      </w:pPr>
      <w:hyperlink w:anchor="X50b9bb091407ae6eab22c1e27b3fdfb331af453">
        <w:r>
          <w:rPr>
            <w:rStyle w:val="Hyperlink"/>
          </w:rPr>
          <w:t xml:space="preserve">[29]</w:t>
        </w:r>
      </w:hyperlink>
      <w:r>
        <w:t xml:space="preserve"> </w:t>
      </w:r>
      <w:r>
        <w:t xml:space="preserve">That issue, whether a violation of the duty to act in good faith is a basis for the direct imposition of liability, was expressly left open in</w:t>
      </w:r>
      <w:r>
        <w:t xml:space="preserve"> </w:t>
      </w:r>
      <w:r>
        <w:rPr>
          <w:iCs/>
          <w:i/>
        </w:rPr>
        <w:t xml:space="preserve">Disney.</w:t>
      </w:r>
      <w:r>
        <w:t xml:space="preserve"> </w:t>
      </w:r>
      <w:r>
        <w:t xml:space="preserve">906 A.2d at 67 n. 112. We address that issue here</w:t>
      </w:r>
      <w:r>
        <w:rPr>
          <w:rStyle w:val="Elision"/>
        </w:rPr>
        <w:t xml:space="preserve">[ … ]</w:t>
      </w:r>
    </w:p>
    <w:p>
      <w:pPr>
        <w:pStyle w:val="BodyText"/>
      </w:pPr>
      <w:r>
        <w:t xml:space="preserve">.</w:t>
      </w:r>
    </w:p>
    <w:bookmarkEnd w:id="160"/>
    <w:p>
      <w:pPr>
        <w:pStyle w:val="NodeEnd"/>
      </w:pPr>
      <w:r>
        <w:t xml:space="preserve"> </w:t>
      </w:r>
    </w:p>
    <w:p>
      <w:pPr>
        <w:pStyle w:val="NodeStart"/>
      </w:pPr>
      <w:r>
        <w:t xml:space="preserve"> </w:t>
      </w:r>
    </w:p>
    <w:p>
      <w:pPr>
        <w:pStyle w:val="HeadSeparator"/>
      </w:pPr>
      <w:r>
        <w:t xml:space="preserve"> </w:t>
      </w:r>
    </w:p>
    <w:bookmarkStart w:id="90" w:name="_auto_toc_90"/>
    <w:bookmarkEnd w:id="90"/>
    <w:p>
      <w:pPr>
        <w:pStyle w:val="ResourceNumber"/>
      </w:pPr>
      <w:r>
        <w:t xml:space="preserve">7.1.5</w:t>
      </w:r>
    </w:p>
    <w:p>
      <w:pPr>
        <w:pStyle w:val="ResourceTitle"/>
      </w:pPr>
      <w:r>
        <w:t xml:space="preserve">UFCWU v. Zuckerberg</w:t>
      </w:r>
    </w:p>
    <w:p>
      <w:pPr>
        <w:pStyle w:val="HeadFieldSeparator"/>
      </w:pPr>
      <w:r>
        <w:t xml:space="preserve"> </w:t>
      </w:r>
    </w:p>
    <w:p>
      <w:pPr>
        <w:pStyle w:val="ResourceSubtitle"/>
      </w:pPr>
      <w:r>
        <w:t xml:space="preserve">Demand Futility Standard</w:t>
      </w:r>
    </w:p>
    <w:p>
      <w:pPr>
        <w:pStyle w:val="HeadFieldSeparator"/>
      </w:pPr>
      <w:r>
        <w:t xml:space="preserve"> </w:t>
      </w:r>
    </w:p>
    <w:p>
      <w:pPr>
        <w:pStyle w:val="ResourceHeadnote"/>
      </w:pPr>
      <w:r>
        <w:t xml:space="preserve">For many years, as noted in Kandell v. Niv, Delaware had two different demand futility standards (Aronson &amp; Rales). Application of the standards depended on the facts presented in the complaint and they could sometimes be confusing. In Zuckerberg, the Chancery Court undertook to simplify, without overturning, these standards. The Chancery Court's approach was endorsed by the Delaware Supreme Court in this opinion. The old standards (Aronson &amp; Rales) are still good law and have not be overruled. Rather, the court has created a new, unified application of those standards that is intended to simplify and improve pleading.</w:t>
      </w:r>
    </w:p>
    <w:p>
      <w:pPr>
        <w:pStyle w:val="HeadEnd"/>
      </w:pPr>
      <w:r>
        <w:t xml:space="preserve"> </w:t>
      </w:r>
    </w:p>
    <w:bookmarkStart w:id="161" w:name="X11e0effc7c333a4237da1be2b38d33fb4a626ff"/>
    <w:p>
      <w:pPr>
        <w:pStyle w:val="Heading2"/>
      </w:pPr>
      <w:r>
        <w:rPr>
          <w:bCs/>
          <w:b/>
        </w:rPr>
        <w:t xml:space="preserve">UNITED FOOD AND COMMERCIAL WORKERS UNION AND PARTICIPATING FOOD INDUSTRY EMPLOYERS TRI-STATE PENSION FUND</w:t>
      </w:r>
      <w:r>
        <w:br/>
      </w:r>
      <w:r>
        <w:rPr>
          <w:bCs/>
          <w:b/>
        </w:rPr>
        <w:t xml:space="preserve">v.</w:t>
      </w:r>
      <w:r>
        <w:br/>
      </w:r>
      <w:r>
        <w:rPr>
          <w:bCs/>
          <w:b/>
        </w:rPr>
        <w:t xml:space="preserve">MARK ZUCKERBERG, et al</w:t>
      </w:r>
    </w:p>
    <w:p>
      <w:pPr>
        <w:pStyle w:val="FirstParagraph"/>
      </w:pPr>
      <w:r>
        <w:t xml:space="preserve"> </w:t>
      </w:r>
    </w:p>
    <w:p>
      <w:pPr>
        <w:pStyle w:val="BodyText"/>
      </w:pPr>
      <w:r>
        <w:rPr>
          <w:bCs/>
          <w:b/>
        </w:rPr>
        <w:t xml:space="preserve">Supreme Court of Delaware.</w:t>
      </w:r>
    </w:p>
    <w:p>
      <w:pPr>
        <w:pStyle w:val="BodyText"/>
      </w:pPr>
      <w:r>
        <w:t xml:space="preserve">September 23, 2021.</w:t>
      </w:r>
    </w:p>
    <w:p>
      <w:pPr>
        <w:pStyle w:val="BodyText"/>
      </w:pPr>
      <w:r>
        <w:t xml:space="preserve">…</w:t>
      </w:r>
    </w:p>
    <w:p>
      <w:pPr>
        <w:pStyle w:val="BodyText"/>
      </w:pPr>
      <w:r>
        <w:t xml:space="preserve">MONTGOMERY-REEVES, Justice:</w:t>
      </w:r>
    </w:p>
    <w:p>
      <w:pPr>
        <w:pStyle w:val="BodyText"/>
      </w:pPr>
      <w:r>
        <w:t xml:space="preserve">In 2016, the board of directors of Facebook, Inc. ("Facebook") voted in favor of a stock reclassification (the "Reclassification") that would allow Mark Zuckerberg— Facebook's controller, chairman, and chief executive officer—to sell most of his Facebook stock while maintaining voting control of the company. Zuckerberg proposed the Reclassification to allow him and his wife to fulfill a pledge to donate most of their wealth to philanthropic causes. With Zuckerberg casting the deciding votes, Facebook's stockholders approved the Reclassification.</w:t>
      </w:r>
    </w:p>
    <w:p>
      <w:pPr>
        <w:pStyle w:val="BodyText"/>
      </w:pPr>
      <w:r>
        <w:t xml:space="preserve">Not long after, numerous stockholders filed lawsuits in the Court of Chancery, alleging that Facebook's board of directors violated their fiduciary duties by negotiating and approving a purportedly one-sided deal that put Zuckerberg's interests ahead of the company's interests. The trial court consolidated more than a dozen of these lawsuits into a single class action. At Zuckerberg's request and shortly before trial, Facebook withdrew the Reclassification and mooted the fiduciary-duty class action. Facebook spent more than $20 million defending against the class action and paid plaintiffs' counsel more than $68 million in attorneys' fees under the corporate benefit doctrine.</w:t>
      </w:r>
    </w:p>
    <w:p>
      <w:pPr>
        <w:pStyle w:val="BodyText"/>
      </w:pPr>
      <w:r>
        <w:t xml:space="preserve">Following the settlement, another Facebook stockholder—the United Food and Commercial Workers Union and Participating Food Industry Employers Tri-State Pension Fund ("Tri-State")—filed a derivative complaint in the Court of Chancery. This new action rehashed many of the allegations made in the prior class action but sought compensation for the money Facebook spent in connection with the prior class action.</w:t>
      </w:r>
    </w:p>
    <w:p>
      <w:pPr>
        <w:pStyle w:val="BodyText"/>
      </w:pPr>
      <w:r>
        <w:t xml:space="preserve">Tri-State did not make a litigation demand on Facebook's board. Instead, Tri-State pleaded that demand was futile because the board's negotiation and approval of the Reclassification was not a valid exercise of its business judgment and because a majority of the directors were beholden to Zuckerberg. Facebook and the other defendants moved to dismiss Tri-State's complaint under Court of Chancery Rule 23.1, arguing that Tri-State did not make demand or prove that demand was futile. Both sides agreed that the demand futility test established in </w:t>
      </w:r>
      <w:r>
        <w:rPr>
          <w:iCs/>
          <w:i/>
        </w:rPr>
        <w:t xml:space="preserve">Aronson v. Lewis</w:t>
      </w:r>
      <w:r>
        <w:t xml:space="preserve"> </w:t>
      </w:r>
      <w:r>
        <w:t xml:space="preserve"> </w:t>
      </w:r>
      <w:r>
        <w:t xml:space="preserve">applied to Tri-State's complaint.</w:t>
      </w:r>
    </w:p>
    <w:p>
      <w:pPr>
        <w:pStyle w:val="BodyText"/>
      </w:pPr>
      <w:r>
        <w:t xml:space="preserve">In October 2020, the Court of Chancery dismissed Tri-State's complaint under Rule 23.1. The court held that </w:t>
      </w:r>
      <w:r>
        <w:rPr>
          <w:iCs/>
          <w:i/>
        </w:rPr>
        <w:t xml:space="preserve">exculpated</w:t>
      </w:r>
      <w:r>
        <w:t xml:space="preserve"> care claims do not excuse demand under </w:t>
      </w:r>
      <w:r>
        <w:rPr>
          <w:iCs/>
          <w:i/>
        </w:rPr>
        <w:t xml:space="preserve">Aronson's</w:t>
      </w:r>
      <w:r>
        <w:t xml:space="preserve"> second prong because they do not expose directors to a substantial likelihood of liability. The court also held that the complaint failed to raise a reasonable doubt that a majority of the demand board lacked independence from Zuckerberg. In reaching these conclusions, the Court of Chancery applied a three-part test for demand futility that blended the </w:t>
      </w:r>
      <w:r>
        <w:rPr>
          <w:iCs/>
          <w:i/>
        </w:rPr>
        <w:t xml:space="preserve">Aronson</w:t>
      </w:r>
      <w:r>
        <w:t xml:space="preserve"> test with the test articulated in </w:t>
      </w:r>
      <w:r>
        <w:rPr>
          <w:iCs/>
          <w:i/>
        </w:rPr>
        <w:t xml:space="preserve">Rales v. Blasband.</w:t>
      </w:r>
    </w:p>
    <w:p>
      <w:pPr>
        <w:pStyle w:val="BodyText"/>
      </w:pPr>
      <w:r>
        <w:t xml:space="preserve">Tri-State has appealed the Court of Chancery's judgment. For the reasons provided below, this Court affirms the Court of Chancery's judgment. The second prong of </w:t>
      </w:r>
      <w:r>
        <w:rPr>
          <w:iCs/>
          <w:i/>
        </w:rPr>
        <w:t xml:space="preserve">Aronson</w:t>
      </w:r>
      <w:r>
        <w:t xml:space="preserve"> focuses on whether the derivative claims would expose directors to a substantial likelihood of liability. Exculpated claims do not satisfy that standard because they do not expose directors to a substantial likelihood of liability. Further, the complaint does not plead with particularity that a majority of the demand board lacked independence. Thus, the Court of Chancery properly dismissed Tri-State's complaint for failing to make a demand on the board.</w:t>
      </w:r>
    </w:p>
    <w:p>
      <w:pPr>
        <w:pStyle w:val="BodyText"/>
      </w:pPr>
      <w:r>
        <w:t xml:space="preserve">Additionally, this Opinion adopts the Court of Chancery's three-part test for demand futility. When the Court decided </w:t>
      </w:r>
      <w:r>
        <w:rPr>
          <w:iCs/>
          <w:i/>
        </w:rPr>
        <w:t xml:space="preserve">Aronson,</w:t>
      </w:r>
      <w:r>
        <w:t xml:space="preserve"> raising a reasonable doubt that the business judgment standard of review would apply exposed directors to a substantial likelihood of liability for care violations. The General Assembly's enactment of Section 102(b)(7) and other developments in corporate law have weakened the connection between rebutting the business judgment standard and exposing directors to a risk that would sterilize their judgment with respect to a litigation demand. Further, the </w:t>
      </w:r>
      <w:r>
        <w:rPr>
          <w:iCs/>
          <w:i/>
        </w:rPr>
        <w:t xml:space="preserve">Aronson</w:t>
      </w:r>
      <w:r>
        <w:t xml:space="preserve"> test has proved difficult to apply in many contexts, such as where there is turnover on a corporation's board. The Court of Chancery's refined articulation of the </w:t>
      </w:r>
      <w:r>
        <w:rPr>
          <w:iCs/>
          <w:i/>
        </w:rPr>
        <w:t xml:space="preserve">Aronson</w:t>
      </w:r>
      <w:r>
        <w:t xml:space="preserve"> standard helps to address these issues. Nonetheless, this refined standard is consistent with </w:t>
      </w:r>
      <w:r>
        <w:rPr>
          <w:iCs/>
          <w:i/>
        </w:rPr>
        <w:t xml:space="preserve">Aronson, Rales,</w:t>
      </w:r>
      <w:r>
        <w:t xml:space="preserve"> and their progeny. Thus, cases properly applying those holdings remain good law.</w:t>
      </w:r>
    </w:p>
    <w:p>
      <w:pPr>
        <w:numPr>
          <w:ilvl w:val="0"/>
          <w:numId w:val="1042"/>
        </w:numPr>
      </w:pPr>
      <w:r>
        <w:rPr>
          <w:bCs/>
          <w:b/>
        </w:rPr>
        <w:t xml:space="preserve">RELEVANT FACTS AND PROCEDURAL BACKGROUND</w:t>
      </w:r>
    </w:p>
    <w:p>
      <w:pPr>
        <w:numPr>
          <w:ilvl w:val="0"/>
          <w:numId w:val="1042"/>
        </w:numPr>
      </w:pPr>
      <w:r>
        <w:rPr>
          <w:bCs/>
          <w:b/>
        </w:rPr>
        <w:t xml:space="preserve">The Parties and Relevant Non-Parties</w:t>
      </w:r>
    </w:p>
    <w:p>
      <w:pPr>
        <w:pStyle w:val="FirstParagraph"/>
      </w:pPr>
      <w:r>
        <w:t xml:space="preserve">Appellee Facebook is a Delaware corporation with its principal place of business in California. Facebook is the world's largest social media and networking service and one of the ten largest companies by market capitalization.</w:t>
      </w:r>
    </w:p>
    <w:p>
      <w:pPr>
        <w:pStyle w:val="BodyText"/>
      </w:pPr>
      <w:r>
        <w:t xml:space="preserve">Appellant Tri-State has continuously owned stock in Facebook since September 2013.</w:t>
      </w:r>
    </w:p>
    <w:p>
      <w:pPr>
        <w:pStyle w:val="BodyText"/>
      </w:pPr>
      <w:r>
        <w:t xml:space="preserve">Appellee Mark Zuckerberg founded Facebook and has served as its chief executive officer since July 2014. Zuckerberg controls a majority of Facebook's voting power and has been the chairman of Facebook's board of directors since January 2012.</w:t>
      </w:r>
    </w:p>
    <w:p>
      <w:pPr>
        <w:pStyle w:val="BodyText"/>
      </w:pPr>
      <w:r>
        <w:t xml:space="preserve">Appellee Marc Andreessen has served as a Facebook director since June 2008. Andreessen was a member of the special committee that negotiated and recommended that the full board approve the Reclassification. In addition to his work as a Facebook director, Andreessen is a cofounder and general partner of the venture capital firm Andreessen Horowitz.</w:t>
      </w:r>
    </w:p>
    <w:p>
      <w:pPr>
        <w:pStyle w:val="BodyText"/>
      </w:pPr>
      <w:r>
        <w:t xml:space="preserve">Appellee Peter Thiel has served as a Facebook director since April 2005. Thiel voted in favor of the Reclassification. In addition to his work as a Facebook director, Thiel is a partner at the venture capital firm Founders Firm.</w:t>
      </w:r>
    </w:p>
    <w:p>
      <w:pPr>
        <w:pStyle w:val="BodyText"/>
      </w:pPr>
      <w:r>
        <w:t xml:space="preserve">Appellee Reed Hastings began serving as a Facebook director in June 2011 and was still a director when Tri-State filed its complaint. Hastings voted in favor of the Reclassification. In addition to his work as a Facebook director, Hastings founded and serves as the chief executive officer and chairman of Netflix, Inc. ("Netflix").</w:t>
      </w:r>
    </w:p>
    <w:p>
      <w:pPr>
        <w:pStyle w:val="BodyText"/>
      </w:pPr>
      <w:r>
        <w:t xml:space="preserve">Appellee Erskine B. Bowles began serving as a Facebook director in September 2011 and was still a director when Tri-State filed its complaint. Bowles was a member of the special committee that negotiated and recommended that the full board approve the Reclassification.</w:t>
      </w:r>
    </w:p>
    <w:p>
      <w:pPr>
        <w:pStyle w:val="BodyText"/>
      </w:pPr>
      <w:r>
        <w:t xml:space="preserve">Appellee Susan D. Desmond-Hellman began serving as a Facebook director in March 2013 and was still a director when Tri-State filed its complaint. Desmond-Hellman was the chair of the special committee that negotiated and recommended that the full board approve the Reclassification. In addition to her work as a Facebook director, Desmond-Hellman served as the chief executive officer of the Bill and Melinda Gates Foundation (the "Gates Foundation") during the events relevant to this appeal.</w:t>
      </w:r>
    </w:p>
    <w:p>
      <w:pPr>
        <w:pStyle w:val="BodyText"/>
      </w:pPr>
      <w:r>
        <w:t xml:space="preserve">Sheryl Sandberg has been Facebook's chief operating officer since March 2018 and has served as a Facebook director since January 2012.</w:t>
      </w:r>
    </w:p>
    <w:p>
      <w:pPr>
        <w:pStyle w:val="BodyText"/>
      </w:pPr>
      <w:r>
        <w:t xml:space="preserve">Kenneth I. Chenault began serving as a Facebook director in February 2018 and was still a director when Tri-State filed its complaint. Chenault was not a director when Facebook's board voted in favor of the Reclassification in 2016.</w:t>
      </w:r>
    </w:p>
    <w:p>
      <w:pPr>
        <w:pStyle w:val="BodyText"/>
      </w:pPr>
      <w:r>
        <w:t xml:space="preserve">Jeffery Zients began serving as a Facebook director in May 2018 and was still a director when Tri-State filed its complaint. Zients was not a director when Facebook's board voted in favor of the Reclassification in 2016.</w:t>
      </w:r>
    </w:p>
    <w:p>
      <w:pPr>
        <w:numPr>
          <w:ilvl w:val="0"/>
          <w:numId w:val="1043"/>
        </w:numPr>
      </w:pPr>
      <w:r>
        <w:rPr>
          <w:bCs/>
          <w:b/>
        </w:rPr>
        <w:t xml:space="preserve">Zuckerberg Takes the Giving Pledge</w:t>
      </w:r>
    </w:p>
    <w:p>
      <w:pPr>
        <w:pStyle w:val="FirstParagraph"/>
      </w:pPr>
      <w:r>
        <w:t xml:space="preserve">According to the allegations in the complaint, in December 2010, Zuckerberg took the Giving Pledge, a movement championed by Bill Gates and Warren Buffet that challenged wealthy business leaders to donate a majority of their wealth to philanthropic causes. Zuckerberg communicated widely that he had taken the pledge and intended to start his philanthropy at an early age.</w:t>
      </w:r>
    </w:p>
    <w:p>
      <w:pPr>
        <w:pStyle w:val="BodyText"/>
      </w:pPr>
      <w:r>
        <w:t xml:space="preserve">In March 2015, Zuckerberg began working on an accelerated plan to complete the Giving Pledge by making annual donations of $2 to $3 billion worth of Facebook stock. Zuckerberg asked Facebook's general counsel to look into the plan. Facebook's legal team cautioned Zuckerberg that he could only sell a small portion of his stock—$3 to $4 billion based on the market price—without dipping below majority voting control. To avoid this problem, the general counsel suggested that Facebook could follow the "Google playbook" and issue a new class of non-voting stock that Zuckerberg could sell without significantly diminishing his voting power. The legal team recommended that the board form a special committee of independent directors to review and approve the plan and noted that litigation involving Google's reclassification resulted in a $522 million settlement. Zuckerberg instructed Facebook's legal team to "start figuring out how to make this happen."</w:t>
      </w:r>
    </w:p>
    <w:p>
      <w:pPr>
        <w:numPr>
          <w:ilvl w:val="0"/>
          <w:numId w:val="1044"/>
        </w:numPr>
      </w:pPr>
      <w:r>
        <w:rPr>
          <w:bCs/>
          <w:b/>
        </w:rPr>
        <w:t xml:space="preserve">The Special Committee Approves the Reclassification</w:t>
      </w:r>
    </w:p>
    <w:p>
      <w:pPr>
        <w:pStyle w:val="FirstParagraph"/>
      </w:pPr>
      <w:r>
        <w:t xml:space="preserve">At an August 20, 2015 meeting of Facebook's board, Zuckerberg formally proposed that Facebook issue a new class of non-voting shares, which would allow him to sell a substantial amount of stock without losing control of the company. Zuckerberg also disclosed that he had hired Simpson Thacher &amp; Bartlett LLP ("Simpson Thacher") to give him personal legal advice about "what creating a new class of stock might look like."</w:t>
      </w:r>
    </w:p>
    <w:p>
      <w:pPr>
        <w:pStyle w:val="BodyText"/>
      </w:pPr>
      <w:r>
        <w:t xml:space="preserve">A couple of days later, Facebook established a special committee, which was composed of three purportedly-independent directors: Andreessen, Bowles, and Desmond-Hellman (the "Special Committee").</w:t>
      </w:r>
      <w:r>
        <w:t xml:space="preserve"> </w:t>
      </w:r>
      <w:r>
        <w:t xml:space="preserve"> </w:t>
      </w:r>
      <w:r>
        <w:t xml:space="preserve">The board charged the Special Committee with evaluating the Reclassification, considering alternatives, and making a recommendation to the full board. The board also authorized the Special Committee to retain legal counsel, financial advisors, and other experts.</w:t>
      </w:r>
    </w:p>
    <w:p>
      <w:pPr>
        <w:pStyle w:val="BodyText"/>
      </w:pPr>
      <w:r>
        <w:t xml:space="preserve">Facebook management recommended and the Special Committee hired Wachtell, Lipton, Rosen &amp; Katz ("Wachtell") as the committee's legal advisor. Before meeting with the Special Committee, Wachtell called</w:t>
      </w:r>
      <w:r>
        <w:t xml:space="preserve"> </w:t>
      </w:r>
      <w:r>
        <w:rPr>
          <w:rStyle w:val="Elision"/>
        </w:rPr>
        <w:t xml:space="preserve">[ … ]</w:t>
      </w:r>
      <w:r>
        <w:t xml:space="preserve"> </w:t>
      </w:r>
      <w:r>
        <w:t xml:space="preserve">Simpson Thacher to discuss</w:t>
      </w:r>
      <w:r>
        <w:t xml:space="preserve"> </w:t>
      </w:r>
      <w:r>
        <w:rPr>
          <w:rStyle w:val="Elision"/>
        </w:rPr>
        <w:t xml:space="preserve">[ … ]</w:t>
      </w:r>
      <w:r>
        <w:t xml:space="preserve">the Reclassification. Simpson Thacher rejected as non-starters several features from the Google playbook, such as a stapling provision that would have required Zuckerberg to sell a share of his voting stock each time that he sold a share of the non-voting stock, and a true-up payment that would compensate Facebook's other stockholders for the dilution of their voting power. By the time Wachtell first met with the Special Committee, the key contours of the Reclassification were already taking shape, and the Special Committee anticipated that the Reclassification would occur. Thus, the Special Committee focused on suggesting changes to the Reclassification rather than considering alternatives or threatening to reject the plan. …</w:t>
      </w:r>
    </w:p>
    <w:p>
      <w:pPr>
        <w:pStyle w:val="BodyText"/>
      </w:pPr>
      <w:r>
        <w:t xml:space="preserve">As the negotiations progressed, the Special Committee largely agreed to give Zuckerberg the terms that he wanted and did not consider alternatives or demand meaningful concessions. …</w:t>
      </w:r>
    </w:p>
    <w:p>
      <w:pPr>
        <w:pStyle w:val="BodyText"/>
      </w:pPr>
      <w:r>
        <w:t xml:space="preserve">A few weeks later, Zuckerberg published a post on his Facebook page announcing that he planned to begin making large donations of his Facebook stock. The post noted that Zuckerberg intended to "remain Facebook's CEO for many, many years to come" and did not mention that his plan hinged on the Special Committee's approval of the Reclassification. The Special Committee did not try to use the public announcement as leverage to extract more concessions from Zuckerberg. …</w:t>
      </w:r>
    </w:p>
    <w:p>
      <w:pPr>
        <w:pStyle w:val="BodyText"/>
      </w:pPr>
      <w:r>
        <w:t xml:space="preserve">On April 13, 2016, the Special Committee recommend that the full board approve the Reclassification. The next day, Facebook's full board accepted the Special Committee's recommendation and voted to approve the Reclassification. Zuckerberg and Sandberg abstained from voting on the Reclassification.</w:t>
      </w:r>
    </w:p>
    <w:p>
      <w:pPr>
        <w:numPr>
          <w:ilvl w:val="0"/>
          <w:numId w:val="1045"/>
        </w:numPr>
      </w:pPr>
      <w:r>
        <w:rPr>
          <w:bCs/>
          <w:b/>
        </w:rPr>
        <w:t xml:space="preserve">Facebook Settles a Class Action Challenging the Reclassification</w:t>
      </w:r>
    </w:p>
    <w:p>
      <w:pPr>
        <w:pStyle w:val="FirstParagraph"/>
      </w:pPr>
      <w:r>
        <w:t xml:space="preserve">On April 27, 2016, Facebook revealed the Reclassification to the public. … On April 29, 2016, the first class action was filed in the Court of Chancery challenging the Reclassification. Several more similar complaints were filed, and in May 2016 the Court of Chancery consolidated thirteen cases into a single class action (the "Reclassification Class Action"). …</w:t>
      </w:r>
    </w:p>
    <w:p>
      <w:pPr>
        <w:pStyle w:val="BodyText"/>
      </w:pPr>
      <w:r>
        <w:rPr>
          <w:rStyle w:val="Elision"/>
        </w:rPr>
        <w:t xml:space="preserve">[ … ]</w:t>
      </w:r>
      <w:r>
        <w:t xml:space="preserve">The Court of Chancery</w:t>
      </w:r>
      <w:r>
        <w:t xml:space="preserve"> </w:t>
      </w:r>
      <w:r>
        <w:rPr>
          <w:rStyle w:val="Elision"/>
        </w:rPr>
        <w:t xml:space="preserve">[ … ]</w:t>
      </w:r>
      <w:r>
        <w:t xml:space="preserve"> </w:t>
      </w:r>
      <w:r>
        <w:t xml:space="preserve">tentatively scheduled the trial for September 26, 2017.</w:t>
      </w:r>
      <w:r>
        <w:t xml:space="preserve"> </w:t>
      </w:r>
      <w:r>
        <w:t xml:space="preserve"> </w:t>
      </w:r>
      <w:r>
        <w:t xml:space="preserve">About a week before the trial</w:t>
      </w:r>
      <w:r>
        <w:t xml:space="preserve"> </w:t>
      </w:r>
      <w:r>
        <w:rPr>
          <w:rStyle w:val="Elision"/>
        </w:rPr>
        <w:t xml:space="preserve">[ … ]</w:t>
      </w:r>
      <w:r>
        <w:t xml:space="preserve">, Zuckerberg asked the board to abandon the Reclassification.</w:t>
      </w:r>
      <w:r>
        <w:t xml:space="preserve"> </w:t>
      </w:r>
      <w:r>
        <w:t xml:space="preserve"> </w:t>
      </w:r>
      <w:r>
        <w:t xml:space="preserve">The board agreed, and the next day Facebook filed a Form 8-K</w:t>
      </w:r>
      <w:r>
        <w:t xml:space="preserve"> </w:t>
      </w:r>
      <w:r>
        <w:rPr>
          <w:rStyle w:val="Elision"/>
        </w:rPr>
        <w:t xml:space="preserve">[ … ]</w:t>
      </w:r>
      <w:r>
        <w:t xml:space="preserve">disclosing that the company had abandoned the Reclassification and mooted the Class Action.</w:t>
      </w:r>
      <w:r>
        <w:t xml:space="preserve"> </w:t>
      </w:r>
      <w:r>
        <w:t xml:space="preserve"> </w:t>
      </w:r>
      <w:r>
        <w:t xml:space="preserve">The Form-8K also disclosed that</w:t>
      </w:r>
      <w:r>
        <w:t xml:space="preserve"> </w:t>
      </w:r>
      <w:r>
        <w:rPr>
          <w:rStyle w:val="Elision"/>
        </w:rPr>
        <w:t xml:space="preserve">[ … ]</w:t>
      </w:r>
      <w:r>
        <w:t xml:space="preserve">Zuckerberg planned to sell a substantial number of shares over the coming 18 months. …</w:t>
      </w:r>
    </w:p>
    <w:p>
      <w:pPr>
        <w:pStyle w:val="BodyText"/>
      </w:pPr>
      <w:r>
        <w:t xml:space="preserve"> </w:t>
      </w:r>
    </w:p>
    <w:p>
      <w:pPr>
        <w:numPr>
          <w:ilvl w:val="0"/>
          <w:numId w:val="1046"/>
        </w:numPr>
      </w:pPr>
      <w:r>
        <w:rPr>
          <w:bCs/>
          <w:b/>
        </w:rPr>
        <w:t xml:space="preserve">Tri-State Files a Class Action Seeking to Recoup the Money that Facebook Spent Defending and Settling the Reclassification Class Action</w:t>
      </w:r>
    </w:p>
    <w:p>
      <w:pPr>
        <w:pStyle w:val="FirstParagraph"/>
      </w:pPr>
      <w:r>
        <w:t xml:space="preserve">Facebook spent</w:t>
      </w:r>
      <w:r>
        <w:t xml:space="preserve"> </w:t>
      </w:r>
      <w:r>
        <w:rPr>
          <w:rStyle w:val="Elision"/>
        </w:rPr>
        <w:t xml:space="preserve">[ … ]</w:t>
      </w:r>
      <w:r>
        <w:t xml:space="preserve">$21.8 million defending the Reclassification Class Action, including</w:t>
      </w:r>
      <w:r>
        <w:t xml:space="preserve"> </w:t>
      </w:r>
      <w:r>
        <w:rPr>
          <w:rStyle w:val="Elision"/>
        </w:rPr>
        <w:t xml:space="preserve">[ … ]</w:t>
      </w:r>
      <w:r>
        <w:t xml:space="preserve"> </w:t>
      </w:r>
      <w:r>
        <w:t xml:space="preserve">$17 million on attorneys' fees. Additionally, Facebook paid $68.7 million to the plaintiff's attorneys in the Reclassification Class Action to settle a claim under the corporate benefit doctrine.</w:t>
      </w:r>
    </w:p>
    <w:p>
      <w:pPr>
        <w:pStyle w:val="BodyText"/>
      </w:pPr>
      <w:r>
        <w:t xml:space="preserve">On September 12, 2018, Tri-State filed a derivative action in the Court of Chancery seeking to recoup the money that Facebook spent defending and settling the Reclassification Class Action. …</w:t>
      </w:r>
      <w:r>
        <w:t xml:space="preserve"> </w:t>
      </w:r>
    </w:p>
    <w:p>
      <w:pPr>
        <w:pStyle w:val="BodyText"/>
      </w:pPr>
      <w:r>
        <w:t xml:space="preserve">The complaint alleged that demand was excused as futile under Court of Chancery Rule 23.1 because "the Reclassification was not the product of a valid exercise of business judgment" and because "a majority of the Board face[d] a substantial likelihood of liability[] and/or lack[ed] independence.” …</w:t>
      </w:r>
    </w:p>
    <w:p>
      <w:pPr>
        <w:pStyle w:val="BodyText"/>
      </w:pPr>
      <w:r>
        <w:t xml:space="preserve">Tri-State appeals the Court of Chancery's judgment dismissing the derivative complaint under Rule 23.1 for failing to make a demand on the board or plead with particularity facts establishing that demand would be futile.</w:t>
      </w:r>
    </w:p>
    <w:p>
      <w:pPr>
        <w:numPr>
          <w:ilvl w:val="0"/>
          <w:numId w:val="1047"/>
        </w:numPr>
      </w:pPr>
      <w:r>
        <w:rPr>
          <w:bCs/>
          <w:b/>
        </w:rPr>
        <w:t xml:space="preserve">STANDARD OF REVIEW</w:t>
      </w:r>
    </w:p>
    <w:p>
      <w:pPr>
        <w:pStyle w:val="FirstParagraph"/>
      </w:pPr>
      <w:r>
        <w:t xml:space="preserve">…</w:t>
      </w:r>
    </w:p>
    <w:p>
      <w:pPr>
        <w:pStyle w:val="BodyText"/>
      </w:pPr>
      <w:r>
        <w:t xml:space="preserve">"A cardinal precept" of Delaware law is "that directors, rather than shareholders, manage the business and affairs of the corporation." This precept is reflected in Section 141(a) of the Delaware General Corporation Law ("DGCL"),</w:t>
      </w:r>
      <w:r>
        <w:t xml:space="preserve"> </w:t>
      </w:r>
      <w:r>
        <w:rPr>
          <w:rStyle w:val="Elision"/>
        </w:rPr>
        <w:t xml:space="preserve">[ … ]</w:t>
      </w:r>
      <w:r>
        <w:t xml:space="preserve">The board's authority</w:t>
      </w:r>
      <w:r>
        <w:t xml:space="preserve"> </w:t>
      </w:r>
      <w:r>
        <w:rPr>
          <w:rStyle w:val="Elision"/>
        </w:rPr>
        <w:t xml:space="preserve">[ … ]</w:t>
      </w:r>
      <w:r>
        <w:rPr>
          <w:rStyle w:val="Elision"/>
        </w:rPr>
        <w:t xml:space="preserve">[ … ]</w:t>
      </w:r>
      <w:r>
        <w:t xml:space="preserve"> </w:t>
      </w:r>
      <w:r>
        <w:t xml:space="preserve">extends to decisions about what remedial actions a corporation should take after being harmed, including whether the corporation should file a lawsuit against its directors, its officers, its controller, or an outsider.</w:t>
      </w:r>
      <w:r>
        <w:t xml:space="preserve"> </w:t>
      </w:r>
    </w:p>
    <w:p>
      <w:pPr>
        <w:pStyle w:val="BodyText"/>
      </w:pPr>
      <w:r>
        <w:t xml:space="preserve">"In a derivative suit, a stockholder seeks to displace the board's [decision-making] authority over a litigation asset and assert the corporation's claim."</w:t>
      </w:r>
      <w:r>
        <w:t xml:space="preserve"> </w:t>
      </w:r>
      <w:r>
        <w:t xml:space="preserve"> </w:t>
      </w:r>
      <w:r>
        <w:t xml:space="preserve">Thus, "[b]y its very nature[,] the derivative action" encroaches "on the managerial freedom of directors" by seeking to deprive the board of control over a corporation's litigation asset.</w:t>
      </w:r>
      <w:r>
        <w:t xml:space="preserve"> </w:t>
      </w:r>
      <w:r>
        <w:t xml:space="preserve"> </w:t>
      </w:r>
      <w:r>
        <w:t xml:space="preserve">"In order for a stockholder to divest the directors of their authority to control the litigation asset and bring a derivative action on behalf of the corporation, the stockholder must" (1) make a demand on the company's board of directors or (2) show that demand would be futile.</w:t>
      </w:r>
      <w:r>
        <w:t xml:space="preserve"> </w:t>
      </w:r>
      <w:r>
        <w:t xml:space="preserve"> </w:t>
      </w:r>
      <w:r>
        <w:t xml:space="preserve">The demand requirement is a substantive requirement that "`[e]nsure[s] that a stockholder exhausts his intracorporate remedies,' `provide[s] a safeguard against strike suits,' and `assure[s] that the stockholder affords the corporation the opportunity to address an alleged wrong without litigation and to control any litigation which does occur.'"</w:t>
      </w:r>
    </w:p>
    <w:p>
      <w:pPr>
        <w:pStyle w:val="BodyText"/>
      </w:pPr>
      <w:r>
        <w:t xml:space="preserve">Court of Chancery Rule 23.1 implements the substantive demand requirement at the pleading stage by mandating that derivative complaints "allege with particularity the efforts, if any, made by the plaintiff to obtain the action the plaintiff desires from the directors or comparable authority and the reasons for the plaintiff's failure to obtain the action or for not making the effort." To comply with Rule 23.1, the plaintiff must meet "stringent requirements of factual particularity that differ substantially from . . . permissive notice pleadings."</w:t>
      </w:r>
      <w:r>
        <w:t xml:space="preserve"> </w:t>
      </w:r>
      <w:r>
        <w:t xml:space="preserve"> </w:t>
      </w:r>
      <w:r>
        <w:t xml:space="preserve">When considering a motion to dismiss a complaint for failing to comply with Rule 23.1, the Court does not weigh the evidence, must accept as true all of the complaint's particularized and well-pleaded allegations, and must draw all reasonable inferences in the plaintiff's favor.</w:t>
      </w:r>
      <w:r>
        <w:t xml:space="preserve"> </w:t>
      </w:r>
    </w:p>
    <w:p>
      <w:pPr>
        <w:pStyle w:val="BodyText"/>
      </w:pPr>
      <w:r>
        <w:t xml:space="preserve">The plaintiff in this action did not make a pre-suit demand. Thus, the question before the Court is whether demand is excused as futile. This Court has articulated two tests to determine whether the demand requirement should be excused as futile: the</w:t>
      </w:r>
      <w:r>
        <w:t xml:space="preserve"> </w:t>
      </w:r>
      <w:r>
        <w:rPr>
          <w:iCs/>
          <w:i/>
        </w:rPr>
        <w:t xml:space="preserve">Aronson</w:t>
      </w:r>
      <w:r>
        <w:t xml:space="preserve"> </w:t>
      </w:r>
      <w:r>
        <w:t xml:space="preserve">test and the</w:t>
      </w:r>
      <w:r>
        <w:t xml:space="preserve"> </w:t>
      </w:r>
      <w:r>
        <w:rPr>
          <w:iCs/>
          <w:i/>
        </w:rPr>
        <w:t xml:space="preserve">Rales</w:t>
      </w:r>
      <w:r>
        <w:t xml:space="preserve"> </w:t>
      </w:r>
      <w:r>
        <w:t xml:space="preserve">test. The</w:t>
      </w:r>
      <w:r>
        <w:t xml:space="preserve"> </w:t>
      </w:r>
      <w:r>
        <w:rPr>
          <w:iCs/>
          <w:i/>
        </w:rPr>
        <w:t xml:space="preserve">Aronson</w:t>
      </w:r>
      <w:r>
        <w:t xml:space="preserve"> </w:t>
      </w:r>
      <w:r>
        <w:t xml:space="preserve">test applies where the complaint challenges a decision made by the same board that would consider a litigation demand. Under</w:t>
      </w:r>
      <w:r>
        <w:t xml:space="preserve"> </w:t>
      </w:r>
      <w:r>
        <w:rPr>
          <w:iCs/>
          <w:i/>
        </w:rPr>
        <w:t xml:space="preserve">Aronson,</w:t>
      </w:r>
      <w:r>
        <w:t xml:space="preserve"> </w:t>
      </w:r>
      <w:r>
        <w:t xml:space="preserve">demand is excused as futile if the complaint alleges particularized facts that raise a reasonable doubt that "(1) the directors are disinterested and independent[,] [or] (2) the challenged transaction was otherwise the product of a valid business judgment." This reflects the "rule . . . that where officers and directors are under an influence which sterilizes their discretion, they cannot be considered proper persons to conduct litigation on behalf of the corporation. Thus, demand would be futile."</w:t>
      </w:r>
    </w:p>
    <w:p>
      <w:pPr>
        <w:pStyle w:val="BodyText"/>
      </w:pPr>
      <w:r>
        <w:t xml:space="preserve">The </w:t>
      </w:r>
      <w:r>
        <w:rPr>
          <w:iCs/>
          <w:i/>
        </w:rPr>
        <w:t xml:space="preserve">Rales</w:t>
      </w:r>
      <w:r>
        <w:t xml:space="preserve"> test applies in all other circumstances. Under</w:t>
      </w:r>
      <w:r>
        <w:t xml:space="preserve"> </w:t>
      </w:r>
      <w:r>
        <w:rPr>
          <w:iCs/>
          <w:i/>
        </w:rPr>
        <w:t xml:space="preserve">Rales,</w:t>
      </w:r>
      <w:r>
        <w:t xml:space="preserve"> </w:t>
      </w:r>
      <w:r>
        <w:t xml:space="preserve">demand is excused as futile if the complaint alleges particularized facts creating a "reasonable doubt that, as of the time the complaint is filed," a majority of the demand board "could have properly exercised its independent and disinterested business judgment in responding to a demand."  "Fundamentally,</w:t>
      </w:r>
      <w:r>
        <w:t xml:space="preserve"> </w:t>
      </w:r>
      <w:r>
        <w:rPr>
          <w:iCs/>
          <w:i/>
        </w:rPr>
        <w:t xml:space="preserve">Aronson</w:t>
      </w:r>
      <w:r>
        <w:t xml:space="preserve"> </w:t>
      </w:r>
      <w:r>
        <w:t xml:space="preserve">and</w:t>
      </w:r>
      <w:r>
        <w:t xml:space="preserve"> </w:t>
      </w:r>
      <w:r>
        <w:rPr>
          <w:iCs/>
          <w:i/>
        </w:rPr>
        <w:t xml:space="preserve">Rales</w:t>
      </w:r>
      <w:r>
        <w:t xml:space="preserve"> </w:t>
      </w:r>
      <w:r>
        <w:t xml:space="preserve">both `address the same question of whether the board can exercise its business judgment on the corporat[ion]'s behalf' in considering demand." For this reason, the Court of Chancery has recognized that the broader reasoning of </w:t>
      </w:r>
      <w:r>
        <w:rPr>
          <w:iCs/>
          <w:i/>
        </w:rPr>
        <w:t xml:space="preserve">Rales</w:t>
      </w:r>
      <w:r>
        <w:t xml:space="preserve"> encompasses</w:t>
      </w:r>
      <w:r>
        <w:t xml:space="preserve"> </w:t>
      </w:r>
      <w:r>
        <w:rPr>
          <w:iCs/>
          <w:i/>
        </w:rPr>
        <w:t xml:space="preserve">Aronson,</w:t>
      </w:r>
      <w:r>
        <w:t xml:space="preserve"> and therefore the </w:t>
      </w:r>
      <w:r>
        <w:rPr>
          <w:iCs/>
          <w:i/>
        </w:rPr>
        <w:t xml:space="preserve">Aronson</w:t>
      </w:r>
      <w:r>
        <w:t xml:space="preserve"> test is best understood as a special application of the </w:t>
      </w:r>
      <w:r>
        <w:rPr>
          <w:iCs/>
          <w:i/>
        </w:rPr>
        <w:t xml:space="preserve">Rales</w:t>
      </w:r>
      <w:r>
        <w:t xml:space="preserve"> </w:t>
      </w:r>
      <w:r>
        <w:t xml:space="preserve">test.</w:t>
      </w:r>
    </w:p>
    <w:p>
      <w:pPr>
        <w:pStyle w:val="BodyText"/>
      </w:pPr>
      <w:r>
        <w:t xml:space="preserve">While Delaware law recognizes that there are circumstances where making a demand would be futile because a majority of the directors "are under an influence which sterilizes their discretion" and "cannot be considered proper persons to conduct litigation on behalf of the corporation,"</w:t>
      </w:r>
      <w:r>
        <w:t xml:space="preserve"> </w:t>
      </w:r>
      <w:r>
        <w:t xml:space="preserve"> </w:t>
      </w:r>
      <w:r>
        <w:t xml:space="preserve">the demand requirement is not excused lightly because derivative litigation upsets the balance of power that the DGCL establishes between a corporation's directors and its stockholders. Thus, the demand-futility analysis provides an important doctrinal check that ensures the board is not improperly deprived of its decision-making authority, while at the same time leaving a path for stockholders to file a derivative action where there is reason to doubt that the board could bring its impartial business judgment to bear on a litigation demand.</w:t>
      </w:r>
    </w:p>
    <w:p>
      <w:pPr>
        <w:pStyle w:val="BodyText"/>
      </w:pPr>
      <w:r>
        <w:t xml:space="preserve">In this case, Tri-State alleged that demand was excused as futile for several reasons, including that the board's negotiation and approval of the Reclassification would not be "protected by the business judgment rule" because "[t]heir approval was not fully informed" or "duly considered," and that a majority of the directors on the Demand Board lacked independence from Zuckerberg.</w:t>
      </w:r>
      <w:r>
        <w:t xml:space="preserve"> </w:t>
      </w:r>
      <w:r>
        <w:t xml:space="preserve"> </w:t>
      </w:r>
      <w:r>
        <w:t xml:space="preserve">The Court of Chancery held that Tri-State failed to plead with particularity facts establishing that demand was futile and dismissed the complaint because it did not comply with Court of Chancery Rule 23.1.</w:t>
      </w:r>
      <w:r>
        <w:t xml:space="preserve"> </w:t>
      </w:r>
    </w:p>
    <w:p>
      <w:pPr>
        <w:pStyle w:val="BodyText"/>
      </w:pPr>
      <w:r>
        <w:t xml:space="preserve">On appeal, Tri-State raises two issues with the Court of Chancery's demand-futility analysis. First, Tri-State argues that the Court of Chancery erred by holding that exculpated care violations do not satisfy the second prong of the </w:t>
      </w:r>
      <w:r>
        <w:rPr>
          <w:iCs/>
          <w:i/>
        </w:rPr>
        <w:t xml:space="preserve">Aronson</w:t>
      </w:r>
      <w:r>
        <w:t xml:space="preserve"> test. Second, Tri-State argues that its complaint contained particularized allegations establishing that a majority of the directors on the Demand Board were beholden to Zuckerberg. …</w:t>
      </w:r>
    </w:p>
    <w:p>
      <w:pPr>
        <w:pStyle w:val="BodyText"/>
      </w:pPr>
      <w:r>
        <w:t xml:space="preserve"> </w:t>
      </w:r>
    </w:p>
    <w:p>
      <w:pPr>
        <w:numPr>
          <w:ilvl w:val="0"/>
          <w:numId w:val="1048"/>
        </w:numPr>
      </w:pPr>
      <w:r>
        <w:rPr>
          <w:bCs/>
          <w:b/>
        </w:rPr>
        <w:t xml:space="preserve">This Court adopts the Court of Chancery's three-part test for demand futility</w:t>
      </w:r>
    </w:p>
    <w:p>
      <w:pPr>
        <w:pStyle w:val="FirstParagraph"/>
      </w:pPr>
      <w:r>
        <w:t xml:space="preserve">This [first] issue raises one more question—whether the three-part test for demand futility the Court of Chancery applied below is consistent with </w:t>
      </w:r>
      <w:r>
        <w:rPr>
          <w:iCs/>
          <w:i/>
        </w:rPr>
        <w:t xml:space="preserve">Aronson, Rales,</w:t>
      </w:r>
      <w:r>
        <w:t xml:space="preserve"> and their progeny. The Court of Chancery noted that turnover on Facebook's board, along with a director's decision to abstain from voting on the Reclassification, made it difficult to apply the </w:t>
      </w:r>
      <w:r>
        <w:rPr>
          <w:iCs/>
          <w:i/>
        </w:rPr>
        <w:t xml:space="preserve">Aronson</w:t>
      </w:r>
      <w:r>
        <w:t xml:space="preserve"> test to the facts of this case:</w:t>
      </w:r>
    </w:p>
    <w:p>
      <w:pPr>
        <w:pStyle w:val="BodyText"/>
      </w:pPr>
      <w:r>
        <w:t xml:space="preserve">The composition of the Board in this case exemplifies the difficulties that the </w:t>
      </w:r>
      <w:r>
        <w:rPr>
          <w:iCs/>
          <w:i/>
        </w:rPr>
        <w:t xml:space="preserve">Aronson</w:t>
      </w:r>
      <w:r>
        <w:t xml:space="preserve"> test struggles to overcome. The Board has nine members, six of whom served on the Board when it approved the Reclassification. Under a strict reading of </w:t>
      </w:r>
      <w:r>
        <w:rPr>
          <w:iCs/>
          <w:i/>
        </w:rPr>
        <w:t xml:space="preserve">Rales,</w:t>
      </w:r>
      <w:r>
        <w:t xml:space="preserve"> because the Board does not have a new majority of directors, </w:t>
      </w:r>
      <w:r>
        <w:rPr>
          <w:iCs/>
          <w:i/>
        </w:rPr>
        <w:t xml:space="preserve">Aronson</w:t>
      </w:r>
      <w:r>
        <w:t xml:space="preserve"> provides the governing test. But one of those six directors abstained from the vote on the Reclassification, meaning that the </w:t>
      </w:r>
      <w:r>
        <w:rPr>
          <w:iCs/>
          <w:i/>
        </w:rPr>
        <w:t xml:space="preserve">Aronson</w:t>
      </w:r>
      <w:r>
        <w:t xml:space="preserve"> analysis only has traction for five of the nine. </w:t>
      </w:r>
      <w:r>
        <w:rPr>
          <w:iCs/>
          <w:i/>
        </w:rPr>
        <w:t xml:space="preserve">Aronson</w:t>
      </w:r>
      <w:r>
        <w:t xml:space="preserve"> does not provide guidance about what to do with either the director who abstained or the two directors who joined the Board later. The director who abstained from voting on the Reclassification suffers from other conflicts that renders her incapable of considering a demand, yet a strict reading of </w:t>
      </w:r>
      <w:r>
        <w:rPr>
          <w:iCs/>
          <w:i/>
        </w:rPr>
        <w:t xml:space="preserve">Aronson</w:t>
      </w:r>
      <w:r>
        <w:t xml:space="preserve"> only focuses on the challenged decision and therefore would not account for those conflicts. Similarly, the plaintiff alleges that one of the directors who subsequently joined the Board has conflicts that render him incapable of considering a demand, but a strict reading of </w:t>
      </w:r>
      <w:r>
        <w:rPr>
          <w:iCs/>
          <w:i/>
        </w:rPr>
        <w:t xml:space="preserve">Aronson</w:t>
      </w:r>
      <w:r>
        <w:t xml:space="preserve"> would not account for that either. Precedent thus calls for applying </w:t>
      </w:r>
      <w:r>
        <w:rPr>
          <w:iCs/>
          <w:i/>
        </w:rPr>
        <w:t xml:space="preserve">Aronson,</w:t>
      </w:r>
      <w:r>
        <w:t xml:space="preserve"> but its analytical framework is not up to the task. The </w:t>
      </w:r>
      <w:r>
        <w:rPr>
          <w:iCs/>
          <w:i/>
        </w:rPr>
        <w:t xml:space="preserve">Rales</w:t>
      </w:r>
      <w:r>
        <w:t xml:space="preserve"> test, by contrast, can accommodate all of these considerations.</w:t>
      </w:r>
    </w:p>
    <w:p>
      <w:pPr>
        <w:pStyle w:val="BodyText"/>
      </w:pPr>
      <w:r>
        <w:t xml:space="preserve">The court also suggested that in light of the developments discussed above, "</w:t>
      </w:r>
      <w:r>
        <w:rPr>
          <w:iCs/>
          <w:i/>
        </w:rPr>
        <w:t xml:space="preserve">Aronson</w:t>
      </w:r>
      <w:r>
        <w:t xml:space="preserve"> is broken in its own right because subsequent jurisprudential developments have rendered non-viable the core premise on which </w:t>
      </w:r>
      <w:r>
        <w:rPr>
          <w:iCs/>
          <w:i/>
        </w:rPr>
        <w:t xml:space="preserve">Aronson</w:t>
      </w:r>
      <w:r>
        <w:t xml:space="preserve"> depends—the notion that an elevated standard of review standing alone results in a substantial likelihood of liability sufficient to excuse demand. Perhaps the time has come to move on from </w:t>
      </w:r>
      <w:r>
        <w:rPr>
          <w:iCs/>
          <w:i/>
        </w:rPr>
        <w:t xml:space="preserve">Aronson</w:t>
      </w:r>
      <w:r>
        <w:t xml:space="preserve"> entirely."</w:t>
      </w:r>
    </w:p>
    <w:p>
      <w:pPr>
        <w:pStyle w:val="BodyText"/>
      </w:pPr>
      <w:r>
        <w:rPr>
          <w:rStyle w:val="HighlightedText"/>
        </w:rPr>
        <w:t xml:space="preserve">To address these concerns, the Court of Chancery applied the following three-part test on a director-by-director basis to determine whether demand should be excused as futile:</w:t>
      </w:r>
    </w:p>
    <w:p>
      <w:pPr>
        <w:pStyle w:val="BodyText"/>
      </w:pPr>
      <w:r>
        <w:rPr>
          <w:rStyle w:val="HighlightedText"/>
        </w:rPr>
        <w:t xml:space="preserve">(i) whether the director received a material personal benefit from the alleged misconduct that is the subject of the litigation demand;</w:t>
      </w:r>
    </w:p>
    <w:p>
      <w:pPr>
        <w:pStyle w:val="BodyText"/>
      </w:pPr>
      <w:r>
        <w:rPr>
          <w:rStyle w:val="HighlightedText"/>
        </w:rPr>
        <w:t xml:space="preserve">(ii) whether the director would face a substantial likelihood of liability on any of the claims that are the subject of the litigation demand; and</w:t>
      </w:r>
    </w:p>
    <w:p>
      <w:pPr>
        <w:pStyle w:val="BodyText"/>
      </w:pPr>
      <w:r>
        <w:rPr>
          <w:rStyle w:val="HighlightedText"/>
        </w:rPr>
        <w:t xml:space="preserve">(iii) whether the director lacks independence from someone who received a material personal benefit from the alleged misconduct that is the subject of the litigation demand or who would face a substantial likelihood of liability on any of the claims that are the subject of the litigation demand.</w:t>
      </w:r>
    </w:p>
    <w:p>
      <w:pPr>
        <w:pStyle w:val="BodyText"/>
      </w:pPr>
      <w:r>
        <w:t xml:space="preserve">This approach treated "</w:t>
      </w:r>
      <w:r>
        <w:rPr>
          <w:iCs/>
          <w:i/>
        </w:rPr>
        <w:t xml:space="preserve">Rales</w:t>
      </w:r>
      <w:r>
        <w:t xml:space="preserve"> as the general demand futility test," while "draw[ing] upon </w:t>
      </w:r>
      <w:r>
        <w:rPr>
          <w:iCs/>
          <w:i/>
        </w:rPr>
        <w:t xml:space="preserve">Aronson</w:t>
      </w:r>
      <w:r>
        <w:t xml:space="preserve">-like principles when evaluating whether particular directors face a substantial likelihood of liability as a result of having participated in the decision to approve the Reclassification."</w:t>
      </w:r>
    </w:p>
    <w:p>
      <w:pPr>
        <w:pStyle w:val="BodyText"/>
      </w:pPr>
      <w:r>
        <w:rPr>
          <w:rStyle w:val="HighlightedText"/>
        </w:rPr>
        <w:t xml:space="preserve">This Court adopts the Court of Chancery's three-part test as the universal test for assessing whether demand should be excused as futile.</w:t>
      </w:r>
      <w:r>
        <w:rPr>
          <w:rStyle w:val="HighlightedText"/>
        </w:rPr>
        <w:t xml:space="preserve"> </w:t>
      </w:r>
      <w:r>
        <w:t xml:space="preserve">When the Court decided </w:t>
      </w:r>
      <w:r>
        <w:rPr>
          <w:iCs/>
          <w:i/>
        </w:rPr>
        <w:t xml:space="preserve">Aronson,</w:t>
      </w:r>
      <w:r>
        <w:t xml:space="preserve"> it made sense to use the standard of review to assess whether directors were subject to an influence that would sterilize their discretion with respect to a litigation demand. Subsequent changes in the law have eroded the ground upon which that framework rested. Those changes cannot be ignored, and it is both appropriate and necessary that the common law evolve in an orderly fashion to incorporate those developments. The Court of Chancery's three-part test achieves that important goal. Blending the </w:t>
      </w:r>
      <w:r>
        <w:rPr>
          <w:iCs/>
          <w:i/>
        </w:rPr>
        <w:t xml:space="preserve">Aronson</w:t>
      </w:r>
      <w:r>
        <w:t xml:space="preserve"> test with the </w:t>
      </w:r>
      <w:r>
        <w:rPr>
          <w:iCs/>
          <w:i/>
        </w:rPr>
        <w:t xml:space="preserve">Rales</w:t>
      </w:r>
      <w:r>
        <w:t xml:space="preserve"> test is appropriate because "both `address the same question of whether the board can exercise its business judgment on the corporat[ion]'s behalf' in considering demand";</w:t>
      </w:r>
      <w:r>
        <w:t xml:space="preserve"> </w:t>
      </w:r>
      <w:r>
        <w:t xml:space="preserve"> </w:t>
      </w:r>
      <w:r>
        <w:t xml:space="preserve">and the refined test does not change the result of demand-futility analysis.</w:t>
      </w:r>
    </w:p>
    <w:p>
      <w:pPr>
        <w:pStyle w:val="BodyText"/>
      </w:pPr>
      <w:r>
        <w:t xml:space="preserve">Further, the refined test "refocuses the inquiry on the decision regarding the litigation demand, rather than the decision being challenged." Notwithstanding text focusing on the propriety of the challenged transaction, this approach is consistent with the overarching concern that</w:t>
      </w:r>
      <w:r>
        <w:t xml:space="preserve"> </w:t>
      </w:r>
      <w:r>
        <w:rPr>
          <w:iCs/>
          <w:i/>
        </w:rPr>
        <w:t xml:space="preserve">Aronson</w:t>
      </w:r>
      <w:r>
        <w:t xml:space="preserve"> </w:t>
      </w:r>
      <w:r>
        <w:t xml:space="preserve">identified: whether the directors on the demand board "cannot be considered proper persons to conduct litigation on behalf of the corporation" because they "are under an influence which sterilizes their discretion." The purpose of the demand-futility analysis is to assess whether the board should be deprived of its decision-making authority because there is reason to doubt that the directors would be able to bring their impartial business judgment to bear on a litigation demand. That is a different consideration than whether the derivative claim is strong or weak because the challenged transaction is likely to pass or fail the applicable standard of review. It is helpful to keep those inquiries separate. And the Court of Chancery's three-part test is particularly helpful where, like here, board turnover and director abstention make it difficult to apply the </w:t>
      </w:r>
      <w:r>
        <w:rPr>
          <w:iCs/>
          <w:i/>
        </w:rPr>
        <w:t xml:space="preserve">Aronson</w:t>
      </w:r>
      <w:r>
        <w:t xml:space="preserve"> test as written.</w:t>
      </w:r>
    </w:p>
    <w:p>
      <w:pPr>
        <w:pStyle w:val="BodyText"/>
      </w:pPr>
      <w:r>
        <w:t xml:space="preserve">Finally, because the three-part test is consistent with and enhances </w:t>
      </w:r>
      <w:r>
        <w:rPr>
          <w:iCs/>
          <w:i/>
        </w:rPr>
        <w:t xml:space="preserve">Aronson, Rales,</w:t>
      </w:r>
      <w:r>
        <w:t xml:space="preserve"> and their progeny, the Court need not overrule </w:t>
      </w:r>
      <w:r>
        <w:rPr>
          <w:iCs/>
          <w:i/>
        </w:rPr>
        <w:t xml:space="preserve">Aronson</w:t>
      </w:r>
      <w:r>
        <w:t xml:space="preserve"> to adopt this refined test, and cases properly construing </w:t>
      </w:r>
      <w:r>
        <w:rPr>
          <w:iCs/>
          <w:i/>
        </w:rPr>
        <w:t xml:space="preserve">Aronson, Rales,</w:t>
      </w:r>
      <w:r>
        <w:t xml:space="preserve"> and their progeny remain good law.</w:t>
      </w:r>
    </w:p>
    <w:p>
      <w:pPr>
        <w:pStyle w:val="BodyText"/>
      </w:pPr>
      <w:r>
        <w:t xml:space="preserve">Accordingly, from this point forward, courts should ask the following three questions on a director-by-director basis when evaluating allegations of demand futility:</w:t>
      </w:r>
    </w:p>
    <w:p>
      <w:pPr>
        <w:pStyle w:val="BodyText"/>
      </w:pPr>
      <w:r>
        <w:t xml:space="preserve">(i) whether the director received a material personal benefit from the alleged misconduct that is the subject of the litigation demand;</w:t>
      </w:r>
    </w:p>
    <w:p>
      <w:pPr>
        <w:pStyle w:val="BodyText"/>
      </w:pPr>
      <w:r>
        <w:t xml:space="preserve">(ii) whether the director faces a substantial likelihood of liability on any of the claims that would be the subject of the litigation demand; and</w:t>
      </w:r>
    </w:p>
    <w:p>
      <w:pPr>
        <w:pStyle w:val="BodyText"/>
      </w:pPr>
      <w:r>
        <w:t xml:space="preserve">(iii) whether the director lacks independence from someone who received a material personal benefit from the alleged misconduct that would be the subject of the litigation demand or who would face a substantial likelihood of liability on any of the claims that are the subject of the litigation demand.</w:t>
      </w:r>
    </w:p>
    <w:p>
      <w:pPr>
        <w:pStyle w:val="BodyText"/>
      </w:pPr>
      <w:r>
        <w:t xml:space="preserve">If the answer to any of the questions is "yes" for at least half of the members of the demand board, then demand is excused as futile. It is no longer necessary to determine whether the </w:t>
      </w:r>
      <w:r>
        <w:rPr>
          <w:iCs/>
          <w:i/>
        </w:rPr>
        <w:t xml:space="preserve">Aronson</w:t>
      </w:r>
      <w:r>
        <w:t xml:space="preserve"> test or the </w:t>
      </w:r>
      <w:r>
        <w:rPr>
          <w:iCs/>
          <w:i/>
        </w:rPr>
        <w:t xml:space="preserve">Rales</w:t>
      </w:r>
      <w:r>
        <w:t xml:space="preserve"> test governs a complaint's demand-futility allegations.</w:t>
      </w:r>
    </w:p>
    <w:p>
      <w:pPr>
        <w:pStyle w:val="BodyText"/>
      </w:pPr>
      <w:r>
        <w:t xml:space="preserve">…</w:t>
      </w:r>
    </w:p>
    <w:p>
      <w:pPr>
        <w:pStyle w:val="BodyText"/>
      </w:pPr>
      <w:r>
        <w:t xml:space="preserve">The Demand Board was composed of nine directors.  Tri-State concedes on appeal that two of those directors, Chenault and Zients, could have impartially considered a litigation demand.  And Facebook does not argue on appeal that Zuckerberg, Sandberg, or Andreessen could have impartially considered a litigation demand. Thus, in order to show that demand is futile, Tri-State must sufficiently allege that two of the following directors could not impartially consider demand:  Thiel, Hastings, Bowles, and Desmond-Hellmann.  </w:t>
      </w:r>
    </w:p>
    <w:p>
      <w:pPr>
        <w:pStyle w:val="BodyText"/>
      </w:pPr>
      <w:r>
        <w:t xml:space="preserve"> </w:t>
      </w:r>
    </w:p>
    <w:p>
      <w:pPr>
        <w:numPr>
          <w:ilvl w:val="0"/>
          <w:numId w:val="1049"/>
        </w:numPr>
      </w:pPr>
      <w:r>
        <w:rPr>
          <w:bCs/>
          <w:b/>
        </w:rPr>
        <w:t xml:space="preserve">Hastings</w:t>
      </w:r>
    </w:p>
    <w:p>
      <w:pPr>
        <w:pStyle w:val="FirstParagraph"/>
      </w:pPr>
      <w:r>
        <w:t xml:space="preserve">The complaint does not raise a reasonable doubt that Hastings lacked independence from Zuckerberg. According to the complaint, Hastings was not independent because:</w:t>
      </w:r>
    </w:p>
    <w:p>
      <w:pPr>
        <w:numPr>
          <w:ilvl w:val="0"/>
          <w:numId w:val="1050"/>
        </w:numPr>
      </w:pPr>
      <w:r>
        <w:t xml:space="preserve">"Netflix purchased advertisements from Facebook at relevant times," and maintains "ongoing and potential future business relationships with" Facebook.</w:t>
      </w:r>
    </w:p>
    <w:p>
      <w:pPr>
        <w:numPr>
          <w:ilvl w:val="0"/>
          <w:numId w:val="1050"/>
        </w:numPr>
      </w:pPr>
      <w:r>
        <w:t xml:space="preserve">According to an article published by </w:t>
      </w:r>
      <w:r>
        <w:rPr>
          <w:iCs/>
          <w:i/>
        </w:rPr>
        <w:t xml:space="preserve">The New York Times,</w:t>
      </w:r>
      <w:r>
        <w:t xml:space="preserve">Facebook gave to Netflix and several other technology companies "more intrusive access to users' personal data than it ha[d] disclosed, effectively exempting those partners from privacy rules."</w:t>
      </w:r>
    </w:p>
    <w:p>
      <w:pPr>
        <w:numPr>
          <w:ilvl w:val="0"/>
          <w:numId w:val="1050"/>
        </w:numPr>
      </w:pPr>
      <w:r>
        <w:t xml:space="preserve">"Hastings (as a Netflix founder) is biased in favor of founders maintaining control of their companies."</w:t>
      </w:r>
    </w:p>
    <w:p>
      <w:pPr>
        <w:numPr>
          <w:ilvl w:val="0"/>
          <w:numId w:val="1050"/>
        </w:numPr>
      </w:pPr>
      <w:r>
        <w:t xml:space="preserve">"Hastings has . . . publicly supported large philanthropic donations by founders during their lifetimes. Indeed, both Hastings and Zuckerberg have been significant contributors . . . [to] a well-known foundation known for soliciting and obtaining large contributions from company founders and which manages donor funds for both Hastings . . . and Zuckerberg . . . ."</w:t>
      </w:r>
    </w:p>
    <w:p>
      <w:pPr>
        <w:pStyle w:val="FirstParagraph"/>
      </w:pPr>
      <w:r>
        <w:t xml:space="preserve">These allegations do not raise a reasonable doubt that Hastings was beholden to Zuckerberg. Even if Netflix purchased advertisements from Facebook, the complaint does not allege that those purchases were material to Netflix or that Netflix received anything other than arm's length terms under those agreements. Similarly, the complaint does not make any particularized allegations explaining how obtaining special access to Facebook user data was material to Netflix's business interests, or that Netflix used its special access to user data to obtain any concrete benefits in its own business.</w:t>
      </w:r>
    </w:p>
    <w:p>
      <w:pPr>
        <w:pStyle w:val="BodyText"/>
      </w:pPr>
      <w:r>
        <w:t xml:space="preserve">Further, having a bias in favor of founder-control does not mean that Hastings lacks independence from Zuckerberg. Hastings might have a good-faith belief that founder control maximizes a corporation's value over the long-haul. If so, that good-faith belief would play a valid role in Hasting's exercise of his impartial business judgment.</w:t>
      </w:r>
    </w:p>
    <w:p>
      <w:pPr>
        <w:pStyle w:val="BodyText"/>
      </w:pPr>
      <w:r>
        <w:t xml:space="preserve">Finally, alleging that Hastings and Zuckerberg have a track record of donating to similar causes falls short of showing that Hastings is beholden to Zuckerberg. As the Court of Chancery noted below, "[t]here is no logical reason to think that a shared interest in philanthropy would undercut Hastings' independence. Nor is it apparent how donating to the same charitable fund would result in Hastings feeling obligated to serve Zuckerberg's interests." Accordingly, the Court affirms the Court of Chancery's holding that the complaint does not raise a reasonable doubt about Hastings's independence.</w:t>
      </w:r>
    </w:p>
    <w:p>
      <w:pPr>
        <w:numPr>
          <w:ilvl w:val="0"/>
          <w:numId w:val="1051"/>
        </w:numPr>
      </w:pPr>
      <w:r>
        <w:rPr>
          <w:bCs/>
          <w:b/>
        </w:rPr>
        <w:t xml:space="preserve">Thiel</w:t>
      </w:r>
    </w:p>
    <w:p>
      <w:pPr>
        <w:pStyle w:val="FirstParagraph"/>
      </w:pPr>
      <w:r>
        <w:t xml:space="preserve">The complaint does not raise a reasonable doubt that Thiel lacked independence from Zuckerberg. According to the complaint, Thiel was not independent because:</w:t>
      </w:r>
    </w:p>
    <w:p>
      <w:pPr>
        <w:numPr>
          <w:ilvl w:val="0"/>
          <w:numId w:val="1052"/>
        </w:numPr>
      </w:pPr>
      <w:r>
        <w:t xml:space="preserve">"Thiel was one of the early investors in Facebook," is "its longest-tenured board member besides Zuckerberg," and "has . . . been instrumental to Facebook's business strategy and direction over the years."</w:t>
      </w:r>
    </w:p>
    <w:p>
      <w:pPr>
        <w:numPr>
          <w:ilvl w:val="0"/>
          <w:numId w:val="1052"/>
        </w:numPr>
      </w:pPr>
      <w:r>
        <w:t xml:space="preserve">"Thiel has a personal bias in favor of keeping founders in control of the companies they created ..."</w:t>
      </w:r>
    </w:p>
    <w:p>
      <w:pPr>
        <w:numPr>
          <w:ilvl w:val="0"/>
          <w:numId w:val="1052"/>
        </w:numPr>
      </w:pPr>
      <w:r>
        <w:t xml:space="preserve">The venture capital firm at which Thiel is a partner, Founders Fund, "gets `good deal flow'" from its "high-profile association with Facebook."</w:t>
      </w:r>
    </w:p>
    <w:p>
      <w:pPr>
        <w:numPr>
          <w:ilvl w:val="0"/>
          <w:numId w:val="1052"/>
        </w:numPr>
      </w:pPr>
      <w:r>
        <w:t xml:space="preserve">"According to Facebook's 2018 Proxy Statement, the Facebook shares owned by the Founders Fund (</w:t>
      </w:r>
      <w:r>
        <w:rPr>
          <w:iCs/>
          <w:i/>
        </w:rPr>
        <w:t xml:space="preserve">i.e.,</w:t>
      </w:r>
      <w:r>
        <w:t xml:space="preserve">by Thiel and Andreessen) will be released from escrow in connection with" an acquisition.</w:t>
      </w:r>
    </w:p>
    <w:p>
      <w:pPr>
        <w:numPr>
          <w:ilvl w:val="0"/>
          <w:numId w:val="1052"/>
        </w:numPr>
      </w:pPr>
      <w:r>
        <w:t xml:space="preserve">"Thiel is Zuckerberg's close friend and mentor."</w:t>
      </w:r>
    </w:p>
    <w:p>
      <w:pPr>
        <w:numPr>
          <w:ilvl w:val="0"/>
          <w:numId w:val="1052"/>
        </w:numPr>
      </w:pPr>
      <w:r>
        <w:t xml:space="preserve">In October 2016, Thiel made a $1 million donation to an "organization that paid [a substantial sum to] Cambridge Analytica" and "cofounded the Cambridge Analytica-linked data firm Palantir.” Even though "[t]he Cambridge Analytica scandal has exposed Facebook to regulatory investigations" and litigation, Zuckerberg did not try to remove Thiel from the board.</w:t>
      </w:r>
    </w:p>
    <w:p>
      <w:pPr>
        <w:numPr>
          <w:ilvl w:val="0"/>
          <w:numId w:val="1052"/>
        </w:numPr>
      </w:pPr>
      <w:r>
        <w:t xml:space="preserve">Similarly, Thiel's "acknowledge[ment] that he secretly funded various lawsuits aimed at bankrupting [the] news website Gawker Media" lead to "widespread calls for Zuckerberg to remove Thiel from Facebook's Board given Thiel's apparent antagonism toward a free press." Zuckerberg ignored those calls and did not seek to remove Thiel from Facebook's board.</w:t>
      </w:r>
    </w:p>
    <w:p>
      <w:pPr>
        <w:pStyle w:val="FirstParagraph"/>
      </w:pPr>
      <w:r>
        <w:t xml:space="preserve">These allegations do not raise a reasonable doubt that Thiel is beholden to Zuckerberg. The complaint does not explain why Thiel's status as a long-serving board member, early investor, or his contributions to Facebook's business strategy make him beholden to Zuckerberg. And for the same reasons provided above, a director's good faith belief that founder controller maximizes value does not raise a reasonable doubt that the director lacks independence from a corporation's founder.</w:t>
      </w:r>
    </w:p>
    <w:p>
      <w:pPr>
        <w:pStyle w:val="BodyText"/>
      </w:pPr>
      <w:r>
        <w:t xml:space="preserve">While the complaint alleges that Founders Fund "gets `good deal flow'" from Thiel's "high-profile association with Facebook," the complaint does not identify a single deal that flowed to—or is expected to flow to—Founders Fund through this association, let alone any deals that would be material to Thiel's interests. The complaint also fails to draw any connection between Thiel's continued status as a director and the vesting of Facebook stock related to the acquisition. And alleging that Thiel is a personal friend of Zuckerberg is insufficient to establish a lack of independence.</w:t>
      </w:r>
    </w:p>
    <w:p>
      <w:pPr>
        <w:pStyle w:val="BodyText"/>
      </w:pPr>
      <w:r>
        <w:t xml:space="preserve">The final pair of allegations suggest that because "Zuckerberg stood by Thiel" in the face of public scandals, "Thiel feels a sense of obligation to Zuckerberg." These allegations can only raise a reasonable doubt about Thiel's independence if remaining a Facebook director was financially or personally material to Thiel. As the Court of Chancery noted below, given Thiel's wealth and stature, "[t]he complaint does not support an inference that Thiel's service on the Board is financially material to him. Nor does the complaint sufficiently allege that serving as a Facebook director confers such cachet that Thiel's independence is compromised." Accordingly, this Court affirms the Court of Chancery's holding that the complaint does not raise a reasonable doubt about Thiel's independence.</w:t>
      </w:r>
    </w:p>
    <w:p>
      <w:pPr>
        <w:numPr>
          <w:ilvl w:val="0"/>
          <w:numId w:val="1053"/>
        </w:numPr>
      </w:pPr>
      <w:r>
        <w:rPr>
          <w:bCs/>
          <w:b/>
        </w:rPr>
        <w:t xml:space="preserve">Bowles</w:t>
      </w:r>
    </w:p>
    <w:p>
      <w:pPr>
        <w:pStyle w:val="FirstParagraph"/>
      </w:pPr>
      <w:r>
        <w:t xml:space="preserve">The complaint does not raise a reasonable doubt that Bowles lacked independence from Zuckerberg. According to the complaint, Thiel was not independent because:</w:t>
      </w:r>
    </w:p>
    <w:p>
      <w:pPr>
        <w:numPr>
          <w:ilvl w:val="0"/>
          <w:numId w:val="1054"/>
        </w:numPr>
      </w:pPr>
      <w:r>
        <w:t xml:space="preserve">"Bowles is beholden to the entire board" because it granted "a waiver of the mandatory retirement age for directors set forth in Facebook's Corporate Governance Guidelines," allowing "Bowles to stand for reelection despite having reached 70 years old before" the May 2018 annual meeting.</w:t>
      </w:r>
    </w:p>
    <w:p>
      <w:pPr>
        <w:numPr>
          <w:ilvl w:val="0"/>
          <w:numId w:val="1054"/>
        </w:numPr>
      </w:pPr>
      <w:r>
        <w:t xml:space="preserve">"Morgan Stanley—a company for which [Bowles] . . . served as a longstanding board member at the time (2005-2017)—directly benefited by receiving over $2 million in fees for its work . . . in connection with the Reclassification . . . ."</w:t>
      </w:r>
    </w:p>
    <w:p>
      <w:pPr>
        <w:numPr>
          <w:ilvl w:val="0"/>
          <w:numId w:val="1054"/>
        </w:numPr>
      </w:pPr>
      <w:r>
        <w:t xml:space="preserve">Bowles "ensured that Evercore and his close friend Altman financially benefitted from the Special Committee's engagement" without properly vetting Evercore's competency or considering alternatives.</w:t>
      </w:r>
    </w:p>
    <w:p>
      <w:pPr>
        <w:pStyle w:val="FirstParagraph"/>
      </w:pPr>
      <w:r>
        <w:t xml:space="preserve">These allegations do not raise a reasonable doubt that Bowles is beholden to Zuckerberg or the other members of the Demand Board. The complaint does not make any particularized allegation explaining why the board's decision to grant Bowles a waiver from the mandatory retirement age would compromise his ability to impartially consider a litigation demand or engender a sense of debt to the other directors. For example, the complaint does not allege that Bowles was expected to do anything in exchange for the waiver, or that remaining a director was financially or personally material to Bowles.</w:t>
      </w:r>
    </w:p>
    <w:p>
      <w:pPr>
        <w:pStyle w:val="BodyText"/>
      </w:pPr>
      <w:r>
        <w:t xml:space="preserve">The complaint's allegations regarding Bowles's links to financial advisors are similarly ill-supported. None of these allegations suggest that Bowles received a personal benefit from the Reclassification, or that Bowles's ties to these advisors made him beholden to Zuckerberg as a condition of sending business to Morgan Stanley, Evercore, or his "close friend Altman." Accordingly, this Court affirms the Court of Chancery's holding that the complaint does not raise a reasonable doubt about Bowles's independence.</w:t>
      </w:r>
      <w:r>
        <w:t xml:space="preserve"> </w:t>
      </w:r>
    </w:p>
    <w:p>
      <w:pPr>
        <w:pStyle w:val="BodyText"/>
      </w:pPr>
      <w:r>
        <w:t xml:space="preserve">…</w:t>
      </w:r>
    </w:p>
    <w:p>
      <w:pPr>
        <w:pStyle w:val="BodyText"/>
      </w:pPr>
      <w:r>
        <w:t xml:space="preserve">For the reasons provided above, the Court of Chancery's judgment is affirmed.</w:t>
      </w:r>
    </w:p>
    <w:bookmarkEnd w:id="161"/>
    <w:p>
      <w:pPr>
        <w:pStyle w:val="NodeEnd"/>
      </w:pPr>
      <w:r>
        <w:t xml:space="preserve"> </w:t>
      </w:r>
    </w:p>
    <w:p>
      <w:pPr>
        <w:pStyle w:val="NodeStart"/>
      </w:pPr>
      <w:r>
        <w:t xml:space="preserve"> </w:t>
      </w:r>
    </w:p>
    <w:p>
      <w:pPr>
        <w:pStyle w:val="HeadSeparator"/>
      </w:pPr>
      <w:r>
        <w:t xml:space="preserve"> </w:t>
      </w:r>
    </w:p>
    <w:bookmarkStart w:id="91" w:name="_auto_toc_91"/>
    <w:bookmarkEnd w:id="91"/>
    <w:p>
      <w:pPr>
        <w:pStyle w:val="ResourceNumber"/>
      </w:pPr>
      <w:r>
        <w:t xml:space="preserve">7.1.6</w:t>
      </w:r>
    </w:p>
    <w:p>
      <w:pPr>
        <w:pStyle w:val="ResourceTitle"/>
      </w:pPr>
      <w:r>
        <w:t xml:space="preserve">Zapata v. Maldonado</w:t>
      </w:r>
    </w:p>
    <w:p>
      <w:pPr>
        <w:pStyle w:val="HeadFieldSeparator"/>
      </w:pPr>
      <w:r>
        <w:t xml:space="preserve"> </w:t>
      </w:r>
    </w:p>
    <w:p>
      <w:pPr>
        <w:pStyle w:val="ResourceHeadnote"/>
      </w:pPr>
      <w:r>
        <w:rPr>
          <w:iCs/>
          <w:i/>
        </w:rPr>
        <w:t xml:space="preserve">Zapata</w:t>
      </w:r>
      <w:r>
        <w:t xml:space="preserve"> </w:t>
      </w:r>
      <w:r>
        <w:t xml:space="preserve">is the leading case on the legal standard a court will apply to a special litigation committee's motion to take control over derivative litigation following following the 23.1 motion to dismiss and prior to going to trial. Look at the facts related to the interestedness and independence of directors on the special litigation committee. Consider whether under these same facts demand would have been deemed futile with respect to these directors at the 23.1 motion to dismiss stage.</w:t>
      </w:r>
    </w:p>
    <w:p>
      <w:pPr>
        <w:pStyle w:val="HeadEnd"/>
      </w:pPr>
      <w:r>
        <w:t xml:space="preserve"> </w:t>
      </w:r>
    </w:p>
    <w:p>
      <w:pPr>
        <w:pStyle w:val="CaseHeader"/>
      </w:pPr>
      <w:r>
        <w:t xml:space="preserve">Delaware Supreme Court</w:t>
      </w:r>
    </w:p>
    <w:p>
      <w:pPr>
        <w:pStyle w:val="CaseHeader"/>
      </w:pPr>
      <w:r>
        <w:t xml:space="preserve">430 A.2d 779</w:t>
      </w:r>
    </w:p>
    <w:p>
      <w:pPr>
        <w:pStyle w:val="CaseHeader"/>
      </w:pPr>
      <w:r>
        <w:t xml:space="preserve">1981-05-13</w:t>
      </w:r>
    </w:p>
    <w:p>
      <w:pPr>
        <w:pStyle w:val="CaseBody"/>
      </w:pPr>
      <w:r>
        <w:t xml:space="preserve">430 A.2d 779 (1981)</w:t>
      </w:r>
    </w:p>
    <w:p>
      <w:pPr>
        <w:pStyle w:val="CaseHeader"/>
      </w:pPr>
      <w:r>
        <w:t xml:space="preserve">ZAPATA CORPORATION,</w:t>
      </w:r>
      <w:r>
        <w:rPr>
          <w:rStyle w:val="Elision"/>
        </w:rPr>
        <w:t xml:space="preserve">[ … ]</w:t>
      </w:r>
      <w:r>
        <w:br/>
      </w:r>
      <w:r>
        <w:t xml:space="preserve">v.</w:t>
      </w:r>
      <w:r>
        <w:br/>
      </w:r>
      <w:r>
        <w:t xml:space="preserve">William MALDONADO</w:t>
      </w:r>
      <w:r>
        <w:rPr>
          <w:rStyle w:val="Elision"/>
        </w:rPr>
        <w:t xml:space="preserve">[ … ]</w:t>
      </w:r>
    </w:p>
    <w:bookmarkStart w:id="162" w:name="quillen-justice"/>
    <w:p>
      <w:pPr>
        <w:pStyle w:val="Heading2"/>
      </w:pPr>
      <w:r>
        <w:t xml:space="preserve">QUILLEN, Justice:</w:t>
      </w:r>
    </w:p>
    <w:p>
      <w:pPr>
        <w:pStyle w:val="CaseBody"/>
      </w:pPr>
      <w:r>
        <w:rPr>
          <w:rStyle w:val="Elision"/>
        </w:rPr>
        <w:t xml:space="preserve">[ … ]</w:t>
      </w:r>
    </w:p>
    <w:p>
      <w:pPr>
        <w:pStyle w:val="CaseBody"/>
      </w:pPr>
      <w:r>
        <w:t xml:space="preserve">In June, 1975, William Maldonado, a stockholder of Zapata, instituted a derivative action in the Court of Chancery on behalf of Zapata against ten officers and/or directors of Zapata, alleging, essentially, breaches of fiduciary duty. Maldonado did not first demand that the board bring this action, stating instead such demand's futility because all directors were named as defendants and allegedly participated in the acts specified.</w:t>
      </w:r>
      <w:hyperlink w:anchor="X27e3e860b0e6acab1b85ebeadae29b50925f64a">
        <w:r>
          <w:rPr>
            <w:rStyle w:val="Elision"/>
            <w:vertAlign w:val="superscript"/>
          </w:rPr>
          <w:t xml:space="preserve">[ … ]</w:t>
        </w:r>
      </w:hyperlink>
    </w:p>
    <w:p>
      <w:pPr>
        <w:pStyle w:val="CaseBody"/>
      </w:pPr>
      <w:r>
        <w:t xml:space="preserve">[781] By June, 1979, four of the defendant-directors were no longer on the board, and the remaining directors appointed two new outside directors to the board. The board then created an "Independent Investigation Committee" (Committee), composed solely of the two new directors, to investigate Maldonado's actions, as well as a similar derivative action then pending in Texas, and to determine whether the corporation should continue any or all of the litigation. The Committee's determination was stated to be "final, ... not ... subject to review by the Board of Directors and ... in all respects ... binding upon the Corporation."</w:t>
      </w:r>
    </w:p>
    <w:p>
      <w:pPr>
        <w:pStyle w:val="CaseBody"/>
      </w:pPr>
      <w:r>
        <w:t xml:space="preserve">Following an investigation, the Committee concluded, in September, 1979, that each action should "be dismissed forthwith as their continued maintenance is inimical to the Company's best interests...." Consequently, Zapata moved for dismissal or summary judgment in the three derivative actions.</w:t>
      </w:r>
      <w:r>
        <w:t xml:space="preserve"> </w:t>
      </w:r>
      <w:r>
        <w:rPr>
          <w:rStyle w:val="Elision"/>
        </w:rPr>
        <w:t xml:space="preserve">[ … ]</w:t>
      </w:r>
    </w:p>
    <w:p>
      <w:pPr>
        <w:pStyle w:val="CaseBody"/>
      </w:pPr>
      <w:r>
        <w:t xml:space="preserve">On March 18, 1980, the Court of Chancery, in a reported opinion, the basis for the order of April 9, 1980, denied Zapata's motions, holding that Delaware law does not sanction this means of dismissal. More specifically, it held that the "business judgment" rule is not a grant of authority to dismiss derivative actions and that a stockholder has an individual right to maintain derivative actions in certain instances.</w:t>
      </w:r>
      <w:r>
        <w:t xml:space="preserve"> </w:t>
      </w:r>
      <w:r>
        <w:rPr>
          <w:rStyle w:val="Elision"/>
        </w:rPr>
        <w:t xml:space="preserve">[ … ]</w:t>
      </w:r>
    </w:p>
    <w:p>
      <w:pPr>
        <w:pStyle w:val="CaseBody"/>
      </w:pPr>
      <w:r>
        <w:t xml:space="preserve">We limit our review in this interlocutory appeal to whether the Committee has the power to cause the present action to be dismissed.</w:t>
      </w:r>
    </w:p>
    <w:p>
      <w:pPr>
        <w:pStyle w:val="CaseBody"/>
      </w:pPr>
      <w:r>
        <w:t xml:space="preserve">We begin with an examination of the carefully considered opinion of the Vice Chancellor which states, in part, that the "business judgment" rule does not confer power "to a corporate board of directors to terminate a derivative suit", 413 A.2d at 1257. His conclusion is particularly pertinent because several federal courts, applying Delaware law, have held that the business judgment rule enables boards (or their committees) to terminate derivative suits, decisions now in conflict with the holding below.</w:t>
      </w:r>
      <w:hyperlink w:anchor="Xb8c98f91625c569b72ffbc76b73ded714cf6203">
        <w:r>
          <w:rPr>
            <w:rStyle w:val="Hyperlink"/>
            <w:vertAlign w:val="superscript"/>
          </w:rPr>
          <w:t xml:space="preserve">[4]</w:t>
        </w:r>
      </w:hyperlink>
    </w:p>
    <w:p>
      <w:pPr>
        <w:pStyle w:val="CaseBody"/>
      </w:pPr>
      <w:r>
        <w:t xml:space="preserve">[782] As the term is most commonly used, and given the disposition below, we can understand the Vice Chancellor's comment that "the business judgment rule is irrelevant to the question of whether the Committee has the authority to compel the dismissal of this suit". 413 A.2d at 1257. Corporations, existing because of legislative grace, possess authority as granted by the legislature. Directors of Delaware corporations derive their managerial decision making power, which encompasses decisions whether to initiate, or refrain from entering, litigation,</w:t>
      </w:r>
      <w:hyperlink w:anchor="Xf2276d77fd31fa19d8ff69123bcea43446f7ffb">
        <w:r>
          <w:rPr>
            <w:rStyle w:val="Hyperlink"/>
            <w:vertAlign w:val="superscript"/>
          </w:rPr>
          <w:t xml:space="preserve">[5]</w:t>
        </w:r>
      </w:hyperlink>
      <w:r>
        <w:t xml:space="preserve"> </w:t>
      </w:r>
      <w:r>
        <w:t xml:space="preserve">from 8</w:t>
      </w:r>
      <w:r>
        <w:t xml:space="preserve"> </w:t>
      </w:r>
      <w:r>
        <w:rPr>
          <w:iCs/>
          <w:i/>
        </w:rPr>
        <w:t xml:space="preserve">Del.C.</w:t>
      </w:r>
      <w:r>
        <w:t xml:space="preserve"> </w:t>
      </w:r>
      <w:r>
        <w:t xml:space="preserve">§ 141 (a).</w:t>
      </w:r>
      <w:hyperlink w:anchor="X91c41281cefc3fa1c5c1afd4494bb66cd6bb3f0">
        <w:r>
          <w:rPr>
            <w:rStyle w:val="Hyperlink"/>
            <w:vertAlign w:val="superscript"/>
          </w:rPr>
          <w:t xml:space="preserve">[6]</w:t>
        </w:r>
      </w:hyperlink>
      <w:r>
        <w:t xml:space="preserve"> </w:t>
      </w:r>
      <w:r>
        <w:t xml:space="preserve">This statute is the fount of directorial powers. The "business judgment" rule is a judicial creation that presumes propriety, under certain circumstances, in a board's decision.</w:t>
      </w:r>
      <w:hyperlink w:anchor="Xe5d761b7b6eae5653bd84736a125f9642ba0309">
        <w:r>
          <w:rPr>
            <w:rStyle w:val="Hyperlink"/>
            <w:vertAlign w:val="superscript"/>
          </w:rPr>
          <w:t xml:space="preserve">[7]</w:t>
        </w:r>
      </w:hyperlink>
      <w:r>
        <w:t xml:space="preserve"> </w:t>
      </w:r>
      <w:r>
        <w:t xml:space="preserve">Viewed defensively, it does not create authority. In this sense the "business judgment" rule is not relevant in corporate decision making until after a decision is made. It is generally used as a defense to an attack on the decision's soundness. The board's managerial decision making power, however, comes from § 141(a). The judicial creation and legislative grant are related because the "business judgment" rule evolved to give recognition and deference to directors' business expertise when exercising their managerial power under § 141(a).</w:t>
      </w:r>
    </w:p>
    <w:p>
      <w:pPr>
        <w:pStyle w:val="CaseBody"/>
      </w:pPr>
      <w:r>
        <w:t xml:space="preserve">In the case before us, although the corporation's decision to move to dismiss or for summary judgment was, literally, a decision resulting from an exercise of the directors' (as delegated to the Committee) business judgment, the question of "business judgment", in a defensive sense, would not become relevant until and unless the decision to seek termination of the derivative lawsuit was attacked as improper.</w:t>
      </w:r>
      <w:r>
        <w:t xml:space="preserve"> </w:t>
      </w:r>
      <w:r>
        <w:rPr>
          <w:rStyle w:val="Elision"/>
        </w:rPr>
        <w:t xml:space="preserve">[ … ]</w:t>
      </w:r>
    </w:p>
    <w:p>
      <w:pPr>
        <w:pStyle w:val="CaseBody"/>
      </w:pPr>
      <w:r>
        <w:t xml:space="preserve">Thus, the focus in this case is on the power to speak for the corporation as to whether the lawsuit should be continued or terminated.</w:t>
      </w:r>
      <w:r>
        <w:rPr>
          <w:rStyle w:val="Elision"/>
        </w:rPr>
        <w:t xml:space="preserve">[ … ]</w:t>
      </w:r>
    </w:p>
    <w:p>
      <w:pPr>
        <w:pStyle w:val="CaseBody"/>
      </w:pPr>
      <w:r>
        <w:t xml:space="preserve">Accordingly, we turn first to the Court of Chancery's conclusions concerning the right of a plaintiff stockholder in a derivative action. We find that its determination that a stockholder, once demand is made and refused, possesses an independent, individual right to continue a derivative suit for breaches of fiduciary duty over objection by the corporation,</w:t>
      </w:r>
      <w:r>
        <w:rPr>
          <w:rStyle w:val="Elision"/>
        </w:rPr>
        <w:t xml:space="preserve">[ … ]</w:t>
      </w:r>
      <w:r>
        <w:t xml:space="preserve">as an absolute rule, is erroneous.</w:t>
      </w:r>
      <w:r>
        <w:t xml:space="preserve"> </w:t>
      </w:r>
      <w:r>
        <w:rPr>
          <w:rStyle w:val="Elision"/>
        </w:rPr>
        <w:t xml:space="preserve">[ … ]</w:t>
      </w:r>
    </w:p>
    <w:p>
      <w:pPr>
        <w:pStyle w:val="CaseBody"/>
      </w:pPr>
      <w:r>
        <w:rPr>
          <w:rStyle w:val="Elision"/>
        </w:rPr>
        <w:t xml:space="preserve">[ … ]</w:t>
      </w:r>
    </w:p>
    <w:p>
      <w:pPr>
        <w:pStyle w:val="CaseBody"/>
      </w:pPr>
      <w:r>
        <w:rPr>
          <w:iCs/>
          <w:i/>
        </w:rPr>
        <w:t xml:space="preserve">McKee v. Rogers</w:t>
      </w:r>
      <w:r>
        <w:rPr>
          <w:rStyle w:val="Elision"/>
        </w:rPr>
        <w:t xml:space="preserve">[ … ]</w:t>
      </w:r>
      <w:r>
        <w:t xml:space="preserve"> </w:t>
      </w:r>
      <w:r>
        <w:t xml:space="preserve">stated "as a general rule" that "a stockholder cannot be permitted... to invade the discretionary field committed to the judgment of the directors and sue in the corporation's behalf when the managing body refuses. This rule is a well settled one."</w:t>
      </w:r>
      <w:r>
        <w:t xml:space="preserve"> </w:t>
      </w:r>
      <w:r>
        <w:rPr>
          <w:rStyle w:val="Elision"/>
        </w:rPr>
        <w:t xml:space="preserve">[ … ]</w:t>
      </w:r>
      <w:hyperlink w:anchor="X5f9e205c711e51597764d242a4b4fa9eefc54c3">
        <w:r>
          <w:rPr>
            <w:rStyle w:val="Hyperlink"/>
            <w:vertAlign w:val="superscript"/>
          </w:rPr>
          <w:t xml:space="preserve">[9]</w:t>
        </w:r>
      </w:hyperlink>
    </w:p>
    <w:p>
      <w:pPr>
        <w:pStyle w:val="CaseBody"/>
      </w:pPr>
      <w:r>
        <w:t xml:space="preserve">The</w:t>
      </w:r>
      <w:r>
        <w:t xml:space="preserve"> </w:t>
      </w:r>
      <w:r>
        <w:rPr>
          <w:iCs/>
          <w:i/>
        </w:rPr>
        <w:t xml:space="preserve">McKee</w:t>
      </w:r>
      <w:r>
        <w:t xml:space="preserve"> </w:t>
      </w:r>
      <w:r>
        <w:t xml:space="preserve">rule, of course, should not be read so broadly that the board's refusal will be determinative in every instance. Board members, owing a well-established fiduciary duty to the corporation, will not be allowed to cause a derivative suit to be dismissed when it would be a breach of their fiduciary duty. Generally [784] disputes pertaining to control of the suit arise in two contexts.</w:t>
      </w:r>
    </w:p>
    <w:p>
      <w:pPr>
        <w:pStyle w:val="CaseBody"/>
      </w:pPr>
      <w:r>
        <w:t xml:space="preserve">Consistent with the purpose of requiring a demand, a board decision to cause a derivative suit to be dismissed as detrimental to the company, after demand has been made and refused, will be respected unless it was wrongful.</w:t>
      </w:r>
      <w:hyperlink w:anchor="X973ce6209554e8ce8d1f5681f5d1ed58b3d82dc">
        <w:r>
          <w:rPr>
            <w:rStyle w:val="Elision"/>
            <w:vertAlign w:val="superscript"/>
          </w:rPr>
          <w:t xml:space="preserve">[ … ]</w:t>
        </w:r>
      </w:hyperlink>
      <w:r>
        <w:t xml:space="preserve">A claim of a wrongful decision not to sue is thus the first exception and the first context of dispute. Absent a wrongful refusal, the stockholder in such a situation simply lacks legal managerial power.</w:t>
      </w:r>
      <w:r>
        <w:t xml:space="preserve"> </w:t>
      </w:r>
      <w:r>
        <w:rPr>
          <w:rStyle w:val="Elision"/>
        </w:rPr>
        <w:t xml:space="preserve">[ … ]</w:t>
      </w:r>
    </w:p>
    <w:p>
      <w:pPr>
        <w:pStyle w:val="CaseBody"/>
      </w:pPr>
      <w:r>
        <w:t xml:space="preserve">But it cannot be implied that, absent a wrongful board refusal, a stockholder can never have an individual right to initiate an action.</w:t>
      </w:r>
      <w:r>
        <w:t xml:space="preserve"> </w:t>
      </w:r>
      <w:r>
        <w:rPr>
          <w:rStyle w:val="Elision"/>
        </w:rPr>
        <w:t xml:space="preserve">[ … ]</w:t>
      </w:r>
    </w:p>
    <w:p>
      <w:pPr>
        <w:pStyle w:val="CaseBody"/>
      </w:pPr>
      <w:r>
        <w:t xml:space="preserve">A demand, when required and refused (if not wrongful), terminates a stockholder's legal ability to initiate a derivative action.</w:t>
      </w:r>
      <w:hyperlink w:anchor="X1b8a5aede1da06e77e89602ffc0c3b896d42eef">
        <w:r>
          <w:rPr>
            <w:rStyle w:val="Hyperlink"/>
            <w:vertAlign w:val="superscript"/>
          </w:rPr>
          <w:t xml:space="preserve">[12]</w:t>
        </w:r>
      </w:hyperlink>
      <w:r>
        <w:t xml:space="preserve"> </w:t>
      </w:r>
      <w:r>
        <w:t xml:space="preserve">But where demand is properly excused, the stockholder does possess the ability to initiate the action on his corporation's behalf.</w:t>
      </w:r>
    </w:p>
    <w:p>
      <w:pPr>
        <w:pStyle w:val="CaseBody"/>
      </w:pPr>
      <w:r>
        <w:t xml:space="preserve">These conclusions, however, do not determine the question before us. Rather, they merely bring us to the question to be decided. It is here that we part company with the Court below. Derivative suits enforce corporate rights and any recovery obtained goes to the corporation.</w:t>
      </w:r>
      <w:r>
        <w:t xml:space="preserve"> </w:t>
      </w:r>
      <w:r>
        <w:rPr>
          <w:iCs/>
          <w:i/>
        </w:rPr>
        <w:t xml:space="preserve">T</w:t>
      </w:r>
      <w:r>
        <w:rPr>
          <w:rStyle w:val="Elision"/>
        </w:rPr>
        <w:t xml:space="preserve">[ … ]</w:t>
      </w:r>
      <w:r>
        <w:t xml:space="preserve"> </w:t>
      </w:r>
      <w:r>
        <w:t xml:space="preserve">We see no inherent reason why the "two phases" of a derivative suit, the stockholder's suit to compel the corporation to sue and the corporation's suit (see 413 A.2d at 1261-62), should automatically result in the placement in the hands of the [785] litigating stockholder sole control of the corporate right throughout the litigation. To the contrary, it seems to us that such an inflexible rule would recognize the interest of one person or group to the exclusion of all others within the corporate entity. Thus, we reject the view of the Vice Chancellor as to the first aspect of the issue on appeal.</w:t>
      </w:r>
    </w:p>
    <w:p>
      <w:pPr>
        <w:pStyle w:val="CaseBody"/>
      </w:pPr>
      <w:r>
        <w:t xml:space="preserve">The question to be decided becomes: When, if at all, should an authorized board committee be permitted to cause litigation, properly initiated by a derivative stockholder in his own right, to be dismissed? As noted above, a board has the power to choose not to pursue litigation when demand is made upon it, so long as the decision is not wrongful. If the board determines that a suit would be detrimental to the company, the board's determination prevails. Even when demand is excusable, circumstances may arise when continuation of the litigation would not be in the corporation's best interests. Our inquiry is whether, under such circumstances, there is a permissible procedure under § 141(a) by which a corporation can rid itself of detrimental litigation. If there is not, a single stockholder in an extreme case might control the destiny of the entire corporation</w:t>
      </w:r>
      <w:r>
        <w:rPr>
          <w:rStyle w:val="Elision"/>
        </w:rPr>
        <w:t xml:space="preserve">[ … ]</w:t>
      </w:r>
      <w:r>
        <w:t xml:space="preserve">: "To allow one shareholder to incapacitate an entire board of directors merely by leveling charges against them gives too much leverage to dissident shareholders." But, when examining the means, including the committee mechanism examined in this case, potentials for abuse must be recognized. This takes us to the second and third aspects of the issue on appeal.</w:t>
      </w:r>
    </w:p>
    <w:p>
      <w:pPr>
        <w:pStyle w:val="CaseBody"/>
      </w:pPr>
      <w:r>
        <w:t xml:space="preserve">Before we pass to equitable considerations as to the mechanism at issue here, it must be clear that an independent committee possesses the corporate power to seek the termination of a derivative suit. Section 141(c) allows a board to delegate all of its authority to a committee.</w:t>
      </w:r>
      <w:hyperlink w:anchor="X587673335a7d1e11b7885c594bd47fcaa950861">
        <w:r>
          <w:rPr>
            <w:rStyle w:val="Hyperlink"/>
            <w:vertAlign w:val="superscript"/>
          </w:rPr>
          <w:t xml:space="preserve">[13]</w:t>
        </w:r>
      </w:hyperlink>
      <w:r>
        <w:t xml:space="preserve"> </w:t>
      </w:r>
      <w:r>
        <w:t xml:space="preserve">Accordingly, a committee with properly delegated authority would have the power to move for dismissal or summary judgment if the entire board did.</w:t>
      </w:r>
    </w:p>
    <w:p>
      <w:pPr>
        <w:pStyle w:val="CaseBody"/>
      </w:pPr>
      <w:r>
        <w:t xml:space="preserve">Even though demand was not made in this case and the initial decision of whether to litigate was not placed before the board, Zapata's board, it seems to us, retained all of its corporate power concerning litigation decisions. If Maldonado had made demand on the board in this case, it could have refused to bring suit. Maldonado could then have asserted that the decision not to sue was wrongful and, if correct, would have been allowed to maintain the suit. The board, however, never would have lost its statutory managerial authority. The demand requirement itself evidences that the managerial power is retained [786] by the board. When a derivative plaintiff is allowed to bring suit after a wrongful refusal, the board's authority to choose whether to pursue the litigation is not challenged although its conclusion — reached through the exercise of that authority — is not respected since it is wrongful. Similarly, Rule 23.1, by excusing demand in certain instances, does not strip the board of its corporate power. It merely saves the plaintiff the expense and delay of making a futile demand resulting in a probable tainted exercise of that authority in a refusal by the board or in giving control of litigation to the opposing side. But the board entity remains empowered under § 141(a) to make decisions regarding corporate litigation. The problem is one of member disqualification, not the absence of power in the board.</w:t>
      </w:r>
    </w:p>
    <w:p>
      <w:pPr>
        <w:pStyle w:val="CaseBody"/>
      </w:pPr>
      <w:r>
        <w:t xml:space="preserve">The corporate power inquiry then focuses on whether the board, tainted by the self-interest of a majority of its members, can legally delegate its authority to a committee of two disinterested directors. We find our statute clearly requires an affirmative answer to this question.</w:t>
      </w:r>
      <w:r>
        <w:t xml:space="preserve"> </w:t>
      </w:r>
      <w:r>
        <w:rPr>
          <w:rStyle w:val="Elision"/>
        </w:rPr>
        <w:t xml:space="preserve">[ … ]</w:t>
      </w:r>
    </w:p>
    <w:p>
      <w:pPr>
        <w:pStyle w:val="CaseBody"/>
      </w:pPr>
      <w:r>
        <w:t xml:space="preserve">We do not think that the interest taint of the board majority is per se a legal bar to the delegation of the board's power to an independent committee composed of disinterested board members. The committee can properly act for the corporation to move to dismiss derivative litigation that is believed to be detrimental to the corporation's best interest.</w:t>
      </w:r>
    </w:p>
    <w:p>
      <w:pPr>
        <w:pStyle w:val="CaseBody"/>
      </w:pPr>
      <w:r>
        <w:t xml:space="preserve">Our focus now switches to the Court of Chancery which is faced with a stockholder assertion that a derivative suit, properly instituted, should continue for the benefit of the corporation and a corporate assertion, properly made by a board committee acting with board authority, that the same derivative suit should be dismissed as inimical to the best interests of the corporation.</w:t>
      </w:r>
    </w:p>
    <w:p>
      <w:pPr>
        <w:pStyle w:val="CaseBody"/>
      </w:pPr>
      <w:r>
        <w:t xml:space="preserve">At the risk of stating the obvious, the problem is relatively simple. If, on the one hand, corporations can consistently wrest bona fide derivative actions away from well-meaning derivative plaintiffs through the use of the committee mechanism, the derivative suit will lose much, if not all, of its generally-recognized effectiveness as an intra-corporate means of policing boards of directors.</w:t>
      </w:r>
      <w:r>
        <w:t xml:space="preserve"> </w:t>
      </w:r>
      <w:r>
        <w:rPr>
          <w:rStyle w:val="Elision"/>
        </w:rPr>
        <w:t xml:space="preserve">[ … ]</w:t>
      </w:r>
      <w:r>
        <w:t xml:space="preserve">If, on the other hand, corporations are unable to rid themselves of meritless or harmful litigation [787] and strike suits, the derivative action, created to benefit the corporation, will produce the opposite, unintended result.</w:t>
      </w:r>
      <w:r>
        <w:t xml:space="preserve"> </w:t>
      </w:r>
      <w:r>
        <w:rPr>
          <w:rStyle w:val="Elision"/>
        </w:rPr>
        <w:t xml:space="preserve">[ … ]</w:t>
      </w:r>
      <w:r>
        <w:t xml:space="preserve"> </w:t>
      </w:r>
      <w:r>
        <w:t xml:space="preserve">It thus appears desirable to us to find a balancing point where bona fide stockholder power to bring corporate causes of action cannot be unfairly trampled on by the board of directors, but the corporation can rid itself of detrimental litigation.</w:t>
      </w:r>
    </w:p>
    <w:p>
      <w:pPr>
        <w:pStyle w:val="CaseBody"/>
      </w:pPr>
      <w:r>
        <w:t xml:space="preserve">As we noted, the question has been treated by other courts as one of the "business judgment" of the board committee. If a "committee, composed of independent and disinterested directors, conducted a proper review of the matters before it, considered a variety of factors and reached, in good faith, a business judgment that [the] action was not in the best interest of [the corporation]", the action must be dismissed.</w:t>
      </w:r>
      <w:r>
        <w:t xml:space="preserve"> </w:t>
      </w:r>
      <w:r>
        <w:rPr>
          <w:rStyle w:val="Elision"/>
        </w:rPr>
        <w:t xml:space="preserve">[ … ]</w:t>
      </w:r>
      <w:r>
        <w:t xml:space="preserve"> </w:t>
      </w:r>
      <w:r>
        <w:t xml:space="preserve">The issues become solely independence, good faith, and reasonable investigation. The ultimate conclusion of the committee, under that view, is not subject to judicial review.</w:t>
      </w:r>
    </w:p>
    <w:p>
      <w:pPr>
        <w:pStyle w:val="CaseBody"/>
      </w:pPr>
      <w:r>
        <w:rPr>
          <w:rStyle w:val="Elision"/>
        </w:rPr>
        <w:t xml:space="preserve">[ … ]</w:t>
      </w:r>
    </w:p>
    <w:p>
      <w:pPr>
        <w:pStyle w:val="CaseBody"/>
      </w:pPr>
      <w:r>
        <w:t xml:space="preserve">The context here is a suit against directors where demand on the board is excused. We think some tribute must be paid to the fact that the lawsuit was properly initiated. It is not a board refusal case. Moreover, this complaint was filed in June of 1975 and, while the parties undoubtedly would take differing views on the degree of litigation activity, we have to be concerned about the creation of an "Independent Investigation Committee" four years later, after the election of two new outside directors. Situations could develop where such motions could be filed after years of vigorous litigation for reasons unconnected with the merits of the lawsuit.</w:t>
      </w:r>
    </w:p>
    <w:p>
      <w:pPr>
        <w:pStyle w:val="CaseBody"/>
      </w:pPr>
      <w:r>
        <w:t xml:space="preserve">Moreover, notwithstanding our conviction that Delaware law entrusts the corporate power to a properly authorized committee, we must be mindful that directors are passing judgment on fellow directors in the same corporation and fellow directors, in this instance, who designated them to serve both as directors and committee members. The question naturally arises whether a "there but for the grace of God go I" empathy might not play a role. And the further question arises whether inquiry as to independence, good faith and reasonable investigation is sufficient safeguard against abuse, perhaps subconscious abuse.</w:t>
      </w:r>
    </w:p>
    <w:p>
      <w:pPr>
        <w:pStyle w:val="CaseBody"/>
      </w:pPr>
      <w:r>
        <w:rPr>
          <w:rStyle w:val="Elision"/>
        </w:rPr>
        <w:t xml:space="preserve">[ … ]</w:t>
      </w:r>
    </w:p>
    <w:p>
      <w:pPr>
        <w:pStyle w:val="CaseBody"/>
      </w:pPr>
      <w:r>
        <w:t xml:space="preserve">Whether the Court of Chancery will be persuaded by the exercise of a committee power resulting in a summary motion for dismissal of a derivative action, where a demand has not been initially made, should rest, in our judgment, in the independent discretion of the Court of Chancery. We thus steer a middle course between those cases which yield to the independent business judgment of a board committee and this case as determined below which would yield to unbridled plaintiff stockholder control.</w:t>
      </w:r>
      <w:r>
        <w:t xml:space="preserve"> </w:t>
      </w:r>
      <w:r>
        <w:rPr>
          <w:rStyle w:val="Elision"/>
        </w:rPr>
        <w:t xml:space="preserve">[ … ]</w:t>
      </w:r>
    </w:p>
    <w:p>
      <w:pPr>
        <w:pStyle w:val="CaseBody"/>
      </w:pPr>
      <w:r>
        <w:t xml:space="preserve">After an objective and thorough investigation of a derivative suit, an independent committee may cause its corporation to file a pretrial motion to dismiss in the Court of Chancery. The basis of the motion is the best interests of the corporation, as determined by the committee. The motion should include a thorough written record of the investigation and its findings and recommendations. Under appropriate Court supervision, akin to proceedings on summary judgment, each side should have an opportunity to make a record on the motion. As to the limited issues presented by the motion noted below, the moving party should be prepared to meet the normal burden under Rule 56 that there is no genuine issue as to any material fact and that the moving party is entitled to dismiss as a matter of law.</w:t>
      </w:r>
      <w:hyperlink w:anchor="X968211f652797726dcad3df070dba74472959ee">
        <w:r>
          <w:rPr>
            <w:rStyle w:val="Hyperlink"/>
            <w:vertAlign w:val="superscript"/>
          </w:rPr>
          <w:t xml:space="preserve">[15]</w:t>
        </w:r>
      </w:hyperlink>
      <w:r>
        <w:t xml:space="preserve"> </w:t>
      </w:r>
      <w:r>
        <w:t xml:space="preserve">The Court should apply a two-step test to the motion.</w:t>
      </w:r>
    </w:p>
    <w:p>
      <w:pPr>
        <w:pStyle w:val="CaseBody"/>
      </w:pPr>
      <w:r>
        <w:t xml:space="preserve">First, the Court should inquire into the independence and good faith of the committee and the bases supporting its conclusions. Limited discovery may be ordered to facilitate such inquiries.</w:t>
      </w:r>
      <w:hyperlink w:anchor="Xba665dcf75d19a9400f4be2967815011f21461f">
        <w:r>
          <w:rPr>
            <w:rStyle w:val="Hyperlink"/>
            <w:vertAlign w:val="superscript"/>
          </w:rPr>
          <w:t xml:space="preserve">[16]</w:t>
        </w:r>
      </w:hyperlink>
      <w:r>
        <w:t xml:space="preserve"> </w:t>
      </w:r>
      <w:r>
        <w:t xml:space="preserve">The corporation should have the burden of proving independence, good faith and a reasonable investigation, rather than presuming independence, good faith and reasonableness.</w:t>
      </w:r>
      <w:hyperlink w:anchor="X1a939e53626567190cf6962edb6cd88d879a8b3">
        <w:r>
          <w:rPr>
            <w:rStyle w:val="Hyperlink"/>
            <w:vertAlign w:val="superscript"/>
          </w:rPr>
          <w:t xml:space="preserve">[17]</w:t>
        </w:r>
      </w:hyperlink>
      <w:r>
        <w:t xml:space="preserve"> </w:t>
      </w:r>
      <w:r>
        <w:t xml:space="preserve">[789] If the Court determines either that the committee is not independent or has not shown reasonable bases for its conclusions, or, if the Court is not satisfied for other reasons relating to the process, including but not limited to the good faith of the committee, the Court shall deny the corporation's motion. If, however, the Court is satisfied under Rule 56 standards that the committee was independent and showed reasonable bases for good faith findings and recommendations, the Court may proceed, in its discretion, to the next step.</w:t>
      </w:r>
    </w:p>
    <w:p>
      <w:pPr>
        <w:pStyle w:val="CaseBody"/>
      </w:pPr>
      <w:r>
        <w:t xml:space="preserve">The second step provides, we believe, the essential key in striking the balance between legitimate corporate claims as expressed in a derivative stockholder suit and a corporation's best interests as expressed by an independent investigating committee. The Court should determine, applying its own independent business judgment, whether the motion should be granted.</w:t>
      </w:r>
      <w:hyperlink w:anchor="X6271326e5709f15292aeca186a42f244519ee7d">
        <w:r>
          <w:rPr>
            <w:rStyle w:val="Hyperlink"/>
            <w:vertAlign w:val="superscript"/>
          </w:rPr>
          <w:t xml:space="preserve">[18]</w:t>
        </w:r>
      </w:hyperlink>
      <w:r>
        <w:t xml:space="preserve"> </w:t>
      </w:r>
      <w:r>
        <w:t xml:space="preserve">This means, of course, that instances could arise where a committee can establish its independence and sound bases for its good faith decisions and still have the corporation's motion denied. The second step is intended to thwart instances where corporate actions meet the criteria of step one, but the result does not appear to satisfy its spirit, or where corporate actions would simply prematurely terminate a stockholder grievance deserving of further consideration in the corporation's interest. The Court of Chancery of course must carefully consider and weigh how compelling the corporate interest in dismissal is when faced with a non-frivolous lawsuit. The Court of Chancery should, when appropriate, give special consideration to matters of law and public policy in addition to the corporation's best interests.</w:t>
      </w:r>
    </w:p>
    <w:p>
      <w:pPr>
        <w:pStyle w:val="CaseBody"/>
      </w:pPr>
      <w:r>
        <w:t xml:space="preserve">If the Court's independent business judgment is satisfied, the Court may proceed to grant the motion, subject, of course, to any equitable terms or conditions the Court finds necessary or desirable.</w:t>
      </w:r>
    </w:p>
    <w:p>
      <w:pPr>
        <w:pStyle w:val="CaseBody"/>
      </w:pPr>
      <w:r>
        <w:t xml:space="preserve">The interlocutory order of the Court of Chancery is reversed and the cause is remanded for further proceedings consistent with this opinion.</w:t>
      </w:r>
    </w:p>
    <w:p>
      <w:pPr>
        <w:pStyle w:val="CaseBody"/>
      </w:pPr>
      <w:hyperlink w:anchor="Xc629700cc901680b1a5b5726cb8e122b7201884">
        <w:r>
          <w:rPr>
            <w:rStyle w:val="Hyperlink"/>
          </w:rPr>
          <w:t xml:space="preserve">[*]</w:t>
        </w:r>
      </w:hyperlink>
      <w:r>
        <w:t xml:space="preserve"> </w:t>
      </w:r>
      <w:r>
        <w:t xml:space="preserve">The appeal was argued on Oct. 16, 1980 but certain procedural matters required by this Court were not accomplished until the date indicated.</w:t>
      </w:r>
    </w:p>
    <w:p>
      <w:pPr>
        <w:pStyle w:val="CaseBody"/>
      </w:pPr>
      <w:hyperlink w:anchor="X9e814ac4a4e4a200efe4b0d8f7b02b107fae5c3">
        <w:r>
          <w:rPr>
            <w:rStyle w:val="Hyperlink"/>
          </w:rPr>
          <w:t xml:space="preserve">[1]</w:t>
        </w:r>
      </w:hyperlink>
      <w:r>
        <w:t xml:space="preserve"> </w:t>
      </w:r>
      <w:r>
        <w:t xml:space="preserve">Court of Chancery Rule 23.1 states in part:</w:t>
      </w:r>
    </w:p>
    <w:p>
      <w:pPr>
        <w:pStyle w:val="CaseBody"/>
      </w:pPr>
      <w:r>
        <w:t xml:space="preserve">"The complaint shall also allege with particularity the efforts, if any, made by the plaintiff to obtain the action he desires from the directors or comparable authority and the reasons for his failure to obtain the action or for not making the effort."</w:t>
      </w:r>
    </w:p>
    <w:p>
      <w:pPr>
        <w:pStyle w:val="CaseBody"/>
      </w:pPr>
      <w:hyperlink w:anchor="Xa20bddfe98a7ab564ff4cab606f8fcbdaf2bbfc">
        <w:r>
          <w:rPr>
            <w:rStyle w:val="Hyperlink"/>
          </w:rPr>
          <w:t xml:space="preserve">[2]</w:t>
        </w:r>
      </w:hyperlink>
      <w:r>
        <w:t xml:space="preserve"> </w:t>
      </w:r>
      <w:r>
        <w:rPr>
          <w:iCs/>
          <w:i/>
        </w:rPr>
        <w:t xml:space="preserve">Maldonado v. Flynn,</w:t>
      </w:r>
      <w:r>
        <w:t xml:space="preserve"> </w:t>
      </w:r>
      <w:r>
        <w:t xml:space="preserve">Del.Ch., 417 A.2d 378 (1980). Proceedings in the Trial Court are not automatically stayed during the pendency of an interlocutory appeal. Supreme Court Rule 42(d).</w:t>
      </w:r>
    </w:p>
    <w:p>
      <w:pPr>
        <w:pStyle w:val="CaseBody"/>
      </w:pPr>
      <w:hyperlink w:anchor="X4a857077096fc2180ff0ff53a10d74c658f8c6f">
        <w:r>
          <w:rPr>
            <w:rStyle w:val="Hyperlink"/>
          </w:rPr>
          <w:t xml:space="preserve">[3]</w:t>
        </w:r>
      </w:hyperlink>
      <w:r>
        <w:t xml:space="preserve"> </w:t>
      </w:r>
      <w:r>
        <w:t xml:space="preserve">The District Court for the Southern District of Texas, in</w:t>
      </w:r>
      <w:r>
        <w:t xml:space="preserve"> </w:t>
      </w:r>
      <w:r>
        <w:rPr>
          <w:iCs/>
          <w:i/>
        </w:rPr>
        <w:t xml:space="preserve">Maher v. Zapata Corp.,</w:t>
      </w:r>
      <w:r>
        <w:t xml:space="preserve"> </w:t>
      </w:r>
      <w:r>
        <w:t xml:space="preserve">S.D.Tex., 490 F.Supp. 348 (1980), denied Zapata's motions to dismiss or for summary judgment in an opinion consistent with</w:t>
      </w:r>
      <w:r>
        <w:t xml:space="preserve"> </w:t>
      </w:r>
      <w:r>
        <w:rPr>
          <w:iCs/>
          <w:i/>
        </w:rPr>
        <w:t xml:space="preserve">Maldonado.</w:t>
      </w:r>
    </w:p>
    <w:p>
      <w:pPr>
        <w:pStyle w:val="CaseBody"/>
      </w:pPr>
      <w:hyperlink w:anchor="Xff375a3c0195d4371e0baa78f01e2eb7be898e8">
        <w:r>
          <w:rPr>
            <w:rStyle w:val="Hyperlink"/>
          </w:rPr>
          <w:t xml:space="preserve">[4]</w:t>
        </w:r>
      </w:hyperlink>
      <w:r>
        <w:t xml:space="preserve"> </w:t>
      </w:r>
      <w:r>
        <w:rPr>
          <w:iCs/>
          <w:i/>
        </w:rPr>
        <w:t xml:space="preserve">Abbey v. Control Data Corp.,</w:t>
      </w:r>
      <w:r>
        <w:t xml:space="preserve"> </w:t>
      </w:r>
      <w:r>
        <w:t xml:space="preserve">8th Cir., 603 F.2d 724 (1979),</w:t>
      </w:r>
      <w:r>
        <w:t xml:space="preserve"> </w:t>
      </w:r>
      <w:r>
        <w:rPr>
          <w:iCs/>
          <w:i/>
        </w:rPr>
        <w:t xml:space="preserve">cert. denied,</w:t>
      </w:r>
      <w:r>
        <w:t xml:space="preserve"> </w:t>
      </w:r>
      <w:r>
        <w:t xml:space="preserve">444 U.S. 1017, 100 S.Ct. 670, 62 L.Ed.2d 647 (1980);</w:t>
      </w:r>
      <w:r>
        <w:t xml:space="preserve"> </w:t>
      </w:r>
      <w:r>
        <w:rPr>
          <w:iCs/>
          <w:i/>
        </w:rPr>
        <w:t xml:space="preserve">Lewis v. Adams,</w:t>
      </w:r>
      <w:r>
        <w:t xml:space="preserve"> </w:t>
      </w:r>
      <w:r>
        <w:t xml:space="preserve">N.D.Okl., No. 77-266C (November 15, 1979);</w:t>
      </w:r>
      <w:r>
        <w:t xml:space="preserve"> </w:t>
      </w:r>
      <w:r>
        <w:rPr>
          <w:iCs/>
          <w:i/>
        </w:rPr>
        <w:t xml:space="preserve">Siegal v. Merrick,</w:t>
      </w:r>
      <w:r>
        <w:t xml:space="preserve"> </w:t>
      </w:r>
      <w:r>
        <w:t xml:space="preserve">S.D.N.Y., 84 F.R.D. 106 (1979); and, of course,</w:t>
      </w:r>
      <w:r>
        <w:t xml:space="preserve"> </w:t>
      </w:r>
      <w:r>
        <w:rPr>
          <w:iCs/>
          <w:i/>
        </w:rPr>
        <w:t xml:space="preserve">Maldonado v. Flynn,</w:t>
      </w:r>
      <w:r>
        <w:t xml:space="preserve"> </w:t>
      </w:r>
      <w:r>
        <w:t xml:space="preserve">S.D.N.Y., 485 F.Supp. 274 (1980). See also</w:t>
      </w:r>
      <w:r>
        <w:t xml:space="preserve"> </w:t>
      </w:r>
      <w:r>
        <w:rPr>
          <w:iCs/>
          <w:i/>
        </w:rPr>
        <w:t xml:space="preserve">Abramowitz v. Posner,</w:t>
      </w:r>
      <w:r>
        <w:t xml:space="preserve"> </w:t>
      </w:r>
      <w:r>
        <w:t xml:space="preserve">S.D.N.Y., 513 F.Supp. 120, (1981) which specifically rejected the result reached by the Vice Chancellor in this case.</w:t>
      </w:r>
    </w:p>
    <w:p>
      <w:pPr>
        <w:pStyle w:val="CaseBody"/>
      </w:pPr>
      <w:hyperlink w:anchor="X80b8b14d636a6eee09b51d83de0585ae87933c6">
        <w:r>
          <w:rPr>
            <w:rStyle w:val="Hyperlink"/>
          </w:rPr>
          <w:t xml:space="preserve">[5]</w:t>
        </w:r>
      </w:hyperlink>
      <w:r>
        <w:t xml:space="preserve"> </w:t>
      </w:r>
      <w:r>
        <w:t xml:space="preserve">See Dent,</w:t>
      </w:r>
      <w:r>
        <w:t xml:space="preserve"> </w:t>
      </w:r>
      <w:r>
        <w:rPr>
          <w:iCs/>
          <w:i/>
        </w:rPr>
        <w:t xml:space="preserve">The Power of Directors to Terminate Shareholder Litigation: The Death of the Derivative Suit?</w:t>
      </w:r>
      <w:r>
        <w:t xml:space="preserve"> </w:t>
      </w:r>
      <w:r>
        <w:t xml:space="preserve">75 Nw.U.L.Rev. 96, 98 &amp; n. 14 (1980); Comment,</w:t>
      </w:r>
      <w:r>
        <w:t xml:space="preserve"> </w:t>
      </w:r>
      <w:r>
        <w:rPr>
          <w:iCs/>
          <w:i/>
        </w:rPr>
        <w:t xml:space="preserve">The Demand and Standing Requirements in Stockholder Derivative Actions,</w:t>
      </w:r>
      <w:r>
        <w:t xml:space="preserve"> </w:t>
      </w:r>
      <w:r>
        <w:t xml:space="preserve">44 U.Chi.L.Rev. 168, 192 &amp; nn. 153-54 (1976) (herein</w:t>
      </w:r>
      <w:r>
        <w:t xml:space="preserve"> </w:t>
      </w:r>
      <w:r>
        <w:rPr>
          <w:iCs/>
          <w:i/>
        </w:rPr>
        <w:t xml:space="preserve">Stockholder Derivative Actions</w:t>
      </w:r>
      <w:r>
        <w:t xml:space="preserve">).</w:t>
      </w:r>
    </w:p>
    <w:p>
      <w:pPr>
        <w:pStyle w:val="CaseBody"/>
      </w:pPr>
      <w:hyperlink w:anchor="X4b5824cdef06c09840b7437bebdf858869e08de">
        <w:r>
          <w:rPr>
            <w:rStyle w:val="Hyperlink"/>
          </w:rPr>
          <w:t xml:space="preserve">[6]</w:t>
        </w:r>
      </w:hyperlink>
      <w:r>
        <w:t xml:space="preserve"> </w:t>
      </w:r>
      <w:r>
        <w:t xml:space="preserve">8</w:t>
      </w:r>
      <w:r>
        <w:t xml:space="preserve"> </w:t>
      </w:r>
      <w:r>
        <w:rPr>
          <w:iCs/>
          <w:i/>
        </w:rPr>
        <w:t xml:space="preserve">Del.C.</w:t>
      </w:r>
      <w:r>
        <w:t xml:space="preserve"> </w:t>
      </w:r>
      <w:r>
        <w:t xml:space="preserve">§ 141(a) states:</w:t>
      </w:r>
    </w:p>
    <w:p>
      <w:pPr>
        <w:pStyle w:val="BlockText"/>
      </w:pPr>
      <w:r>
        <w:t xml:space="preserve">"The business and affairs of every corporation organized under this chapter shall be managed by or under the direction of a board of directors, except as may be otherwise provided in this chapter or in its certificate of incorporation. If any such provision is made in the certificate of incorporation, the powers and duties conferred or imposed upon the board of directors by this chapter shall be exercised or performed to such extent and by such person or persons as shall be provided in the certificate of incorporation."</w:t>
      </w:r>
    </w:p>
    <w:p>
      <w:pPr>
        <w:pStyle w:val="CaseBody"/>
      </w:pPr>
      <w:hyperlink w:anchor="Xca6b617d61e0fb86b454c9217b493fffce79f16">
        <w:r>
          <w:rPr>
            <w:rStyle w:val="Hyperlink"/>
          </w:rPr>
          <w:t xml:space="preserve">[7]</w:t>
        </w:r>
      </w:hyperlink>
      <w:r>
        <w:t xml:space="preserve"> </w:t>
      </w:r>
      <w:r>
        <w:t xml:space="preserve">See Arsht,</w:t>
      </w:r>
      <w:r>
        <w:t xml:space="preserve"> </w:t>
      </w:r>
      <w:r>
        <w:rPr>
          <w:iCs/>
          <w:i/>
        </w:rPr>
        <w:t xml:space="preserve">The Business Judgment Rule Revisited,</w:t>
      </w:r>
      <w:r>
        <w:t xml:space="preserve"> </w:t>
      </w:r>
      <w:r>
        <w:t xml:space="preserve">8 Hofstra L.Rev. 93, 97, 130-33 (1979).</w:t>
      </w:r>
    </w:p>
    <w:p>
      <w:pPr>
        <w:pStyle w:val="CaseBody"/>
      </w:pPr>
      <w:hyperlink w:anchor="Xb4a1acdffd5ff756312a454c7a7ecd6e2c6ee53">
        <w:r>
          <w:rPr>
            <w:rStyle w:val="Hyperlink"/>
          </w:rPr>
          <w:t xml:space="preserve">[8]</w:t>
        </w:r>
      </w:hyperlink>
      <w:r>
        <w:t xml:space="preserve"> </w:t>
      </w:r>
      <w:r>
        <w:t xml:space="preserve">Compare</w:t>
      </w:r>
      <w:r>
        <w:t xml:space="preserve"> </w:t>
      </w:r>
      <w:r>
        <w:rPr>
          <w:iCs/>
          <w:i/>
        </w:rPr>
        <w:t xml:space="preserve">Baker v. Bankers' Mortgage Co.,</w:t>
      </w:r>
      <w:r>
        <w:t xml:space="preserve"> </w:t>
      </w:r>
      <w:r>
        <w:t xml:space="preserve">Del.Ch., 129 A. 775, 776-77 (1925), the lower</w:t>
      </w:r>
      <w:r>
        <w:t xml:space="preserve"> </w:t>
      </w:r>
      <w:r>
        <w:rPr>
          <w:iCs/>
          <w:i/>
        </w:rPr>
        <w:t xml:space="preserve">Sohland.</w:t>
      </w:r>
      <w:r>
        <w:t xml:space="preserve"> </w:t>
      </w:r>
      <w:r>
        <w:t xml:space="preserve">In</w:t>
      </w:r>
      <w:r>
        <w:t xml:space="preserve"> </w:t>
      </w:r>
      <w:r>
        <w:rPr>
          <w:iCs/>
          <w:i/>
        </w:rPr>
        <w:t xml:space="preserve">Baker,</w:t>
      </w:r>
      <w:r>
        <w:t xml:space="preserve"> </w:t>
      </w:r>
      <w:r>
        <w:t xml:space="preserve">Chancellor Wolcott posed a rhetorical question that is entirely consistent with the result we reach today: "[W]hy should not a stockholder, if the managing body absolutely refuses to act, be permitted to assert on behalf of himself and other stockholders a complaint, not against matters lying in sound discretion and honest judgment, but against frauds perpetrated by an officer in clear breach of his trust?" 129 A. at 777.</w:t>
      </w:r>
    </w:p>
    <w:p>
      <w:pPr>
        <w:pStyle w:val="CaseBody"/>
      </w:pPr>
      <w:hyperlink w:anchor="X7bf13af94161d691d4ee8eb4185808f09c05ce2">
        <w:r>
          <w:rPr>
            <w:rStyle w:val="Hyperlink"/>
          </w:rPr>
          <w:t xml:space="preserve">[9]</w:t>
        </w:r>
      </w:hyperlink>
      <w:r>
        <w:t xml:space="preserve"> </w:t>
      </w:r>
      <w:r>
        <w:t xml:space="preserve">To the extent that</w:t>
      </w:r>
      <w:r>
        <w:t xml:space="preserve"> </w:t>
      </w:r>
      <w:r>
        <w:rPr>
          <w:iCs/>
          <w:i/>
        </w:rPr>
        <w:t xml:space="preserve">Mayer v. Adams,</w:t>
      </w:r>
      <w:r>
        <w:t xml:space="preserve"> </w:t>
      </w:r>
      <w:r>
        <w:t xml:space="preserve">Del. Supr., 141 A.2d 458, 462 (1958) and</w:t>
      </w:r>
      <w:r>
        <w:t xml:space="preserve"> </w:t>
      </w:r>
      <w:r>
        <w:rPr>
          <w:iCs/>
          <w:i/>
        </w:rPr>
        <w:t xml:space="preserve">Ainscow v. Sanitary Co. of America,</w:t>
      </w:r>
      <w:r>
        <w:t xml:space="preserve"> </w:t>
      </w:r>
      <w:r>
        <w:t xml:space="preserve">Del.Ch., 180 A. 614, 615 (1935), relied upon in</w:t>
      </w:r>
      <w:r>
        <w:t xml:space="preserve"> </w:t>
      </w:r>
      <w:r>
        <w:rPr>
          <w:iCs/>
          <w:i/>
        </w:rPr>
        <w:t xml:space="preserve">Maldonado,</w:t>
      </w:r>
      <w:r>
        <w:t xml:space="preserve"> </w:t>
      </w:r>
      <w:r>
        <w:t xml:space="preserve">413 A.2d at 1262, contain language relating to the rule in</w:t>
      </w:r>
      <w:r>
        <w:t xml:space="preserve"> </w:t>
      </w:r>
      <w:r>
        <w:rPr>
          <w:iCs/>
          <w:i/>
        </w:rPr>
        <w:t xml:space="preserve">McKee,</w:t>
      </w:r>
      <w:r>
        <w:t xml:space="preserve"> </w:t>
      </w:r>
      <w:r>
        <w:t xml:space="preserve">we note that each decision is dissimilar from the one we examine today.</w:t>
      </w:r>
      <w:r>
        <w:t xml:space="preserve"> </w:t>
      </w:r>
      <w:r>
        <w:rPr>
          <w:iCs/>
          <w:i/>
        </w:rPr>
        <w:t xml:space="preserve">Mayer</w:t>
      </w:r>
      <w:r>
        <w:t xml:space="preserve"> </w:t>
      </w:r>
      <w:r>
        <w:t xml:space="preserve">held that demand on the stockholders was not required before maintaining a derivative suit if the wrong alleged could not be ratified by the stockholders.</w:t>
      </w:r>
      <w:r>
        <w:t xml:space="preserve"> </w:t>
      </w:r>
      <w:r>
        <w:rPr>
          <w:iCs/>
          <w:i/>
        </w:rPr>
        <w:t xml:space="preserve">Ainscow</w:t>
      </w:r>
      <w:r>
        <w:t xml:space="preserve"> </w:t>
      </w:r>
      <w:r>
        <w:t xml:space="preserve">found defective a complaint that neither alleged demand on the directors, nor reasons why demand was excusable.</w:t>
      </w:r>
    </w:p>
    <w:p>
      <w:pPr>
        <w:pStyle w:val="CaseBody"/>
      </w:pPr>
      <w:hyperlink w:anchor="X7b4e3d104e3570f32788be4ca578ac467d11988">
        <w:r>
          <w:rPr>
            <w:rStyle w:val="Hyperlink"/>
          </w:rPr>
          <w:t xml:space="preserve">[10]</w:t>
        </w:r>
      </w:hyperlink>
      <w:r>
        <w:t xml:space="preserve"> </w:t>
      </w:r>
      <w:r>
        <w:t xml:space="preserve">In other words, when stockholders, after making demand and having their suit rejected, attack the board's decision as improper, the board's decision falls under the "business judgment" rule and will be respected if the requirements of the rule are met. See Dent,</w:t>
      </w:r>
      <w:r>
        <w:t xml:space="preserve"> </w:t>
      </w:r>
      <w:r>
        <w:rPr>
          <w:iCs/>
          <w:i/>
        </w:rPr>
        <w:t xml:space="preserve">supra</w:t>
      </w:r>
      <w:r>
        <w:t xml:space="preserve"> </w:t>
      </w:r>
      <w:r>
        <w:t xml:space="preserve">note 5, 75 Nw.U.L.Rev. at 100-01 &amp; nn. 24-25. That situation should be distinguished from the instant case, where demand was not made, and the</w:t>
      </w:r>
      <w:r>
        <w:t xml:space="preserve"> </w:t>
      </w:r>
      <w:r>
        <w:rPr>
          <w:iCs/>
          <w:i/>
        </w:rPr>
        <w:t xml:space="preserve">power</w:t>
      </w:r>
      <w:r>
        <w:t xml:space="preserve"> </w:t>
      </w:r>
      <w:r>
        <w:t xml:space="preserve">of the board to seek a dismissal, due to disqualification, presents a threshold issue. For examples of what has been held to be a wrongful decision not to sue, see</w:t>
      </w:r>
      <w:r>
        <w:t xml:space="preserve"> </w:t>
      </w:r>
      <w:r>
        <w:rPr>
          <w:iCs/>
          <w:i/>
        </w:rPr>
        <w:t xml:space="preserve">Stockholder Derivative Actions, supra</w:t>
      </w:r>
      <w:r>
        <w:t xml:space="preserve"> </w:t>
      </w:r>
      <w:r>
        <w:t xml:space="preserve">note 5, 44 U.Chi.L. Rev. at 193-98. We recognize that the two contexts can overlap in practice.</w:t>
      </w:r>
    </w:p>
    <w:p>
      <w:pPr>
        <w:pStyle w:val="CaseBody"/>
      </w:pPr>
      <w:hyperlink w:anchor="X6fb062691f152320730d33ec07abd6d95a7566c">
        <w:r>
          <w:rPr>
            <w:rStyle w:val="Hyperlink"/>
          </w:rPr>
          <w:t xml:space="preserve">[11]</w:t>
        </w:r>
      </w:hyperlink>
      <w:r>
        <w:t xml:space="preserve"> </w:t>
      </w:r>
      <w:r>
        <w:t xml:space="preserve">These statements are consistent with Rule 23.1's "reasons for ... failure" to make demand. See also the other cases cited by the Vice Chancellor, 413 A.2d at 1262:</w:t>
      </w:r>
      <w:r>
        <w:t xml:space="preserve"> </w:t>
      </w:r>
      <w:r>
        <w:rPr>
          <w:iCs/>
          <w:i/>
        </w:rPr>
        <w:t xml:space="preserve">Ainscow v. Sanitary Co. of America, supra</w:t>
      </w:r>
      <w:r>
        <w:t xml:space="preserve"> </w:t>
      </w:r>
      <w:r>
        <w:t xml:space="preserve">note 9, 180 A. at 615;</w:t>
      </w:r>
      <w:r>
        <w:t xml:space="preserve"> </w:t>
      </w:r>
      <w:r>
        <w:rPr>
          <w:iCs/>
          <w:i/>
        </w:rPr>
        <w:t xml:space="preserve">Mayer v. Adams, supra</w:t>
      </w:r>
      <w:r>
        <w:t xml:space="preserve"> </w:t>
      </w:r>
      <w:r>
        <w:t xml:space="preserve">note 9, 141 A.2d at 462;</w:t>
      </w:r>
      <w:r>
        <w:t xml:space="preserve"> </w:t>
      </w:r>
      <w:r>
        <w:rPr>
          <w:iCs/>
          <w:i/>
        </w:rPr>
        <w:t xml:space="preserve">Dann v. Chrysler Corp.,</w:t>
      </w:r>
      <w:r>
        <w:t xml:space="preserve"> </w:t>
      </w:r>
      <w:r>
        <w:t xml:space="preserve">Del.Ch., 174 A.2d 696, 699-700 (1961).</w:t>
      </w:r>
    </w:p>
    <w:p>
      <w:pPr>
        <w:pStyle w:val="CaseBody"/>
      </w:pPr>
      <w:hyperlink w:anchor="Xdb9e9e392653b57b2c26f05597a194bea2229cd">
        <w:r>
          <w:rPr>
            <w:rStyle w:val="Hyperlink"/>
          </w:rPr>
          <w:t xml:space="preserve">[12]</w:t>
        </w:r>
      </w:hyperlink>
      <w:r>
        <w:t xml:space="preserve"> </w:t>
      </w:r>
      <w:r>
        <w:t xml:space="preserve">Even in this situation, it may take litigation to determine the stockholder's lack of power, i. e., standing.</w:t>
      </w:r>
    </w:p>
    <w:p>
      <w:pPr>
        <w:pStyle w:val="CaseBody"/>
      </w:pPr>
      <w:hyperlink w:anchor="X46dbecc9448e9f27ef39198f0cefa0803a517fb">
        <w:r>
          <w:rPr>
            <w:rStyle w:val="Hyperlink"/>
          </w:rPr>
          <w:t xml:space="preserve">[13]</w:t>
        </w:r>
      </w:hyperlink>
      <w:r>
        <w:t xml:space="preserve"> </w:t>
      </w:r>
      <w:r>
        <w:t xml:space="preserve">8</w:t>
      </w:r>
      <w:r>
        <w:t xml:space="preserve"> </w:t>
      </w:r>
      <w:r>
        <w:rPr>
          <w:iCs/>
          <w:i/>
        </w:rPr>
        <w:t xml:space="preserve">Del.C.</w:t>
      </w:r>
      <w:r>
        <w:t xml:space="preserve"> </w:t>
      </w:r>
      <w:r>
        <w:t xml:space="preserve">§ 141(c) states:</w:t>
      </w:r>
    </w:p>
    <w:p>
      <w:pPr>
        <w:pStyle w:val="BlockText"/>
      </w:pPr>
      <w:r>
        <w:t xml:space="preserve">"The board of directors may, by resolution passed by a majority of the whole board, designate 1 or more committees, each committee to consist of 1 or more of the directors of the corporation. The board may designate 1 or more directors as alternative members of any committee, who may replace any absent or disqualified member at any meeting of the committee. The bylaws may provide that in the absence or disqualification of a member of a committee, the member or members present at any meeting and not disqualified from voting, whether or not he or they constitute a quorum, may unanimously appoint another member of the board of directors to act at the meeting in the place of any such absent or disqualified member. Any such committee, to the extent provided in the resolution of the board of directors, or in the bylaws of the corporation, shall have and may exercise all the powers and authority of the board of directors in the management of the business and affairs of the corporation, and may authorize the seal of the corporation to be affixed to all papers which may require it; but no such committee shall have the power or authority in reference to amending the certificate of incorporation, adopting an agreement of merger or consolidation, recommending to the stockholders the sale, lease or exchange of all or substantially all of the corporation's property and assets, recommending to the stockholders a dissolution of the corporation or a revocation of a dissolution, or amending the bylaws of the corporation; and, unless the resolution, bylaws, or certificate of incorporation expressly so provide, no such committee shall have the power or authority to declare a dividend or to authorize the issuance of stock."</w:t>
      </w:r>
    </w:p>
    <w:p>
      <w:pPr>
        <w:pStyle w:val="CaseBody"/>
      </w:pPr>
      <w:hyperlink w:anchor="X317f429ce57ced333cbddbd85480266017ea204">
        <w:r>
          <w:rPr>
            <w:rStyle w:val="Hyperlink"/>
          </w:rPr>
          <w:t xml:space="preserve">[14]</w:t>
        </w:r>
      </w:hyperlink>
      <w:r>
        <w:t xml:space="preserve"> </w:t>
      </w:r>
      <w:r>
        <w:t xml:space="preserve">8</w:t>
      </w:r>
      <w:r>
        <w:t xml:space="preserve"> </w:t>
      </w:r>
      <w:r>
        <w:rPr>
          <w:iCs/>
          <w:i/>
        </w:rPr>
        <w:t xml:space="preserve">Del.C.</w:t>
      </w:r>
      <w:r>
        <w:t xml:space="preserve"> </w:t>
      </w:r>
      <w:r>
        <w:t xml:space="preserve">§ 144 states:</w:t>
      </w:r>
    </w:p>
    <w:p>
      <w:pPr>
        <w:pStyle w:val="BlockText"/>
      </w:pPr>
      <w:r>
        <w:t xml:space="preserve">"§ 144. Interested directors; quorum.</w:t>
      </w:r>
    </w:p>
    <w:p>
      <w:pPr>
        <w:pStyle w:val="BlockText"/>
      </w:pPr>
      <w:r>
        <w:t xml:space="preserve">(a) No contract or transaction between a corporation and 1 or more of its directors or officers, or between a corporation and any other corporation, partnership, association, or other organization in which 1 or more of its directors or officers are directors or officers, or have a financial interest, shall be void or voidable solely for this reason, or solely because the director or officer is present at or participates in the meeting of the board or committee which authorizes the contract or transaction, or solely because his or their votes are counted for such purpose, if:</w:t>
      </w:r>
    </w:p>
    <w:p>
      <w:pPr>
        <w:pStyle w:val="BlockText"/>
      </w:pPr>
      <w:r>
        <w:t xml:space="preserve">(1) The material facts as to his relationship or interest and as to the contract or transaction are disclosed or are known to the board of directors or the committee, and the board or committee in good faith authorizes the contract or transaction by the affirmative votes of a majority of the disinterested directors, even though the disinterested directors be less than a quorum; or</w:t>
      </w:r>
    </w:p>
    <w:p>
      <w:pPr>
        <w:pStyle w:val="BlockText"/>
      </w:pPr>
      <w:r>
        <w:t xml:space="preserve">(2) The material facts as to his relationship or interest and as to the contract or transaction are disclosed or are known to the shareholders entitled to vote thereon, and the contract or transaction is specifically approved in good faith by vote of the shareholders; or</w:t>
      </w:r>
    </w:p>
    <w:p>
      <w:pPr>
        <w:pStyle w:val="BlockText"/>
      </w:pPr>
      <w:r>
        <w:t xml:space="preserve">(3) The contract or transaction is fair to the corporation as of the time it is authorized, approved or ratified, by the board of directors, a committee, or the shareholders.</w:t>
      </w:r>
    </w:p>
    <w:p>
      <w:pPr>
        <w:pStyle w:val="BlockText"/>
      </w:pPr>
      <w:r>
        <w:t xml:space="preserve">(b) Common or interested directors may be counted in determining the presence of a quorum at a meeting of the board of directors or of a committee which authorizes the contract or transaction."</w:t>
      </w:r>
    </w:p>
    <w:p>
      <w:pPr>
        <w:pStyle w:val="CaseBody"/>
      </w:pPr>
      <w:hyperlink w:anchor="Xeb47f9f61d7ac5f994f1a667789c34cfae54337">
        <w:r>
          <w:rPr>
            <w:rStyle w:val="Hyperlink"/>
          </w:rPr>
          <w:t xml:space="preserve">[15]</w:t>
        </w:r>
      </w:hyperlink>
      <w:r>
        <w:t xml:space="preserve"> </w:t>
      </w:r>
      <w:r>
        <w:t xml:space="preserve">We do not foreclose a discretionary trial of factual issues but that issue is not presented in this appeal. See</w:t>
      </w:r>
      <w:r>
        <w:t xml:space="preserve"> </w:t>
      </w:r>
      <w:r>
        <w:rPr>
          <w:iCs/>
          <w:i/>
        </w:rPr>
        <w:t xml:space="preserve">Lewis v. Anderson, supra,</w:t>
      </w:r>
      <w:r>
        <w:t xml:space="preserve"> </w:t>
      </w:r>
      <w:r>
        <w:t xml:space="preserve">615 F.2d at 780. Nor do we foreclose the possibility that other motions may proceed or be joined with such a pretrial summary judgment motion to dismiss, e. g., a partial motion for summary judgment on the merits.</w:t>
      </w:r>
    </w:p>
    <w:p>
      <w:pPr>
        <w:pStyle w:val="CaseBody"/>
      </w:pPr>
      <w:hyperlink w:anchor="X78156fd9124c2900aeed530a70d8237eba05edb">
        <w:r>
          <w:rPr>
            <w:rStyle w:val="Hyperlink"/>
          </w:rPr>
          <w:t xml:space="preserve">[16]</w:t>
        </w:r>
      </w:hyperlink>
      <w:r>
        <w:t xml:space="preserve"> </w:t>
      </w:r>
      <w:r>
        <w:t xml:space="preserve">See, e. g.,</w:t>
      </w:r>
      <w:r>
        <w:t xml:space="preserve"> </w:t>
      </w:r>
      <w:r>
        <w:rPr>
          <w:iCs/>
          <w:i/>
        </w:rPr>
        <w:t xml:space="preserve">Galef v. Alexander,</w:t>
      </w:r>
      <w:r>
        <w:t xml:space="preserve"> </w:t>
      </w:r>
      <w:r>
        <w:t xml:space="preserve">2d Cir., 615 F.2d 51, 56 (1980);</w:t>
      </w:r>
      <w:r>
        <w:t xml:space="preserve"> </w:t>
      </w:r>
      <w:r>
        <w:rPr>
          <w:iCs/>
          <w:i/>
        </w:rPr>
        <w:t xml:space="preserve">Maldonado v. Flynn, supra,</w:t>
      </w:r>
      <w:r>
        <w:t xml:space="preserve"> </w:t>
      </w:r>
      <w:r>
        <w:t xml:space="preserve">485 F.Supp. at 285-86;</w:t>
      </w:r>
      <w:r>
        <w:t xml:space="preserve"> </w:t>
      </w:r>
      <w:r>
        <w:rPr>
          <w:iCs/>
          <w:i/>
        </w:rPr>
        <w:t xml:space="preserve">Rosengarten v. International Telephone &amp; Telegraph Corp.,</w:t>
      </w:r>
      <w:r>
        <w:t xml:space="preserve"> </w:t>
      </w:r>
      <w:r>
        <w:t xml:space="preserve">S.D.N.Y., 466 F.Supp. 817, 823 (1979);</w:t>
      </w:r>
      <w:r>
        <w:t xml:space="preserve"> </w:t>
      </w:r>
      <w:r>
        <w:rPr>
          <w:iCs/>
          <w:i/>
        </w:rPr>
        <w:t xml:space="preserve">Gall v. Exxon Corp.,</w:t>
      </w:r>
      <w:r>
        <w:t xml:space="preserve"> </w:t>
      </w:r>
      <w:r>
        <w:t xml:space="preserve">S.D.N.Y., 418 F.Supp. 508, 520 (1976). Compare Dent,</w:t>
      </w:r>
      <w:r>
        <w:t xml:space="preserve"> </w:t>
      </w:r>
      <w:r>
        <w:rPr>
          <w:iCs/>
          <w:i/>
        </w:rPr>
        <w:t xml:space="preserve">supra</w:t>
      </w:r>
      <w:r>
        <w:t xml:space="preserve"> </w:t>
      </w:r>
      <w:r>
        <w:t xml:space="preserve">note 5, 75 Nw.U.L.Rev. at 131-33.</w:t>
      </w:r>
    </w:p>
    <w:p>
      <w:pPr>
        <w:pStyle w:val="CaseBody"/>
      </w:pPr>
      <w:hyperlink w:anchor="Xca629fec7fe47394029cf7991013ea86b510cb2">
        <w:r>
          <w:rPr>
            <w:rStyle w:val="Hyperlink"/>
          </w:rPr>
          <w:t xml:space="preserve">[17]</w:t>
        </w:r>
      </w:hyperlink>
      <w:r>
        <w:t xml:space="preserve"> </w:t>
      </w:r>
      <w:r>
        <w:t xml:space="preserve">Compare</w:t>
      </w:r>
      <w:r>
        <w:t xml:space="preserve"> </w:t>
      </w:r>
      <w:r>
        <w:rPr>
          <w:iCs/>
          <w:i/>
        </w:rPr>
        <w:t xml:space="preserve">Auerbach v. Bennett,</w:t>
      </w:r>
      <w:r>
        <w:t xml:space="preserve"> </w:t>
      </w:r>
      <w:r>
        <w:t xml:space="preserve">47 N.Y.2d 619, 419 N.Y.S.2d 920, 928-29, 393 N.E.2d 994 (1979). Our approach here is analogous to and consistent with the Delaware approach to "interested director" transactions, where the directors, once the transaction is attacked, have the burden of establishing its "intrinsic fairness" to a court's careful scrutiny. See, e. g.,</w:t>
      </w:r>
      <w:r>
        <w:t xml:space="preserve"> </w:t>
      </w:r>
      <w:r>
        <w:rPr>
          <w:iCs/>
          <w:i/>
        </w:rPr>
        <w:t xml:space="preserve">Sterling v. Mayflower Hotel Corp.,</w:t>
      </w:r>
      <w:r>
        <w:t xml:space="preserve"> </w:t>
      </w:r>
      <w:r>
        <w:t xml:space="preserve">Del.Supr., 93 A.2d 107 (1952).</w:t>
      </w:r>
    </w:p>
    <w:p>
      <w:pPr>
        <w:pStyle w:val="CaseBody"/>
      </w:pPr>
      <w:hyperlink w:anchor="Xab6a0a35a5114df2b0d0735e40aa535dc1a29a2">
        <w:r>
          <w:rPr>
            <w:rStyle w:val="Hyperlink"/>
          </w:rPr>
          <w:t xml:space="preserve">[18]</w:t>
        </w:r>
      </w:hyperlink>
      <w:r>
        <w:t xml:space="preserve"> </w:t>
      </w:r>
      <w:r>
        <w:t xml:space="preserve">This step shares some of the same spirit and philosophy of the statement by the Vice Chancellor: "Under our system of law, courts and not litigants should decide the merits of litigation." 413 A.2d at 1263.</w:t>
      </w:r>
    </w:p>
    <w:bookmarkEnd w:id="162"/>
    <w:p>
      <w:pPr>
        <w:pStyle w:val="NodeEnd"/>
      </w:pPr>
      <w:r>
        <w:t xml:space="preserve"> </w:t>
      </w:r>
    </w:p>
    <w:p>
      <w:pPr>
        <w:pStyle w:val="NodeStart"/>
      </w:pPr>
      <w:r>
        <w:t xml:space="preserve"> </w:t>
      </w:r>
    </w:p>
    <w:p>
      <w:pPr>
        <w:pStyle w:val="HeadSeparator"/>
      </w:pPr>
      <w:r>
        <w:t xml:space="preserve"> </w:t>
      </w:r>
    </w:p>
    <w:bookmarkStart w:id="92" w:name="_auto_toc_92"/>
    <w:bookmarkEnd w:id="92"/>
    <w:p>
      <w:pPr>
        <w:pStyle w:val="ResourceNumber"/>
      </w:pPr>
      <w:r>
        <w:t xml:space="preserve">7.1.7</w:t>
      </w:r>
    </w:p>
    <w:p>
      <w:pPr>
        <w:pStyle w:val="ResourceTitle"/>
      </w:pPr>
      <w:r>
        <w:t xml:space="preserve">Americas Mining Corp. v. Theriault (Del. 2012) [Attorney's Fees]</w:t>
      </w:r>
    </w:p>
    <w:p>
      <w:pPr>
        <w:pStyle w:val="HeadFieldSeparator"/>
      </w:pPr>
      <w:r>
        <w:t xml:space="preserve"> </w:t>
      </w:r>
    </w:p>
    <w:p>
      <w:pPr>
        <w:pStyle w:val="ResourceHeadnote"/>
      </w:pPr>
      <w:r>
        <w:t xml:space="preserve">To generate a substantial amount of shareholder litigation, merely allowing shareholders suits, direct or derivative, is not sufficient. Somebody needs to have an incentive to bring the suit. If shareholder-plaintiffs only recovered their pro rata share of the recovery (indirectly in the case of a derivative suit), incentives to bring suit would be very low and, in light of substantial litigation costs, usually insufficient. Litigation would be hamstrung by the same collective action problem as proxy fights. Under the</w:t>
      </w:r>
      <w:r>
        <w:t xml:space="preserve"> </w:t>
      </w:r>
      <w:r>
        <w:rPr>
          <w:iCs/>
          <w:i/>
        </w:rPr>
        <w:t xml:space="preserve">common fund doctrine</w:t>
      </w:r>
      <w:r>
        <w:t xml:space="preserve">, however, U.S. courts award a substantial part of the recovery to the plaintiff or, in the standard case, to the plaintiff lawyer. As</w:t>
      </w:r>
      <w:r>
        <w:t xml:space="preserve"> </w:t>
      </w:r>
      <w:r>
        <w:rPr>
          <w:iCs/>
          <w:i/>
        </w:rPr>
        <w:t xml:space="preserve">Americas Mining</w:t>
      </w:r>
      <w:r>
        <w:t xml:space="preserve"> </w:t>
      </w:r>
      <w:r>
        <w:t xml:space="preserve">shows, that award can be very substantial indeed.</w:t>
      </w:r>
    </w:p>
    <w:p>
      <w:pPr>
        <w:pStyle w:val="ResourceHeadnote"/>
      </w:pPr>
      <w:r>
        <w:t xml:space="preserve">The litigation incentives generated by such awards strike some as excessive. For a while, virtually every M&amp;A deal attracted shareholder litigation, albeit mostly with much lower or no recovery. Corporations tried various tactics to limit the amount of litigation they face, prompting recent amendments of the DGCL (sections 102(f) and 115 – read!).</w:t>
      </w:r>
    </w:p>
    <w:p>
      <w:pPr>
        <w:pStyle w:val="BlockText"/>
      </w:pPr>
      <w:r>
        <w:t xml:space="preserve">1. How does the court determine the right amount of the fee award? What criteria does it use, and what purposes does it aim to achieve? Are the criteria well calibrated to the purposes?</w:t>
      </w:r>
      <w:r>
        <w:br/>
      </w:r>
      <w:r>
        <w:t xml:space="preserve">2. Who is opposing the fee award, and why?</w:t>
      </w:r>
      <w:r>
        <w:br/>
      </w:r>
      <w:r>
        <w:t xml:space="preserve">3. Are the damage and fee awards sufficient to deter fiduciary duty violations similar to those at issue in this case?</w:t>
      </w:r>
    </w:p>
    <w:p>
      <w:pPr>
        <w:pStyle w:val="ResourceHeadnote"/>
      </w:pPr>
      <w:r>
        <w:br/>
      </w:r>
      <w:r>
        <w:rPr>
          <w:bCs/>
          <w:b/>
        </w:rPr>
        <w:t xml:space="preserve">Note</w:t>
      </w:r>
      <w:r>
        <w:t xml:space="preserve">: I excerpt here only the passages relevant to the attorney fee award. The case below was</w:t>
      </w:r>
      <w:r>
        <w:t xml:space="preserve"> </w:t>
      </w:r>
      <w:r>
        <w:rPr>
          <w:iCs/>
          <w:i/>
        </w:rPr>
        <w:t xml:space="preserve">In re Southern Peru (Del. Ch. 2011)</w:t>
      </w:r>
      <w:r>
        <w:t xml:space="preserve">.</w:t>
      </w:r>
    </w:p>
    <w:p>
      <w:pPr>
        <w:pStyle w:val="HeadEnd"/>
      </w:pPr>
      <w:r>
        <w:t xml:space="preserve"> </w:t>
      </w:r>
    </w:p>
    <w:p>
      <w:pPr>
        <w:pStyle w:val="CaseHeader"/>
      </w:pPr>
      <w:r>
        <w:t xml:space="preserve">Delaware Supreme Court</w:t>
      </w:r>
    </w:p>
    <w:p>
      <w:pPr>
        <w:pStyle w:val="CaseHeader"/>
      </w:pPr>
      <w:r>
        <w:t xml:space="preserve">51 A.3d 1213</w:t>
      </w:r>
    </w:p>
    <w:p>
      <w:pPr>
        <w:pStyle w:val="CaseHeader"/>
      </w:pPr>
      <w:r>
        <w:t xml:space="preserve">Nos. 29, 2012, 30, 2012</w:t>
      </w:r>
    </w:p>
    <w:p>
      <w:pPr>
        <w:pStyle w:val="CaseHeader"/>
      </w:pPr>
      <w:r>
        <w:t xml:space="preserve">2012-08-27</w:t>
      </w:r>
    </w:p>
    <w:p>
      <w:pPr>
        <w:pStyle w:val="CaseBody"/>
      </w:pPr>
      <w:r>
        <w:rPr>
          <w:rStyle w:val="Elision"/>
        </w:rPr>
        <w:t xml:space="preserve">[ … ]</w:t>
      </w:r>
    </w:p>
    <w:p>
      <w:pPr>
        <w:pStyle w:val="CaseHeader"/>
      </w:pPr>
      <w:r>
        <w:t xml:space="preserve">AMERICAS MINING CORPORATION,</w:t>
      </w:r>
      <w:r>
        <w:t xml:space="preserve"> </w:t>
      </w:r>
      <w:r>
        <w:rPr>
          <w:rStyle w:val="Elision"/>
        </w:rPr>
        <w:t xml:space="preserve">[ … ]</w:t>
      </w:r>
      <w:r>
        <w:br/>
      </w:r>
      <w:r>
        <w:t xml:space="preserve">v.</w:t>
      </w:r>
      <w:r>
        <w:br/>
      </w:r>
      <w:r>
        <w:rPr>
          <w:rStyle w:val="Elision"/>
        </w:rPr>
        <w:t xml:space="preserve">[ … ]</w:t>
      </w:r>
      <w:r>
        <w:t xml:space="preserve">THERIAULT,</w:t>
      </w:r>
      <w:r>
        <w:t xml:space="preserve"> </w:t>
      </w:r>
      <w:r>
        <w:rPr>
          <w:rStyle w:val="Elision"/>
        </w:rPr>
        <w:t xml:space="preserve">[ … ]</w:t>
      </w:r>
    </w:p>
    <w:p>
      <w:pPr>
        <w:pStyle w:val="CaseBody"/>
      </w:pPr>
      <w:r>
        <w:t xml:space="preserve">Decided: August 27, 2012.</w:t>
      </w:r>
    </w:p>
    <w:p>
      <w:pPr>
        <w:pStyle w:val="CaseBody"/>
      </w:pPr>
      <w:r>
        <w:rPr>
          <w:rStyle w:val="Elision"/>
        </w:rPr>
        <w:t xml:space="preserve">[ … ]</w:t>
      </w:r>
    </w:p>
    <w:bookmarkStart w:id="163" w:name="holland-justice-for-the-majority"/>
    <w:p>
      <w:pPr>
        <w:pStyle w:val="Heading2"/>
      </w:pPr>
      <w:r>
        <w:t xml:space="preserve">HOLLAND, Justice, for the majority:</w:t>
      </w:r>
    </w:p>
    <w:p>
      <w:pPr>
        <w:pStyle w:val="CaseBody"/>
      </w:pPr>
      <w:r>
        <w:t xml:space="preserve">This is an appeal from a post-trial decision and final judgment of the Court of Chancery awarding more than $2 billion in damages and more than $304 million in attorneys' fees. The Court of Chancery held that the defendants-appellants, Americas Mining Corporation ("AMC"), the subsidiary of Southern Copper Corporation's ("Southern Peru") controlling shareholder, and affiliate directors of Southern Peru (collectively, the "Defendants"), breached their fiduciary duty of loyalty to Southern Peru and its minority stockholders by causing Southern Peru to acquire the controller's 99.15% interest in a Mexican mining company, Minera México, S.A. de C.V. ("Minera"), for much more than it was worth,</w:t>
      </w:r>
      <w:r>
        <w:t xml:space="preserve"> </w:t>
      </w:r>
      <w:r>
        <w:rPr>
          <w:iCs/>
          <w:i/>
        </w:rPr>
        <w:t xml:space="preserve">i.e.,</w:t>
      </w:r>
      <w:r>
        <w:t xml:space="preserve"> </w:t>
      </w:r>
      <w:r>
        <w:t xml:space="preserve">at an unfair price</w:t>
      </w:r>
      <w:r>
        <w:rPr>
          <w:rStyle w:val="ReplacementText"/>
        </w:rPr>
        <w:t xml:space="preserve">, in 2004.</w:t>
      </w:r>
    </w:p>
    <w:p>
      <w:pPr>
        <w:pStyle w:val="CaseBody"/>
      </w:pPr>
      <w:r>
        <w:t xml:space="preserve">The Plaintiff challenged the transaction derivatively on behalf of Southern Peru. The Court of Chancery found the trial evidence established that the controlling shareholder, Grupo México, S.A.B. de C.V. ("Grupo Mexico"), through AMC, "extracted a deal that was far better than market" from Southern Peru due to the ineffective operation of a special committee (the "Special Committee"). To remedy the Defendants' breaches of loyalty, the Court of Chancery awarded the difference between the value Southern Peru paid for Minera ($3.7 billion) and the amount the Court of Chancery determined Minera was worth ($2.4 billion). The Court of Chancery awarded damages in the amount of $1.347 billion plus pre- and post-judgment interest, for a total judgment of $2.0316 billion. The Court of Chancery also awarded the Plaintiff's counsel attorneys' fees and expenses in the amount of 15% of the total judgment, which amounts to more than $304 million.</w:t>
      </w:r>
    </w:p>
    <w:bookmarkEnd w:id="163"/>
    <w:bookmarkStart w:id="164" w:name="section-11"/>
    <w:p>
      <w:pPr>
        <w:pStyle w:val="Heading2"/>
      </w:pPr>
      <w:r>
        <w:rPr>
          <w:rStyle w:val="Elision"/>
        </w:rPr>
        <w:t xml:space="preserve">[ … ]</w:t>
      </w:r>
    </w:p>
    <w:bookmarkEnd w:id="164"/>
    <w:bookmarkStart w:id="165" w:name="attorneys-fee-award"/>
    <w:p>
      <w:pPr>
        <w:pStyle w:val="Heading2"/>
      </w:pPr>
      <w:r>
        <w:t xml:space="preserve">ATTORNEYS' FEE AWARD</w:t>
      </w:r>
    </w:p>
    <w:p>
      <w:pPr>
        <w:pStyle w:val="CaseBody"/>
      </w:pPr>
      <w:r>
        <w:t xml:space="preserve">The Plaintiff petitioned for attorneys' fees and expenses representing 22.5% of the recovery plus post-judgment interest. The Court of Chancery awarded 15% of the $2.031 billion judgment, or $304,742,604.45, plus post-judgment interest until the attorneys' fee and expense award is satisfied ("Fee Award"). The Court of Chancery found that the Fee Award "fairly implements the most important factors our Supreme Court has highlighted under</w:t>
      </w:r>
      <w:r>
        <w:t xml:space="preserve"> </w:t>
      </w:r>
      <w:r>
        <w:rPr>
          <w:iCs/>
          <w:i/>
        </w:rPr>
        <w:t xml:space="preserve">Sugarland</w:t>
      </w:r>
      <w:r>
        <w:rPr>
          <w:rStyle w:val="Elision"/>
        </w:rPr>
        <w:t xml:space="preserve">[ … ]</w:t>
      </w:r>
      <w:hyperlink w:anchor="Xe883775dcfbb947d0574a8dfdc531c87a5bd927">
        <w:r>
          <w:rPr>
            <w:rStyle w:val="ReplacementText"/>
            <w:vertAlign w:val="superscript"/>
          </w:rPr>
          <w:t xml:space="preserve">note</w:t>
        </w:r>
      </w:hyperlink>
      <w:r>
        <w:t xml:space="preserve">and "creates a healthy incentive for plaintiff's lawyers to actually seek real achievement for the companies that they represent in derivative actions and the classes that they represent in class actions."</w:t>
      </w:r>
    </w:p>
    <w:p>
      <w:pPr>
        <w:pStyle w:val="CaseBody"/>
      </w:pPr>
      <w:r>
        <w:t xml:space="preserve">On appeal, the Defendants contend "the Court of Chancery abuse[d] its discretion by granting an unreasonable fee award of over $304 million that pays the Plaintiff's counsel over $35,000 per hour worked and 66 times the value of their time and expenses."</w:t>
      </w:r>
      <w:r>
        <w:rPr>
          <w:rStyle w:val="Elision"/>
        </w:rPr>
        <w:t xml:space="preserve">[ … ]</w:t>
      </w:r>
    </w:p>
    <w:bookmarkEnd w:id="165"/>
    <w:bookmarkStart w:id="166" w:name="common-fund-doctrine"/>
    <w:p>
      <w:pPr>
        <w:pStyle w:val="Heading2"/>
      </w:pPr>
      <w:r>
        <w:rPr>
          <w:iCs/>
          <w:i/>
        </w:rPr>
        <w:t xml:space="preserve">Common Fund Doctrine</w:t>
      </w:r>
    </w:p>
    <w:p>
      <w:pPr>
        <w:pStyle w:val="CaseBody"/>
      </w:pPr>
      <w:r>
        <w:t xml:space="preserve">Under the common fund doctrine, "a litigant or a lawyer who recovers a</w:t>
      </w:r>
      <w:r>
        <w:t xml:space="preserve"> </w:t>
      </w:r>
      <w:r>
        <w:rPr>
          <w:rStyle w:val="Elision"/>
        </w:rPr>
        <w:t xml:space="preserve">[ … ]</w:t>
      </w:r>
      <w:r>
        <w:t xml:space="preserve">common fund for the benefit of persons other than himself or his client is entitled to a reasonable attorney's fee from the fund as a whole."</w:t>
      </w:r>
      <w:hyperlink w:anchor="Xd4e1e65455defb16832b20ee6e0a23cac9ba321">
        <w:r>
          <w:rPr>
            <w:rStyle w:val="Elision"/>
            <w:vertAlign w:val="superscript"/>
          </w:rPr>
          <w:t xml:space="preserve">[ … ]</w:t>
        </w:r>
      </w:hyperlink>
      <w:r>
        <w:t xml:space="preserve"> </w:t>
      </w:r>
      <w:r>
        <w:t xml:space="preserve">The common fund doctrine is a well-established basis for awarding attorneys' fees in the Court of Chancery.</w:t>
      </w:r>
      <w:hyperlink w:anchor="X93819e4662dea843d08a32bc3b9005f0210920c">
        <w:r>
          <w:rPr>
            <w:rStyle w:val="Elision"/>
            <w:vertAlign w:val="superscript"/>
          </w:rPr>
          <w:t xml:space="preserve">[ … ]</w:t>
        </w:r>
      </w:hyperlink>
      <w:r>
        <w:t xml:space="preserve">It is founded on the equitable principle that those who have profited from litigation should share its costs.</w:t>
      </w:r>
      <w:hyperlink w:anchor="X51b156f3f323373fe6cd5d1370e0ead890d93e1">
        <w:r>
          <w:rPr>
            <w:rStyle w:val="Elision"/>
            <w:vertAlign w:val="superscript"/>
          </w:rPr>
          <w:t xml:space="preserve">[ … ]</w:t>
        </w:r>
      </w:hyperlink>
    </w:p>
    <w:p>
      <w:pPr>
        <w:pStyle w:val="CaseBody"/>
      </w:pPr>
      <w:r>
        <w:t xml:space="preserve">"Typically, successful derivative or class action suits which result in the recovery of money or property wrongfully diverted from the corporation ... are viewed as fund creating actions."</w:t>
      </w:r>
      <w:hyperlink w:anchor="X6a2240305af3b383d0b36bc8a69919ba489bc7b">
        <w:r>
          <w:rPr>
            <w:rStyle w:val="Elision"/>
            <w:vertAlign w:val="superscript"/>
          </w:rPr>
          <w:t xml:space="preserve">[ … ]</w:t>
        </w:r>
      </w:hyperlink>
      <w:r>
        <w:t xml:space="preserve">In this case,</w:t>
      </w:r>
      <w:r>
        <w:rPr>
          <w:rStyle w:val="Elision"/>
        </w:rPr>
        <w:t xml:space="preserve">[ … ]</w:t>
      </w:r>
      <w:r>
        <w:t xml:space="preserve">the $2.031 billion judgment resulted in the creation of a common fund. Accordingly, Plaintiff's counsel, whose efforts resulted in the creation of that common fund, are entitled to receive a reasonable fee and reimbursement for expenses from that fund.</w:t>
      </w:r>
      <w:hyperlink w:anchor="X2eb6f02b81d526c17710dca725f188336beafa2">
        <w:r>
          <w:rPr>
            <w:rStyle w:val="Elision"/>
            <w:vertAlign w:val="superscript"/>
          </w:rPr>
          <w:t xml:space="preserve">[ … ]</w:t>
        </w:r>
      </w:hyperlink>
    </w:p>
    <w:bookmarkEnd w:id="166"/>
    <w:bookmarkStart w:id="167" w:name="sugarland-factors-applied"/>
    <w:p>
      <w:pPr>
        <w:pStyle w:val="Heading2"/>
      </w:pPr>
      <w:r>
        <w:t xml:space="preserve">Sugarland</w:t>
      </w:r>
      <w:r>
        <w:t xml:space="preserve"> </w:t>
      </w:r>
      <w:r>
        <w:rPr>
          <w:iCs/>
          <w:i/>
        </w:rPr>
        <w:t xml:space="preserve">Factors Applied</w:t>
      </w:r>
    </w:p>
    <w:p>
      <w:pPr>
        <w:pStyle w:val="CaseBody"/>
      </w:pPr>
      <w:r>
        <w:t xml:space="preserve">The determination of any attorney fee award is a matter within the sound judicial discretion of the Court of Chancery.</w:t>
      </w:r>
      <w:hyperlink w:anchor="X4fab6006c81f3403a0ff86203990839795d97e2">
        <w:r>
          <w:rPr>
            <w:rStyle w:val="Elision"/>
            <w:vertAlign w:val="superscript"/>
          </w:rPr>
          <w:t xml:space="preserve">[ … ]</w:t>
        </w:r>
      </w:hyperlink>
      <w:r>
        <w:t xml:space="preserve"> </w:t>
      </w:r>
      <w:r>
        <w:t xml:space="preserve">In this case, the Court of Chancery considered and applied each of</w:t>
      </w:r>
      <w:r>
        <w:t xml:space="preserve"> </w:t>
      </w:r>
      <w:r>
        <w:rPr>
          <w:rStyle w:val="Elision"/>
        </w:rPr>
        <w:t xml:space="preserve">[ … ]</w:t>
      </w:r>
    </w:p>
    <w:p>
      <w:pPr>
        <w:pStyle w:val="BlockText"/>
      </w:pPr>
      <w:r>
        <w:rPr>
          <w:rStyle w:val="ReplacementText"/>
        </w:rPr>
        <w:t xml:space="preserve">t</w:t>
      </w:r>
      <w:r>
        <w:t xml:space="preserve">he aptly-named</w:t>
      </w:r>
      <w:r>
        <w:t xml:space="preserve"> </w:t>
      </w:r>
      <w:r>
        <w:rPr>
          <w:iCs/>
          <w:i/>
        </w:rPr>
        <w:t xml:space="preserve">Sugarland</w:t>
      </w:r>
      <w:r>
        <w:t xml:space="preserve"> </w:t>
      </w:r>
      <w:r>
        <w:t xml:space="preserve">factor[s], perhaps never more aptly-named than today</w:t>
      </w:r>
      <w:r>
        <w:rPr>
          <w:rStyle w:val="Elision"/>
        </w:rPr>
        <w:t xml:space="preserve">[ … ]</w:t>
      </w:r>
    </w:p>
    <w:p>
      <w:pPr>
        <w:pStyle w:val="CaseBody"/>
      </w:pPr>
      <w:r>
        <w:rPr>
          <w:rStyle w:val="Elision"/>
        </w:rPr>
        <w:t xml:space="preserve">[ … ]</w:t>
      </w:r>
    </w:p>
    <w:bookmarkEnd w:id="167"/>
    <w:bookmarkStart w:id="168" w:name="benefit-achieved"/>
    <w:p>
      <w:pPr>
        <w:pStyle w:val="Heading2"/>
      </w:pPr>
      <w:r>
        <w:rPr>
          <w:iCs/>
          <w:i/>
        </w:rPr>
        <w:t xml:space="preserve">Benefit Achieved</w:t>
      </w:r>
    </w:p>
    <w:p>
      <w:pPr>
        <w:pStyle w:val="CaseBody"/>
      </w:pPr>
      <w:r>
        <w:t xml:space="preserve">With regard to the</w:t>
      </w:r>
      <w:r>
        <w:t xml:space="preserve"> </w:t>
      </w:r>
      <w:r>
        <w:rPr>
          <w:rStyle w:val="Elision"/>
        </w:rPr>
        <w:t xml:space="preserve">[ … ]</w:t>
      </w:r>
      <w:r>
        <w:t xml:space="preserve">benefit achieved, the Court of Chancery found that "[t]he plaintiffs here indisputably prosecuted this action through trial and secured an immense economic benefit for Southern Peru." The Court of Chancery stated that "this isn't small and this isn't monitoring. This isn't a case where it's rounding, where the plaintiffs share credit."</w:t>
      </w:r>
      <w:hyperlink w:anchor="Xd899664de207ed2b65c06b422c871fd601f64a3">
        <w:r>
          <w:rPr>
            <w:rStyle w:val="Elision"/>
            <w:vertAlign w:val="superscript"/>
          </w:rPr>
          <w:t xml:space="preserve">[ … ]</w:t>
        </w:r>
      </w:hyperlink>
      <w:r>
        <w:t xml:space="preserve">The Court of Chancery concluded that "anything that was achieved ... by this litigation [was] by these plaintiffs." With pre-judgment interest, the benefit achieved through the litigation amounts to more than $2 billion. Post-judgment interest accrues at more than $212,000 per day. The extraordinary benefit that was achieved in this case merits a very substantial award of attorneys' fees.</w:t>
      </w:r>
    </w:p>
    <w:p>
      <w:pPr>
        <w:pStyle w:val="CaseBody"/>
      </w:pPr>
      <w:r>
        <w:t xml:space="preserve">The Defendants take issue with the fact that the Fee Award was based upon the total damage award, which included pre-judgment interest. They contend that including such interest in the damage award is reversible error because the Plaintiff took too long to litigate this matter. The record reflects that the Court of Chancery considered the slow pace of the litigation in making the Fee Award. In response to the Defendants'</w:t>
      </w:r>
      <w:r>
        <w:t xml:space="preserve"> </w:t>
      </w:r>
      <w:r>
        <w:rPr>
          <w:rStyle w:val="Elision"/>
        </w:rPr>
        <w:t xml:space="preserve">[ … ]</w:t>
      </w:r>
      <w:r>
        <w:t xml:space="preserve"> </w:t>
      </w:r>
      <w:r>
        <w:t xml:space="preserve">arguments, the trial judge stated: "I'm not going to ... exclude interest altogether. I get that argument.... The interest I awarded is fairly earned by the plaintiffs. It's a lower amount. And, again, I've taken that [pace of litigation] into account by the percentage that I'm awarding." The Court of Chancery's decision to include pre-judgment interest in its determination of the benefit achieved was not arbitrary or capricious, but rather was the product of a logical and deductive reasoning process.</w:t>
      </w:r>
    </w:p>
    <w:bookmarkEnd w:id="168"/>
    <w:bookmarkStart w:id="169" w:name="difficulty-and-complexity"/>
    <w:p>
      <w:pPr>
        <w:pStyle w:val="Heading2"/>
      </w:pPr>
      <w:r>
        <w:rPr>
          <w:iCs/>
          <w:i/>
        </w:rPr>
        <w:t xml:space="preserve">Difficulty and Complexity</w:t>
      </w:r>
    </w:p>
    <w:p>
      <w:pPr>
        <w:pStyle w:val="CaseBody"/>
      </w:pPr>
      <w:r>
        <w:t xml:space="preserve">The Court of Chancery carefully considered the difficulty and complexity of the case. It noted that the Plaintiff's attorneys had succeeded in presenting complex valuation issues in a persuasive way before a skeptical court:</w:t>
      </w:r>
    </w:p>
    <w:p>
      <w:pPr>
        <w:pStyle w:val="BlockText"/>
      </w:pPr>
      <w:r>
        <w:t xml:space="preserve">They advanced a theory of the case that a judge of this court, me, was reluctant to embrace. I denied their motion for summary judgment. I think I gave [Plaintiff's counsel] a good amount of grief that day about the theory. I asked a lot of questions at trial because I was still skeptical of the theory. It faced some of the best lawyers I know and am privileged to have come before me, and they won....</w:t>
      </w:r>
    </w:p>
    <w:p>
      <w:pPr>
        <w:pStyle w:val="BlockText"/>
      </w:pPr>
      <w:r>
        <w:t xml:space="preserve">I think when you talk about</w:t>
      </w:r>
      <w:r>
        <w:t xml:space="preserve"> </w:t>
      </w:r>
      <w:r>
        <w:rPr>
          <w:iCs/>
          <w:i/>
        </w:rPr>
        <w:t xml:space="preserve">Sugarland</w:t>
      </w:r>
      <w:r>
        <w:t xml:space="preserve"> </w:t>
      </w:r>
      <w:r>
        <w:t xml:space="preserve">and you talk about the difficulty of the litigation, was this difficult? Yes, it was. Were the defense counsel formidable and among the best that we have in our bar? They were. Did the plaintiffs have to do a lot of good work to get done and have to push back against a judge who was resistant to their approach? They did.</w:t>
      </w:r>
    </w:p>
    <w:p>
      <w:pPr>
        <w:pStyle w:val="CaseBody"/>
      </w:pPr>
      <w:r>
        <w:t xml:space="preserve">The Plaintiff's attorneys established at trial that Southern Peru had agreed to overpay its controlling shareholder by more than fifty percent ($3.7 billion compared to $2.4 billion). In doing so, the Court of Chancery found that the Plaintiff had to "deal with very complex financial and valuation issues" while being "up against major league, first-rate legal talent." This factor supports a substantial award of attorneys' fees.</w:t>
      </w:r>
    </w:p>
    <w:bookmarkEnd w:id="169"/>
    <w:bookmarkStart w:id="170" w:name="contingent-representation"/>
    <w:p>
      <w:pPr>
        <w:pStyle w:val="Heading2"/>
      </w:pPr>
      <w:r>
        <w:rPr>
          <w:iCs/>
          <w:i/>
        </w:rPr>
        <w:t xml:space="preserve">Contingent Representation</w:t>
      </w:r>
    </w:p>
    <w:p>
      <w:pPr>
        <w:pStyle w:val="CaseBody"/>
      </w:pPr>
      <w:r>
        <w:t xml:space="preserve">The Plaintiff's attorneys pursued this case on a contingent fee basis. They invested a significant number of hours and incurred more than one million dollars in expenses. The Defendants litigated vigorously and forced the Plaintiff to go to trial to obtain any monetary recovery. Accordingly, in undertaking this representation, the Plaintiff's counsel incurred all of the classic contingent fee risks, including the ultimate risk — no recovery whatsoever. The Court of Chancery acknowledged that the fee award was "going to be a lot per hour to people who get paid by the hour," but that in this case, the Plaintiff's attorneys' compensation was never based on an hourly rate. Therefore, the Court of Chancery found that an award representing 15% of the common fund was reasonable in light of the absolute risk taken by Plaintiff's counsel in prosecuting the case through trial on a fully contingent fee basis.</w:t>
      </w:r>
    </w:p>
    <w:bookmarkEnd w:id="170"/>
    <w:bookmarkStart w:id="171" w:name="standing-and-ability-of-counsel"/>
    <w:p>
      <w:pPr>
        <w:pStyle w:val="Heading2"/>
      </w:pPr>
      <w:r>
        <w:rPr>
          <w:iCs/>
          <w:i/>
        </w:rPr>
        <w:t xml:space="preserve">Standing and Ability of Counsel</w:t>
      </w:r>
    </w:p>
    <w:p>
      <w:pPr>
        <w:pStyle w:val="CaseBody"/>
      </w:pPr>
      <w:r>
        <w:t xml:space="preserve">The Court of Chancery acknowledged that it was familiar with Plaintiff's counsel and had respect for their skills and record of success. The Defendants do not contest the skill, ability or reputation of the Plaintiff's counsel. They argue, however, that the Court of Chancery "should have weighed more heavily Plaintiff's counsel's undoubted ability against the causal manner in which this case was litigated." The record does not support that argument.</w:t>
      </w:r>
    </w:p>
    <w:p>
      <w:pPr>
        <w:pStyle w:val="CaseBody"/>
      </w:pPr>
      <w:r>
        <w:t xml:space="preserve">[1257] First, the Court of Chancery credited the Defendants' arguments that a rescission-based remedy was inappropriate because of the Plaintiff's delay in litigating the case. Second, the Court of Chancery noted that the record could justify a much larger award of attorneys' fees, but it ultimately applied a "conservative metric because of Plaintiff's delay." Accordingly, the record reflects that the Court of Chancery's Fee Award took into account the length of time involved in getting this case to trial.</w:t>
      </w:r>
    </w:p>
    <w:bookmarkEnd w:id="171"/>
    <w:bookmarkStart w:id="172" w:name="time-and-effort-of-counsel"/>
    <w:p>
      <w:pPr>
        <w:pStyle w:val="Heading2"/>
      </w:pPr>
      <w:r>
        <w:rPr>
          <w:iCs/>
          <w:i/>
        </w:rPr>
        <w:t xml:space="preserve">Time and Effort of Counsel</w:t>
      </w:r>
    </w:p>
    <w:p>
      <w:pPr>
        <w:pStyle w:val="CaseBody"/>
      </w:pPr>
      <w:r>
        <w:t xml:space="preserve">The effort by the Plaintiff's attorneys was significant. The Plaintiff's attorneys reviewed approximately 282,046 pages in document production and traveled outside the United States to take multiple depositions. They also engaged in vigorously contested pretrial motion practice. They invested their firms' resources by incurring over a million dollars of out-of-pocket expenses. Most significantly, however, the Plaintiff's attorneys took this case to trial and prevailed. We repeat the Court of Chancery's statement: "anything that was achieved ... by this litigation [was] by [the Plaintiff's attorneys]."</w:t>
      </w:r>
    </w:p>
    <w:p>
      <w:pPr>
        <w:pStyle w:val="CaseBody"/>
      </w:pPr>
      <w:r>
        <w:t xml:space="preserve">The primary focus of the Defendants' challenge to the Court of Chancery's Fee Award is on the hourly rate that it implies, given that Plaintiff's counsel spent 8,597 hours on this case. They argue that the Court of Chancery abused its discretion by failing to consider the hourly rate implied by the Fee Award as a "backstop check" on the reasonableness of the fee. The Court of Chancery recognized the implications of this argument: "I get it. It's approximately — on what I awarded, approximately $35,000 an hour, if you look at it that way." However, the Court of Chancery did not look at it that way.</w:t>
      </w:r>
    </w:p>
    <w:p>
      <w:pPr>
        <w:pStyle w:val="CaseBody"/>
      </w:pPr>
      <w:r>
        <w:rPr>
          <w:iCs/>
          <w:i/>
        </w:rPr>
        <w:t xml:space="preserve">Sugarland</w:t>
      </w:r>
      <w:r>
        <w:t xml:space="preserve"> </w:t>
      </w:r>
      <w:r>
        <w:t xml:space="preserve">does not require, as the Defendants argue, courts to use the hourly rate implied by a percentage fee award, rather than the benefit conferred, as the benchmark for determining a reasonable fee award. To the contrary, in</w:t>
      </w:r>
      <w:r>
        <w:t xml:space="preserve"> </w:t>
      </w:r>
      <w:r>
        <w:rPr>
          <w:iCs/>
          <w:i/>
        </w:rPr>
        <w:t xml:space="preserve">Sugarland,</w:t>
      </w:r>
      <w:r>
        <w:t xml:space="preserve"> </w:t>
      </w:r>
      <w:r>
        <w:t xml:space="preserve">this Court refused to adopt the Third Circuit's lodestar approach, which primarily focuses on the time spent.</w:t>
      </w:r>
      <w:hyperlink w:anchor="X1bda3bb724c56c638b52afdd2058222a933850c">
        <w:r>
          <w:rPr>
            <w:rStyle w:val="Elision"/>
            <w:vertAlign w:val="superscript"/>
          </w:rPr>
          <w:t xml:space="preserve">[ … ]</w:t>
        </w:r>
        <w:r>
          <w:rPr>
            <w:rStyle w:val="Elision"/>
            <w:vertAlign w:val="superscript"/>
          </w:rPr>
          <w:t xml:space="preserve">[ … ]</w:t>
        </w:r>
      </w:hyperlink>
    </w:p>
    <w:p>
      <w:pPr>
        <w:pStyle w:val="CaseBody"/>
      </w:pPr>
      <w:r>
        <w:t xml:space="preserve">Instead, we held that the</w:t>
      </w:r>
      <w:r>
        <w:rPr>
          <w:rStyle w:val="Elision"/>
        </w:rPr>
        <w:t xml:space="preserve">[ … ]</w:t>
      </w:r>
      <w:r>
        <w:rPr>
          <w:iCs/>
          <w:i/>
        </w:rPr>
        <w:t xml:space="preserve">benefit achieved</w:t>
      </w:r>
      <w:r>
        <w:t xml:space="preserve"> </w:t>
      </w:r>
      <w:r>
        <w:t xml:space="preserve">by the litigation is the "common yardstick by which a plaintiff's counsel is compensated in a successful derivative action."</w:t>
      </w:r>
      <w:hyperlink w:anchor="X11447f71ea085ea12967b015fc4c06bb8a55538">
        <w:r>
          <w:rPr>
            <w:rStyle w:val="Elision"/>
            <w:vertAlign w:val="superscript"/>
          </w:rPr>
          <w:t xml:space="preserve">[ … ]</w:t>
        </w:r>
      </w:hyperlink>
    </w:p>
    <w:p>
      <w:pPr>
        <w:pStyle w:val="CaseBody"/>
      </w:pPr>
      <w:r>
        <w:t xml:space="preserve">The Defendants' alternative to their hourly argument is a challenge to the fairness of the percentage awarded by the Court of Chancery. The Defendants contend that the Court of Chancery erred by failing to apply a declining percentage analysis in its fee determination. According to the Defendants, this Court's decision in</w:t>
      </w:r>
      <w:r>
        <w:t xml:space="preserve"> </w:t>
      </w:r>
      <w:r>
        <w:rPr>
          <w:iCs/>
          <w:i/>
        </w:rPr>
        <w:t xml:space="preserve">Goodrich v. E.F. Hutton Group, Inc.</w:t>
      </w:r>
      <w:hyperlink w:anchor="X90b8f446f83ef7383d9bf0f9fd82ab950dba0db">
        <w:r>
          <w:rPr>
            <w:rStyle w:val="Hyperlink"/>
            <w:vertAlign w:val="superscript"/>
          </w:rPr>
          <w:t xml:space="preserve">[103]</w:t>
        </w:r>
      </w:hyperlink>
      <w:r>
        <w:t xml:space="preserve"> </w:t>
      </w:r>
      <w:r>
        <w:t xml:space="preserve">supports the</w:t>
      </w:r>
      <w:r>
        <w:t xml:space="preserve"> </w:t>
      </w:r>
      <w:r>
        <w:rPr>
          <w:iCs/>
          <w:i/>
        </w:rPr>
        <w:t xml:space="preserve">per se</w:t>
      </w:r>
      <w:r>
        <w:t xml:space="preserve"> </w:t>
      </w:r>
      <w:r>
        <w:t xml:space="preserve">use of a declining percentage. We disagree.</w:t>
      </w:r>
    </w:p>
    <w:p>
      <w:pPr>
        <w:pStyle w:val="CaseBody"/>
      </w:pPr>
      <w:r>
        <w:t xml:space="preserve">In</w:t>
      </w:r>
      <w:r>
        <w:t xml:space="preserve"> </w:t>
      </w:r>
      <w:r>
        <w:rPr>
          <w:iCs/>
          <w:i/>
        </w:rPr>
        <w:t xml:space="preserve">Goodrich,</w:t>
      </w:r>
      <w:r>
        <w:t xml:space="preserve"> </w:t>
      </w:r>
      <w:r>
        <w:t xml:space="preserve">we discussed the declining percentage of the fund concept, noting that the Court of Chancery rightly "acknowledged the merit of the emerging judicial consensus that the percentage of recovery awarded should `decrease as the size of the [common] fund increases.'"</w:t>
      </w:r>
      <w:hyperlink w:anchor="Xb285b1b64e375ba4fa49eaa52f206c00d2fb9af">
        <w:r>
          <w:rPr>
            <w:rStyle w:val="Elision"/>
            <w:vertAlign w:val="superscript"/>
          </w:rPr>
          <w:t xml:space="preserve">[ … ]</w:t>
        </w:r>
      </w:hyperlink>
      <w:r>
        <w:t xml:space="preserve">We also emphasized, however, that the multiple factor</w:t>
      </w:r>
      <w:r>
        <w:t xml:space="preserve"> </w:t>
      </w:r>
      <w:r>
        <w:rPr>
          <w:iCs/>
          <w:i/>
        </w:rPr>
        <w:t xml:space="preserve">Sugarland</w:t>
      </w:r>
      <w:r>
        <w:t xml:space="preserve"> </w:t>
      </w:r>
      <w:r>
        <w:t xml:space="preserve">approach to determining attorneys' fee awards remained adequate for purposes of applying the equitable common fund doctrine.</w:t>
      </w:r>
      <w:hyperlink w:anchor="X9baf5c5028cc73cce2e7a9baadaecc904d98efa">
        <w:r>
          <w:rPr>
            <w:rStyle w:val="Elision"/>
            <w:vertAlign w:val="superscript"/>
          </w:rPr>
          <w:t xml:space="preserve">[ … ]</w:t>
        </w:r>
      </w:hyperlink>
      <w:r>
        <w:t xml:space="preserve">Therefore, the use of a declining percentage, in applying the</w:t>
      </w:r>
      <w:r>
        <w:t xml:space="preserve"> </w:t>
      </w:r>
      <w:r>
        <w:rPr>
          <w:iCs/>
          <w:i/>
        </w:rPr>
        <w:t xml:space="preserve">Sugarland</w:t>
      </w:r>
      <w:r>
        <w:t xml:space="preserve"> </w:t>
      </w:r>
      <w:r>
        <w:t xml:space="preserve">factors in common fund cases, is a matter of discretion and is not required</w:t>
      </w:r>
      <w:r>
        <w:t xml:space="preserve"> </w:t>
      </w:r>
      <w:r>
        <w:rPr>
          <w:iCs/>
          <w:i/>
        </w:rPr>
        <w:t xml:space="preserve">per se.</w:t>
      </w:r>
    </w:p>
    <w:p>
      <w:pPr>
        <w:pStyle w:val="CaseBody"/>
      </w:pPr>
      <w:r>
        <w:rPr>
          <w:rStyle w:val="Elision"/>
        </w:rPr>
        <w:t xml:space="preserve">[ … ]</w:t>
      </w:r>
    </w:p>
    <w:bookmarkEnd w:id="172"/>
    <w:bookmarkStart w:id="173" w:name="fee-award-percentage-discretionary"/>
    <w:p>
      <w:pPr>
        <w:pStyle w:val="Heading2"/>
      </w:pPr>
      <w:r>
        <w:rPr>
          <w:iCs/>
          <w:i/>
        </w:rPr>
        <w:t xml:space="preserve">Fee Award Percentage Discretionary</w:t>
      </w:r>
    </w:p>
    <w:p>
      <w:pPr>
        <w:pStyle w:val="CaseBody"/>
      </w:pPr>
      <w:r>
        <w:t xml:space="preserve">In determining the amount of a reasonable fee award, our holding in</w:t>
      </w:r>
      <w:r>
        <w:t xml:space="preserve"> </w:t>
      </w:r>
      <w:r>
        <w:rPr>
          <w:iCs/>
          <w:i/>
        </w:rPr>
        <w:t xml:space="preserve">Sugarland</w:t>
      </w:r>
      <w:r>
        <w:t xml:space="preserve"> </w:t>
      </w:r>
      <w:r>
        <w:t xml:space="preserve">assigns the greatest weight to the benefit achieved in the litigation.</w:t>
      </w:r>
      <w:hyperlink w:anchor="X0ebe7d75795ba050a09026aa7a4a1784fc04c9c">
        <w:r>
          <w:rPr>
            <w:rStyle w:val="Elision"/>
            <w:vertAlign w:val="superscript"/>
          </w:rPr>
          <w:t xml:space="preserve">[ … ]</w:t>
        </w:r>
      </w:hyperlink>
      <w:r>
        <w:t xml:space="preserve"> </w:t>
      </w:r>
      <w:r>
        <w:t xml:space="preserve">When the benefit is quantifiable, as in this case, by the creation of a common fund,</w:t>
      </w:r>
      <w:r>
        <w:t xml:space="preserve"> </w:t>
      </w:r>
      <w:r>
        <w:rPr>
          <w:iCs/>
          <w:i/>
        </w:rPr>
        <w:t xml:space="preserve">Sugarland</w:t>
      </w:r>
      <w:r>
        <w:t xml:space="preserve"> </w:t>
      </w:r>
      <w:r>
        <w:t xml:space="preserve">calls for an award of attorneys' fees based upon a percentage of the benefit. The</w:t>
      </w:r>
      <w:r>
        <w:t xml:space="preserve"> </w:t>
      </w:r>
      <w:r>
        <w:rPr>
          <w:iCs/>
          <w:i/>
        </w:rPr>
        <w:t xml:space="preserve">Sugarland</w:t>
      </w:r>
      <w:r>
        <w:t xml:space="preserve"> </w:t>
      </w:r>
      <w:r>
        <w:t xml:space="preserve">factor that is given the greatest emphasis is the size of the fund created, because a "common fund is itself the measure of success ... [and] represents the benchmark from which a reasonable fee will be awarded."</w:t>
      </w:r>
      <w:hyperlink w:anchor="Xa0b2f65f3c1da8e5b05a8ba9e7950753eb80b90">
        <w:r>
          <w:rPr>
            <w:rStyle w:val="Elision"/>
            <w:vertAlign w:val="superscript"/>
          </w:rPr>
          <w:t xml:space="preserve">[ … ]</w:t>
        </w:r>
      </w:hyperlink>
    </w:p>
    <w:p>
      <w:pPr>
        <w:pStyle w:val="CaseBody"/>
      </w:pPr>
      <w:r>
        <w:t xml:space="preserve">Delaware case law supports a wide range of reasonable percentages for attorneys' fees, but 33% is "the very top of the range of percentages."</w:t>
      </w:r>
      <w:hyperlink w:anchor="Xa909678fd34d2b84631bd991f40bd236a416dc3">
        <w:r>
          <w:rPr>
            <w:rStyle w:val="Elision"/>
            <w:vertAlign w:val="superscript"/>
          </w:rPr>
          <w:t xml:space="preserve">[ … ]</w:t>
        </w:r>
      </w:hyperlink>
      <w:r>
        <w:t xml:space="preserve">The Court of Chancery has a history of awarding lower percentages of the benefit where cases have settled before trial.</w:t>
      </w:r>
      <w:hyperlink w:anchor="Xf9a61145d3ca6eb9ea06383cb29525a84c8cd51">
        <w:r>
          <w:rPr>
            <w:rStyle w:val="Elision"/>
            <w:vertAlign w:val="superscript"/>
          </w:rPr>
          <w:t xml:space="preserve">[ … ]</w:t>
        </w:r>
      </w:hyperlink>
      <w:r>
        <w:t xml:space="preserve">When a case settles early, the Court of Chancery tends to award 10-15% of the monetary benefit conferred.</w:t>
      </w:r>
      <w:hyperlink w:anchor="X657967374db021def0ba6633a6d09fc33dba6c3">
        <w:r>
          <w:rPr>
            <w:rStyle w:val="Elision"/>
            <w:vertAlign w:val="superscript"/>
          </w:rPr>
          <w:t xml:space="preserve">[ … ]</w:t>
        </w:r>
      </w:hyperlink>
      <w:r>
        <w:t xml:space="preserve"> </w:t>
      </w:r>
      <w:r>
        <w:t xml:space="preserve">When a case settles after the plaintiffs have engaged in meaningful litigation efforts, typically including</w:t>
      </w:r>
      <w:r>
        <w:t xml:space="preserve"> </w:t>
      </w:r>
      <w:r>
        <w:rPr>
          <w:rStyle w:val="Elision"/>
        </w:rPr>
        <w:t xml:space="preserve">[ … ]</w:t>
      </w:r>
      <w:r>
        <w:t xml:space="preserve"> </w:t>
      </w:r>
      <w:r>
        <w:t xml:space="preserve">multiple depositions and some level of motion practice, fee awards in the Court of Chancery range from 15-25% of the monetary benefits conferred.</w:t>
      </w:r>
      <w:hyperlink w:anchor="Xeb981720f20b97cde7c486cdb9c97bd91a32a0d">
        <w:r>
          <w:rPr>
            <w:rStyle w:val="Elision"/>
            <w:vertAlign w:val="superscript"/>
          </w:rPr>
          <w:t xml:space="preserve">[ … ]</w:t>
        </w:r>
      </w:hyperlink>
      <w:r>
        <w:t xml:space="preserve"> </w:t>
      </w:r>
      <w:r>
        <w:t xml:space="preserve">"A study of recent Delaware fee awards finds that the average amount of fees awarded when derivative and class actions settle for both monetary and therapeutic consideration is approximately 23% of the monetary benefit conferred; the median is 25%."</w:t>
      </w:r>
      <w:hyperlink w:anchor="X53ce7831527609df1bbd0100a5f4091e8af6b07">
        <w:r>
          <w:rPr>
            <w:rStyle w:val="Elision"/>
            <w:vertAlign w:val="superscript"/>
          </w:rPr>
          <w:t xml:space="preserve">[ … ]</w:t>
        </w:r>
      </w:hyperlink>
      <w:r>
        <w:t xml:space="preserve">Higher percentages are warranted when cases progress to a post-trial adjudication</w:t>
      </w:r>
      <w:r>
        <w:rPr>
          <w:rStyle w:val="Elision"/>
        </w:rPr>
        <w:t xml:space="preserve">[ … ]</w:t>
      </w:r>
    </w:p>
    <w:p>
      <w:pPr>
        <w:pStyle w:val="CaseBody"/>
      </w:pPr>
      <w:r>
        <w:t xml:space="preserve">The reasonableness of the percentage awarded by the Court of Chancery is reviewed for an abuse of discretion.</w:t>
      </w:r>
      <w:hyperlink w:anchor="Xf668000858d60b98a8fffb085f0601c4b72ce38">
        <w:r>
          <w:rPr>
            <w:rStyle w:val="Elision"/>
            <w:vertAlign w:val="superscript"/>
          </w:rPr>
          <w:t xml:space="preserve">[ … ]</w:t>
        </w:r>
      </w:hyperlink>
      <w:r>
        <w:t xml:space="preserve"> </w:t>
      </w:r>
      <w:r>
        <w:t xml:space="preserve">The question presented in this case is how to properly determine a reasonable percentage for a fee award in a megafund case. A recent study by the economic consulting firm National Economic Research Associates ("NERA") demonstrates that overall as the settlement values increase, the amount of fee percentages and expenses decrease.</w:t>
      </w:r>
      <w:hyperlink w:anchor="Xeb3f256f2f4aa1c35b85045ef9a08fa2674cdfb">
        <w:r>
          <w:rPr>
            <w:rStyle w:val="Elision"/>
            <w:vertAlign w:val="superscript"/>
          </w:rPr>
          <w:t xml:space="preserve">[ … ]</w:t>
        </w:r>
      </w:hyperlink>
      <w:r>
        <w:t xml:space="preserve"> </w:t>
      </w:r>
      <w:r>
        <w:t xml:space="preserve">The study reports that median attorneys' fees awarded from settlements in securities class actions are generally in the range of 22% to 30% of the recovery until the recovery approaches approximately $500 million.</w:t>
      </w:r>
      <w:hyperlink w:anchor="Xcfbda6cff0b81bed2c6bfed12824d59656e5edd">
        <w:r>
          <w:rPr>
            <w:rStyle w:val="Elision"/>
            <w:vertAlign w:val="superscript"/>
          </w:rPr>
          <w:t xml:space="preserve">[ … ]</w:t>
        </w:r>
      </w:hyperlink>
      <w:r>
        <w:t xml:space="preserve"> </w:t>
      </w:r>
      <w:r>
        <w:t xml:space="preserve">Once in the vicinity of over $500 million, the median attorneys' fees falls to 11%.</w:t>
      </w:r>
      <w:hyperlink w:anchor="Xfea533826b1c8cad379cf18965ef5aafd2d9416">
        <w:r>
          <w:rPr>
            <w:rStyle w:val="Elision"/>
            <w:vertAlign w:val="superscript"/>
          </w:rPr>
          <w:t xml:space="preserve">[ … ]</w:t>
        </w:r>
      </w:hyperlink>
    </w:p>
    <w:p>
      <w:pPr>
        <w:pStyle w:val="CaseBody"/>
      </w:pPr>
      <w:r>
        <w:t xml:space="preserve">Appellate courts that have examined a "megafund rule" requiring a fee percentage to be capped at a low figure when the recovery is quite high, have rejected it as a blanket rule. It is now accepted that "[a] mechanical, a</w:t>
      </w:r>
      <w:r>
        <w:t xml:space="preserve"> </w:t>
      </w:r>
      <w:r>
        <w:rPr>
          <w:iCs/>
          <w:i/>
        </w:rPr>
        <w:t xml:space="preserve">per se</w:t>
      </w:r>
      <w:r>
        <w:t xml:space="preserve"> </w:t>
      </w:r>
      <w:r>
        <w:t xml:space="preserve">application of the</w:t>
      </w:r>
      <w:r>
        <w:rPr>
          <w:rStyle w:val="Elision"/>
        </w:rPr>
        <w:t xml:space="preserve">[ … ]</w:t>
      </w:r>
      <w:r>
        <w:t xml:space="preserve">`megafund rule' is not necessarily reasonable under the circumstances of a case."</w:t>
      </w:r>
      <w:hyperlink w:anchor="Xdb22a91c813e4e94327834d1d21ec35660cd3c7">
        <w:r>
          <w:rPr>
            <w:rStyle w:val="Elision"/>
            <w:vertAlign w:val="superscript"/>
          </w:rPr>
          <w:t xml:space="preserve">[ … ]</w:t>
        </w:r>
      </w:hyperlink>
      <w:r>
        <w:t xml:space="preserve">For example, although the Third Circuit recognized that its jurisprudence confirms the use of a sliding scale as "appropriate" for percentage fee awards in large recovery cases, it has held that trial judges are not required to use a declining percentage approach in every case involving a large settlement.</w:t>
      </w:r>
      <w:hyperlink w:anchor="X2602297edbad4d252b778321561e528cbff8f60">
        <w:r>
          <w:rPr>
            <w:rStyle w:val="Elision"/>
            <w:vertAlign w:val="superscript"/>
          </w:rPr>
          <w:t xml:space="preserve">[ … ]</w:t>
        </w:r>
      </w:hyperlink>
    </w:p>
    <w:p>
      <w:pPr>
        <w:pStyle w:val="CaseBody"/>
      </w:pPr>
      <w:r>
        <w:t xml:space="preserve">In</w:t>
      </w:r>
      <w:r>
        <w:t xml:space="preserve"> </w:t>
      </w:r>
      <w:r>
        <w:rPr>
          <w:iCs/>
          <w:i/>
        </w:rPr>
        <w:t xml:space="preserve">Goodrich,</w:t>
      </w:r>
      <w:r>
        <w:t xml:space="preserve"> </w:t>
      </w:r>
      <w:r>
        <w:rPr>
          <w:rStyle w:val="Elision"/>
        </w:rPr>
        <w:t xml:space="preserve">[ … ]</w:t>
      </w:r>
      <w:r>
        <w:t xml:space="preserve"> </w:t>
      </w:r>
      <w:r>
        <w:t xml:space="preserve">We reasoned that "[t]he adoption of a mandatory methodology or particular mathematical model for determining attorney's fees in common fund cases would be the antithesis of the equitable principles from which the concept of such awards originated."</w:t>
      </w:r>
      <w:hyperlink w:anchor="X77a75e4775b0b96a0021e1a3701466b9cfe4946">
        <w:r>
          <w:rPr>
            <w:rStyle w:val="Elision"/>
            <w:vertAlign w:val="superscript"/>
          </w:rPr>
          <w:t xml:space="preserve">[ … ]</w:t>
        </w:r>
      </w:hyperlink>
    </w:p>
    <w:bookmarkEnd w:id="173"/>
    <w:bookmarkStart w:id="174" w:name="fee-award-reasonable-percentage"/>
    <w:p>
      <w:pPr>
        <w:pStyle w:val="Heading2"/>
      </w:pPr>
      <w:r>
        <w:rPr>
          <w:iCs/>
          <w:i/>
        </w:rPr>
        <w:t xml:space="preserve">Fee Award Reasonable Percentage</w:t>
      </w:r>
    </w:p>
    <w:p>
      <w:pPr>
        <w:pStyle w:val="CaseBody"/>
      </w:pPr>
      <w:r>
        <w:t xml:space="preserve">The percentage awarded as attorneys' fees from a common fund is committed to the sound discretion of the Court of Chancery.</w:t>
      </w:r>
      <w:hyperlink w:anchor="Xfdbe11187710d4f9f61045f96ce45913ebf1e7b">
        <w:r>
          <w:rPr>
            <w:rStyle w:val="Elision"/>
            <w:vertAlign w:val="superscript"/>
          </w:rPr>
          <w:t xml:space="preserve">[ … ]</w:t>
        </w:r>
      </w:hyperlink>
    </w:p>
    <w:p>
      <w:pPr>
        <w:pStyle w:val="CaseBody"/>
      </w:pPr>
      <w:r>
        <w:t xml:space="preserve">We review an award of attorneys' fees for an abuse of discretion.</w:t>
      </w:r>
      <w:hyperlink w:anchor="Xf5956410e66f1e28b9f08442a7b77c55fb68884">
        <w:r>
          <w:rPr>
            <w:rStyle w:val="Elision"/>
            <w:vertAlign w:val="superscript"/>
          </w:rPr>
          <w:t xml:space="preserve">[ … ]</w:t>
        </w:r>
      </w:hyperlink>
    </w:p>
    <w:p>
      <w:pPr>
        <w:pStyle w:val="CaseBody"/>
      </w:pPr>
      <w:r>
        <w:t xml:space="preserve">In this case, the Court of Chancery carefully weighed and considered all of the</w:t>
      </w:r>
      <w:r>
        <w:t xml:space="preserve"> </w:t>
      </w:r>
      <w:r>
        <w:rPr>
          <w:iCs/>
          <w:i/>
        </w:rPr>
        <w:t xml:space="preserve">Sugarland</w:t>
      </w:r>
      <w:r>
        <w:t xml:space="preserve"> </w:t>
      </w:r>
      <w:r>
        <w:t xml:space="preserve">factors. The record supports its factual findings and its well-reasoned decision that a reasonable attorneys' fee is 15% of the benefit created.</w:t>
      </w:r>
      <w:r>
        <w:t xml:space="preserve"> </w:t>
      </w:r>
      <w:r>
        <w:rPr>
          <w:rStyle w:val="Elision"/>
        </w:rPr>
        <w:t xml:space="preserve">[ … ]</w:t>
      </w:r>
    </w:p>
    <w:bookmarkEnd w:id="174"/>
    <w:bookmarkStart w:id="175" w:name="conclusion-1"/>
    <w:p>
      <w:pPr>
        <w:pStyle w:val="Heading2"/>
      </w:pPr>
      <w:r>
        <w:rPr>
          <w:iCs/>
          <w:i/>
        </w:rPr>
        <w:t xml:space="preserve">Conclusion</w:t>
      </w:r>
    </w:p>
    <w:p>
      <w:pPr>
        <w:pStyle w:val="CaseBody"/>
      </w:pPr>
      <w:r>
        <w:t xml:space="preserve">The judgment of the Court of Chancery, awarding more than $2 billion in damages [1263] and more than $304 million in attorneys' fees, is affirmed.</w:t>
      </w:r>
    </w:p>
    <w:bookmarkEnd w:id="175"/>
    <w:bookmarkStart w:id="176" w:name="berger-justice-concurring-and-dissenting"/>
    <w:p>
      <w:pPr>
        <w:pStyle w:val="Heading2"/>
      </w:pPr>
      <w:r>
        <w:t xml:space="preserve">BERGER, Justice, concurring and dissenting:</w:t>
      </w:r>
    </w:p>
    <w:p>
      <w:pPr>
        <w:pStyle w:val="CaseBody"/>
      </w:pPr>
      <w:r>
        <w:t xml:space="preserve">I concur in the majority's decision on the merits, but I would find that the trial court did not properly apply the law when it awarded attorneys' fees, and respectfully dissent on that issue.</w:t>
      </w:r>
    </w:p>
    <w:p>
      <w:pPr>
        <w:pStyle w:val="CaseBody"/>
      </w:pPr>
      <w:r>
        <w:t xml:space="preserve">The majority finds no abuse of discretion in the trial court's decision to award more than $304 million in attorneys' fees. The majority says that the trial court applied the settled standards set forth in</w:t>
      </w:r>
      <w:r>
        <w:t xml:space="preserve"> </w:t>
      </w:r>
      <w:r>
        <w:rPr>
          <w:iCs/>
          <w:i/>
        </w:rPr>
        <w:t xml:space="preserve">Sugarland Industries, Inc. v. Thomas,</w:t>
      </w:r>
      <w:hyperlink w:anchor="X04a80f79e0241906338d56376b370c44e118b5d">
        <w:r>
          <w:rPr>
            <w:rStyle w:val="Elision"/>
            <w:vertAlign w:val="superscript"/>
          </w:rPr>
          <w:t xml:space="preserve">[ … ]</w:t>
        </w:r>
      </w:hyperlink>
      <w:r>
        <w:t xml:space="preserve">and that this Court may not substitute its notions of what is right for those of the trial court. But the trial court did not apply</w:t>
      </w:r>
      <w:r>
        <w:t xml:space="preserve"> </w:t>
      </w:r>
      <w:r>
        <w:rPr>
          <w:iCs/>
          <w:i/>
        </w:rPr>
        <w:t xml:space="preserve">Sugarland,</w:t>
      </w:r>
      <w:r>
        <w:t xml:space="preserve"> </w:t>
      </w:r>
      <w:r>
        <w:t xml:space="preserve">it applied its own world views on incentives, bankers' compensation, and envy.</w:t>
      </w:r>
    </w:p>
    <w:p>
      <w:pPr>
        <w:pStyle w:val="CaseBody"/>
      </w:pPr>
      <w:r>
        <w:t xml:space="preserve">To be sure, the trial court recited the</w:t>
      </w:r>
      <w:r>
        <w:t xml:space="preserve"> </w:t>
      </w:r>
      <w:r>
        <w:rPr>
          <w:iCs/>
          <w:i/>
        </w:rPr>
        <w:t xml:space="preserve">Sugarland</w:t>
      </w:r>
      <w:r>
        <w:t xml:space="preserve"> </w:t>
      </w:r>
      <w:r>
        <w:t xml:space="preserve">standards. Its analysis, however, focused on the perceived need to incentivize plaintiffs' lawyers to take cases to trial. The trial court hypothesized that a stockholder plaintiff would be happy with a lawyer who says, "If you get really rich because of me, I want to get rich, too."</w:t>
      </w:r>
      <w:hyperlink w:anchor="X5af66f616de25170290da5618fbd23d85d6a317">
        <w:r>
          <w:rPr>
            <w:rStyle w:val="Elision"/>
            <w:vertAlign w:val="superscript"/>
          </w:rPr>
          <w:t xml:space="preserve">[ … ]</w:t>
        </w:r>
      </w:hyperlink>
      <w:r>
        <w:t xml:space="preserve">Then, the trial court talked about how others get big payouts without comment, but that lawyers are not viewed the same way:</w:t>
      </w:r>
    </w:p>
    <w:p>
      <w:pPr>
        <w:pStyle w:val="BlockText"/>
      </w:pPr>
      <w:r>
        <w:t xml:space="preserve">[T]here's an idea that when a lawyer or law firms are going to get a big payment, that there's something somehow wrong about that, just because it's a lawyer. I'm sorry, but investment banks have hit it big.... They've hit it big many times. And to me, envy is not an appropriate motivation to take into account when you set an attorney fee.</w:t>
      </w:r>
      <w:hyperlink w:anchor="Xfc49f715e6a3822d0b93a17d9294f6694f593bc">
        <w:r>
          <w:rPr>
            <w:rStyle w:val="Elision"/>
            <w:vertAlign w:val="superscript"/>
          </w:rPr>
          <w:t xml:space="preserve">[ … ]</w:t>
        </w:r>
      </w:hyperlink>
    </w:p>
    <w:p>
      <w:pPr>
        <w:pStyle w:val="CaseBody"/>
      </w:pPr>
      <w:r>
        <w:t xml:space="preserve">The trial court opined that a declining percentage for "mega" cases would not create a healthy incentive system, and that the trial court would not embrace such an approach. Rather, the trial court repeatedly pointed out that "plenty of market participants make big fees when their clients win," and that if this were a hedge fund manager or an investment bank, the fee would be okay.</w:t>
      </w:r>
      <w:hyperlink w:anchor="X9c9296611340d08d65e10e643a8476fdacfa3ed">
        <w:r>
          <w:rPr>
            <w:rStyle w:val="Elision"/>
            <w:vertAlign w:val="superscript"/>
          </w:rPr>
          <w:t xml:space="preserve">[ … ]</w:t>
        </w:r>
      </w:hyperlink>
      <w:r>
        <w:t xml:space="preserve">In sum, the trial court said that the fundamental test for reasonableness is whether the fee is setting a good incentive, and that the only basis for reducing the fee would be envy.</w:t>
      </w:r>
      <w:hyperlink w:anchor="Xb643c15a49ccb19044958fe3eeb48e82dd382b4">
        <w:r>
          <w:rPr>
            <w:rStyle w:val="Hyperlink"/>
            <w:vertAlign w:val="superscript"/>
          </w:rPr>
          <w:t xml:space="preserve">[137]</w:t>
        </w:r>
      </w:hyperlink>
      <w:r>
        <w:t xml:space="preserve"> </w:t>
      </w:r>
      <w:r>
        <w:t xml:space="preserve">That is not a decision based on</w:t>
      </w:r>
      <w:r>
        <w:t xml:space="preserve"> </w:t>
      </w:r>
      <w:r>
        <w:rPr>
          <w:iCs/>
          <w:i/>
        </w:rPr>
        <w:t xml:space="preserve">Sugarland.</w:t>
      </w:r>
    </w:p>
    <w:bookmarkEnd w:id="176"/>
    <w:bookmarkStart w:id="177" w:name="section-12"/>
    <w:p>
      <w:pPr>
        <w:pStyle w:val="Heading2"/>
      </w:pPr>
      <w:r>
        <w:rPr>
          <w:rStyle w:val="Elision"/>
        </w:rPr>
        <w:t xml:space="preserve">[ … ]</w:t>
      </w:r>
    </w:p>
    <w:bookmarkEnd w:id="177"/>
    <w:p>
      <w:pPr>
        <w:pStyle w:val="NodeEnd"/>
      </w:pPr>
      <w:r>
        <w:t xml:space="preserve"> </w:t>
      </w:r>
    </w:p>
    <w:p>
      <w:pPr>
        <w:pStyle w:val="NodeStart"/>
      </w:pPr>
      <w:r>
        <w:t xml:space="preserve"> </w:t>
      </w:r>
    </w:p>
    <w:p>
      <w:pPr>
        <w:pStyle w:val="HeadSeparator"/>
      </w:pPr>
      <w:r>
        <w:t xml:space="preserve"> </w:t>
      </w:r>
    </w:p>
    <w:p>
      <w:pPr>
        <w:pStyle w:val="ChapterSpacer"/>
        <w:sectPr>
          <w:footerReference w:type="even" r:id="rId14"/>
          <w:footerReference w:type="default" r:id="rId14"/>
          <w:headerReference w:type="even" r:id="rId11"/>
          <w:headerReference w:type="default" r:id="rId12"/>
          <w:pgSz w:h="15840" w:w="12240"/>
          <w:pgMar w:bottom="1440" w:gutter="720" w:header="1440" w:left="1440" w:right="1440" w:top="1800"/>
          <w:pgNumType w:pgNumType="decimal"/>
        </w:sectPr>
      </w:pPr>
      <w:r>
        <w:t xml:space="preserve"> </w:t>
      </w:r>
    </w:p>
    <w:bookmarkStart w:id="93" w:name="_auto_toc_93"/>
    <w:bookmarkEnd w:id="93"/>
    <w:p>
      <w:pPr>
        <w:pStyle w:val="ChapterNumber"/>
      </w:pPr>
      <w:r>
        <w:t xml:space="preserve">8</w:t>
      </w:r>
    </w:p>
    <w:p>
      <w:pPr>
        <w:pStyle w:val="ChapterTitle"/>
      </w:pPr>
      <w:r>
        <w:t xml:space="preserve">Limited liability</w:t>
      </w:r>
    </w:p>
    <w:p>
      <w:pPr>
        <w:pStyle w:val="HeadEnd"/>
        <w:sectPr>
          <w:footerReference w:type="even" r:id="rId14"/>
          <w:footerReference w:type="default" r:id="rId14"/>
          <w:headerReference w:type="even" r:id="rId11"/>
          <w:headerReference w:type="default" r:id="rId12"/>
          <w:type w:val="oddPage"/>
          <w:pgSz w:h="15840" w:w="12240"/>
          <w:pgMar w:bottom="1440" w:gutter="720" w:header="1440" w:left="1440" w:right="1440" w:top="1800"/>
          <w:pgNumType w:pgNumType="decimal"/>
        </w:sectPr>
      </w:pPr>
      <w:r>
        <w:t xml:space="preserve"> </w:t>
      </w:r>
    </w:p>
    <w:p>
      <w:pPr>
        <w:pStyle w:val="NodeEnd"/>
      </w:pPr>
      <w:r>
        <w:t xml:space="preserve"> </w:t>
      </w:r>
    </w:p>
    <w:p>
      <w:pPr>
        <w:pStyle w:val="NodeStart"/>
      </w:pPr>
      <w:r>
        <w:t xml:space="preserve"> </w:t>
      </w:r>
    </w:p>
    <w:p>
      <w:pPr>
        <w:pStyle w:val="HeadSeparator"/>
      </w:pPr>
      <w:r>
        <w:t xml:space="preserve"> </w:t>
      </w:r>
    </w:p>
    <w:bookmarkStart w:id="94" w:name="_auto_toc_94"/>
    <w:bookmarkEnd w:id="94"/>
    <w:p>
      <w:pPr>
        <w:pStyle w:val="SectionNumber"/>
      </w:pPr>
      <w:r>
        <w:t xml:space="preserve">8.1</w:t>
      </w:r>
    </w:p>
    <w:p>
      <w:pPr>
        <w:pStyle w:val="SectionTitle"/>
      </w:pPr>
      <w:r>
        <w:t xml:space="preserve">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95" w:name="_auto_toc_95"/>
    <w:bookmarkEnd w:id="95"/>
    <w:p>
      <w:pPr>
        <w:pStyle w:val="ResourceNumber"/>
      </w:pPr>
      <w:r>
        <w:t xml:space="preserve">8.1.1</w:t>
      </w:r>
    </w:p>
    <w:p>
      <w:pPr>
        <w:pStyle w:val="ResourceTitle"/>
      </w:pPr>
      <w:r>
        <w:t xml:space="preserve">Costello v. Fazio</w:t>
      </w:r>
    </w:p>
    <w:p>
      <w:pPr>
        <w:pStyle w:val="HeadEnd"/>
      </w:pPr>
      <w:r>
        <w:t xml:space="preserve"> </w:t>
      </w:r>
    </w:p>
    <w:p>
      <w:pPr>
        <w:pStyle w:val="CaseHeader"/>
      </w:pPr>
      <w:r>
        <w:t xml:space="preserve">United States Court of Appeals for the Ninth Circuit</w:t>
      </w:r>
    </w:p>
    <w:p>
      <w:pPr>
        <w:pStyle w:val="CaseHeader"/>
      </w:pPr>
      <w:r>
        <w:t xml:space="preserve">256 F.2d 903</w:t>
      </w:r>
    </w:p>
    <w:p>
      <w:pPr>
        <w:pStyle w:val="CaseHeader"/>
      </w:pPr>
      <w:r>
        <w:t xml:space="preserve">No. 15587</w:t>
      </w:r>
    </w:p>
    <w:p>
      <w:pPr>
        <w:pStyle w:val="CaseHeader"/>
      </w:pPr>
      <w:r>
        <w:t xml:space="preserve">1958-05-28</w:t>
      </w:r>
    </w:p>
    <w:p>
      <w:pPr>
        <w:pStyle w:val="CaseBody"/>
      </w:pPr>
      <w:r>
        <w:t xml:space="preserve">Francis P. Walsh, Henry Gross, James M. Conners, Stuart R. Dole, San Francisco, Cal., for appellant.</w:t>
      </w:r>
    </w:p>
    <w:p>
      <w:pPr>
        <w:pStyle w:val="CaseBody"/>
      </w:pPr>
      <w:r>
        <w:t xml:space="preserve">Shapro &amp; Rothschild, San Francisco, Cal., for appellees.</w:t>
      </w:r>
    </w:p>
    <w:p>
      <w:pPr>
        <w:pStyle w:val="CaseBody"/>
      </w:pPr>
      <w:r>
        <w:t xml:space="preserve">Before HEALY, FEE and HAMLEY, Circuit Judges.</w:t>
      </w:r>
    </w:p>
    <w:p>
      <w:pPr>
        <w:pStyle w:val="CaseBody"/>
      </w:pPr>
      <w:r>
        <w:t xml:space="preserve">HAMLEY, Circuit Judge.</w:t>
      </w:r>
    </w:p>
    <w:p>
      <w:pPr>
        <w:pStyle w:val="CaseBody"/>
      </w:pPr>
      <w:r>
        <w:t xml:space="preserve">Creditors’ claims against the bankrupt estate of Leonard Plumbing and Heating Supply, Inc., were filed by J. A. Fazio and Lawrence C. Ambrose. The trustee in bankruptcy objected to these claims, and moved for an order subordinating them to the claims of general unsecured creditors. The referee in bankruptcy denied the motion, and his action was sustained by the district court. The trustee appeals.</w:t>
      </w:r>
    </w:p>
    <w:p>
      <w:pPr>
        <w:pStyle w:val="CaseBody"/>
      </w:pPr>
      <w:r>
        <w:t xml:space="preserve">The following facts are not in dispute: A partnership known as “Leonard Plumbing and Heating Supply Co.” was organized in October, 1948. The three partners, Fazio, Ambrose, and B. T. Leonard, made initial capital contributions to the business aggregating $44,-806.40. The capital contributions of the three partners, as they were recorded on the company books in September 1952, totaled $51,620.78, distributed as follows: Fazio, $43,169.61; Ambrose, $6,-451.17; and Leonard, $2,000.</w:t>
      </w:r>
    </w:p>
    <w:p>
      <w:pPr>
        <w:pStyle w:val="CaseBody"/>
      </w:pPr>
      <w:r>
        <w:t xml:space="preserve">In the fall of that year, it was decided to incorporate the business. In contemplation of this step, Fazio and Ambrose, on September 15, 1952, withdrew all but $2,000 apiece of their capital contributions to the business. This was accomplished by the issuance to them, on that date, of partnership promissory notes in the sum of $41,169.61 and $4,451.17, respectively. These were demand notes, no interest being specified. The capital contribution to the partnership business then stood at $6,000 — $2,000 for each partner.</w:t>
      </w:r>
    </w:p>
    <w:p>
      <w:pPr>
        <w:pStyle w:val="CaseBody"/>
      </w:pPr>
      <w:r>
        <w:t xml:space="preserve">The closing balance sheet of the par-nership showed current assets to be $160,791.87, and current liabilities at $162,162.22. There were also fixed assets in the sum of $6,482.90, and other assets in the sum of $887.45. The partnership had cash on hand in the sum of $66.66, and an overdraft at the bank in the amount of $3,422.78.</w:t>
      </w:r>
    </w:p>
    <w:p>
      <w:pPr>
        <w:pStyle w:val="CaseBody"/>
      </w:pPr>
      <w:r>
        <w:t xml:space="preserve">Of the current assets, $41,357.76, representing “Accounts receivable — Trade,” was assigned to American Trust Co., to secure $50,000 of its $59,000 in notes payable. Both before and after the incorporation, the business had a $75,000 line of credit with American Trust Co., secured by accounts receivable and the personal guaranty of the three partners and stockholders, and their marital communities.</w:t>
      </w:r>
    </w:p>
    <w:p>
      <w:pPr>
        <w:pStyle w:val="CaseBody"/>
      </w:pPr>
      <w:r>
        <w:t xml:space="preserve">The net sales of the partnership during its last year of operations were $389,-543.72, as compared to net sales of $665,-747.55 in the preceding year. A net loss of $22,521.34 was experienced during this last year, as compared to a net profit of $40,935.12 in the year ending September 30, 1951.</w:t>
      </w:r>
    </w:p>
    <w:p>
      <w:pPr>
        <w:pStyle w:val="CaseBody"/>
      </w:pPr>
      <w:r>
        <w:t xml:space="preserve">Based on the reduced capitalization of the partnership, the corporation was capitalized for six hundred shares of no par value common stock valued at ten dollars per share. Two hundred shares were issued to each of the three partners in consideration of the transfer to the corporation of their interests in the partnership. Fazio became president,, and Ambrose, secretary-treasurer of the new corporation. Both were directors'. The corporation assumed all liabilities of the partnership, including the notes to Fazio and Ambrose.</w:t>
      </w:r>
    </w:p>
    <w:p>
      <w:pPr>
        <w:pStyle w:val="CaseBody"/>
      </w:pPr>
      <w:r>
        <w:t xml:space="preserve">In June 1954, after suffering continued losses, the corporation made an assignment to the San Francisco Board of Trade for the benefit of creditors. On October 8, 1954, it filed a voluntary petition in bankruptcy. At this time, the Corporation was not indebted to any creditors whose obligations were incurred by the pre-existing partnership, saving the promissory notes issued to Fazio and Ambrose.</w:t>
      </w:r>
    </w:p>
    <w:p>
      <w:pPr>
        <w:pStyle w:val="CaseBody"/>
      </w:pPr>
      <w:r>
        <w:t xml:space="preserve">Fazio filed a claim against the estate in the sum of $34,147.55, based on the promissory note given to him when the capital of the partnership was reduced. Ambrose filed a similar claim in the sum of $7,871.17. The discrepancy between these amounts and the amounts of the promissory notes is due to certain set-offs and transfers not here in issue.</w:t>
      </w:r>
    </w:p>
    <w:p>
      <w:pPr>
        <w:pStyle w:val="CaseBody"/>
      </w:pPr>
      <w:r>
        <w:t xml:space="preserve">In asking that these claims be subordinated to the claims of general unsecured creditors, the trustee averred that the amounts in question represent a portion of the capital investment in the partnership. It was alleged that the transfer of this sum from the partnership capital account to an account entitled “Loans from Copartners,” effectuated a scheme and plan to place co-partners in the same class as unsecured creditors. The trustee further alleged, with respect to each claimant:</w:t>
      </w:r>
    </w:p>
    <w:p>
      <w:pPr>
        <w:pStyle w:val="BlockText"/>
      </w:pPr>
      <w:r>
        <w:t xml:space="preserve">“ * * * if said claimant is permitted to share in the assets of said bankrupt now in the hands of the trustee, in the same parity with general unsecured creditors, he will receive a portion of the capital in-' vested which should be used to satisfy the claims of creditors before any capital investment can be returned to the owners and stockholders of said bankrupt.”</w:t>
      </w:r>
    </w:p>
    <w:p>
      <w:pPr>
        <w:pStyle w:val="CaseBody"/>
      </w:pPr>
      <w:r>
        <w:t xml:space="preserve">A hearing was held before the referee in bankruptcy. In addition to eliciting the above recounted facts, three expert witnesses called by the trustee, and one expert witness called by the claimants, expressed opinions on various phases of the transaction.</w:t>
      </w:r>
    </w:p>
    <w:p>
      <w:pPr>
        <w:pStyle w:val="CaseBody"/>
      </w:pPr>
      <w:r>
        <w:t xml:space="preserve">Clifford V. Heimbucher, a certified public accountant and management consultant, called by the trustee, expressed the view that, at the time of incorporation, capitalization was inadequate. He further stated that, in incorporating a business already in existence, where the approximate amount of permanent capital needed has been established by experience, normal procedure called for continuing such capital in the form of common or preferred stock.</w:t>
      </w:r>
    </w:p>
    <w:p>
      <w:pPr>
        <w:pStyle w:val="CaseBody"/>
      </w:pPr>
      <w:r>
        <w:t xml:space="preserve">Stating that only additional capital needed temporarily is normally set up as loans, Heimbucher testified that “ * * * the amount of capital employed in the business was at all times substantially more than the $6,000 employed in the opening of the corporation.” He also expressed the opinion that, at the time of incorporation, there was “very little hope [of financial success] in view of the fact that for the year immediately preceding the opening of the corporation, losses were running a little less than $2,000 a month. * * * ”</w:t>
      </w:r>
    </w:p>
    <w:p>
      <w:pPr>
        <w:pStyle w:val="CaseBody"/>
      </w:pPr>
      <w:r>
        <w:t xml:space="preserve">William B. Logan, a business analyst and consultant called by the trustee, expressed the view that $6,000 was inadequate capitalization for this company.</w:t>
      </w:r>
      <w:r>
        <w:rPr>
          <w:rStyle w:val="FootnoteReference"/>
        </w:rPr>
        <w:footnoteReference w:customMarkFollows="1" w:id="23"/>
        <w:t xml:space="preserve">1</w:t>
      </w:r>
      <w:r>
        <w:t xml:space="preserve"> </w:t>
      </w:r>
      <w:r>
        <w:t xml:space="preserve">John S. Curran, a business analyst, also called by the trustee, expressed the view that the corporation needed at least as much capital as the partnership required prior to the reduction of capital.</w:t>
      </w:r>
    </w:p>
    <w:p>
      <w:pPr>
        <w:pStyle w:val="CaseBody"/>
      </w:pPr>
      <w:r>
        <w:t xml:space="preserve">Robert H. Laborde, Jr., a certified public accountant, had handled the accounting problems of the partnership and corporation. He was called by the trustee as an adverse witness, pursuant to § 21, sub. j of the Bankruptcy Act,</w:t>
      </w:r>
      <w:r>
        <w:t xml:space="preserve"> </w:t>
      </w:r>
      <w:r>
        <w:t xml:space="preserve">11 U.S.C.A. § 44</w:t>
      </w:r>
      <w:r>
        <w:t xml:space="preserve">, sub.</w:t>
      </w:r>
      <w:r>
        <w:t xml:space="preserve"> </w:t>
      </w:r>
      <w:r>
        <w:rPr>
          <w:iCs/>
          <w:i/>
        </w:rPr>
        <w:t xml:space="preserve">j.</w:t>
      </w:r>
      <w:r>
        <w:t xml:space="preserve"> </w:t>
      </w:r>
      <w:r>
        <w:t xml:space="preserve">Laborde readily conceded that the transaction whereby Fazio and Ambrose obtained promissory notes from the partnership was for the purpose of transferring a capital account into a loan or debt account. He stated that this was done in contemplation of the formation of the corporation, and with knowledge that the partnership was losing money.</w:t>
      </w:r>
    </w:p>
    <w:p>
      <w:pPr>
        <w:pStyle w:val="CaseBody"/>
      </w:pPr>
      <w:r>
        <w:t xml:space="preserve">The prime reason for incorporating the business, according to Laborde, was to protect the personal interest of Fazio, who had made the greatest capital contribution to the business. In this connection, it was pointed out that the “liabilities on the business as a partnership were pretty heavy.” There was apparently also a tax angle. Laborde testified that it was contemplated that the notes would be paid out of the profits of the business. He agreed that, if promissory notes had not been issued, the profits would have been distributed only as dividends, and that as such they would have been taxable.</w:t>
      </w:r>
    </w:p>
    <w:p>
      <w:pPr>
        <w:pStyle w:val="CaseBody"/>
      </w:pPr>
      <w:r>
        <w:t xml:space="preserve">Claimants, in their brief, say that Laborde “testified that in his opinion the bankrupt corporation was adequately capitalized at the inception of its corporate existence for several reasons. * * * ” We find no support in the record for this statement, and claimants have cited none.</w:t>
      </w:r>
      <w:r>
        <w:rPr>
          <w:rStyle w:val="FootnoteReference"/>
        </w:rPr>
        <w:footnoteReference w:customMarkFollows="1" w:id="54"/>
        <w:t xml:space="preserve">2</w:t>
      </w:r>
    </w:p>
    <w:p>
      <w:pPr>
        <w:pStyle w:val="CaseBody"/>
      </w:pPr>
      <w:r>
        <w:t xml:space="preserve">Laborde did express the opinion that the corporation had adequate working capital at the time of incorporation. This was disputed by Heimbucher and Curran. They called attention to the fact that the corporate books showed! that current liabilities exceeded current assets at that time, and that there was thus a minus working capital on the opening day of business of the corporation.</w:t>
      </w:r>
      <w:r>
        <w:t xml:space="preserve"> </w:t>
      </w:r>
      <w:r>
        <w:rPr>
          <w:rStyle w:val="FootnoteReference"/>
        </w:rPr>
        <w:footnoteReference w:customMarkFollows="1" w:id="81"/>
        <w:t xml:space="preserve">3</w:t>
      </w:r>
    </w:p>
    <w:p>
      <w:pPr>
        <w:pStyle w:val="CaseBody"/>
      </w:pPr>
      <w:r>
        <w:t xml:space="preserve">In any event, when we speak of inadequacy of capital in regard to whether loans to shareholders shall be subordinated to claims of general creditors, we are not referring to working capital. We are referring to the amount of the investment of the shareholders in the corporation. This capital is usually referred to as legal capital, or stated capital in reference to restrictions on the declaration of dividends to stockholders.</w:t>
      </w:r>
      <w:r>
        <w:rPr>
          <w:rStyle w:val="FootnoteReference"/>
        </w:rPr>
        <w:footnoteReference w:customMarkFollows="1" w:id="105"/>
        <w:t xml:space="preserve">4</w:t>
      </w:r>
      <w:r>
        <w:t xml:space="preserve"> </w:t>
      </w:r>
      <w:r>
        <w:t xml:space="preserve">As before stated, Laborde expressed no opinion as to the adequacy of proprietary capital put at the risk of the business. On the other hand, the corporate accounts and the undisputed testimony of three accounting experts demonstrate that stated capital was wholly inadequate.</w:t>
      </w:r>
    </w:p>
    <w:p>
      <w:pPr>
        <w:pStyle w:val="CaseBody"/>
      </w:pPr>
      <w:r>
        <w:t xml:space="preserve">On the evidence produced at this hearing, as summarized above, the referee found that the paid-in stated capital of the corporation at the time of its incorporation was adequate for the continued operation of the business. He found that while Fazio and Ambrose controlled and dominated the corporation and its affairs they did not mismanage the business. He further found that claimants did not practice any fraud or deception, and did not act for their own personal or private benefit and to the detriment of the corporation or its stockholders and creditors. The referee also found that the transaction which had been described was not a part of any scheme or plan to place the claimants in the same class as unsecured creditors of the partnership.</w:t>
      </w:r>
    </w:p>
    <w:p>
      <w:pPr>
        <w:pStyle w:val="CaseBody"/>
      </w:pPr>
      <w:r>
        <w:t xml:space="preserve">On the basis of these findings, the referee concluded that, in procuring the promissory notes, the claimants acted in all respects in good faith and took no unfair advantage of the corporation, or of its stockholders or creditors.</w:t>
      </w:r>
    </w:p>
    <w:p>
      <w:pPr>
        <w:pStyle w:val="CaseBody"/>
      </w:pPr>
      <w:r>
        <w:t xml:space="preserve">Pursuant to § 39, sub. c of the Bankruptcy Act, 11 U.S.O.A. § 67 sub. c, the trustee filed a petition for review of the referee’s order. The district court, after examining the record certified to it by the referee, entered an order affirming the order of the referee.</w:t>
      </w:r>
      <w:r>
        <w:rPr>
          <w:rStyle w:val="FootnoteReference"/>
        </w:rPr>
        <w:footnoteReference w:customMarkFollows="1" w:id="128"/>
        <w:t xml:space="preserve">5</w:t>
      </w:r>
    </w:p>
    <w:p>
      <w:pPr>
        <w:pStyle w:val="CaseBody"/>
      </w:pPr>
      <w:r>
        <w:t xml:space="preserve">On this appeal, the trustee advances two grounds for reversal of the district court order. The first of these is that claims of controlling shareholders will be deferred or subordinated to outside creditors where a corporation in bankruptcy has not been adequately. or honestly capitalized, or has been managed to the prejudice of creditors, or where to do otherwise would be unfair to creditors.</w:t>
      </w:r>
    </w:p>
    <w:p>
      <w:pPr>
        <w:pStyle w:val="CaseBody"/>
      </w:pPr>
      <w:r>
        <w:t xml:space="preserve">As a basis for applying this asserted rule in the case before us, the trustee challenges most of the findings of fact noted above.</w:t>
      </w:r>
    </w:p>
    <w:p>
      <w:pPr>
        <w:pStyle w:val="CaseBody"/>
      </w:pPr>
      <w:r>
        <w:t xml:space="preserve">The district court and this court are required to accept the findings of the referee in bankruptcy, unless such findings are clearly erroneous.</w:t>
      </w:r>
      <w:r>
        <w:rPr>
          <w:rStyle w:val="FootnoteReference"/>
        </w:rPr>
        <w:footnoteReference w:customMarkFollows="1" w:id="150"/>
        <w:t xml:space="preserve">6</w:t>
      </w:r>
    </w:p>
    <w:p>
      <w:pPr>
        <w:pStyle w:val="CaseBody"/>
      </w:pPr>
      <w:r>
        <w:t xml:space="preserve">Where a finding of fact by the referee is based upon conflicting evidence, or where the credibility of witnesses is a factor, a district court and, on appeal, a court of appeals will seldom hold such a finding clearly erroneous. The same reluctance is not encountered with regard to a factual conclusion from given facts. In the latter case, the proper conclusion from given facts can be made by the trial judge, or the court of appeals, as well as the referee.</w:t>
      </w:r>
      <w:r>
        <w:rPr>
          <w:rStyle w:val="FootnoteReference"/>
        </w:rPr>
        <w:footnoteReference w:customMarkFollows="1" w:id="170"/>
        <w:t xml:space="preserve">7</w:t>
      </w:r>
    </w:p>
    <w:p>
      <w:pPr>
        <w:pStyle w:val="CaseBody"/>
      </w:pPr>
      <w:r>
        <w:t xml:space="preserve">The factual conclusion of the referee, that the paid-in capital of the corporation at the time of its incorporation was adequate for the continued operation of the business, was based upon certain accounting data and the expert testimony of four witnesses. The accounting data, summarized above, is contained in the opening balance sheet and the comparative profit and loss statements of the corporation, and is not in dispute.</w:t>
      </w:r>
    </w:p>
    <w:p>
      <w:pPr>
        <w:pStyle w:val="CaseBody"/>
      </w:pPr>
      <w:r>
        <w:t xml:space="preserve">It does not require the confirmatory opinion of experts to determine from this data that the corporation was grossly undercapitalized. In the year immediately preceding incorporation, net sales aggregated $390,000. In order to handle such a turnover, the partners apparently found that capital in excess of $50,000 was necessary. They actually had $51,620.78 in the business at that time. Even then, the business was only ■“two jumps ahead of the wolf.”</w:t>
      </w:r>
      <w:r>
        <w:rPr>
          <w:rStyle w:val="FootnoteReference"/>
        </w:rPr>
        <w:footnoteReference w:customMarkFollows="1" w:id="190"/>
        <w:t xml:space="preserve">8</w:t>
      </w:r>
      <w:r>
        <w:t xml:space="preserve"> </w:t>
      </w:r>
      <w:r>
        <w:t xml:space="preserve">A net loss of $22,000 was sustained in that year; there was only $66.66 in the bank; and there was an overdraft of $3,422.78.</w:t>
      </w:r>
    </w:p>
    <w:p>
      <w:pPr>
        <w:pStyle w:val="CaseBody"/>
      </w:pPr>
      <w:r>
        <w:t xml:space="preserve">Yet, despite this precarious financial condition, Fazio and Ambrose withdrew $45,620.78 of the partnership capital — ■ more than eighty-eight per cent of the total capital. The $6,000 capital left in the business was only one-sixty-fifth of the last annual net sales. All this is revealed by the books of the company.</w:t>
      </w:r>
    </w:p>
    <w:p>
      <w:pPr>
        <w:pStyle w:val="CaseBody"/>
      </w:pPr>
      <w:r>
        <w:t xml:space="preserve">But if there is need to confirm this conclusion that the corporation was gross undercapitalized, such confirmation is provided by three of the four experts who testified. The fourth expert, called by appellees, did not express an opinion to the contrary.</w:t>
      </w:r>
    </w:p>
    <w:p>
      <w:pPr>
        <w:pStyle w:val="CaseBody"/>
      </w:pPr>
      <w:r>
        <w:t xml:space="preserve">We therefore hold that the factual conclusion of the referee, that the corporation was adequately capitalized at the time of its organization, is clearly erroneous.</w:t>
      </w:r>
    </w:p>
    <w:p>
      <w:pPr>
        <w:pStyle w:val="CaseBody"/>
      </w:pPr>
      <w:r>
        <w:t xml:space="preserve">The factual conclusion of the trial court, that the claimants, in withdrawing capital from the partnership in contemplation of incorporation, did not act for their own personal or private benefit and to the detriment of the corporation or of its stockholders and creditors, is based upon the same accounting data and expert testimony.</w:t>
      </w:r>
    </w:p>
    <w:p>
      <w:pPr>
        <w:pStyle w:val="CaseBody"/>
      </w:pPr>
      <w:r>
        <w:t xml:space="preserve">Laborde, testifying for the claimants, made it perfectly clear that the depletion of the capital account in favor of a debt account was for the purpose of equalizing the capital investments of the partners and to reduce tax liability when there were profits to distribute. It is therefore certain, contrary to the finding just noted, that, in withdrawing this capital, Fazio and Ambrose did act for their own personal and private benefit.</w:t>
      </w:r>
    </w:p>
    <w:p>
      <w:pPr>
        <w:pStyle w:val="CaseBody"/>
      </w:pPr>
      <w:r>
        <w:t xml:space="preserve">It is equally certain, from the undisputed facts, that in so doing they acted to the detriment of the corporation and its creditors. The best evidence of this is what happened to the business after incorporation, and what will happen to its creditors if the reduction in capital is allowed to stand. The likelihood that business failure would result from such undercapitalization should have been apparent to anyone who knew the company’s financial and business history and who had access to its balance sheet and profit and loss statements. Three expert witnesses confirmed this view, and none expressed a contrary opinion.</w:t>
      </w:r>
    </w:p>
    <w:p>
      <w:pPr>
        <w:pStyle w:val="CaseBody"/>
      </w:pPr>
      <w:r>
        <w:t xml:space="preserve">Accordingly, we hold that the factual conclusion, that the claimants, in withdrawing capital, did not act for their own personal or private benefit and to the detriment of the corporation and creditors, is clearly erroneous.</w:t>
      </w:r>
    </w:p>
    <w:p>
      <w:pPr>
        <w:pStyle w:val="CaseBody"/>
      </w:pPr>
      <w:r>
        <w:t xml:space="preserve">Recasting the facts in the light of what is said above, the question which appellant presents is this:</w:t>
      </w:r>
    </w:p>
    <w:p>
      <w:pPr>
        <w:pStyle w:val="BlockText"/>
      </w:pPr>
      <w:r>
        <w:t xml:space="preserve">Where, in connection with the incorporation of a partnership, and for their own personal and private benefit, two partners who are to become officers, directors, and controlling stockholders of the corporation, convert the bulk of their capital contributions into loans, taking promissory notes, thereby leaving the partnership and succeeding corporation grossly undercapitalized, to the detriment of the corporation and its creditors, should their claims against the estate of the subsequently bankrupted corporation be subordinated to the claims of the general unsecured creditors?</w:t>
      </w:r>
    </w:p>
    <w:p>
      <w:pPr>
        <w:pStyle w:val="BlockText"/>
      </w:pPr>
      <w:r>
        <w:t xml:space="preserve">The question almost answers itself.</w:t>
      </w:r>
    </w:p>
    <w:p>
      <w:pPr>
        <w:pStyle w:val="CaseBody"/>
      </w:pPr>
      <w:r>
        <w:t xml:space="preserve">In allowing and disallowing claims, courts of bankruptcy apply the rules and principles of equity jurisprudence. Pepper v. Litton,</w:t>
      </w:r>
      <w:r>
        <w:t xml:space="preserve"> </w:t>
      </w:r>
      <w:r>
        <w:t xml:space="preserve">308 U.S. 295</w:t>
      </w:r>
      <w:r>
        <w:t xml:space="preserve">, 304,</w:t>
      </w:r>
      <w:r>
        <w:t xml:space="preserve"> </w:t>
      </w:r>
      <w:r>
        <w:t xml:space="preserve">60 S.Ct. 238</w:t>
      </w:r>
      <w:r>
        <w:t xml:space="preserve">,</w:t>
      </w:r>
      <w:r>
        <w:t xml:space="preserve"> </w:t>
      </w:r>
      <w:r>
        <w:t xml:space="preserve">84 L.Ed. 281</w:t>
      </w:r>
      <w:r>
        <w:t xml:space="preserve">. Where the claim is found to be inequitable, it may be set aside (Pepper v. Litton,</w:t>
      </w:r>
      <w:r>
        <w:t xml:space="preserve"> </w:t>
      </w:r>
      <w:r>
        <w:t xml:space="preserve">supra),</w:t>
      </w:r>
      <w:r>
        <w:t xml:space="preserve"> </w:t>
      </w:r>
      <w:r>
        <w:t xml:space="preserve">or subordinated to the claims of other creditors.</w:t>
      </w:r>
      <w:r>
        <w:rPr>
          <w:rStyle w:val="FootnoteReference"/>
        </w:rPr>
        <w:footnoteReference w:customMarkFollows="1" w:id="209"/>
        <w:t xml:space="preserve">9</w:t>
      </w:r>
      <w:r>
        <w:t xml:space="preserve"> </w:t>
      </w:r>
      <w:r>
        <w:t xml:space="preserve">As stated in Taylor v. Standard Gas Co., supra, 306 U.S. at page 315, 59 S.Ct. at page 547, the question to be determined when the plan or transaction which gives rise to a claim is challenged as inequitable is “whether, within the bounds of reason and fairness, such a plan can be justified.”</w:t>
      </w:r>
    </w:p>
    <w:p>
      <w:pPr>
        <w:pStyle w:val="CaseBody"/>
      </w:pPr>
      <w:r>
        <w:t xml:space="preserve">Where, as here, the claims are filed by persons standing in a fiduciary relationship to the corporation, another test which equity will apply is “whether or not under all the circumstances the transaction carries the earmarks of an arm’s length bargain.” Pepper v. Litton,</w:t>
      </w:r>
      <w:r>
        <w:t xml:space="preserve"> </w:t>
      </w:r>
      <w:r>
        <w:t xml:space="preserve">supra,</w:t>
      </w:r>
      <w:r>
        <w:t xml:space="preserve"> </w:t>
      </w:r>
      <w:r>
        <w:t xml:space="preserve">308 U.S. at page 306, 60 S.Ct. at page 245.</w:t>
      </w:r>
      <w:r>
        <w:rPr>
          <w:rStyle w:val="FootnoteReference"/>
        </w:rPr>
        <w:footnoteReference w:customMarkFollows="1" w:id="228"/>
        <w:t xml:space="preserve">10</w:t>
      </w:r>
    </w:p>
    <w:p>
      <w:pPr>
        <w:pStyle w:val="CaseBody"/>
      </w:pPr>
      <w:r>
        <w:t xml:space="preserve">Under either of these tests, the transaction here in question stands condemned.</w:t>
      </w:r>
    </w:p>
    <w:p>
      <w:pPr>
        <w:pStyle w:val="CaseBody"/>
      </w:pPr>
      <w:r>
        <w:t xml:space="preserve">Appellees argue that more must be shown than mere undercapitalization if the claims are to be subordinated. Much more than mere undercapitalization was shown here. Persons serving in a fiduciary relationship to the corporation actually withdrew capital already committed to the business, in the face of recent adverse financial experience. They stripped the business of eighty-eight per cent of its stated capital at a time when it had a minus working capital and had suffered substantial business losses. This was done for personal gain, under circumstances which charge them with knowledge that the corporation and its creditors would be endangered. Taking advantage of their fiduciary position, they thus sought to gain equality of treatment with general creditors.</w:t>
      </w:r>
    </w:p>
    <w:p>
      <w:pPr>
        <w:pStyle w:val="CaseBody"/>
      </w:pPr>
      <w:r>
        <w:t xml:space="preserve">In Taylor v. Standard Gas &amp; Electric Co.,</w:t>
      </w:r>
      <w:r>
        <w:t xml:space="preserve"> </w:t>
      </w:r>
      <w:r>
        <w:t xml:space="preserve">306 U.S. 307</w:t>
      </w:r>
      <w:r>
        <w:t xml:space="preserve">,</w:t>
      </w:r>
      <w:r>
        <w:t xml:space="preserve"> </w:t>
      </w:r>
      <w:r>
        <w:t xml:space="preserve">59 S.Ct. 543</w:t>
      </w:r>
      <w:r>
        <w:t xml:space="preserve">,</w:t>
      </w:r>
      <w:r>
        <w:t xml:space="preserve"> </w:t>
      </w:r>
      <w:r>
        <w:t xml:space="preserve">83 L.Ed. 669</w:t>
      </w:r>
      <w:r>
        <w:t xml:space="preserve">, and some other cases, there was fraud and mismanagement present in addition to undercapitalization. Appel-lees argue from this that fraud and mismanagement must always be present if claims are to be subordinated in a situation involving undercapitalization.</w:t>
      </w:r>
    </w:p>
    <w:p>
      <w:pPr>
        <w:pStyle w:val="CaseBody"/>
      </w:pPr>
      <w:r>
        <w:t xml:space="preserve">This is not the rule. The test to be applied, as announced in the Taylor case and quoted above, is whether the transaction can be justified “within the bounds of reason and fairness.” In the more recent Heiser case, supra, 327 U. S. pages 732-733, 66 S.Ct. at page 856, the Supreme Court made clear, in these words, that fraud is not an essential ingredient:</w:t>
      </w:r>
    </w:p>
    <w:p>
      <w:pPr>
        <w:pStyle w:val="BlockText"/>
      </w:pPr>
      <w:r>
        <w:t xml:space="preserve">«* * •» jn appropriate cases, acting upon equitable principles, it [bankruptcy court] may also subordinate the claim of one creditor to those of others in order to prevent the consummation of a course of conduct bjr the claimant, which, as to them, would be fraudulent</w:t>
      </w:r>
      <w:r>
        <w:t xml:space="preserve"> </w:t>
      </w:r>
      <w:r>
        <w:rPr>
          <w:iCs/>
          <w:i/>
        </w:rPr>
        <w:t xml:space="preserve">or otherwise inequitable. *</w:t>
      </w:r>
      <w:r>
        <w:t xml:space="preserve"> </w:t>
      </w:r>
      <w:r>
        <w:t xml:space="preserve">* * ” (Emphasis supplied.)</w:t>
      </w:r>
    </w:p>
    <w:p>
      <w:pPr>
        <w:pStyle w:val="CaseBody"/>
      </w:pPr>
      <w:r>
        <w:t xml:space="preserve">The fact that the withdrawal of capital occurred prior to incorporation is immaterial. This transaction occurred in contemplation of incorporation. The participants then occupied a fiduciary relationship to the partnership; and expected to become controlling stoekhold-ers, directors, and officers of the corporation. This plan was effectuated, and they were serving in those fiduciary capacities when the corporation assumed the liabilities of the partnership, including the notes here in question.</w:t>
      </w:r>
    </w:p>
    <w:p>
      <w:pPr>
        <w:pStyle w:val="CaseBody"/>
      </w:pPr>
      <w:r>
        <w:t xml:space="preserve">Nor is the fact that the business, after being stripped of necessary capital, was able to survive long enough to have a turnover of creditors a mitigating circumstance. The inequitable conduct of appellees consisted not in acting to the detriment of creditors then known, but in acting to the detriment of present or future creditors, whoever they may be.</w:t>
      </w:r>
    </w:p>
    <w:p>
      <w:pPr>
        <w:pStyle w:val="CaseBody"/>
      </w:pPr>
      <w:r>
        <w:t xml:space="preserve">In our opinion, it was error to affirm the order of the referee denying the motion to subordinate the claims in question. We do not reach appellant’s other major contention, that the notes are not provable in bankruptcy because they were to be paid only out of profits, and there were no profits.</w:t>
      </w:r>
    </w:p>
    <w:p>
      <w:pPr>
        <w:pStyle w:val="CaseBody"/>
      </w:pPr>
      <w:r>
        <w:t xml:space="preserve">Reversed and remanded for further proceedings not inconsistent with this opinion.</w:t>
      </w:r>
    </w:p>
    <w:bookmarkStart w:id="96" w:name="_auto_toc_96"/>
    <w:bookmarkEnd w:id="96"/>
    <w:p>
      <w:pPr>
        <w:pStyle w:val="ResourceNumber"/>
      </w:pPr>
      <w:r>
        <w:t xml:space="preserve">8.1.2</w:t>
      </w:r>
    </w:p>
    <w:p>
      <w:pPr>
        <w:pStyle w:val="ResourceTitle"/>
      </w:pPr>
      <w:r>
        <w:t xml:space="preserve">Sea-Land Services, Inc. v. Pepper Source</w:t>
      </w:r>
    </w:p>
    <w:p>
      <w:pPr>
        <w:pStyle w:val="HeadEnd"/>
      </w:pPr>
      <w:r>
        <w:t xml:space="preserve"> </w:t>
      </w:r>
    </w:p>
    <w:p>
      <w:pPr>
        <w:pStyle w:val="CaseHeader"/>
      </w:pPr>
      <w:r>
        <w:t xml:space="preserve">United States Court of Appeals for the Seventh Circuit</w:t>
      </w:r>
    </w:p>
    <w:p>
      <w:pPr>
        <w:pStyle w:val="CaseHeader"/>
      </w:pPr>
      <w:r>
        <w:t xml:space="preserve">941 F.2d 519</w:t>
      </w:r>
    </w:p>
    <w:p>
      <w:pPr>
        <w:pStyle w:val="CaseHeader"/>
      </w:pPr>
      <w:r>
        <w:t xml:space="preserve">No. 90-2589</w:t>
      </w:r>
    </w:p>
    <w:p>
      <w:pPr>
        <w:pStyle w:val="CaseHeader"/>
      </w:pPr>
      <w:r>
        <w:t xml:space="preserve">1991-08-20</w:t>
      </w:r>
    </w:p>
    <w:p>
      <w:pPr>
        <w:pStyle w:val="CaseBody"/>
      </w:pPr>
      <w:r>
        <w:t xml:space="preserve">Argued April 17, 1991.</w:t>
      </w:r>
    </w:p>
    <w:p>
      <w:pPr>
        <w:pStyle w:val="CaseBody"/>
      </w:pPr>
      <w:r>
        <w:t xml:space="preserve">Duane C. Weaver, Ray, Robinson, Hanni-nen &amp; Carle, Chicago, Ill., David G. Davies, Sandra M. Kelly, argued, Ray, Robinson, Hanninen &amp; Carle, Cleveland, Ohio, for plaintiff-appellee.</w:t>
      </w:r>
    </w:p>
    <w:p>
      <w:pPr>
        <w:pStyle w:val="CaseBody"/>
      </w:pPr>
      <w:r>
        <w:t xml:space="preserve">Frank J. DeSalvo, argued, Aldo E. Botti, Howard R. Wertz, Botti, Marinaccio, DeSal-vo &amp; Tameling, Oak Brook, Ill., for defendants-appellants.</w:t>
      </w:r>
    </w:p>
    <w:p>
      <w:pPr>
        <w:pStyle w:val="CaseBody"/>
      </w:pPr>
      <w:r>
        <w:t xml:space="preserve">Before BAUER, Chief Judge, WOOD, JR., and POSNER, Circuit Judges.</w:t>
      </w:r>
    </w:p>
    <w:p>
      <w:pPr>
        <w:pStyle w:val="CaseBody"/>
      </w:pPr>
      <w:r>
        <w:t xml:space="preserve">BAUER, Chief Judge.</w:t>
      </w:r>
    </w:p>
    <w:p>
      <w:pPr>
        <w:pStyle w:val="CaseBody"/>
      </w:pPr>
      <w:r>
        <w:t xml:space="preserve">This spicy case finds its origin in several shipments of Jamaican sweet peppers. Ap-pellee Sea-Land Services, Inc. (“Sea-Land”), an ocean carrier, shipped the peppers on behalf of The Pepper Source (“PS”), one of the appellants here. PS then stiffed Sea-Land on the freight bill, which was rather substantial. Sea-Land filed a federal diversity action for the money it was owed. On December 2, 1987, the district court entered a default judgment in favor of Sea-Land and against PS in the amount of $86,767.70. But PS was nowhere to be found; it had been “dissolved” in mid-1987 for failure to pay the annual state franchise tax. Worse yet for Sea-Land, even had it not been dissolved, PS apparently had no assets. With the well empty, Sea-Land could not recover its judgment against PS. Hence the instant lawsuit.</w:t>
      </w:r>
    </w:p>
    <w:p>
      <w:pPr>
        <w:pStyle w:val="CaseBody"/>
      </w:pPr>
      <w:r>
        <w:t xml:space="preserve">In June 1988, Sea-Land brought this action against Gerald J. Márchese and five business entities he owns: PS, Caribe Crown, Inc., Jamar Corp., Salescaster Distributors, Inc., and Márchese Fegan Associates.</w:t>
      </w:r>
      <w:r>
        <w:rPr>
          <w:rStyle w:val="FootnoteReference"/>
        </w:rPr>
        <w:footnoteReference w:customMarkFollows="1" w:id="24"/>
        <w:t xml:space="preserve">1</w:t>
      </w:r>
      <w:r>
        <w:t xml:space="preserve"> </w:t>
      </w:r>
      <w:r>
        <w:t xml:space="preserve">Márchese also was named individually. Sea-Land sought by this suit to pierce PS’s corporate veil and render Márchese personally liable for the judgment owed to Sea-Land, and then “reverse pierce” Marchese’s other corporations so that they, too, would be on the hook for the $87,000. Thus, Sea-Land alleged in its complaint that all of these corporations “are alter egos of each other and hide behind the veils of alleged separate corporate existence for the purpose of defrauding plaintiff and other creditors.” Count I, 1111. Not only are the corporations alter egos of each other, alleged Sea-Land, but also they are alter egos of Márchese, who should be held individually liable for the judgment because he created and manipulated these corporations and their assets for his own personal uses. Count III, 111T 9-10. (Hot on the heels of the filing of Sea-Land’s complaint, PS took the necessary steps to be reinstated as a corporation in Illinois.)</w:t>
      </w:r>
    </w:p>
    <w:p>
      <w:pPr>
        <w:pStyle w:val="CaseBody"/>
      </w:pPr>
      <w:r>
        <w:t xml:space="preserve">In early 1989, Sea-Land filed an amended complaint adding Tie-Net International, Inc., as a defendant. Unlike the other corporate defendants, Tie-Net is not owned solely by Márchese: he holds half of the stock, and an individual named George Andre owns the other half. Sea-Land alleged that, despite this shared ownership, Tie-Net is but another alter ego of Márchese and the other corporate defendants, and thus it also should be held liable for the judgment against PS.</w:t>
      </w:r>
    </w:p>
    <w:p>
      <w:pPr>
        <w:pStyle w:val="CaseBody"/>
      </w:pPr>
      <w:r>
        <w:t xml:space="preserve">Through 1989, Sea-Land pursued discovery in this case, including taking a two-day deposition from Márchese. In December 1989, Sea-Land moved for summary judgment. In that motion — which, with the brief in support and the appendices, was about three inches thick — Sea-Land argued that it was “entitled to judgment as a matter of law, since the evidence including deposition testimony and exhibits in the appendix will show that piercing the corporate veil and finding the status of an alter ego is merited in this case.” Márchese and the other defendants filed brief responses.</w:t>
      </w:r>
    </w:p>
    <w:p>
      <w:pPr>
        <w:pStyle w:val="CaseBody"/>
      </w:pPr>
      <w:r>
        <w:t xml:space="preserve">In an order dated June 22, 1990, the court granted Sea-Land’s motion. The court discussed and applied the test for corporate veil-piercing explicated in</w:t>
      </w:r>
      <w:r>
        <w:t xml:space="preserve"> </w:t>
      </w:r>
      <w:r>
        <w:rPr>
          <w:iCs/>
          <w:i/>
        </w:rPr>
        <w:t xml:space="preserve">Van Dorn Co. v. Future Chemical and Oil Corp.,</w:t>
      </w:r>
      <w:r>
        <w:t xml:space="preserve"> </w:t>
      </w:r>
      <w:r>
        <w:t xml:space="preserve">753 F.2d 565</w:t>
      </w:r>
      <w:r>
        <w:t xml:space="preserve"> </w:t>
      </w:r>
      <w:r>
        <w:t xml:space="preserve">(7th Cir.1985). Analyzing Illinois law, we held in</w:t>
      </w:r>
      <w:r>
        <w:t xml:space="preserve"> </w:t>
      </w:r>
      <w:r>
        <w:rPr>
          <w:iCs/>
          <w:i/>
        </w:rPr>
        <w:t xml:space="preserve">Van Dorn</w:t>
      </w:r>
      <w:r>
        <w:t xml:space="preserve"> </w:t>
      </w:r>
      <w:r>
        <w:t xml:space="preserve">that</w:t>
      </w:r>
    </w:p>
    <w:p>
      <w:pPr>
        <w:pStyle w:val="BlockText"/>
      </w:pPr>
      <w:r>
        <w:t xml:space="preserve">a corporate entity will be disregarded and the veil of limited liability pierced when two requirements are met:</w:t>
      </w:r>
    </w:p>
    <w:p>
      <w:pPr>
        <w:pStyle w:val="BlockText"/>
      </w:pPr>
      <w:r>
        <w:t xml:space="preserve">[Fjirst, there must be such unity of interest and ownership that the separate personalities of the corporation and the individual [or other corporation] no longer exist; and second, circumstances must be such that adherence to the fiction of separate corporate existence would sanction a fraud or promote injustice.</w:t>
      </w:r>
    </w:p>
    <w:p>
      <w:pPr>
        <w:pStyle w:val="CaseBody"/>
      </w:pPr>
      <w:r>
        <w:t xml:space="preserve">753 F.2d at 569-70</w:t>
      </w:r>
      <w:r>
        <w:t xml:space="preserve"> </w:t>
      </w:r>
      <w:r>
        <w:t xml:space="preserve">(quoting</w:t>
      </w:r>
      <w:r>
        <w:t xml:space="preserve"> </w:t>
      </w:r>
      <w:r>
        <w:rPr>
          <w:iCs/>
          <w:i/>
        </w:rPr>
        <w:t xml:space="preserve">Macaluso v. Jenkins,</w:t>
      </w:r>
      <w:r>
        <w:t xml:space="preserve"> </w:t>
      </w:r>
      <w:r>
        <w:t xml:space="preserve">95 Ill.App.3d 461</w:t>
      </w:r>
      <w:r>
        <w:t xml:space="preserve">,</w:t>
      </w:r>
      <w:r>
        <w:t xml:space="preserve"> </w:t>
      </w:r>
      <w:r>
        <w:t xml:space="preserve">50 Ill.Dec. 934</w:t>
      </w:r>
      <w:r>
        <w:t xml:space="preserve">, 938,</w:t>
      </w:r>
      <w:r>
        <w:t xml:space="preserve"> </w:t>
      </w:r>
      <w:r>
        <w:t xml:space="preserve">420 N.E.2d 251</w:t>
      </w:r>
      <w:r>
        <w:t xml:space="preserve">, 255 (1981)) (other citations omitted).</w:t>
      </w:r>
      <w:r>
        <w:t xml:space="preserve"> </w:t>
      </w:r>
      <w:r>
        <w:rPr>
          <w:iCs/>
          <w:i/>
        </w:rPr>
        <w:t xml:space="preserve">See also Main Bank of Chicago v. Baker,</w:t>
      </w:r>
      <w:r>
        <w:t xml:space="preserve"> </w:t>
      </w:r>
      <w:r>
        <w:t xml:space="preserve">86 Ill.2d 188</w:t>
      </w:r>
      <w:r>
        <w:t xml:space="preserve">, 205,</w:t>
      </w:r>
      <w:r>
        <w:t xml:space="preserve"> </w:t>
      </w:r>
      <w:r>
        <w:t xml:space="preserve">56 Ill.Dec. 14</w:t>
      </w:r>
      <w:r>
        <w:t xml:space="preserve">, 21,</w:t>
      </w:r>
      <w:r>
        <w:t xml:space="preserve"> </w:t>
      </w:r>
      <w:r>
        <w:t xml:space="preserve">427 N.E.2d 94</w:t>
      </w:r>
      <w:r>
        <w:t xml:space="preserve">, 101 (1981) (Illinois Supreme Court stating the test in essentially the same terms);</w:t>
      </w:r>
      <w:r>
        <w:t xml:space="preserve"> </w:t>
      </w:r>
      <w:r>
        <w:rPr>
          <w:iCs/>
          <w:i/>
        </w:rPr>
        <w:t xml:space="preserve">Pederson v. Paragon Pool Enterprises,</w:t>
      </w:r>
      <w:r>
        <w:t xml:space="preserve"> </w:t>
      </w:r>
      <w:r>
        <w:t xml:space="preserve">214 Ill.App.3d 815</w:t>
      </w:r>
      <w:r>
        <w:t xml:space="preserve">,</w:t>
      </w:r>
      <w:r>
        <w:t xml:space="preserve"> </w:t>
      </w:r>
      <w:r>
        <w:t xml:space="preserve">158 Ill.Dec. 371</w:t>
      </w:r>
      <w:r>
        <w:t xml:space="preserve">, 373,</w:t>
      </w:r>
      <w:r>
        <w:t xml:space="preserve"> </w:t>
      </w:r>
      <w:r>
        <w:t xml:space="preserve">574 N.E.2d 165</w:t>
      </w:r>
      <w:r>
        <w:t xml:space="preserve">, 167 (1st Dist.1991) (recent veil-piercing case applying essentially the same test). As for determining whether a corporation is so controlled by another to justify disregarding their separate identities, the Illinois cases, as we summarized them in</w:t>
      </w:r>
      <w:r>
        <w:t xml:space="preserve"> </w:t>
      </w:r>
      <w:r>
        <w:rPr>
          <w:iCs/>
          <w:i/>
        </w:rPr>
        <w:t xml:space="preserve">Van Dorn,</w:t>
      </w:r>
      <w:r>
        <w:t xml:space="preserve"> </w:t>
      </w:r>
      <w:r>
        <w:t xml:space="preserve">focus on four factors: “(1) the failure to maintain adequate corporate records or to comply with corporate formalities, (2) the commingling of funds or assets, (3) undercapitalization, and (4) one corporation treating the assets of another corporation as its own.”</w:t>
      </w:r>
      <w:r>
        <w:t xml:space="preserve"> </w:t>
      </w:r>
      <w:r>
        <w:t xml:space="preserve">753 F.2d at 570</w:t>
      </w:r>
      <w:r>
        <w:t xml:space="preserve"> </w:t>
      </w:r>
      <w:r>
        <w:t xml:space="preserve">(citations omitted).</w:t>
      </w:r>
      <w:r>
        <w:t xml:space="preserve"> </w:t>
      </w:r>
      <w:r>
        <w:rPr>
          <w:iCs/>
          <w:i/>
        </w:rPr>
        <w:t xml:space="preserve">See also Main Bank,</w:t>
      </w:r>
      <w:r>
        <w:t xml:space="preserve"> </w:t>
      </w:r>
      <w:r>
        <w:t xml:space="preserve">427 N.E.2d at 102</w:t>
      </w:r>
      <w:r>
        <w:t xml:space="preserve">;</w:t>
      </w:r>
      <w:r>
        <w:t xml:space="preserve"> </w:t>
      </w:r>
      <w:r>
        <w:rPr>
          <w:iCs/>
          <w:i/>
        </w:rPr>
        <w:t xml:space="preserve">Pederson,</w:t>
      </w:r>
      <w:r>
        <w:t xml:space="preserve"> </w:t>
      </w:r>
      <w:r>
        <w:t xml:space="preserve">214 Ill.App.3d at 820</w:t>
      </w:r>
      <w:r>
        <w:t xml:space="preserve">,</w:t>
      </w:r>
      <w:r>
        <w:t xml:space="preserve"> </w:t>
      </w:r>
      <w:r>
        <w:t xml:space="preserve">158 Ill.Dec. at 374</w:t>
      </w:r>
      <w:r>
        <w:t xml:space="preserve">,</w:t>
      </w:r>
      <w:r>
        <w:t xml:space="preserve"> </w:t>
      </w:r>
      <w:r>
        <w:t xml:space="preserve">574 N.E.2d at 168</w:t>
      </w:r>
      <w:r>
        <w:t xml:space="preserve">.</w:t>
      </w:r>
    </w:p>
    <w:p>
      <w:pPr>
        <w:pStyle w:val="CaseBody"/>
      </w:pPr>
      <w:r>
        <w:t xml:space="preserve">Following the lead of the parties, the district court in the instant case laid the template of</w:t>
      </w:r>
      <w:r>
        <w:t xml:space="preserve"> </w:t>
      </w:r>
      <w:r>
        <w:rPr>
          <w:iCs/>
          <w:i/>
        </w:rPr>
        <w:t xml:space="preserve">Van Dorn</w:t>
      </w:r>
      <w:r>
        <w:t xml:space="preserve"> </w:t>
      </w:r>
      <w:r>
        <w:t xml:space="preserve">over the facts of this case. Dist.Ct.Op. at 3-12. The court concluded that both halves and all features of the test had been satisfied, and, therefore, entered judgment in favor of Sea-Land and against PS, Caribe Crown, Jamar, Salescaster, Tie-Net, and Márchese individually. These defendants were held jointly liable for Sea-Land’s $87,000 judgment, as well as for post-judgment interest under Illinois law. From that judgment Márchese and the other defendants brought a timely appeal.</w:t>
      </w:r>
    </w:p>
    <w:p>
      <w:pPr>
        <w:pStyle w:val="CaseBody"/>
      </w:pPr>
      <w:r>
        <w:t xml:space="preserve">Because this is an appeal from a grant of summary judgment, our review is</w:t>
      </w:r>
      <w:r>
        <w:t xml:space="preserve"> </w:t>
      </w:r>
      <w:r>
        <w:rPr>
          <w:iCs/>
          <w:i/>
        </w:rPr>
        <w:t xml:space="preserve">de novo.</w:t>
      </w:r>
      <w:r>
        <w:t xml:space="preserve"> </w:t>
      </w:r>
      <w:r>
        <w:t xml:space="preserve">Thus, our task is to examine the evidence for ourselves, apply the same standard as the district court (namely, the</w:t>
      </w:r>
      <w:r>
        <w:t xml:space="preserve"> </w:t>
      </w:r>
      <w:r>
        <w:rPr>
          <w:iCs/>
          <w:i/>
        </w:rPr>
        <w:t xml:space="preserve">Van Dorn</w:t>
      </w:r>
      <w:r>
        <w:t xml:space="preserve"> </w:t>
      </w:r>
      <w:r>
        <w:t xml:space="preserve">test), and determine whether there is no genuine issue of material fact and whether Sea-Land is entitled to judgment as a matter of law.</w:t>
      </w:r>
      <w:r>
        <w:t xml:space="preserve"> </w:t>
      </w:r>
      <w:r>
        <w:rPr>
          <w:iCs/>
          <w:i/>
        </w:rPr>
        <w:t xml:space="preserve">Bank Leumi Le-Israel, B.M. v. Lee,</w:t>
      </w:r>
      <w:r>
        <w:t xml:space="preserve"> </w:t>
      </w:r>
      <w:r>
        <w:t xml:space="preserve">928 F.2d 232</w:t>
      </w:r>
      <w:r>
        <w:t xml:space="preserve">, 234 (7th Cir.1991) (citing,</w:t>
      </w:r>
      <w:r>
        <w:t xml:space="preserve"> </w:t>
      </w:r>
      <w:r>
        <w:rPr>
          <w:iCs/>
          <w:i/>
        </w:rPr>
        <w:t xml:space="preserve">inter alia,</w:t>
      </w:r>
      <w:r>
        <w:t xml:space="preserve"> </w:t>
      </w:r>
      <w:r>
        <w:t xml:space="preserve">Fed.R.Civ.P. 56(c)).</w:t>
      </w:r>
    </w:p>
    <w:p>
      <w:pPr>
        <w:pStyle w:val="CaseBody"/>
      </w:pPr>
      <w:r>
        <w:t xml:space="preserve">The first and most striking feature that emerges from our examination of the record is that these corporate defendants are, indeed, little but Marchese’s playthings. Márchese is the sole shareholder of PS, Caribe Crown, Jamar, and Salescaster. He is one of the two shareholders of Tie-Net. Except for Tie-Net, none of the corporations ever held a single corporate meeting. (At the handful of Tie-Net meetings held by Márchese and Andre, no minutes were taken.) During his deposition, Márchese did not remember any of these corporations ever passing articles of incorporation, bylaws, or other agreements. As for physical facilities, Márchese runs all of these corporations (including Tie-Net) out of the same, single office, with the same phone line, the same expense accounts, and the like. And how he does “run” the expense accounts! When he fancies to, Márchese “borrows” substantial sums of money from these corporations — interest free, of course. The corporations also “borrow” money from each other when need be, which left at least PS completely out of capital when' the Sea-Land bills came due. What’s more, Márchese has used the bank accounts of these corporations to pay all kinds of personal expenses, including alimony and child support payments to his ex-wife, education expenses for his children, maintenance of his personal automobiles, health care for his pet — the list goes on and on. Márchese did not even have a personal bank account! (With “corporate” accounts like these, who needs one?)</w:t>
      </w:r>
    </w:p>
    <w:p>
      <w:pPr>
        <w:pStyle w:val="CaseBody"/>
      </w:pPr>
      <w:r>
        <w:t xml:space="preserve">And Tie-Net is just as much a part of this as the other corporations. On appeal, Márchese makes much of the fact that he shares ownership of Tie-Net, and that Sea-Land has not been able to find an example of funds flowing from PS to Tie-Net to the detriment of Sea-Land and PS’s other creditors. So what? The record reveals that, in all material senses, Márchese treated Tie-Net like his other corporations: he “borrowed” over $30,000 from Tie-Net; money and “loans” flowed freely between Tie-Net and the other corporations; and Márchese charged up various personal expenses (including $460 for a picture of himself with President Bush) on Tie-Net’s credit card. Márchese was not deterred by the fact that he did not hold all of the stock of Tie-Net; why should his creditors be?</w:t>
      </w:r>
      <w:r>
        <w:t xml:space="preserve"> </w:t>
      </w:r>
      <w:r>
        <w:rPr>
          <w:rStyle w:val="FootnoteReference"/>
        </w:rPr>
        <w:footnoteReference w:customMarkFollows="1" w:id="55"/>
        <w:t xml:space="preserve">2</w:t>
      </w:r>
    </w:p>
    <w:p>
      <w:pPr>
        <w:pStyle w:val="CaseBody"/>
      </w:pPr>
      <w:r>
        <w:t xml:space="preserve">In sum, we agree with the district court that their can be no doubt that the “shared control/unity of interest and ownership” part of the</w:t>
      </w:r>
      <w:r>
        <w:t xml:space="preserve"> </w:t>
      </w:r>
      <w:r>
        <w:rPr>
          <w:iCs/>
          <w:i/>
        </w:rPr>
        <w:t xml:space="preserve">Van Dorn</w:t>
      </w:r>
      <w:r>
        <w:t xml:space="preserve"> </w:t>
      </w:r>
      <w:r>
        <w:t xml:space="preserve">test is met in this case: corporate records and formalities have not been maintained; funds and assets have been commingled with abandon; PS, the offending corporation, and perhaps others have been undercapitalized; and corporate assets have been moved and tapped and “borrowed” without regard to their source. Indeed, Márchese basically punted this part of the inquiry before the district court by coming forward with little or no evidence in response to Sea-Land’s extensively supported argument on these points. That fact alone was enough to do him in; opponents to summary judgment motions cannot simply rest on their laurels, but must come forward with specific facts showing that there is a genuine issue for trial.</w:t>
      </w:r>
      <w:r>
        <w:t xml:space="preserve"> </w:t>
      </w:r>
      <w:r>
        <w:rPr>
          <w:iCs/>
          <w:i/>
        </w:rPr>
        <w:t xml:space="preserve">Anderson v. Liberty Lobby, Inc.,</w:t>
      </w:r>
      <w:r>
        <w:rPr>
          <w:iCs/>
          <w:i/>
        </w:rPr>
        <w:t xml:space="preserve"> </w:t>
      </w:r>
      <w:r>
        <w:rPr>
          <w:iCs/>
          <w:i/>
        </w:rPr>
        <w:t xml:space="preserve">477</w:t>
      </w:r>
      <w:r>
        <w:rPr>
          <w:iCs/>
          <w:i/>
        </w:rPr>
        <w:t xml:space="preserve"> </w:t>
      </w:r>
      <w:r>
        <w:t xml:space="preserve">U.S. 242</w:t>
      </w:r>
      <w:r>
        <w:t xml:space="preserve">, 248-50,</w:t>
      </w:r>
      <w:r>
        <w:t xml:space="preserve"> </w:t>
      </w:r>
      <w:r>
        <w:t xml:space="preserve">106 S.Ct. 2505</w:t>
      </w:r>
      <w:r>
        <w:t xml:space="preserve">, 2510-11,</w:t>
      </w:r>
      <w:r>
        <w:t xml:space="preserve"> </w:t>
      </w:r>
      <w:r>
        <w:t xml:space="preserve">91 L.Ed.2d 202</w:t>
      </w:r>
      <w:r>
        <w:t xml:space="preserve"> </w:t>
      </w:r>
      <w:r>
        <w:t xml:space="preserve">(1986).</w:t>
      </w:r>
      <w:r>
        <w:t xml:space="preserve"> </w:t>
      </w:r>
      <w:r>
        <w:rPr>
          <w:iCs/>
          <w:i/>
        </w:rPr>
        <w:t xml:space="preserve">See also Matsushita Elec. Indus. Co. v. Zenith Radio Corp.,</w:t>
      </w:r>
      <w:r>
        <w:t xml:space="preserve"> </w:t>
      </w:r>
      <w:r>
        <w:t xml:space="preserve">475 U.S. 574</w:t>
      </w:r>
      <w:r>
        <w:t xml:space="preserve">, 586,</w:t>
      </w:r>
      <w:r>
        <w:t xml:space="preserve"> </w:t>
      </w:r>
      <w:r>
        <w:t xml:space="preserve">106 S.Ct. 1348</w:t>
      </w:r>
      <w:r>
        <w:t xml:space="preserve">, 1355,</w:t>
      </w:r>
      <w:r>
        <w:t xml:space="preserve"> </w:t>
      </w:r>
      <w:r>
        <w:t xml:space="preserve">89 L.Ed.2d 538</w:t>
      </w:r>
      <w:r>
        <w:t xml:space="preserve"> </w:t>
      </w:r>
      <w:r>
        <w:t xml:space="preserve">(1986) (“[Opponent [to summary judgment motion] must do more than simply show that there is some metaphysical doubt as to the material facts.”); Fed.R.Civ.P. 56(e). Regarding the elements that make up the first half of the</w:t>
      </w:r>
      <w:r>
        <w:t xml:space="preserve"> </w:t>
      </w:r>
      <w:r>
        <w:rPr>
          <w:iCs/>
          <w:i/>
        </w:rPr>
        <w:t xml:space="preserve">Van Dorn</w:t>
      </w:r>
      <w:r>
        <w:t xml:space="preserve"> </w:t>
      </w:r>
      <w:r>
        <w:t xml:space="preserve">test, Márchese and the other defendants have not done so. Thus, Sea-Land is entitled to judgment on these points.</w:t>
      </w:r>
    </w:p>
    <w:p>
      <w:pPr>
        <w:pStyle w:val="CaseBody"/>
      </w:pPr>
      <w:r>
        <w:t xml:space="preserve">The second part of the</w:t>
      </w:r>
      <w:r>
        <w:t xml:space="preserve"> </w:t>
      </w:r>
      <w:r>
        <w:rPr>
          <w:iCs/>
          <w:i/>
        </w:rPr>
        <w:t xml:space="preserve">Van Dorn</w:t>
      </w:r>
      <w:r>
        <w:t xml:space="preserve"> </w:t>
      </w:r>
      <w:r>
        <w:t xml:space="preserve">test is more problematic, however. “Unity of interest and ownership” is not enough; Sea-Land also must show that honoring the separate corporate existences of the defendants “would sanction a fraud or promote injustice."</w:t>
      </w:r>
      <w:r>
        <w:t xml:space="preserve"> </w:t>
      </w:r>
      <w:r>
        <w:rPr>
          <w:iCs/>
          <w:i/>
        </w:rPr>
        <w:t xml:space="preserve">Van Dorn,</w:t>
      </w:r>
      <w:r>
        <w:t xml:space="preserve"> </w:t>
      </w:r>
      <w:r>
        <w:t xml:space="preserve">753 F.2d at 570</w:t>
      </w:r>
      <w:r>
        <w:t xml:space="preserve">. This last phrase truly is disjunctive:</w:t>
      </w:r>
    </w:p>
    <w:p>
      <w:pPr>
        <w:pStyle w:val="BlockText"/>
      </w:pPr>
      <w:r>
        <w:t xml:space="preserve">Although an intent to defraud creditors would surely play a part if established, the Illinois test does not require proof of such intent. Once the first element of the test is established,</w:t>
      </w:r>
      <w:r>
        <w:t xml:space="preserve"> </w:t>
      </w:r>
      <w:r>
        <w:rPr>
          <w:iCs/>
          <w:i/>
        </w:rPr>
        <w:t xml:space="preserve">either</w:t>
      </w:r>
      <w:r>
        <w:t xml:space="preserve"> </w:t>
      </w:r>
      <w:r>
        <w:t xml:space="preserve">the sanctioning of a fraud (intentional wrongdoing) or the promotion of injustice, will satisfy the second element.</w:t>
      </w:r>
    </w:p>
    <w:p>
      <w:pPr>
        <w:pStyle w:val="CaseBody"/>
      </w:pPr>
      <w:r>
        <w:rPr>
          <w:iCs/>
          <w:i/>
        </w:rPr>
        <w:t xml:space="preserve">Id.</w:t>
      </w:r>
      <w:r>
        <w:t xml:space="preserve"> </w:t>
      </w:r>
      <w:r>
        <w:t xml:space="preserve">(emphasis in original). Seizing on this, Sea-Land has abandoned the language in its two complaints that make repeated references to “fraud” by Márchese, and has chosen not to attempt to</w:t>
      </w:r>
      <w:r>
        <w:t xml:space="preserve"> </w:t>
      </w:r>
      <w:r>
        <w:rPr>
          <w:iCs/>
          <w:i/>
        </w:rPr>
        <w:t xml:space="preserve">prove</w:t>
      </w:r>
      <w:r>
        <w:t xml:space="preserve"> </w:t>
      </w:r>
      <w:r>
        <w:t xml:space="preserve">that PS and Márchese intended to defraud it — which would be quite difficult on summary judgment.</w:t>
      </w:r>
      <w:r>
        <w:rPr>
          <w:rStyle w:val="FootnoteReference"/>
        </w:rPr>
        <w:footnoteReference w:customMarkFollows="1" w:id="82"/>
        <w:t xml:space="preserve">3</w:t>
      </w:r>
      <w:r>
        <w:t xml:space="preserve"> </w:t>
      </w:r>
      <w:r>
        <w:t xml:space="preserve">Instead, Sea-Land has argued that honoring the defendants’ separate identities would “promote injustice.”</w:t>
      </w:r>
    </w:p>
    <w:p>
      <w:pPr>
        <w:pStyle w:val="CaseBody"/>
      </w:pPr>
      <w:r>
        <w:t xml:space="preserve">But what, exactly, does “promote injustice” mean, and how does one establish it on summary judgment? These are the critical, troublesome questions in this case. To start with, as the above passage from</w:t>
      </w:r>
      <w:r>
        <w:t xml:space="preserve"> </w:t>
      </w:r>
      <w:r>
        <w:rPr>
          <w:iCs/>
          <w:i/>
        </w:rPr>
        <w:t xml:space="preserve">Van Dorn</w:t>
      </w:r>
      <w:r>
        <w:t xml:space="preserve"> </w:t>
      </w:r>
      <w:r>
        <w:t xml:space="preserve">makes clear, “promote injustice” means something less than an affirmative showing of fraud — but how much less? In its one-sentence treatment of this point, the district court held that it was enough that “Sea-Land would be denied a judicially-imposed recovery.” Dist.Ct.Op. at 11-12. Sea-Land defends this reasoning on appeal, arguing that “permitting the appellants to hide behind the shield of limited liability would clearly serve as an injustice against appellee” because it would “impermissibly deny appellee satisfaction.” Appellee’s Brief at 14-15. But that cannot be what is meant by “promote injustice.” The prospect of an unsatisfied judgment looms in every veil-piercing action; why else would a plaintiff bring such an action? Thus, if an unsatisfied judgment is enough for the “promote injustice” feature of the test, then</w:t>
      </w:r>
      <w:r>
        <w:t xml:space="preserve"> </w:t>
      </w:r>
      <w:r>
        <w:rPr>
          <w:iCs/>
          <w:i/>
        </w:rPr>
        <w:t xml:space="preserve">every</w:t>
      </w:r>
      <w:r>
        <w:t xml:space="preserve"> </w:t>
      </w:r>
      <w:r>
        <w:t xml:space="preserve">plaintiff will pass on that score, and</w:t>
      </w:r>
      <w:r>
        <w:t xml:space="preserve"> </w:t>
      </w:r>
      <w:r>
        <w:rPr>
          <w:iCs/>
          <w:i/>
        </w:rPr>
        <w:t xml:space="preserve">Van Dorn</w:t>
      </w:r>
      <w:r>
        <w:t xml:space="preserve"> </w:t>
      </w:r>
      <w:r>
        <w:t xml:space="preserve">collapses into a one-step “unity of interest and ownership” test.</w:t>
      </w:r>
    </w:p>
    <w:p>
      <w:pPr>
        <w:pStyle w:val="CaseBody"/>
      </w:pPr>
      <w:r>
        <w:t xml:space="preserve">Because we cannot abide such a result, we will undertake our own review of Illinois cases to determine how the “promote injustice” feature of the veil-piercing inquiry has been interpreted. In</w:t>
      </w:r>
      <w:r>
        <w:t xml:space="preserve"> </w:t>
      </w:r>
      <w:r>
        <w:rPr>
          <w:iCs/>
          <w:i/>
        </w:rPr>
        <w:t xml:space="preserve">Pederson,</w:t>
      </w:r>
      <w:r>
        <w:t xml:space="preserve"> </w:t>
      </w:r>
      <w:r>
        <w:t xml:space="preserve">a recent case from the Illinois court of appeals, the court offered the following summary: “Some element of unfairness, something akin to fraud or deception or the existence of a compelling public interest must be present in order to disregard the corporate fiction.”</w:t>
      </w:r>
      <w:r>
        <w:t xml:space="preserve"> </w:t>
      </w:r>
      <w:r>
        <w:t xml:space="preserve">214 Ill.App.3d at 821</w:t>
      </w:r>
      <w:r>
        <w:t xml:space="preserve">,</w:t>
      </w:r>
      <w:r>
        <w:t xml:space="preserve"> </w:t>
      </w:r>
      <w:r>
        <w:t xml:space="preserve">158 Ill.Dec. at 375</w:t>
      </w:r>
      <w:r>
        <w:t xml:space="preserve">,</w:t>
      </w:r>
      <w:r>
        <w:t xml:space="preserve"> </w:t>
      </w:r>
      <w:r>
        <w:t xml:space="preserve">574 N.E.2d at 169</w:t>
      </w:r>
      <w:r>
        <w:t xml:space="preserve">. (The court ultimately refused to pierce the corporate veil in</w:t>
      </w:r>
      <w:r>
        <w:t xml:space="preserve"> </w:t>
      </w:r>
      <w:r>
        <w:rPr>
          <w:iCs/>
          <w:i/>
        </w:rPr>
        <w:t xml:space="preserve">Pederson,</w:t>
      </w:r>
      <w:r>
        <w:t xml:space="preserve"> </w:t>
      </w:r>
      <w:r>
        <w:t xml:space="preserve">at least in part because “[njothing in these facts provides evidence of scheming on the part of defendant to commit a fraud on potential creditors [of the two defendant corporations].”</w:t>
      </w:r>
      <w:r>
        <w:t xml:space="preserve"> </w:t>
      </w:r>
      <w:r>
        <w:rPr>
          <w:iCs/>
          <w:i/>
        </w:rPr>
        <w:t xml:space="preserve">Id.</w:t>
      </w:r>
      <w:r>
        <w:t xml:space="preserve"> </w:t>
      </w:r>
      <w:r>
        <w:t xml:space="preserve">at 823,</w:t>
      </w:r>
      <w:r>
        <w:t xml:space="preserve"> </w:t>
      </w:r>
      <w:r>
        <w:t xml:space="preserve">158 Ill.Dec. at 376</w:t>
      </w:r>
      <w:r>
        <w:t xml:space="preserve">,</w:t>
      </w:r>
      <w:r>
        <w:t xml:space="preserve"> </w:t>
      </w:r>
      <w:r>
        <w:t xml:space="preserve">574 N.E.2d at 170</w:t>
      </w:r>
      <w:r>
        <w:t xml:space="preserve">.)</w:t>
      </w:r>
    </w:p>
    <w:p>
      <w:pPr>
        <w:pStyle w:val="CaseBody"/>
      </w:pPr>
      <w:r>
        <w:t xml:space="preserve">The light shed on this point by other Illinois cases can be seen only if we examine the cases on their facts.</w:t>
      </w:r>
      <w:r>
        <w:t xml:space="preserve"> </w:t>
      </w:r>
      <w:r>
        <w:rPr>
          <w:iCs/>
          <w:i/>
        </w:rPr>
        <w:t xml:space="preserve">Perivoliotis v. Pierson,</w:t>
      </w:r>
      <w:r>
        <w:t xml:space="preserve"> </w:t>
      </w:r>
      <w:r>
        <w:t xml:space="preserve">167 Ill.App.3d 259</w:t>
      </w:r>
      <w:r>
        <w:t xml:space="preserve">,</w:t>
      </w:r>
      <w:r>
        <w:t xml:space="preserve"> </w:t>
      </w:r>
      <w:r>
        <w:t xml:space="preserve">118 Ill.Dec. 186</w:t>
      </w:r>
      <w:r>
        <w:t xml:space="preserve">,</w:t>
      </w:r>
      <w:r>
        <w:t xml:space="preserve"> </w:t>
      </w:r>
      <w:r>
        <w:t xml:space="preserve">521 N.E.2d 254</w:t>
      </w:r>
      <w:r>
        <w:t xml:space="preserve"> </w:t>
      </w:r>
      <w:r>
        <w:t xml:space="preserve">(1988), was a complicated adverse possession case that addresses briefly the meaning of the “injustice” requirement. The issue in the case was whether an individual (Woulfe) could possess a strip of land adversely to a corporation (TomDon) that held title to the land, when Woulfe was the president and one of only two shareholders (the other, his wife) of TomDon. The court held that, because TomDon was merely Woulfe’s alter ego, Woulfe could not possess the land “adversely.” In so holding, the court stated that “the running of the prescriptive period against a corporation’s property during a period when the corporation’s principal owner and president mistakenly possessed the encroachment area in his individual capacity defies common sense and is the type of ‘injustice’ that would justify piercing the corporate veil.”</w:t>
      </w:r>
      <w:r>
        <w:t xml:space="preserve"> </w:t>
      </w:r>
      <w:r>
        <w:rPr>
          <w:iCs/>
          <w:i/>
        </w:rPr>
        <w:t xml:space="preserve">Id.</w:t>
      </w:r>
      <w:r>
        <w:t xml:space="preserve"> </w:t>
      </w:r>
      <w:r>
        <w:t xml:space="preserve">118 Ill.Dec. at 188</w:t>
      </w:r>
      <w:r>
        <w:t xml:space="preserve">,</w:t>
      </w:r>
      <w:r>
        <w:t xml:space="preserve"> </w:t>
      </w:r>
      <w:r>
        <w:t xml:space="preserve">521 N.E.2d at 256</w:t>
      </w:r>
      <w:r>
        <w:t xml:space="preserve">.</w:t>
      </w:r>
    </w:p>
    <w:p>
      <w:pPr>
        <w:pStyle w:val="CaseBody"/>
      </w:pPr>
      <w:r>
        <w:rPr>
          <w:iCs/>
          <w:i/>
        </w:rPr>
        <w:t xml:space="preserve">Gromer, Wittenstrom &amp; Meyer, P.C. v. Strom,</w:t>
      </w:r>
      <w:r>
        <w:t xml:space="preserve"> </w:t>
      </w:r>
      <w:r>
        <w:t xml:space="preserve">140 Ill.App.3d 349</w:t>
      </w:r>
      <w:r>
        <w:t xml:space="preserve">,</w:t>
      </w:r>
      <w:r>
        <w:t xml:space="preserve"> </w:t>
      </w:r>
      <w:r>
        <w:t xml:space="preserve">95 Ill.Dec. 149</w:t>
      </w:r>
      <w:r>
        <w:t xml:space="preserve">,</w:t>
      </w:r>
      <w:r>
        <w:t xml:space="preserve"> </w:t>
      </w:r>
      <w:r>
        <w:t xml:space="preserve">489 N.E.2d 370</w:t>
      </w:r>
      <w:r>
        <w:t xml:space="preserve"> </w:t>
      </w:r>
      <w:r>
        <w:t xml:space="preserve">(1986), was another unfortunately complicated case in which our issue was addressed. Basically, three individuals, W, M, and S, were partners. All three signed a note agreeing to be jointly and severally liable for a debt owed to a bank. S left the partnership and it dissolved. W &amp; M then formed a new corporation, W &amp; M Co., of which they were the sole shareholders. W &amp; M Co. paid off the bank and became the assignee of the note, and then promptly sued S for collection on the note. Putting to one side the rather abstruse procedural posture of the case, suffice it to say that W &amp; M Co. won at the trial level and appealed. On appeal, S claimed that the court should pierce the corporate veil and recognize W &amp; M Co. for what it really was — his former partners and cosigners on the note; the reason being that cosigners cannot payoff a note and then take judgment on the note against another cosigner. The appellate court agreed and vacated the judgment:</w:t>
      </w:r>
    </w:p>
    <w:p>
      <w:pPr>
        <w:pStyle w:val="BlockText"/>
      </w:pPr>
      <w:r>
        <w:t xml:space="preserve">We believe that these facts and arguments sufficiently indicate that to recognize [W &amp; M Co.] as an entity separate from its shareholders would be to sanction an injustice. Where such an injustice would result and there is such unity of interest between the corporation and the individual shareholders that the separate personalities no longer exist, the corporate veil must be pierced.</w:t>
      </w:r>
    </w:p>
    <w:p>
      <w:pPr>
        <w:pStyle w:val="CaseBody"/>
      </w:pPr>
      <w:r>
        <w:rPr>
          <w:iCs/>
          <w:i/>
        </w:rPr>
        <w:t xml:space="preserve">Id.</w:t>
      </w:r>
      <w:r>
        <w:t xml:space="preserve"> </w:t>
      </w:r>
      <w:r>
        <w:t xml:space="preserve">95 Ill.Dec. at 153</w:t>
      </w:r>
      <w:r>
        <w:t xml:space="preserve">,</w:t>
      </w:r>
      <w:r>
        <w:t xml:space="preserve"> </w:t>
      </w:r>
      <w:r>
        <w:t xml:space="preserve">489 N.E.2d at 374</w:t>
      </w:r>
      <w:r>
        <w:t xml:space="preserve"> </w:t>
      </w:r>
      <w:r>
        <w:t xml:space="preserve">(citations omitted).</w:t>
      </w:r>
    </w:p>
    <w:p>
      <w:pPr>
        <w:pStyle w:val="CaseBody"/>
      </w:pPr>
      <w:r>
        <w:t xml:space="preserve">In</w:t>
      </w:r>
      <w:r>
        <w:t xml:space="preserve"> </w:t>
      </w:r>
      <w:r>
        <w:rPr>
          <w:iCs/>
          <w:i/>
        </w:rPr>
        <w:t xml:space="preserve">B. Kreisman &amp; Co. v. First Arlington Nat’l Bank of Arlington Heights,</w:t>
      </w:r>
      <w:r>
        <w:t xml:space="preserve"> </w:t>
      </w:r>
      <w:r>
        <w:t xml:space="preserve">91 Ill.App.3d 847</w:t>
      </w:r>
      <w:r>
        <w:t xml:space="preserve">,</w:t>
      </w:r>
      <w:r>
        <w:t xml:space="preserve"> </w:t>
      </w:r>
      <w:r>
        <w:t xml:space="preserve">47 Ill.Dec. 757</w:t>
      </w:r>
      <w:r>
        <w:t xml:space="preserve">,</w:t>
      </w:r>
      <w:r>
        <w:t xml:space="preserve"> </w:t>
      </w:r>
      <w:r>
        <w:t xml:space="preserve">415 N.E.2d 1070</w:t>
      </w:r>
      <w:r>
        <w:t xml:space="preserve"> </w:t>
      </w:r>
      <w:r>
        <w:t xml:space="preserve">(1980), the appellate court reversed the trial court’s refusal to pierce the veil. Defendant corporation stiffed plaintiff for the bill on some restaurant equipment, so plaintiff sued for a mechanics lien. Plaintiff won at trial, but the trial court would not pierce the defendant corporation’s veil and also hold liable the individual who was the “dominant force” controlling the defendant corporation. Noting that the equipment, though never paid for, was used by the defendant corporation for several years, the appellate court stated, “Under these circumstances we believe the corporate veil should be pierced to require [the ‘dominant individual’] to be personally liable; to say otherwise would promote an injustice and permit her to be unjustly enriched at plaintiff’s expense.”</w:t>
      </w:r>
      <w:r>
        <w:t xml:space="preserve"> </w:t>
      </w:r>
      <w:r>
        <w:rPr>
          <w:iCs/>
          <w:i/>
        </w:rPr>
        <w:t xml:space="preserve">Id.</w:t>
      </w:r>
      <w:r>
        <w:t xml:space="preserve"> </w:t>
      </w:r>
      <w:r>
        <w:t xml:space="preserve">47 Ill.Dec. at 760</w:t>
      </w:r>
      <w:r>
        <w:t xml:space="preserve">,</w:t>
      </w:r>
      <w:r>
        <w:t xml:space="preserve"> </w:t>
      </w:r>
      <w:r>
        <w:t xml:space="preserve">415 N.E.2d at 1073</w:t>
      </w:r>
      <w:r>
        <w:t xml:space="preserve"> </w:t>
      </w:r>
      <w:r>
        <w:t xml:space="preserve">(citations omitted).</w:t>
      </w:r>
    </w:p>
    <w:p>
      <w:pPr>
        <w:pStyle w:val="CaseBody"/>
      </w:pPr>
      <w:r>
        <w:t xml:space="preserve">Federal district courts sitting in Illinois also have on occasion discussed what kind of “injustice” suffices under the second half of the</w:t>
      </w:r>
      <w:r>
        <w:t xml:space="preserve"> </w:t>
      </w:r>
      <w:r>
        <w:rPr>
          <w:iCs/>
          <w:i/>
        </w:rPr>
        <w:t xml:space="preserve">Van Dorn</w:t>
      </w:r>
      <w:r>
        <w:t xml:space="preserve"> </w:t>
      </w:r>
      <w:r>
        <w:t xml:space="preserve">test.</w:t>
      </w:r>
      <w:r>
        <w:t xml:space="preserve"> </w:t>
      </w:r>
      <w:r>
        <w:rPr>
          <w:iCs/>
          <w:i/>
        </w:rPr>
        <w:t xml:space="preserve">In re Conticommodity Services, Inc., Securities Litigation,</w:t>
      </w:r>
      <w:r>
        <w:t xml:space="preserve"> </w:t>
      </w:r>
      <w:r>
        <w:t xml:space="preserve">733 F.Supp. 1555</w:t>
      </w:r>
      <w:r>
        <w:t xml:space="preserve"> </w:t>
      </w:r>
      <w:r>
        <w:t xml:space="preserve">(N.D.Ill.1990), involved a complex, multidistrict litigation that ultimately had little to do with veil-piercing. At one point in its opinion, however, the district court considered whether a trial was necessary on the claim that a parent corporation should be pierced to satisfy a liability of one of its subsidiaries. The court concluded that the issue should go to trial, because “it may be an injustice” to allow the parent to avoid the sub’s liabilities when the parent closed down the sub and left it with insufficient funds to satisfy its liabilities, and those liabilities were caused in part by a practice of the sub mandated by the parent.</w:t>
      </w:r>
      <w:r>
        <w:t xml:space="preserve"> </w:t>
      </w:r>
      <w:r>
        <w:rPr>
          <w:iCs/>
          <w:i/>
        </w:rPr>
        <w:t xml:space="preserve">Id.</w:t>
      </w:r>
      <w:r>
        <w:rPr>
          <w:iCs/>
          <w:i/>
        </w:rPr>
        <w:t xml:space="preserve"> </w:t>
      </w:r>
      <w:r>
        <w:t xml:space="preserve">at 1565</w:t>
      </w:r>
      <w:r>
        <w:t xml:space="preserve">. In</w:t>
      </w:r>
      <w:r>
        <w:t xml:space="preserve"> </w:t>
      </w:r>
      <w:r>
        <w:rPr>
          <w:iCs/>
          <w:i/>
        </w:rPr>
        <w:t xml:space="preserve">Boatmen’s Nat’l Bank of St. Louis v. Smith,</w:t>
      </w:r>
      <w:r>
        <w:t xml:space="preserve"> </w:t>
      </w:r>
      <w:r>
        <w:t xml:space="preserve">706 F.Supp. 30</w:t>
      </w:r>
      <w:r>
        <w:t xml:space="preserve"> </w:t>
      </w:r>
      <w:r>
        <w:t xml:space="preserve">(N.D.Ill.1989), the court granted a judgment creditor’s request to “reverse pierce” the veil of a corporation whose sole shareholder, director, and president was liable for the judgment. The opinion contained some unfortunate language, cited by the district court in the instant case, to the effect that plaintiff’s unsatisfied judgment was enough: “It is also clear that separate corporate existence would sanction a fraud or promote injustice. That plaintiff would be denied a judicially-imposed recovery seems injustice enough.”</w:t>
      </w:r>
      <w:r>
        <w:t xml:space="preserve"> </w:t>
      </w:r>
      <w:r>
        <w:rPr>
          <w:iCs/>
          <w:i/>
        </w:rPr>
        <w:t xml:space="preserve">Id.</w:t>
      </w:r>
      <w:r>
        <w:rPr>
          <w:iCs/>
          <w:i/>
        </w:rPr>
        <w:t xml:space="preserve"> </w:t>
      </w:r>
      <w:r>
        <w:t xml:space="preserve">at 32</w:t>
      </w:r>
      <w:r>
        <w:t xml:space="preserve">. The court does not cite or examine any Illinois cases on this point, however, and, as we discuss above, sound reasoning and logic suggest that this simply cannot be enough.</w:t>
      </w:r>
    </w:p>
    <w:p>
      <w:pPr>
        <w:pStyle w:val="CaseBody"/>
      </w:pPr>
      <w:r>
        <w:t xml:space="preserve">Finally,</w:t>
      </w:r>
      <w:r>
        <w:t xml:space="preserve"> </w:t>
      </w:r>
      <w:r>
        <w:rPr>
          <w:iCs/>
          <w:i/>
        </w:rPr>
        <w:t xml:space="preserve">Van Dorn</w:t>
      </w:r>
      <w:r>
        <w:t xml:space="preserve"> </w:t>
      </w:r>
      <w:r>
        <w:t xml:space="preserve">itself is somewhat instructive. In that case, we affirmed the district court’s decision to pierce the corporate veil of one corporation (“Future”) to get at the assets held by another (“Sovereign of Illinois”) for the benefit of a creditor who had shipped Future some packing cans (“Milton”). As to the second half of the test, we stated as follows:</w:t>
      </w:r>
    </w:p>
    <w:p>
      <w:pPr>
        <w:pStyle w:val="BlockText"/>
      </w:pPr>
      <w:r>
        <w:t xml:space="preserve">Eventually Future was stripped of its assets and rendered insolvent to the prejudice of Milton, its only creditor, while Sovereign of Illinois received the benefits of the Milton can shipments. The record supported the trial court’s finding that such a result was unjust and warranted piercing the corporate veil between Future and Sovereign of Illinois to hold Sovereign of Illinois liable for the price of the cans.</w:t>
      </w:r>
    </w:p>
    <w:p>
      <w:pPr>
        <w:pStyle w:val="CaseBody"/>
      </w:pPr>
      <w:r>
        <w:t xml:space="preserve">753 F.2d at 572-73</w:t>
      </w:r>
      <w:r>
        <w:t xml:space="preserve">. Further, it is clear from various other passages in the opinion that the district court concluded, and the evidence showed, that Roth, the individual who controlled both Future and Sovereign of Illinois, intentionally manipulated the corporations so that Future assumed the liabilities but held no assets, while other corporations received the assets but not the liabilities.</w:t>
      </w:r>
      <w:r>
        <w:t xml:space="preserve"> </w:t>
      </w:r>
      <w:r>
        <w:rPr>
          <w:iCs/>
          <w:i/>
        </w:rPr>
        <w:t xml:space="preserve">See, e.g.,</w:t>
      </w:r>
      <w:r>
        <w:rPr>
          <w:iCs/>
          <w:i/>
        </w:rPr>
        <w:t xml:space="preserve"> </w:t>
      </w:r>
      <w:r>
        <w:rPr>
          <w:iCs/>
          <w:i/>
        </w:rPr>
        <w:t xml:space="preserve">id.</w:t>
      </w:r>
      <w:r>
        <w:rPr>
          <w:iCs/>
          <w:i/>
        </w:rPr>
        <w:t xml:space="preserve"> </w:t>
      </w:r>
      <w:r>
        <w:t xml:space="preserve">at 569</w:t>
      </w:r>
      <w:r>
        <w:t xml:space="preserve">.</w:t>
      </w:r>
    </w:p>
    <w:p>
      <w:pPr>
        <w:pStyle w:val="CaseBody"/>
      </w:pPr>
      <w:r>
        <w:t xml:space="preserve">Generalizing from these cases, we see that the courts that properly have pierced corporate veils to avoid “promoting injustice” have found that, unless it did so, some “wrong” beyond a creditor’s inability to collect would result: the common sense rules of adverse possession would be undermined; former partners would be permitted to skirt the legal rules concerning monetary obligations; a party would be unjustly enriched; a parent corporation that caused a sub’s liabilities and its inability to pay for them would escape those liabilities; or an intentional scheme to squirrel assets into a liability-free corporation while heaping liabilities upon an asset-free corporation would be successful. Sea-Land, although it alleged in its complaint the kind of intentional asset- and liability-shifting found in</w:t>
      </w:r>
      <w:r>
        <w:t xml:space="preserve"> </w:t>
      </w:r>
      <w:r>
        <w:rPr>
          <w:iCs/>
          <w:i/>
        </w:rPr>
        <w:t xml:space="preserve">Van Dorn,</w:t>
      </w:r>
      <w:r>
        <w:t xml:space="preserve"> </w:t>
      </w:r>
      <w:r>
        <w:t xml:space="preserve">has yet to come forward with evidence akin to the “wrongs” found in these cases. Apparently, it believed, as did the district court, that its unsatisfied judgment was enough. That belief was in error, and the entry of summary judgment premature. We, therefore, reverse the judgment and remand the case to the district court.</w:t>
      </w:r>
    </w:p>
    <w:p>
      <w:pPr>
        <w:pStyle w:val="CaseBody"/>
      </w:pPr>
      <w:r>
        <w:t xml:space="preserve">On remand, the court should require that Sea-Land produce, if it desires summary judgment, evidence and argument that would establish the kind of additional “wrong” present in the above cases. For example, perhaps Sea-Land could establish that Márchese, like Roth in</w:t>
      </w:r>
      <w:r>
        <w:t xml:space="preserve"> </w:t>
      </w:r>
      <w:r>
        <w:rPr>
          <w:iCs/>
          <w:i/>
        </w:rPr>
        <w:t xml:space="preserve">Van Dorn,</w:t>
      </w:r>
      <w:r>
        <w:t xml:space="preserve"> </w:t>
      </w:r>
      <w:r>
        <w:t xml:space="preserve">used these corporate facades to avoid its responsibilities to creditors; or that PS, Márchese, or one of the other corporations will be “unjustly enriched” unless liability is shared by all. Of course, Sea-Land is not required fully to prove intent to defraud, which it probably could not do on summary judgment anyway. But it is required to show the kind of injustice to merit the evocation of the court’s essentially equitable power to prevent “injustice.” It may well be that, after more of such evidence is adduced, no genuine issue of fact exists to prevent Sea-Land from reaching Marchese’s other pet corporations for PS’s debt. Or it may be that only a finder of fact will be able to determine whether fraud or “injustice” is involved here. In any event, the record as it currently stands is insufficient to uphold the entry of summary judgment.</w:t>
      </w:r>
    </w:p>
    <w:p>
      <w:pPr>
        <w:pStyle w:val="CaseBody"/>
      </w:pPr>
      <w:r>
        <w:t xml:space="preserve">Reversed and Remanded with instructions.</w:t>
      </w:r>
    </w:p>
    <w:bookmarkStart w:id="97" w:name="_auto_toc_97"/>
    <w:bookmarkEnd w:id="97"/>
    <w:p>
      <w:pPr>
        <w:pStyle w:val="ResourceNumber"/>
      </w:pPr>
      <w:r>
        <w:t xml:space="preserve">8.1.3</w:t>
      </w:r>
    </w:p>
    <w:p>
      <w:pPr>
        <w:pStyle w:val="ResourceTitle"/>
      </w:pPr>
      <w:r>
        <w:t xml:space="preserve">Kinney Shoe Corp. v. Polan</w:t>
      </w:r>
    </w:p>
    <w:p>
      <w:pPr>
        <w:pStyle w:val="HeadFieldSeparator"/>
      </w:pPr>
      <w:r>
        <w:t xml:space="preserve"> </w:t>
      </w:r>
    </w:p>
    <w:p>
      <w:pPr>
        <w:pStyle w:val="ResourceHeadnote"/>
      </w:pPr>
      <w:r>
        <w:t xml:space="preserve">Courts have long recognized that a corporation is an entity, separate and distinct from its officers and stockholders, and the individual stockholders are not responsible for the debts of the corporation.</w:t>
      </w:r>
    </w:p>
    <w:p>
      <w:pPr>
        <w:pStyle w:val="ResourceHeadnote"/>
      </w:pPr>
      <w:r>
        <w:t xml:space="preserve">In the following case, a Federal court lays out its approach to the question of whether a court should depart from the limited liability norm and “pierce the corporate veil” thus making stockholders liable for the debts of the corporation. The approach taken by the Federal court here differs only slightly from the approach to piercing taken by various state courts, including</w:t>
      </w:r>
      <w:r>
        <w:t xml:space="preserve"> </w:t>
      </w:r>
      <w:r>
        <w:rPr>
          <w:iCs/>
          <w:i/>
        </w:rPr>
        <w:t xml:space="preserve">Walkovszky</w:t>
      </w:r>
      <w:r>
        <w:t xml:space="preserve">.</w:t>
      </w:r>
    </w:p>
    <w:p>
      <w:pPr>
        <w:pStyle w:val="ResourceHeadnote"/>
      </w:pPr>
      <w:r>
        <w:t xml:space="preserve">Central to a court's inquiry will be whether the stockholders treated the corporation as a separate entity with respect for the formalities due to a separate entity such that a court should also respect the corporation's limited liability.</w:t>
      </w:r>
    </w:p>
    <w:p>
      <w:pPr>
        <w:pStyle w:val="ResourceHeadnote"/>
      </w:pPr>
      <w:r>
        <w:t xml:space="preserve">Although the court in this case provides us with a convenient “test” it is worth remembering that piercing the corporate veil is an equitable remedy, therefore courts can – at times – appear to be inconsistent in their application of these tests. Success will usually require highly idiosyncratic facts and very sympathetic plaintiffs. In the most general terms, piercing the corporate veil is never going to be a court's first instinct.</w:t>
      </w:r>
    </w:p>
    <w:p>
      <w:pPr>
        <w:pStyle w:val="HeadEnd"/>
      </w:pPr>
      <w:r>
        <w:t xml:space="preserve"> </w:t>
      </w:r>
    </w:p>
    <w:p>
      <w:pPr>
        <w:pStyle w:val="CaseHeader"/>
      </w:pPr>
      <w:r>
        <w:t xml:space="preserve">United States Court of Appeals for the Fourth Circuit</w:t>
      </w:r>
    </w:p>
    <w:p>
      <w:pPr>
        <w:pStyle w:val="CaseHeader"/>
      </w:pPr>
      <w:r>
        <w:t xml:space="preserve">939 F.2d 209</w:t>
      </w:r>
    </w:p>
    <w:p>
      <w:pPr>
        <w:pStyle w:val="CaseHeader"/>
      </w:pPr>
      <w:r>
        <w:t xml:space="preserve">No. 90-2466</w:t>
      </w:r>
    </w:p>
    <w:p>
      <w:pPr>
        <w:pStyle w:val="CaseHeader"/>
      </w:pPr>
      <w:r>
        <w:t xml:space="preserve">1991-07-17</w:t>
      </w:r>
    </w:p>
    <w:p>
      <w:pPr>
        <w:pStyle w:val="CaseBody"/>
      </w:pPr>
      <w:r>
        <w:t xml:space="preserve">939 F.2d 209 (1991)</w:t>
      </w:r>
    </w:p>
    <w:p>
      <w:pPr>
        <w:pStyle w:val="CaseHeader"/>
      </w:pPr>
      <w:r>
        <w:t xml:space="preserve">KINNEY SHOE CORPORATION</w:t>
      </w:r>
      <w:r>
        <w:rPr>
          <w:rStyle w:val="ReplacementText"/>
        </w:rPr>
        <w:t xml:space="preserve"> </w:t>
      </w:r>
      <w:r>
        <w:rPr>
          <w:rStyle w:val="ReplacementText"/>
        </w:rPr>
        <w:t xml:space="preserve">v. POLAN</w:t>
      </w:r>
    </w:p>
    <w:bookmarkStart w:id="178" w:name="opinion"/>
    <w:p>
      <w:pPr>
        <w:pStyle w:val="Heading2"/>
      </w:pPr>
      <w:r>
        <w:t xml:space="preserve">OPINION</w:t>
      </w:r>
    </w:p>
    <w:bookmarkEnd w:id="178"/>
    <w:bookmarkStart w:id="179" w:name="chapman-senior-circuit-judge"/>
    <w:p>
      <w:pPr>
        <w:pStyle w:val="Heading2"/>
      </w:pPr>
      <w:r>
        <w:t xml:space="preserve">CHAPMAN, Senior Circuit Judge:</w:t>
      </w:r>
    </w:p>
    <w:p>
      <w:pPr>
        <w:pStyle w:val="CaseBody"/>
      </w:pPr>
      <w:r>
        <w:t xml:space="preserve">Plaintiff-appellant Kinney Shoe Corporation ("Kinney") brought this action in the United States District Court for the Southern District of West Virginia against Lincoln M. Polan ("Polan") seeking to recover money owed on a sublease between Kinney and Industrial Realty Company ("Industrial"). Polan is the sole shareholder of Industrial. The district court found that Polan was not personally liable on the lease between Kinney and Industrial. Kinney appeals asserting that the corporate veil should be pierced, and we agree.</w:t>
      </w:r>
    </w:p>
    <w:bookmarkEnd w:id="179"/>
    <w:bookmarkStart w:id="180" w:name="section-13"/>
    <w:p>
      <w:pPr>
        <w:pStyle w:val="Heading2"/>
      </w:pPr>
      <w:r>
        <w:rPr>
          <w:rStyle w:val="Elision"/>
        </w:rPr>
        <w:t xml:space="preserve">[ … ]</w:t>
      </w:r>
    </w:p>
    <w:p>
      <w:pPr>
        <w:pStyle w:val="CaseBody"/>
      </w:pPr>
      <w:r>
        <w:t xml:space="preserve">In 1984 Polan formed two corporations, Industrial and Polan Industries, Inc., for the purpose of re-establishing an industrial manufacturing business.</w:t>
      </w:r>
      <w:r>
        <w:t xml:space="preserve"> </w:t>
      </w:r>
      <w:r>
        <w:rPr>
          <w:rStyle w:val="Elision"/>
        </w:rPr>
        <w:t xml:space="preserve">[ … ]</w:t>
      </w:r>
      <w:r>
        <w:t xml:space="preserve"> </w:t>
      </w:r>
      <w:r>
        <w:t xml:space="preserve">Polan was the owner of both corporations. Although certificates of incorporation were issued, no organizational meetings were held, and no officers were elected.</w:t>
      </w:r>
    </w:p>
    <w:p>
      <w:pPr>
        <w:pStyle w:val="CaseBody"/>
      </w:pPr>
      <w:r>
        <w:t xml:space="preserve">In November 1984 Polan and Kinney began negotiating the sublease of a building in which Kinney held a leasehold interest.</w:t>
      </w:r>
      <w:r>
        <w:t xml:space="preserve"> </w:t>
      </w:r>
      <w:r>
        <w:rPr>
          <w:rStyle w:val="Elision"/>
        </w:rPr>
        <w:t xml:space="preserve">[ … ]</w:t>
      </w:r>
    </w:p>
    <w:p>
      <w:pPr>
        <w:pStyle w:val="CaseBody"/>
      </w:pPr>
      <w:r>
        <w:t xml:space="preserve">The term of the sublease from Kinney to Industrial commenced in December 1984, even though the written lease was not signed by the parties until April 5, 1985. On April 15, 1985, Industrial subleased part of the building to Polan Industries for fifty percent of the rental amount due Kinney. Polan signed both subleases on behalf of the respective companies.</w:t>
      </w:r>
    </w:p>
    <w:p>
      <w:pPr>
        <w:pStyle w:val="CaseBody"/>
      </w:pPr>
      <w:r>
        <w:t xml:space="preserve">Other than the sublease with Kinney, Industrial had no assets, no income and no bank account. Industrial issued no stock certificates because nothing was ever paid in to this corporation. Industrial's only income was from its sublease to Polan Industries, Inc. The first rental payment to Kinney was made out of Polan's personal funds, and no further payments were made by Polan or by Polan Industries, Inc. to either Industrial or to Kinney.</w:t>
      </w:r>
    </w:p>
    <w:p>
      <w:pPr>
        <w:pStyle w:val="CaseBody"/>
      </w:pPr>
      <w:r>
        <w:t xml:space="preserve">Kinney filed suit against Industrial for unpaid rent and obtained a judgment in the amount of $166,400.00 on June 19, 1987.</w:t>
      </w:r>
      <w:r>
        <w:t xml:space="preserve"> </w:t>
      </w:r>
      <w:r>
        <w:rPr>
          <w:rStyle w:val="Elision"/>
        </w:rPr>
        <w:t xml:space="preserve">[ … ]</w:t>
      </w:r>
      <w:r>
        <w:t xml:space="preserve"> </w:t>
      </w:r>
      <w:r>
        <w:t xml:space="preserve">Kinney then filed this action against Polan individually to collect the amount owed by Industrial to Kinney. Since the amount to which Kinney is entitled is undisputed, the only issue is whether Kinney can pierce the [211] corporate veil and hold Polan personally liable.</w:t>
      </w:r>
    </w:p>
    <w:p>
      <w:pPr>
        <w:pStyle w:val="CaseBody"/>
      </w:pPr>
      <w:r>
        <w:rPr>
          <w:rStyle w:val="Elision"/>
        </w:rPr>
        <w:t xml:space="preserve">[ … ]</w:t>
      </w:r>
    </w:p>
    <w:bookmarkEnd w:id="180"/>
    <w:bookmarkStart w:id="181" w:name="ii."/>
    <w:p>
      <w:pPr>
        <w:pStyle w:val="Heading2"/>
      </w:pPr>
      <w:r>
        <w:t xml:space="preserve">II.</w:t>
      </w:r>
    </w:p>
    <w:p>
      <w:pPr>
        <w:pStyle w:val="CaseBody"/>
      </w:pPr>
      <w:r>
        <w:t xml:space="preserve">We have long recognized that a corporation is an entity, separate and distinct from its officers and stockholders, and the individual stockholders are not responsible for the debts of the corporation.</w:t>
      </w:r>
      <w:r>
        <w:t xml:space="preserve"> </w:t>
      </w:r>
      <w:r>
        <w:rPr>
          <w:rStyle w:val="Elision"/>
        </w:rPr>
        <w:t xml:space="preserve">[ … ]</w:t>
      </w:r>
      <w:r>
        <w:t xml:space="preserve"> </w:t>
      </w:r>
      <w:r>
        <w:t xml:space="preserve">This concept, however, is a fiction of the law "`and it is now well settled, as a general principle, that the fiction should be disregarded when it is urged with an intent not within its reason and purpose, and in such a way that its retention would produce injustices or inequitable consequences.'"</w:t>
      </w:r>
      <w:r>
        <w:t xml:space="preserve"> </w:t>
      </w:r>
      <w:r>
        <w:rPr>
          <w:iCs/>
          <w:i/>
        </w:rPr>
        <w:t xml:space="preserve">Laya v. Erin Homes, Inc.,</w:t>
      </w:r>
      <w:r>
        <w:t xml:space="preserve"> </w:t>
      </w:r>
      <w:r>
        <w:t xml:space="preserve">352 S.E.2d 93, 97-98 (W.Va.1986)</w:t>
      </w:r>
      <w:r>
        <w:rPr>
          <w:rStyle w:val="Elision"/>
        </w:rPr>
        <w:t xml:space="preserve">[ … ]</w:t>
      </w:r>
      <w:r>
        <w:t xml:space="preserve">.</w:t>
      </w:r>
    </w:p>
    <w:p>
      <w:pPr>
        <w:pStyle w:val="CaseBody"/>
      </w:pPr>
      <w:r>
        <w:t xml:space="preserve">Piercing the corporate veil is an equitable remedy, and the burden rests with the party asserting such claim.</w:t>
      </w:r>
      <w:r>
        <w:t xml:space="preserve"> </w:t>
      </w:r>
      <w:r>
        <w:rPr>
          <w:iCs/>
          <w:i/>
        </w:rPr>
        <w:t xml:space="preserve">DeWitt Truck Brokers,</w:t>
      </w:r>
      <w:r>
        <w:t xml:space="preserve"> </w:t>
      </w:r>
      <w:r>
        <w:t xml:space="preserve">540 F.2d at 683. A totality of the circumstances test is used in determining whether to pierce the corporate veil, and each case must be decided on its own facts. The district court's findings of facts may be overturned only if clearly erroneous.</w:t>
      </w:r>
      <w:r>
        <w:t xml:space="preserve"> </w:t>
      </w:r>
      <w:r>
        <w:rPr>
          <w:iCs/>
          <w:i/>
        </w:rPr>
        <w:t xml:space="preserve">Id.</w:t>
      </w:r>
    </w:p>
    <w:p>
      <w:pPr>
        <w:pStyle w:val="CaseBody"/>
      </w:pPr>
      <w:r>
        <w:t xml:space="preserve">Kinney seeks to pierce the corporate veil of Industrial so as to hold Polan personally liable on the sublease debt. The Supreme Court of Appeals of West Virginia has set forth a two prong test to be used in determining whether to pierce a corporate veil in a breach of contract case. This test raises two issues: first, is the unity of interest and ownership such that the separate personalities of the corporation and the individual shareholder no longer exist; and second, would an equitable result occur if the acts are treated as those of the corporation alone.</w:t>
      </w:r>
      <w:r>
        <w:t xml:space="preserve"> </w:t>
      </w:r>
      <w:r>
        <w:rPr>
          <w:rStyle w:val="Elision"/>
        </w:rPr>
        <w:t xml:space="preserve">[ … ]</w:t>
      </w:r>
      <w:r>
        <w:t xml:space="preserve">Numerous factors have been identified as relevant in making this determination.</w:t>
      </w:r>
      <w:hyperlink w:anchor="Xa3c0e81e0cddbe97c0bfe17f81fb4b6e25d0c82">
        <w:r>
          <w:rPr>
            <w:rStyle w:val="Hyperlink"/>
            <w:vertAlign w:val="superscript"/>
          </w:rPr>
          <w:t xml:space="preserve">[1]</w:t>
        </w:r>
      </w:hyperlink>
    </w:p>
    <w:p>
      <w:pPr>
        <w:pStyle w:val="CaseBody"/>
      </w:pPr>
      <w:r>
        <w:rPr>
          <w:rStyle w:val="Elision"/>
        </w:rPr>
        <w:t xml:space="preserve">[ … ]</w:t>
      </w:r>
    </w:p>
    <w:p>
      <w:pPr>
        <w:pStyle w:val="CaseBody"/>
      </w:pPr>
      <w:r>
        <w:t xml:space="preserve">It is undisputed that Industrial was not adequately capitalized. Actually, it had no paid in capital. Polan had put nothing into this corporation, and it did not observe any corporate formalities. As the West Virginia court stated in</w:t>
      </w:r>
      <w:r>
        <w:t xml:space="preserve"> </w:t>
      </w:r>
      <w:r>
        <w:rPr>
          <w:iCs/>
          <w:i/>
        </w:rPr>
        <w:t xml:space="preserve">Laya,</w:t>
      </w:r>
      <w:r>
        <w:t xml:space="preserve"> </w:t>
      </w:r>
      <w:r>
        <w:t xml:space="preserve">"`[i]ndividuals who wish to enjoy limited personal liability for business activities under a corporate umbrella should be expected to adhere to the relatively simple formalities of creating and maintaining a corporate entity.'"</w:t>
      </w:r>
      <w:r>
        <w:t xml:space="preserve"> </w:t>
      </w:r>
      <w:r>
        <w:rPr>
          <w:rStyle w:val="Elision"/>
        </w:rPr>
        <w:t xml:space="preserve">[ … ]</w:t>
      </w:r>
      <w:r>
        <w:t xml:space="preserve"> </w:t>
      </w:r>
      <w:r>
        <w:t xml:space="preserve">This, the court stated, is "`a relatively small price to pay for limited liability.'"</w:t>
      </w:r>
      <w:r>
        <w:t xml:space="preserve"> </w:t>
      </w:r>
      <w:r>
        <w:rPr>
          <w:iCs/>
          <w:i/>
        </w:rPr>
        <w:t xml:space="preserve">Id.</w:t>
      </w:r>
      <w:r>
        <w:t xml:space="preserve"> </w:t>
      </w:r>
      <w:r>
        <w:t xml:space="preserve">Another important factor is adequate capitalization. "[G]rossly inadequate capitalization combined with disregard of corporate formalities, causing basic unfairness, are sufficient to pierce the corporate veil in order to hold the shareholder(s) actively participating in the operation of the business personally liable for a breach of contract to the party who entered into the contract with the corporation."</w:t>
      </w:r>
      <w:r>
        <w:t xml:space="preserve"> </w:t>
      </w:r>
      <w:r>
        <w:rPr>
          <w:rStyle w:val="Elision"/>
        </w:rPr>
        <w:t xml:space="preserve">[ … ]</w:t>
      </w:r>
    </w:p>
    <w:p>
      <w:pPr>
        <w:pStyle w:val="CaseBody"/>
      </w:pPr>
      <w:r>
        <w:t xml:space="preserve">In this case, Polan bought no stock, made no capital contribution, kept no minutes, and elected no officers for Industrial. In addition, Polan attempted to protect his assets by placing them in Polan Industries, Inc. and interposing Industrial between Polan Industries, Inc. and Kinney so as to prevent Kinney from going against the corporation with assets. Polan gave no explanation or justification for the existence of Industrial as the intermediary between Polan Industries, Inc. and Kinney. Polan was obviously trying to limit his liability and the liability of Polan Industries, Inc. by setting up a paper curtain constructed of nothing more than Industrial's certificate of incorporation. These facts present the classic scenario for an action to pierce the corporate veil so as to reach the responsible party and produce an equitable result. Accordingly, we hold that the district court correctly found that the two prong test in</w:t>
      </w:r>
      <w:r>
        <w:t xml:space="preserve"> </w:t>
      </w:r>
      <w:r>
        <w:rPr>
          <w:iCs/>
          <w:i/>
        </w:rPr>
        <w:t xml:space="preserve">Laya</w:t>
      </w:r>
      <w:r>
        <w:t xml:space="preserve"> </w:t>
      </w:r>
      <w:r>
        <w:t xml:space="preserve">had been satisfied.</w:t>
      </w:r>
    </w:p>
    <w:p>
      <w:pPr>
        <w:pStyle w:val="CaseBody"/>
      </w:pPr>
      <w:r>
        <w:rPr>
          <w:rStyle w:val="Elision"/>
        </w:rPr>
        <w:t xml:space="preserve">[ … ]</w:t>
      </w:r>
    </w:p>
    <w:bookmarkEnd w:id="181"/>
    <w:bookmarkStart w:id="182" w:name="iii."/>
    <w:p>
      <w:pPr>
        <w:pStyle w:val="Heading2"/>
      </w:pPr>
      <w:r>
        <w:t xml:space="preserve">III.</w:t>
      </w:r>
    </w:p>
    <w:p>
      <w:pPr>
        <w:pStyle w:val="CaseBody"/>
      </w:pPr>
      <w:r>
        <w:t xml:space="preserve">For the foregoing reasons, we hold that Polan is personally liable for the debt of Industrial</w:t>
      </w:r>
      <w:r>
        <w:rPr>
          <w:rStyle w:val="Elision"/>
        </w:rPr>
        <w:t xml:space="preserve">[ … ]</w:t>
      </w:r>
      <w:r>
        <w:t xml:space="preserve">.</w:t>
      </w:r>
    </w:p>
    <w:p>
      <w:pPr>
        <w:pStyle w:val="CaseBody"/>
      </w:pPr>
      <w:r>
        <w:rPr>
          <w:rStyle w:val="Elision"/>
        </w:rPr>
        <w:t xml:space="preserve">[ … ]</w:t>
      </w:r>
    </w:p>
    <w:p>
      <w:pPr>
        <w:pStyle w:val="CaseBody"/>
      </w:pPr>
      <w:hyperlink w:anchor="X876e17b30e8e491376044ba7b4b586231dcd22a">
        <w:r>
          <w:rPr>
            <w:rStyle w:val="Hyperlink"/>
          </w:rPr>
          <w:t xml:space="preserve">[1]</w:t>
        </w:r>
      </w:hyperlink>
      <w:r>
        <w:t xml:space="preserve"> </w:t>
      </w:r>
      <w:r>
        <w:t xml:space="preserve">The following factors were identified in</w:t>
      </w:r>
      <w:r>
        <w:t xml:space="preserve"> </w:t>
      </w:r>
      <w:r>
        <w:rPr>
          <w:iCs/>
          <w:i/>
        </w:rPr>
        <w:t xml:space="preserve">Laya:</w:t>
      </w:r>
    </w:p>
    <w:p>
      <w:pPr>
        <w:pStyle w:val="BlockText"/>
      </w:pPr>
      <w:r>
        <w:t xml:space="preserve">(1) commingling of funds and other assets of the corporation with those of the individual shareholders;</w:t>
      </w:r>
    </w:p>
    <w:p>
      <w:pPr>
        <w:pStyle w:val="BlockText"/>
      </w:pPr>
      <w:r>
        <w:t xml:space="preserve">(2) diversion of the corporation's funds or assets to noncorporate uses (to the personal uses of the corporation's shareholders);</w:t>
      </w:r>
    </w:p>
    <w:p>
      <w:pPr>
        <w:pStyle w:val="BlockText"/>
      </w:pPr>
      <w:r>
        <w:t xml:space="preserve">(3) failure to maintain the corporate formalities necessary for the issuance of or subscription to the corporation's stock, such as formal approval of the stock issue by the board of directors;</w:t>
      </w:r>
    </w:p>
    <w:p>
      <w:pPr>
        <w:pStyle w:val="BlockText"/>
      </w:pPr>
      <w:r>
        <w:t xml:space="preserve">(4) an individual shareholder representing to persons outside the corporation that he or she is personally liable for the debts or other obligations of the corporation;</w:t>
      </w:r>
    </w:p>
    <w:p>
      <w:pPr>
        <w:pStyle w:val="BlockText"/>
      </w:pPr>
      <w:r>
        <w:t xml:space="preserve">(5) failure to maintain corporate minutes or adequate corporate records;</w:t>
      </w:r>
    </w:p>
    <w:p>
      <w:pPr>
        <w:pStyle w:val="BlockText"/>
      </w:pPr>
      <w:r>
        <w:t xml:space="preserve">(6) identical equitable ownership in two entities;</w:t>
      </w:r>
    </w:p>
    <w:p>
      <w:pPr>
        <w:pStyle w:val="BlockText"/>
      </w:pPr>
      <w:r>
        <w:t xml:space="preserve">(7) identity of the directors and officers of two entities who are responsible for supervision and management (a partnership or sole proprietorship and a corporation owned and managed by the same parties);</w:t>
      </w:r>
    </w:p>
    <w:p>
      <w:pPr>
        <w:pStyle w:val="BlockText"/>
      </w:pPr>
      <w:r>
        <w:t xml:space="preserve">(8) failure to adequately capitalize a corporation for the reasonable risks of the corporate undertaking;</w:t>
      </w:r>
    </w:p>
    <w:p>
      <w:pPr>
        <w:pStyle w:val="BlockText"/>
      </w:pPr>
      <w:r>
        <w:t xml:space="preserve">(9) absence of separately held corporate assets;</w:t>
      </w:r>
    </w:p>
    <w:p>
      <w:pPr>
        <w:pStyle w:val="BlockText"/>
      </w:pPr>
      <w:r>
        <w:t xml:space="preserve">(10) use of a corporation as a mere shell or conduit to operate a single venture or some particular aspect of the business of an individual or another corporation;</w:t>
      </w:r>
    </w:p>
    <w:p>
      <w:pPr>
        <w:pStyle w:val="BlockText"/>
      </w:pPr>
      <w:r>
        <w:t xml:space="preserve">(11) sole ownership of all the stock by one individual or members of a single family;</w:t>
      </w:r>
    </w:p>
    <w:p>
      <w:pPr>
        <w:pStyle w:val="BlockText"/>
      </w:pPr>
      <w:r>
        <w:t xml:space="preserve">(12) use of the same office or business location by the corporation and its individual shareholder(s);</w:t>
      </w:r>
    </w:p>
    <w:p>
      <w:pPr>
        <w:pStyle w:val="BlockText"/>
      </w:pPr>
      <w:r>
        <w:t xml:space="preserve">(13) employment of the same employees or attorney by the corporation and its shareholder(s);</w:t>
      </w:r>
    </w:p>
    <w:p>
      <w:pPr>
        <w:pStyle w:val="BlockText"/>
      </w:pPr>
      <w:r>
        <w:t xml:space="preserve">(14) concealment or misrepresentation of the identity of the ownership, management or financial interests in the corporation, and concealment of personal business activities of the shareholders (sole shareholders do not reveal the association with a corporation, which makes loans to them without adequate security);</w:t>
      </w:r>
    </w:p>
    <w:p>
      <w:pPr>
        <w:pStyle w:val="BlockText"/>
      </w:pPr>
      <w:r>
        <w:t xml:space="preserve">(15) disregard of legal formalities and failure to maintain proper arm's length relationships among related entities;</w:t>
      </w:r>
    </w:p>
    <w:p>
      <w:pPr>
        <w:pStyle w:val="BlockText"/>
      </w:pPr>
      <w:r>
        <w:t xml:space="preserve">(16) use of a corporate entity as a conduit to procure labor, services or merchandise for another person or entity;</w:t>
      </w:r>
    </w:p>
    <w:p>
      <w:pPr>
        <w:pStyle w:val="BlockText"/>
      </w:pPr>
      <w:r>
        <w:t xml:space="preserve">(17) diversion of corporate assets from the corporation by or to a stockholder or other person or entity to the detriment of creditors, or the manipulation of assets and liabilities between entities to concentrate the assets in one and the liabilities in another;</w:t>
      </w:r>
    </w:p>
    <w:p>
      <w:pPr>
        <w:pStyle w:val="BlockText"/>
      </w:pPr>
      <w:r>
        <w:t xml:space="preserve">(18) contracting by the corporation with another person with the intent to avoid risk of nonperformance by use of the corporate entity; or the use of a corporation as a subterfuge for illegal transactions;</w:t>
      </w:r>
    </w:p>
    <w:p>
      <w:pPr>
        <w:pStyle w:val="BlockText"/>
      </w:pPr>
      <w:r>
        <w:t xml:space="preserve">(19) the formation and use of the corporation to assume the existing liabilities of another person or entity.</w:t>
      </w:r>
    </w:p>
    <w:p>
      <w:pPr>
        <w:pStyle w:val="CaseBody"/>
      </w:pPr>
      <w:r>
        <w:rPr>
          <w:iCs/>
          <w:i/>
        </w:rPr>
        <w:t xml:space="preserve">Laya,</w:t>
      </w:r>
      <w:r>
        <w:t xml:space="preserve"> </w:t>
      </w:r>
      <w:r>
        <w:t xml:space="preserve">352 S.E.2d at 98-99</w:t>
      </w:r>
      <w:r>
        <w:t xml:space="preserve"> </w:t>
      </w:r>
      <w:r>
        <w:rPr>
          <w:rStyle w:val="Elision"/>
        </w:rPr>
        <w:t xml:space="preserve">[ … ]</w:t>
      </w:r>
    </w:p>
    <w:bookmarkEnd w:id="182"/>
    <w:p>
      <w:pPr>
        <w:pStyle w:val="NodeEnd"/>
      </w:pPr>
      <w:r>
        <w:t xml:space="preserve"> </w:t>
      </w:r>
    </w:p>
    <w:p>
      <w:pPr>
        <w:pStyle w:val="NodeStart"/>
      </w:pPr>
      <w:r>
        <w:t xml:space="preserve"> </w:t>
      </w:r>
    </w:p>
    <w:p>
      <w:pPr>
        <w:pStyle w:val="HeadSeparator"/>
      </w:pPr>
      <w:r>
        <w:t xml:space="preserve"> </w:t>
      </w:r>
    </w:p>
    <w:bookmarkStart w:id="98" w:name="_auto_toc_98"/>
    <w:bookmarkEnd w:id="98"/>
    <w:p>
      <w:pPr>
        <w:pStyle w:val="ResourceNumber"/>
      </w:pPr>
      <w:r>
        <w:t xml:space="preserve">8.1.4</w:t>
      </w:r>
    </w:p>
    <w:p>
      <w:pPr>
        <w:pStyle w:val="ResourceTitle"/>
      </w:pPr>
      <w:r>
        <w:t xml:space="preserve">Walkovszky v. Carlton</w:t>
      </w:r>
    </w:p>
    <w:p>
      <w:pPr>
        <w:pStyle w:val="HeadFieldSeparator"/>
      </w:pPr>
      <w:r>
        <w:t xml:space="preserve"> </w:t>
      </w:r>
    </w:p>
    <w:p>
      <w:pPr>
        <w:pStyle w:val="ResourceHeadnote"/>
      </w:pPr>
      <w:r>
        <w:t xml:space="preserve">The default rule for the corporation is that stockholders face limited liability for the debts of the corporation. The liability of stockholders is limited to the capital they contributed to the corporation. For instance, if a stockholder contributes $100 in equity capital to the corporation by buying stock from the corporation for $100 (assume this represents all the equity capital available to the corporation), and if the corporation has $150 in debts, the corporation may be required to pay all of its equity capital (i.e. $100) to settle the corporation's debts. In most circumstances, stockholders will not be liable for the balance of the corporation's debt of $50. The liability of stockholders is thus limited to only their capital contributions.</w:t>
      </w:r>
    </w:p>
    <w:p>
      <w:pPr>
        <w:pStyle w:val="ResourceHeadnote"/>
      </w:pPr>
      <w:r>
        <w:t xml:space="preserve">Although limited liability as described above is the default rule, in extreme cases courts may look through the corporate form, or "pierce the corporate veil", and assign liability for corporate debts to stockholders.</w:t>
      </w:r>
    </w:p>
    <w:p>
      <w:pPr>
        <w:pStyle w:val="ResourceHeadnote"/>
      </w:pPr>
      <w:r>
        <w:t xml:space="preserve">The following case is paradigmatic. The owner of the corporation has obviously established the corporations in question specifically to limit his exposure to debts of each of the corporations he controls. In deciding whether the stockholder should receive the benefit of corporate limited liability, the court lays out an equitable test to determine whether it should look through the veil of limited liability protection and find the shareholders liable for the debts of the corporation.</w:t>
      </w:r>
    </w:p>
    <w:p>
      <w:pPr>
        <w:pStyle w:val="ResourceHeadnote"/>
      </w:pPr>
      <w:r>
        <w:t xml:space="preserve">If the corporation is a mere "alter ego" of the stockholders (e.g. if the corporation is operated without formality and for mere convenience of its stockholders) and the stockholder used the corporate form to engage in some injustice, it is more likely, though not certain, that a court will look through the corporate form and assign corporate liabilities to stockholders in order to prevent a fraud or inequitable result.</w:t>
      </w:r>
    </w:p>
    <w:p>
      <w:pPr>
        <w:pStyle w:val="HeadEnd"/>
      </w:pPr>
      <w:r>
        <w:t xml:space="preserve"> </w:t>
      </w:r>
    </w:p>
    <w:p>
      <w:pPr>
        <w:pStyle w:val="CaseHeader"/>
      </w:pPr>
      <w:r>
        <w:t xml:space="preserve">New York Court of Appeals</w:t>
      </w:r>
    </w:p>
    <w:p>
      <w:pPr>
        <w:pStyle w:val="CaseHeader"/>
      </w:pPr>
      <w:r>
        <w:t xml:space="preserve">18 N.Y.2d 414</w:t>
      </w:r>
    </w:p>
    <w:p>
      <w:pPr>
        <w:pStyle w:val="CaseHeader"/>
      </w:pPr>
      <w:r>
        <w:t xml:space="preserve">1966-11-29</w:t>
      </w:r>
    </w:p>
    <w:p>
      <w:pPr>
        <w:pStyle w:val="CaseBody"/>
      </w:pPr>
      <w:r>
        <w:t xml:space="preserve">18 N.Y.2d 414 (1966)</w:t>
      </w:r>
    </w:p>
    <w:p>
      <w:pPr>
        <w:pStyle w:val="CaseHeader"/>
      </w:pPr>
      <w:r>
        <w:rPr>
          <w:rStyle w:val="Elision"/>
        </w:rPr>
        <w:t xml:space="preserve">[ … ]</w:t>
      </w:r>
      <w:r>
        <w:t xml:space="preserve">Walkovszky</w:t>
      </w:r>
      <w:r>
        <w:rPr>
          <w:rStyle w:val="Elision"/>
        </w:rPr>
        <w:t xml:space="preserve">[ … ]</w:t>
      </w:r>
      <w:r>
        <w:br/>
      </w:r>
      <w:r>
        <w:t xml:space="preserve">v.</w:t>
      </w:r>
      <w:r>
        <w:br/>
      </w:r>
      <w:r>
        <w:rPr>
          <w:rStyle w:val="Elision"/>
        </w:rPr>
        <w:t xml:space="preserve">[ … ]</w:t>
      </w:r>
      <w:r>
        <w:t xml:space="preserve">Carlton</w:t>
      </w:r>
      <w:r>
        <w:rPr>
          <w:rStyle w:val="Elision"/>
        </w:rPr>
        <w:t xml:space="preserve">[ … ]</w:t>
      </w:r>
    </w:p>
    <w:p>
      <w:pPr>
        <w:pStyle w:val="CaseBody"/>
      </w:pPr>
      <w:r>
        <w:t xml:space="preserve">This case involves what appears to be a rather common practice in the taxicab industry of vesting the ownership of a taxi fleet in many corporations, each owning only one or two cabs.</w:t>
      </w:r>
    </w:p>
    <w:p>
      <w:pPr>
        <w:pStyle w:val="CaseBody"/>
      </w:pPr>
      <w:r>
        <w:t xml:space="preserve">The complaint alleges that the plaintiff was severely injured four years ago in New York City when he was run down by a taxicab owned by the defendant Seon Cab Corporation and negligently operated at the time by the defendant Marchese. The individual defendant, Carlton, is claimed to be a stockholder of 10 corporations, including Seon, each of which has but two cabs registered in its name, and it is implied that only the minimum automobile liability insurance required by law (in the amount of $10,000) is carried on any one cab. Although seemingly independent of one another, these corporations are alleged to be "operated * * * as a single entity, unit and enterprise" with regard to financing, supplies, repairs, employees and garaging, and all are named as defendants.</w:t>
      </w:r>
      <w:hyperlink w:anchor="Xc55921ebb845c54dadc8e27b355d1535d3d98fb">
        <w:r>
          <w:rPr>
            <w:rStyle w:val="Hyperlink"/>
            <w:vertAlign w:val="superscript"/>
          </w:rPr>
          <w:t xml:space="preserve">[1]</w:t>
        </w:r>
      </w:hyperlink>
      <w:r>
        <w:t xml:space="preserve"> </w:t>
      </w:r>
      <w:r>
        <w:t xml:space="preserve">The plaintiff asserts that he is also entitled to hold their stockholders personally liable for the damages sought because the multiple corporate structure constitutes an unlawful attempt "to defraud members of the general public" who might be injured by the cabs.</w:t>
      </w:r>
    </w:p>
    <w:p>
      <w:pPr>
        <w:pStyle w:val="CaseBody"/>
      </w:pPr>
      <w:r>
        <w:rPr>
          <w:rStyle w:val="Elision"/>
        </w:rPr>
        <w:t xml:space="preserve">[ … ]</w:t>
      </w:r>
    </w:p>
    <w:p>
      <w:pPr>
        <w:pStyle w:val="CaseBody"/>
      </w:pPr>
      <w:r>
        <w:t xml:space="preserve">The law permits the incorporation of a business for the very purpose of enabling its proprietors to escape personal liability</w:t>
      </w:r>
      <w:r>
        <w:rPr>
          <w:rStyle w:val="Elision"/>
        </w:rPr>
        <w:t xml:space="preserve">[ … ]</w:t>
      </w:r>
      <w:r>
        <w:t xml:space="preserve"> </w:t>
      </w:r>
      <w:r>
        <w:t xml:space="preserve">but, manifestly, the privilege is not without its limits. Broadly speaking, the courts will disregard the corporate form, or, to use accepted terminology, "pierce the corporate veil", whenever necessary "to prevent fraud or to achieve equity".</w:t>
      </w:r>
      <w:r>
        <w:t xml:space="preserve"> </w:t>
      </w:r>
      <w:r>
        <w:rPr>
          <w:rStyle w:val="Elision"/>
        </w:rPr>
        <w:t xml:space="preserve">[ … ]</w:t>
      </w:r>
      <w:r>
        <w:t xml:space="preserve"> </w:t>
      </w:r>
      <w:r>
        <w:t xml:space="preserve">In determining whether liability should be extended to reach assets beyond those belonging to the corporation, we are guided, as Judge CARDOZO noted, by "general rules of agency".</w:t>
      </w:r>
      <w:r>
        <w:t xml:space="preserve"> </w:t>
      </w:r>
      <w:r>
        <w:rPr>
          <w:rStyle w:val="Elision"/>
        </w:rPr>
        <w:t xml:space="preserve">[ … ]</w:t>
      </w:r>
      <w:r>
        <w:t xml:space="preserve"> </w:t>
      </w:r>
      <w:r>
        <w:t xml:space="preserve">In other words, whenever anyone uses control of the corporation to further his own rather than the corporation's business, he will be liable for the corporation's acts "upon the principle of</w:t>
      </w:r>
      <w:r>
        <w:t xml:space="preserve"> </w:t>
      </w:r>
      <w:r>
        <w:rPr>
          <w:iCs/>
          <w:i/>
        </w:rPr>
        <w:t xml:space="preserve">respondeat superior</w:t>
      </w:r>
      <w:r>
        <w:t xml:space="preserve"> </w:t>
      </w:r>
      <w:r>
        <w:t xml:space="preserve">applicable even where the agent is a natural person".</w:t>
      </w:r>
      <w:r>
        <w:t xml:space="preserve"> </w:t>
      </w:r>
      <w:r>
        <w:rPr>
          <w:rStyle w:val="Elision"/>
        </w:rPr>
        <w:t xml:space="preserve">[ … ]</w:t>
      </w:r>
    </w:p>
    <w:p>
      <w:pPr>
        <w:pStyle w:val="CaseBody"/>
      </w:pPr>
      <w:r>
        <w:t xml:space="preserve">In the case before us, the plaintiff has explicitly alleged that none of the corporations "had a separate existence of their own" and, as indicated above, all are named as defendants. However, it is one thing to assert that a corporation is a fragment of a larger corporate combine which actually conducts the business.</w:t>
      </w:r>
      <w:r>
        <w:t xml:space="preserve"> </w:t>
      </w:r>
      <w:r>
        <w:rPr>
          <w:rStyle w:val="Elision"/>
        </w:rPr>
        <w:t xml:space="preserve">[ … ]</w:t>
      </w:r>
      <w:r>
        <w:t xml:space="preserve"> </w:t>
      </w:r>
      <w:r>
        <w:t xml:space="preserve">It is quite another to claim that the corporation is a "dummy" for its individual stockholders who are in reality carrying on the business in their personal capacities for purely personal rather than corporate ends.</w:t>
      </w:r>
      <w:r>
        <w:t xml:space="preserve"> </w:t>
      </w:r>
      <w:r>
        <w:rPr>
          <w:rStyle w:val="Elision"/>
        </w:rPr>
        <w:t xml:space="preserve">[ … ]</w:t>
      </w:r>
      <w:r>
        <w:t xml:space="preserve"> </w:t>
      </w:r>
      <w:r>
        <w:t xml:space="preserve">Either circumstance would justify treating the corporation as an agent and piercing the corporate veil to reach the principal but a different result would follow in each case. In the first, only a larger</w:t>
      </w:r>
      <w:r>
        <w:t xml:space="preserve"> </w:t>
      </w:r>
      <w:r>
        <w:rPr>
          <w:iCs/>
          <w:i/>
        </w:rPr>
        <w:t xml:space="preserve">corporate</w:t>
      </w:r>
      <w:r>
        <w:t xml:space="preserve"> </w:t>
      </w:r>
      <w:r>
        <w:t xml:space="preserve">entity would be held financially responsible</w:t>
      </w:r>
      <w:r>
        <w:t xml:space="preserve"> </w:t>
      </w:r>
      <w:r>
        <w:rPr>
          <w:rStyle w:val="Elision"/>
        </w:rPr>
        <w:t xml:space="preserve">[ … ]</w:t>
      </w:r>
      <w:r>
        <w:t xml:space="preserve">while, in the other, the stockholder would be personally liable.</w:t>
      </w:r>
      <w:r>
        <w:t xml:space="preserve"> </w:t>
      </w:r>
      <w:r>
        <w:rPr>
          <w:rStyle w:val="Elision"/>
        </w:rPr>
        <w:t xml:space="preserve">[ … ]</w:t>
      </w:r>
      <w:r>
        <w:t xml:space="preserve"> </w:t>
      </w:r>
      <w:r>
        <w:t xml:space="preserve">Either the stockholder is conducting the business in his individual capacity or he is not. If he is, he will be liable; if he is not, then, it does not matter — insofar as his personal liability is concerned — that the enterprise is actually being carried on by a larger "enterprise entity".</w:t>
      </w:r>
      <w:r>
        <w:t xml:space="preserve"> </w:t>
      </w:r>
      <w:r>
        <w:rPr>
          <w:rStyle w:val="Elision"/>
        </w:rPr>
        <w:t xml:space="preserve">[ … ]</w:t>
      </w:r>
    </w:p>
    <w:p>
      <w:pPr>
        <w:pStyle w:val="CaseBody"/>
      </w:pPr>
      <w:r>
        <w:t xml:space="preserve">Reading the complaint in this case most favorably and liberally, we do not believe that there can be gathered from its averments the allegations required to spell out a valid cause of action against the defendant Carlton.</w:t>
      </w:r>
    </w:p>
    <w:p>
      <w:pPr>
        <w:pStyle w:val="CaseBody"/>
      </w:pPr>
      <w:r>
        <w:rPr>
          <w:rStyle w:val="HighlightedText"/>
        </w:rPr>
        <w:t xml:space="preserve">The individual defendant is charged with having "organized, managed, dominated and controlled" a fragmented corporate entity but there are no allegations that he was conducting business in his individual capacity.</w:t>
      </w:r>
      <w:r>
        <w:t xml:space="preserve"> </w:t>
      </w:r>
      <w:r>
        <w:t xml:space="preserve">Had the taxicab fleet been owned by a single corporation, it would be readily apparent that the plaintiff would face formidable barriers in attempting to establish personal liability on the part of the corporation's stockholders. The fact that the fleet ownership has been deliberately split up among many corporations does not ease the plaintiff's burden in that respect. The corporate form may not be disregarded merely because the assets of the corporation, together with the mandatory insurance coverage of the vehicle which struck the plaintiff, are insufficient to assure him the recovery sought. If Carlton were to be held individually liable on those facts alone, the decision would apply equally to the thousands of cabs which are owned by their individual drivers who conduct their businesses through corporations organized pursuant to section 401 of the Business Corporation Law and carry the minimum insurance required by subdivision 1 (par. [a]) of section 370 of the Vehicle and Traffic Law. These [420] taxi owner-operators are entitled to form such corporations (cf.</w:t>
      </w:r>
      <w:r>
        <w:t xml:space="preserve"> </w:t>
      </w:r>
      <w:r>
        <w:rPr>
          <w:iCs/>
          <w:i/>
        </w:rPr>
        <w:t xml:space="preserve">Elenkrieg v. Siebrecht</w:t>
      </w:r>
      <w:r>
        <w:t xml:space="preserve">, 238 N.Y. 254), and we agree with the court at Special Term that, if the insurance coverage required by statute "is inadequate for the protection of the public, the remedy lies not with the courts but with the Legislature." It may very well be sound policy to require that certain corporations must take out liability insurance which will afford adequate compensation to their potential tort victims. However, the responsibility for imposing conditions on the privilege of incorporation has been committed by the Constitution to the Legislature (N. Y. Const., art. X, § 1) and it may not be fairly implied, from any statute, that the Legislature intended, without the slightest discussion or debate, to require of taxi corporations that they carry automobile liability insurance over and above that mandated by the Vehicle and Traffic Law.</w:t>
      </w:r>
      <w:hyperlink w:anchor="Xf901799ff4aad24070317b32d0c70ae86b65d5a">
        <w:r>
          <w:rPr>
            <w:rStyle w:val="Hyperlink"/>
            <w:vertAlign w:val="superscript"/>
          </w:rPr>
          <w:t xml:space="preserve">[2]</w:t>
        </w:r>
      </w:hyperlink>
    </w:p>
    <w:p>
      <w:pPr>
        <w:pStyle w:val="CaseBody"/>
      </w:pPr>
      <w:r>
        <w:t xml:space="preserve">This is not to say that it is impossible for the plaintiff to state a valid cause of action against the defendant Carlton. However, the simple fact is that the plaintiff has just not done so here. While the complaint alleges that the separate corporations were undercapitalized and that their assets have been intermingled, it is barren of any "sufficiently particular[ized] statements"</w:t>
      </w:r>
      <w:r>
        <w:t xml:space="preserve"> </w:t>
      </w:r>
      <w:r>
        <w:rPr>
          <w:rStyle w:val="Elision"/>
        </w:rPr>
        <w:t xml:space="preserve">[ … ]</w:t>
      </w:r>
      <w:r>
        <w:t xml:space="preserve">that the defendant Carlton and his associates are actually doing business in their individual capacities, shuttling their personal funds in and out of the corporations "without regard to formality and to suit their immediate convenience."</w:t>
      </w:r>
      <w:r>
        <w:t xml:space="preserve"> </w:t>
      </w:r>
      <w:r>
        <w:rPr>
          <w:rStyle w:val="Elision"/>
        </w:rPr>
        <w:t xml:space="preserve">[ … ]</w:t>
      </w:r>
      <w:r>
        <w:t xml:space="preserve">Such a "perversion of the privilege to do business in a corporate form"</w:t>
      </w:r>
      <w:r>
        <w:t xml:space="preserve"> </w:t>
      </w:r>
      <w:r>
        <w:rPr>
          <w:rStyle w:val="Elision"/>
        </w:rPr>
        <w:t xml:space="preserve">[ … ]</w:t>
      </w:r>
      <w:r>
        <w:t xml:space="preserve"> </w:t>
      </w:r>
      <w:r>
        <w:t xml:space="preserve">would justify imposing personal liability on the individual stockholders.</w:t>
      </w:r>
      <w:r>
        <w:rPr>
          <w:rStyle w:val="Elision"/>
        </w:rPr>
        <w:t xml:space="preserve">[ … ]</w:t>
      </w:r>
      <w:r>
        <w:t xml:space="preserve">Nothing of the sort has in fact been charged, and it cannot reasonably or logically be inferred from the happenstance that the business of Seon</w:t>
      </w:r>
      <w:r>
        <w:t xml:space="preserve"> </w:t>
      </w:r>
      <w:r>
        <w:rPr>
          <w:rStyle w:val="Elision"/>
        </w:rPr>
        <w:t xml:space="preserve">[ … ]</w:t>
      </w:r>
      <w:r>
        <w:t xml:space="preserve"> </w:t>
      </w:r>
      <w:r>
        <w:t xml:space="preserve">Cab Corporation may actually be carried on by a larger corporate entity composed of many corporations which, under general principles of agency, would be liable to each other's creditors in contract and in tort.</w:t>
      </w:r>
      <w:hyperlink w:anchor="Xd926e55d73fe5a6b43ea2ad727956125be72855">
        <w:r>
          <w:rPr>
            <w:rStyle w:val="Hyperlink"/>
            <w:vertAlign w:val="superscript"/>
          </w:rPr>
          <w:t xml:space="preserve">[3]</w:t>
        </w:r>
      </w:hyperlink>
    </w:p>
    <w:p>
      <w:pPr>
        <w:pStyle w:val="CaseBody"/>
      </w:pPr>
      <w:r>
        <w:rPr>
          <w:rStyle w:val="HighlightedText"/>
        </w:rPr>
        <w:t xml:space="preserve">In point of fact, the principle relied upon in the complaint to sustain the imposition of personal liability is not agency but fraud.</w:t>
      </w:r>
      <w:r>
        <w:t xml:space="preserve"> </w:t>
      </w:r>
      <w:r>
        <w:t xml:space="preserve">Such a cause of action cannot withstand analysis. If it is not fraudulent for the owner-operator of a single cab corporation to take out only the minimum required liability insurance, the enterprise does not become either illicit or fraudulent merely because it consists of many such corporations. The plaintiff's injuries are the same regardless of whether the cab which strikes him is owned by a single corporation or part of a fleet with ownership fragmented among many corporations. Whatever rights he may be able to assert against parties other than the registered owner of the vehicle come into being not because he has been defrauded but because, under the principle of</w:t>
      </w:r>
      <w:r>
        <w:t xml:space="preserve"> </w:t>
      </w:r>
      <w:r>
        <w:rPr>
          <w:iCs/>
          <w:i/>
        </w:rPr>
        <w:t xml:space="preserve">respondeat superior</w:t>
      </w:r>
      <w:r>
        <w:t xml:space="preserve">, he is entitled to hold the whole enterprise responsible for the acts of its agents.</w:t>
      </w:r>
    </w:p>
    <w:p>
      <w:pPr>
        <w:pStyle w:val="CaseBody"/>
      </w:pPr>
      <w:r>
        <w:t xml:space="preserve">In sum, then, the complaint falls short of adequately stating a cause of action against the defendant Carlton in his individual capacity.</w:t>
      </w:r>
    </w:p>
    <w:p>
      <w:pPr>
        <w:pStyle w:val="CaseBody"/>
      </w:pPr>
      <w:r>
        <w:t xml:space="preserve">The order of the Appellate Division should be reversed, with costs in this court and in the Appellate Division, the certified question answered in the negative and the order of the Supreme Court, Richmond County, reinstated, with leave to serve an amended complaint.</w:t>
      </w:r>
    </w:p>
    <w:bookmarkStart w:id="183" w:name="keating-j.-dissenting."/>
    <w:p>
      <w:pPr>
        <w:pStyle w:val="Heading2"/>
      </w:pPr>
      <w:r>
        <w:t xml:space="preserve">KEATING, J. (dissenting).</w:t>
      </w:r>
    </w:p>
    <w:p>
      <w:pPr>
        <w:pStyle w:val="CaseBody"/>
      </w:pPr>
      <w:r>
        <w:t xml:space="preserve">The defendant Carlton, the shareholder here sought to be held for the negligence of the driver of a taxicab, was a principal shareholder and organizer of the defendant corporation which owned the taxicab. The corporation was one of 10 organized by the defendant, each containing [422] two cabs and each cab having the "minimum liability" insurance coverage mandated by section 370 of the Vehicle and Traffic Law. The sole assets of these operating corporations are the vehicles themselves and they are apparently subject to mortgages.</w:t>
      </w:r>
      <w:hyperlink w:anchor="Xf595a331d1ad6e3ecb19cd9383dbfe300c5225d">
        <w:r>
          <w:rPr>
            <w:rStyle w:val="Hyperlink"/>
            <w:vertAlign w:val="superscript"/>
          </w:rPr>
          <w:t xml:space="preserve">[*]</w:t>
        </w:r>
      </w:hyperlink>
    </w:p>
    <w:p>
      <w:pPr>
        <w:pStyle w:val="CaseBody"/>
      </w:pPr>
      <w:r>
        <w:t xml:space="preserve">From their inception these corporations were intentionally undercapitalized for the purpose of avoiding responsibility for acts which were bound to arise as a result of the operation of a large taxi fleet having cars out on the street 24 hours a day and engaged in public transportation. And during the course of the corporations' existence all income was continually drained out of the corporations for the same purpose.</w:t>
      </w:r>
    </w:p>
    <w:p>
      <w:pPr>
        <w:pStyle w:val="CaseBody"/>
      </w:pPr>
      <w:r>
        <w:t xml:space="preserve">The issue presented by this action is whether the policy of this State, which affords those desiring to engage in a business enterprise the privilege of limited liability through the use of the corporate device, is so strong that it will permit that privilege to continue no matter how much it is abused, no matter how irresponsibly the corporation is operated, no matter what the cost to the public. I do not believe that it is.</w:t>
      </w:r>
    </w:p>
    <w:p>
      <w:pPr>
        <w:pStyle w:val="CaseBody"/>
      </w:pPr>
      <w:r>
        <w:t xml:space="preserve">Under the circumstances of this case the shareholders should all be held individually liable to this plaintiff for the injuries he suffered.</w:t>
      </w:r>
      <w:r>
        <w:t xml:space="preserve"> </w:t>
      </w:r>
      <w:r>
        <w:rPr>
          <w:rStyle w:val="Elision"/>
        </w:rPr>
        <w:t xml:space="preserve">[ … ]</w:t>
      </w:r>
      <w:r>
        <w:t xml:space="preserve"> </w:t>
      </w:r>
      <w:r>
        <w:t xml:space="preserve">At least, the matter should not be disposed of on the pleadings by a dismissal of the complaint. "If a corporation is organized and carries on business without substantial capital in such a way that the corporation is likely to have no sufficient assets available to meet its debts, it is inequitable that shareholders should set up such a flimsy organization to escape personal liability. The attempt to do corporate business without providing any sufficient basis of financial responsibility to creditors is an abuse of the separate entity and will be ineffectual to exempt the shareholders from corporate debts. It is coming to be recognized as the policy of law that shareholders should in good faith put at the risk of the business unincumbered capital reasonably adequate for its prospective liabilities. If capital is illusory or trifling compared with the business to be done and the risks [423] of loss, this is a ground for denying the separate entity privilege." (Ballantine, Corporations [rev. ed., 1946], § 129, pp. 302-303.)</w:t>
      </w:r>
    </w:p>
    <w:p>
      <w:pPr>
        <w:pStyle w:val="CaseBody"/>
      </w:pPr>
      <w:r>
        <w:t xml:space="preserve">In</w:t>
      </w:r>
      <w:r>
        <w:t xml:space="preserve"> </w:t>
      </w:r>
      <w:r>
        <w:rPr>
          <w:iCs/>
          <w:i/>
        </w:rPr>
        <w:t xml:space="preserve">Minton v. Cavaney</w:t>
      </w:r>
      <w:r>
        <w:t xml:space="preserve"> </w:t>
      </w:r>
      <w:r>
        <w:t xml:space="preserve">(56 Cal. 2d 576) the Supreme Court of California had occasion to discuss this problem in a negligence case. The corporation of which the defendant was an organizer, director and officer operated a public swimming pool. One afternoon the plaintiffs' daughter drowned in the pool as a result of the alleged negligence of the corporation.</w:t>
      </w:r>
    </w:p>
    <w:p>
      <w:pPr>
        <w:pStyle w:val="CaseBody"/>
      </w:pPr>
      <w:r>
        <w:t xml:space="preserve">Justice ROGER TRAYNOR, speaking for the court, outlined the applicable law in this area. "The figurative terminology `alter ego' and `disregard of the corporate entity'", he wrote, "is generally used to refer to the various situations that are an abuse of the corporate privilege * * * The equitable owners of a corporation, for example, are personally liable when they treat the assets of the corporation as their own and add or withdraw capital from the corporation at will * * *; when they hold themselves out as being personally liable for the debts of the corporation * * *;</w:t>
      </w:r>
      <w:r>
        <w:t xml:space="preserve"> </w:t>
      </w:r>
      <w:r>
        <w:rPr>
          <w:iCs/>
          <w:i/>
        </w:rPr>
        <w:t xml:space="preserve">or when they provide inadequate capitalization and actively participate in the conduct of corporate affairs</w:t>
      </w:r>
      <w:r>
        <w:t xml:space="preserve">". (56 Cal. 2d, p. 579; italics supplied.)</w:t>
      </w:r>
    </w:p>
    <w:p>
      <w:pPr>
        <w:pStyle w:val="CaseBody"/>
      </w:pPr>
      <w:r>
        <w:t xml:space="preserve">Examining the facts of the case in light of the legal principles just enumerated, he found that "[it was] undisputed that there was no attempt to provide adequate capitalization. [The corporation] never had any substantial assets. It leased the pool that it operated, and the lease was forfeited for failure to pay the rent. Its capital was `trifling compared with the business to be done and the risks of loss'". (56 Cal. 2d, p. 580.)</w:t>
      </w:r>
    </w:p>
    <w:p>
      <w:pPr>
        <w:pStyle w:val="CaseBody"/>
      </w:pPr>
      <w:r>
        <w:t xml:space="preserve">It seems obvious that one of "the risks of loss" referred to was the possibility of drownings due to the negligence of the corporation. And the defendant's failure to provide such assets or any fund for recovery resulted in his being held personally liable.</w:t>
      </w:r>
    </w:p>
    <w:p>
      <w:pPr>
        <w:pStyle w:val="CaseBody"/>
      </w:pPr>
      <w:r>
        <w:t xml:space="preserve">In</w:t>
      </w:r>
      <w:r>
        <w:t xml:space="preserve"> </w:t>
      </w:r>
      <w:r>
        <w:rPr>
          <w:iCs/>
          <w:i/>
        </w:rPr>
        <w:t xml:space="preserve">Anderson v. Abbott</w:t>
      </w:r>
      <w:r>
        <w:t xml:space="preserve"> </w:t>
      </w:r>
      <w:r>
        <w:t xml:space="preserve">(321 U. S. 349) the defendant shareholders had organized a holding company and transferred to that company shares which they held in various national banks in return for shares in the holding company. The holding company did not have sufficient assets to meet the double liability requirements of the governing Federal statutes which provided that the owners of shares in national [424] banks were personally liable for corporate obligations "to the extent of the amount of their stock therein, at the par value thereof, in addition to the amount invested in such shares" (U. S. Code, tit. 12, former § 63).</w:t>
      </w:r>
    </w:p>
    <w:p>
      <w:pPr>
        <w:pStyle w:val="CaseBody"/>
      </w:pPr>
      <w:r>
        <w:t xml:space="preserve">The court had found that these transfers were made in good faith, that other defendant shareholders who had purchased shares in the holding company had done so in good faith and that the organization of such a holding company was entirely legal. Despite this finding, the Supreme Court, speaking through Mr. Justice DOUGLAS, pierced the corporate veil of the holding company and held all the shareholders, even those who had no part in the organization of the corporation, individually responsible for the corporate obligations as mandated by the statute.</w:t>
      </w:r>
    </w:p>
    <w:p>
      <w:pPr>
        <w:pStyle w:val="CaseBody"/>
      </w:pPr>
      <w:r>
        <w:t xml:space="preserve">"Limited liability", he wrote, "is the rule, not the exception; and on that assumption large undertakings are rested, vast enterprises are launched, and huge sums of capital attracted. But there are occasions when the limited liability sought to be obtained through the corporation will be qualified or denied. Mr. Justice CARDOZO stated that a surrender of that principle of limited liability would be made `when the sacrifice is essential to the end that some accepted public policy may be defended or upheld.' * * * The cases of fraud make up part of that exception * * * But they do not exhaust it.</w:t>
      </w:r>
      <w:r>
        <w:t xml:space="preserve"> </w:t>
      </w:r>
      <w:r>
        <w:rPr>
          <w:iCs/>
          <w:i/>
        </w:rPr>
        <w:t xml:space="preserve">An obvious inadequacy of capital, measured by the nature and magnitude of the corporate undertaking, has frequently been an important factor in cases denying stockholders their defense of limited liability * * * That rule has been invoked even in absence of a legislative policy which undercapitalization would defeat</w:t>
      </w:r>
      <w:r>
        <w:t xml:space="preserve">. It becomes more important in a case such as the present one where the statutory policy of double liability will be defeated if impecunious bank-stock holding companies are allowed to be interposed as non-conductors of liability.</w:t>
      </w:r>
      <w:r>
        <w:t xml:space="preserve"> </w:t>
      </w:r>
      <w:r>
        <w:rPr>
          <w:iCs/>
          <w:i/>
        </w:rPr>
        <w:t xml:space="preserve">It has often been held that the interposition of a corporation will not be allowed to defeat a legislative policy, whether that was the aim or only the result of the arrangement</w:t>
      </w:r>
      <w:r>
        <w:t xml:space="preserve"> </w:t>
      </w:r>
      <w:r>
        <w:t xml:space="preserve">* * * `the courts will not permit themselves to be blinded or deceived by mere forms of law' but will deal `with the substance of the transaction involved as if the corporate agency did not exist and as the justice of the case may require.'" (321 U. S., pp. 362-363; emphasis added.)</w:t>
      </w:r>
    </w:p>
    <w:p>
      <w:pPr>
        <w:pStyle w:val="CaseBody"/>
      </w:pPr>
      <w:r>
        <w:t xml:space="preserve">[425] The policy of this State has always been to provide and facilitate recovery for those injured through the negligence of others. The automobile, by its very nature, is capable of causing severe and costly injuries when not operated in a proper manner. The great increase in the number of automobile accidents combined with the frequent financial irresponsibility of the individual driving the car led to the adoption of section 388 of the Vehicle and Traffic Law which had the effect of imposing upon the owner of the vehicle the responsibility for its negligent operation. It is upon this very statute that the cause of action against both the corporation and the individual defendant is predicated.</w:t>
      </w:r>
    </w:p>
    <w:p>
      <w:pPr>
        <w:pStyle w:val="CaseBody"/>
      </w:pPr>
      <w:r>
        <w:t xml:space="preserve">In addition the Legislature, still concerned with the financial irresponsibility of those who owned and operated motor vehicles, enacted a statute requiring minimum liability coverage for all owners of automobiles. The important public policy represented by both these statutes is outlined in section 310 of the Vehicle and Traffic Law. That section provides that: "The legislature is concerned over the rising toll of motor vehicle accidents and the suffering and loss thereby inflicted. The legislature determines that it is a matter of grave concern that motorists shall be financially able to respond in damages for their negligent acts, so that innocent victims of motor vehicle accidents may be recompensed for the injury and financial loss inflicted upon them."</w:t>
      </w:r>
    </w:p>
    <w:p>
      <w:pPr>
        <w:pStyle w:val="CaseBody"/>
      </w:pPr>
      <w:r>
        <w:t xml:space="preserve">The defendant Carlton claims that, because the minimum amount of insurance required by the statute was obtained, the corporate veil cannot and should not be pierced despite the fact that the assets of the corporation which owned the cab were "trifling compared with the business to be done and the risks of loss" which were certain to be encountered. I do not agree.</w:t>
      </w:r>
    </w:p>
    <w:p>
      <w:pPr>
        <w:pStyle w:val="CaseBody"/>
      </w:pPr>
      <w:r>
        <w:t xml:space="preserve">The Legislature in requiring minimum liability insurance of $10,000, no doubt, intended to provide at least some small fund for recovery against those individuals and corporations who just did not have and were not able to raise or accumulate assets sufficient to satisfy the claims of those who were injured as a result of their negligence. It certainly could not have intended to shield those individuals who organized corporations, with the specific intent of avoiding responsibility to the public, where the operation of the corporate enterprise yielded profits sufficient to purchase additional insurance. Moreover, it is reasonable [426] to assume that the Legislature believed that those individuals and corporations having substantial assets would take out insurance far in excess of the minimum in order to protect those assets from depletion. Given the costs of hospital care and treatment and the nature of injuries sustained in auto collisions, it would be unreasonable to assume that the Legislature believed that the minimum provided in the statute would in and of itself be sufficient to recompense "innocent victims of motor vehicle accidents * * * for the injury and financial loss inflicted upon them".</w:t>
      </w:r>
    </w:p>
    <w:p>
      <w:pPr>
        <w:pStyle w:val="CaseBody"/>
      </w:pPr>
      <w:r>
        <w:t xml:space="preserve">The defendant, however, argues that the failure of the Legislature to increase the minimum insurance requirements indicates legislative acquiescence in this scheme to avoid liability and responsibility to the public. In the absence of a clear legislative statement, approval of a scheme having such serious consequences is not to be so lightly inferred.</w:t>
      </w:r>
    </w:p>
    <w:p>
      <w:pPr>
        <w:pStyle w:val="CaseBody"/>
      </w:pPr>
      <w:r>
        <w:t xml:space="preserve">The defendant contends that the court will be encroaching upon the legislative domain by ignoring the corporate veil and holding the individual shareholder. This argument was answered by Mr. Justice DOUGLAS in</w:t>
      </w:r>
      <w:r>
        <w:t xml:space="preserve"> </w:t>
      </w:r>
      <w:r>
        <w:rPr>
          <w:iCs/>
          <w:i/>
        </w:rPr>
        <w:t xml:space="preserve">Anderson v. Abbot</w:t>
      </w:r>
      <w:r>
        <w:t xml:space="preserve"> </w:t>
      </w:r>
      <w:r>
        <w:t xml:space="preserve">(</w:t>
      </w:r>
      <w:r>
        <w:rPr>
          <w:iCs/>
          <w:i/>
        </w:rPr>
        <w:t xml:space="preserve">supra</w:t>
      </w:r>
      <w:r>
        <w:t xml:space="preserve">, pp. 366-367) where he wrote that: "In the field in which we are presently concerned, judicial power hardly oversteps the bounds when it refuses to lend its aid to a promotional project which would circumvent or undermine a legislative policy. To deny it that function would be to make it impotent in situations where historically it has made some of its most notable contributions. If the judicial power is helpless to protect a legislative program from schemes for easy avoidance, then indeed it has become a handy implement of high finance.</w:t>
      </w:r>
      <w:r>
        <w:t xml:space="preserve"> </w:t>
      </w:r>
      <w:r>
        <w:rPr>
          <w:iCs/>
          <w:i/>
        </w:rPr>
        <w:t xml:space="preserve">Judicial interference to cripple or defeat a legislative policy is one thing; judicial interference with the plans of those whose corporate or other devices would circumvent that policy is quite another</w:t>
      </w:r>
      <w:r>
        <w:t xml:space="preserve">. Once the purpose or effect of the scheme is clear, once the legislative policy is plain, we would indeed forsake a great tradition to say we were helpless to fashion the instruments for appropriate relief." (Emphasis added.)</w:t>
      </w:r>
    </w:p>
    <w:p>
      <w:pPr>
        <w:pStyle w:val="CaseBody"/>
      </w:pPr>
      <w:r>
        <w:t xml:space="preserve">The defendant contends that a decision holding him personally liable would discourage people from engaging in corporate enterprise.</w:t>
      </w:r>
    </w:p>
    <w:p>
      <w:pPr>
        <w:pStyle w:val="CaseBody"/>
      </w:pPr>
      <w:r>
        <w:t xml:space="preserve">[427] What I would merely hold is that a participating shareholder of a corporation vested with a public interest, organized with capital insufficient to meet liabilities which are certain to arise in the ordinary course of the corporation's business, may be held personally responsible for such liabilities. Where corporate income is not sufficient to cover the cost of insurance premiums above the statutory minimum or where initially adequate finances dwindle under the pressure of competition, bad times or extraordinary and unexpected liability, obviously the shareholder will not be held liable (Henn, Corporations, p. 208, n. 7).</w:t>
      </w:r>
    </w:p>
    <w:p>
      <w:pPr>
        <w:pStyle w:val="CaseBody"/>
      </w:pPr>
      <w:r>
        <w:t xml:space="preserve">The only types of corporate enterprises that will be discouraged as a result of a decision allowing the individual shareholder to be sued will be those such as the one in question, designed solely to abuse the corporate privilege at the expense of the public interest.</w:t>
      </w:r>
    </w:p>
    <w:p>
      <w:pPr>
        <w:pStyle w:val="CaseBody"/>
      </w:pPr>
      <w:r>
        <w:t xml:space="preserve">For these reasons I would vote to affirm the order of the Appellate Division.</w:t>
      </w:r>
    </w:p>
    <w:p>
      <w:pPr>
        <w:pStyle w:val="CaseBody"/>
      </w:pPr>
      <w:r>
        <w:t xml:space="preserve">Order reversed, etc.</w:t>
      </w:r>
    </w:p>
    <w:p>
      <w:pPr>
        <w:pStyle w:val="CaseBody"/>
      </w:pPr>
      <w:r>
        <w:t xml:space="preserve">---------</w:t>
      </w:r>
    </w:p>
    <w:p>
      <w:pPr>
        <w:pStyle w:val="CaseBody"/>
      </w:pPr>
      <w:hyperlink w:anchor="X6aff0b11494db00d8d7c0444590f16823218b99">
        <w:r>
          <w:rPr>
            <w:rStyle w:val="Hyperlink"/>
          </w:rPr>
          <w:t xml:space="preserve">[1]</w:t>
        </w:r>
      </w:hyperlink>
      <w:r>
        <w:t xml:space="preserve"> </w:t>
      </w:r>
      <w:r>
        <w:t xml:space="preserve">The corporate owner of a garage is also included as a defendant.</w:t>
      </w:r>
    </w:p>
    <w:p>
      <w:pPr>
        <w:pStyle w:val="CaseBody"/>
      </w:pPr>
      <w:hyperlink w:anchor="X159255adbb90491d1bf39e7556c5a6f5ddfe337">
        <w:r>
          <w:rPr>
            <w:rStyle w:val="Hyperlink"/>
          </w:rPr>
          <w:t xml:space="preserve">[2]</w:t>
        </w:r>
      </w:hyperlink>
      <w:r>
        <w:t xml:space="preserve"> </w:t>
      </w:r>
      <w:r>
        <w:t xml:space="preserve">There is no merit to the contention that the ownership and operation of the taxi fleet "constituted a breach of hack owners regulations as promulgated by [the] Police Department of the City of New York". Those regulations are clearly applicable to individual owner-operators and fleet owners alike. They were not intended to prevent either incorporation of a single-vehicle taxi business or multiple incorporation of a taxi fleet.</w:t>
      </w:r>
    </w:p>
    <w:p>
      <w:pPr>
        <w:pStyle w:val="CaseBody"/>
      </w:pPr>
      <w:hyperlink w:anchor="X3b46f75c6d646cc07ec0db3a008f9cedd589127">
        <w:r>
          <w:rPr>
            <w:rStyle w:val="Hyperlink"/>
          </w:rPr>
          <w:t xml:space="preserve">[3]</w:t>
        </w:r>
      </w:hyperlink>
      <w:r>
        <w:t xml:space="preserve"> </w:t>
      </w:r>
      <w:r>
        <w:t xml:space="preserve">In his affidavit in opposition to the motion to dismiss, the plaintiff's counsel claimed that corporate assets had been "milked out" of, and "siphoned off" from the enterprise. Quite apart from the fact that these allegations are far too vague and conclusory, the charge is premature. If the plaintiff succeeds in his action and becomes a judgment creditor of the corporation, he may then sue and attempt to hold the individual defendants accountable for any dividends and property that were wrongfully distributed (Business Corporation Law, §§ 510, 719, 720).</w:t>
      </w:r>
    </w:p>
    <w:p>
      <w:pPr>
        <w:pStyle w:val="CaseBody"/>
      </w:pPr>
      <w:hyperlink w:anchor="Xda0627b5cc128ca99b4d987924f0b6071e4e3cb">
        <w:r>
          <w:rPr>
            <w:rStyle w:val="Hyperlink"/>
          </w:rPr>
          <w:t xml:space="preserve">[*]</w:t>
        </w:r>
      </w:hyperlink>
      <w:r>
        <w:t xml:space="preserve"> </w:t>
      </w:r>
      <w:r>
        <w:t xml:space="preserve">It appears that the medallions, which are of considerable value, are judgment proof. (Administrative Code of City of New York, § 436-2.0.)</w:t>
      </w:r>
    </w:p>
    <w:bookmarkEnd w:id="183"/>
    <w:p>
      <w:pPr>
        <w:pStyle w:val="NodeEnd"/>
      </w:pPr>
      <w:r>
        <w:t xml:space="preserve"> </w:t>
      </w:r>
    </w:p>
    <w:p>
      <w:pPr>
        <w:pStyle w:val="NodeStart"/>
      </w:pPr>
      <w:r>
        <w:t xml:space="preserve"> </w:t>
      </w:r>
    </w:p>
    <w:p>
      <w:pPr>
        <w:pStyle w:val="HeadSeparator"/>
      </w:pPr>
      <w:r>
        <w:t xml:space="preserve"> </w:t>
      </w:r>
    </w:p>
    <w:bookmarkStart w:id="99" w:name="_auto_toc_99"/>
    <w:bookmarkEnd w:id="99"/>
    <w:p>
      <w:pPr>
        <w:pStyle w:val="SectionNumber"/>
      </w:pPr>
      <w:r>
        <w:t xml:space="preserve">8.2</w:t>
      </w:r>
    </w:p>
    <w:p>
      <w:pPr>
        <w:pStyle w:val="SectionTitle"/>
      </w:pPr>
      <w:r>
        <w:t xml:space="preserve">Reference 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100" w:name="_auto_toc_100"/>
    <w:bookmarkEnd w:id="100"/>
    <w:p>
      <w:pPr>
        <w:pStyle w:val="ResourceNumber"/>
      </w:pPr>
      <w:r>
        <w:t xml:space="preserve">8.2.1</w:t>
      </w:r>
    </w:p>
    <w:p>
      <w:pPr>
        <w:pStyle w:val="ResourceTitle"/>
      </w:pPr>
      <w:r>
        <w:t xml:space="preserve">Credit Lyonnais v. Pathe</w:t>
      </w:r>
    </w:p>
    <w:p>
      <w:pPr>
        <w:pStyle w:val="HeadFieldSeparator"/>
      </w:pPr>
      <w:r>
        <w:t xml:space="preserve"> </w:t>
      </w:r>
    </w:p>
    <w:p>
      <w:pPr>
        <w:pStyle w:val="ResourceLink"/>
      </w:pPr>
      <w:hyperlink r:id="rId184">
        <w:r>
          <w:rPr>
            <w:rStyle w:val="Hyperlink"/>
          </w:rPr>
          <w:t xml:space="preserve">https://corpgov.law.harvard.edu/wp-content/uploads/2007/06/20070606%20Credit%20Lyonnais.pdf</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101" w:name="_auto_toc_101"/>
    <w:bookmarkEnd w:id="101"/>
    <w:p>
      <w:pPr>
        <w:pStyle w:val="ResourceNumber"/>
      </w:pPr>
      <w:r>
        <w:t xml:space="preserve">8.2.2</w:t>
      </w:r>
    </w:p>
    <w:p>
      <w:pPr>
        <w:pStyle w:val="ResourceTitle"/>
      </w:pPr>
      <w:r>
        <w:t xml:space="preserve">North American Catholic Educational Prog... v. Gheewalla</w:t>
      </w:r>
    </w:p>
    <w:p>
      <w:pPr>
        <w:pStyle w:val="HeadEnd"/>
      </w:pPr>
      <w:r>
        <w:t xml:space="preserve"> </w:t>
      </w:r>
    </w:p>
    <w:p>
      <w:pPr>
        <w:pStyle w:val="CaseHeader"/>
      </w:pPr>
      <w:r>
        <w:t xml:space="preserve">Delaware Supreme Court</w:t>
      </w:r>
    </w:p>
    <w:p>
      <w:pPr>
        <w:pStyle w:val="CaseHeader"/>
      </w:pPr>
      <w:r>
        <w:t xml:space="preserve">930 A.2d 92</w:t>
      </w:r>
    </w:p>
    <w:p>
      <w:pPr>
        <w:pStyle w:val="CaseHeader"/>
      </w:pPr>
      <w:r>
        <w:t xml:space="preserve">No. 521,2006</w:t>
      </w:r>
    </w:p>
    <w:p>
      <w:pPr>
        <w:pStyle w:val="CaseHeader"/>
      </w:pPr>
      <w:r>
        <w:t xml:space="preserve">2007-05-18</w:t>
      </w:r>
    </w:p>
    <w:p>
      <w:pPr>
        <w:pStyle w:val="CaseBody"/>
      </w:pPr>
      <w:r>
        <w:t xml:space="preserve">930 A.2d 92 (2007)</w:t>
      </w:r>
    </w:p>
    <w:p>
      <w:pPr>
        <w:pStyle w:val="CaseHeader"/>
      </w:pPr>
      <w:r>
        <w:t xml:space="preserve">NORTH AMERICAN CATHOLIC EDUCATIONAL PROGRAMMING FOUNDATION, INC., Plaintiff Below, Appellant</w:t>
      </w:r>
      <w:r>
        <w:br/>
      </w:r>
      <w:r>
        <w:t xml:space="preserve">v.</w:t>
      </w:r>
      <w:r>
        <w:br/>
      </w:r>
      <w:r>
        <w:t xml:space="preserve">Rob GHEEWALLA, Gerry Cardinale and Jack Daly, Defendants Below, Appellees.</w:t>
      </w:r>
    </w:p>
    <w:p>
      <w:pPr>
        <w:pStyle w:val="CaseBody"/>
      </w:pPr>
      <w:r>
        <w:t xml:space="preserve">No. 521,2006.</w:t>
      </w:r>
    </w:p>
    <w:p>
      <w:pPr>
        <w:pStyle w:val="CaseBody"/>
      </w:pPr>
      <w:r>
        <w:t xml:space="preserve">Supreme Court of Delaware.</w:t>
      </w:r>
    </w:p>
    <w:p>
      <w:pPr>
        <w:pStyle w:val="CaseBody"/>
      </w:pPr>
      <w:r>
        <w:t xml:space="preserve">Submitted: February 12, 2007.</w:t>
      </w:r>
    </w:p>
    <w:p>
      <w:pPr>
        <w:pStyle w:val="CaseBody"/>
      </w:pPr>
      <w:r>
        <w:t xml:space="preserve">Decided: May 18, 2007.</w:t>
      </w:r>
    </w:p>
    <w:p>
      <w:pPr>
        <w:pStyle w:val="CaseBody"/>
      </w:pPr>
      <w:r>
        <w:t xml:space="preserve">Edward M. McNally (argued) and Raj Srivatsan, Morris, James, Hitchens &amp; Williams, Wilmington, DE, for appellant.</w:t>
      </w:r>
    </w:p>
    <w:p>
      <w:pPr>
        <w:pStyle w:val="CaseBody"/>
      </w:pPr>
      <w:r>
        <w:t xml:space="preserve">Samuel A. Nolen, Richards, Layton &amp; Finger, Wilmington, DE, for appellees.</w:t>
      </w:r>
    </w:p>
    <w:p>
      <w:pPr>
        <w:pStyle w:val="CaseBody"/>
      </w:pPr>
      <w:r>
        <w:t xml:space="preserve">Before STEELE, Chief Justice, HOLLAND, BERGER, Justices, and ABLEMAN, Judge.</w:t>
      </w:r>
      <w:hyperlink w:anchor="X9a46ce571d4747c541bfe405693e60541c8b0fb">
        <w:r>
          <w:rPr>
            <w:rStyle w:val="Hyperlink"/>
            <w:vertAlign w:val="superscript"/>
          </w:rPr>
          <w:t xml:space="preserve">[1]</w:t>
        </w:r>
      </w:hyperlink>
    </w:p>
    <w:bookmarkStart w:id="185" w:name="holland-justice-1"/>
    <w:p>
      <w:pPr>
        <w:pStyle w:val="Heading2"/>
      </w:pPr>
      <w:r>
        <w:t xml:space="preserve">HOLLAND, Justice:</w:t>
      </w:r>
    </w:p>
    <w:p>
      <w:pPr>
        <w:pStyle w:val="CaseBody"/>
      </w:pPr>
      <w:r>
        <w:t xml:space="preserve">This is the appeal of the plaintiff-appellant, North American Catholic Educational Programming Foundation, Inc. ("NACEPF") from a final judgment of the Court of Chancery that dismissed NACEPF's Complaint for failure to state a claim.</w:t>
      </w:r>
      <w:hyperlink w:anchor="X8c1fc492516af45f89f51af3194ec6fa0d3ed12">
        <w:r>
          <w:rPr>
            <w:rStyle w:val="Hyperlink"/>
            <w:vertAlign w:val="superscript"/>
          </w:rPr>
          <w:t xml:space="preserve">[2]</w:t>
        </w:r>
      </w:hyperlink>
      <w:r>
        <w:t xml:space="preserve"> </w:t>
      </w:r>
      <w:r>
        <w:t xml:space="preserve">NACEPF holds certain radio wave spectrum licenses regulated by the Federal Communications Commission ("FCC"). In March 2001, NACEPF, together with other similar spectrum license-holders, entered into the Master Use and Royalty Agreement (the "Master Agreement") with Clearwire Holdings, Inc. ("Clearwire"), a Delaware corporation. Under the Master Agreement, Clearwire could obtain rights to those licenses as then-existing leases expired and the then-current lessees failed to exercise rights of first refusal.</w:t>
      </w:r>
    </w:p>
    <w:p>
      <w:pPr>
        <w:pStyle w:val="CaseBody"/>
      </w:pPr>
      <w:r>
        <w:t xml:space="preserve">The defendant-appellees are Rob Gheewalla, Gerry Cardinale, and Jack Daly (collectively, the "Defendants"), who served as directors of Clearwire at the behest of Goldman Sachs &amp; Co. ("Goldman Sachs"). NACEPF's Complaint alleges that the Defendants, even though they comprised less than a majority of the board, were able to control Clearwire because its only source of funding was Goldman Sachs. According to NACEPF, they used that power to favor Goldman Sachs' agenda in derogation of their fiduciary duties as directors of Clearwire. In addition to bringing fiduciary duty claims, NACEPF's Complaint also asserts that the Defendants fraudulently induced it to enter into the Master Agreement with Clearwire and that the Defendants tortiously interfered with NACEPF's business opportunities.</w:t>
      </w:r>
      <w:hyperlink w:anchor="Xa9a744236b05c048284a509b8bc958535fb151f">
        <w:r>
          <w:rPr>
            <w:rStyle w:val="Hyperlink"/>
            <w:vertAlign w:val="superscript"/>
          </w:rPr>
          <w:t xml:space="preserve">[3]</w:t>
        </w:r>
      </w:hyperlink>
    </w:p>
    <w:p>
      <w:pPr>
        <w:pStyle w:val="CaseBody"/>
      </w:pPr>
      <w:r>
        <w:t xml:space="preserve">NACEPF is not a shareholder of Clearwire. Instead, NACEPF filed its Complaint in the Court of Chancery as a putative [94]</w:t>
      </w:r>
      <w:r>
        <w:t xml:space="preserve"> </w:t>
      </w:r>
      <w:r>
        <w:rPr>
          <w:iCs/>
          <w:i/>
        </w:rPr>
        <w:t xml:space="preserve">creditor</w:t>
      </w:r>
      <w:r>
        <w:t xml:space="preserve"> </w:t>
      </w:r>
      <w:r>
        <w:t xml:space="preserve">of Clearwire. The Complaint alleges</w:t>
      </w:r>
      <w:r>
        <w:t xml:space="preserve"> </w:t>
      </w:r>
      <w:r>
        <w:rPr>
          <w:iCs/>
          <w:i/>
        </w:rPr>
        <w:t xml:space="preserve">direct,</w:t>
      </w:r>
      <w:r>
        <w:t xml:space="preserve"> </w:t>
      </w:r>
      <w:r>
        <w:t xml:space="preserve">not derivative, fiduciary duty claims against the Defendants, who served as directors of Clearwire while it was either insolvent or in the "zone of insolvency."</w:t>
      </w:r>
    </w:p>
    <w:p>
      <w:pPr>
        <w:pStyle w:val="CaseBody"/>
      </w:pPr>
      <w:r>
        <w:t xml:space="preserve">Personal jurisdiction over the Defendants was premised exclusively upon 10</w:t>
      </w:r>
      <w:r>
        <w:t xml:space="preserve"> </w:t>
      </w:r>
      <w:r>
        <w:rPr>
          <w:iCs/>
          <w:i/>
        </w:rPr>
        <w:t xml:space="preserve">Del. C.</w:t>
      </w:r>
      <w:r>
        <w:t xml:space="preserve"> </w:t>
      </w:r>
      <w:r>
        <w:t xml:space="preserve">§ 3114, which subjects directors of Delaware corporations to personal jurisdiction in the Court of Chancery over claims "for violation of a duty in [their] capacity [as directors of the corporation]." No other basis for personal jurisdiction over the Defendants was asserted. Accordingly, NACEPF's efforts to bring its other claims in the Court of Chancery fail on jurisdictional grounds unless those other claims are adequately alleged to be "sufficiently related" to a viable fiduciary duty claim against the Defendants.</w:t>
      </w:r>
    </w:p>
    <w:p>
      <w:pPr>
        <w:pStyle w:val="CaseBody"/>
      </w:pPr>
      <w:r>
        <w:t xml:space="preserve">For the reasons set forth in its Opinion, the Court of Chancery concluded: (1) that creditors of a Delaware corporation in the "zone of insolvency" may not assert direct claims for breach of fiduciary duty against the corporation's directors; (2) that the Complaint failed to state a claim for the narrow, if extant, cause of action for direct claims involving breach of fiduciary duty brought by creditors against directors of insolvent Delaware corporations; and (3) that, with dismissal of its fiduciary duty claims, NACEPF had not provided any basis for exercising personal jurisdiction over the Defendants with respect to NACEPF's other claims. Therefore, the Defendants' Motion to Dismiss the Complaint was granted.</w:t>
      </w:r>
    </w:p>
    <w:p>
      <w:pPr>
        <w:pStyle w:val="CaseBody"/>
      </w:pPr>
      <w:r>
        <w:t xml:space="preserve">In this opinion, we hold that the creditors of a Delaware corporation that is either insolvent or in the zone of insolvency have no right, as a matter of law, to assert direct claims for breach of fiduciary duty against the corporation's directors. Accordingly, we have concluded that the judgments of the Court of Chancery must be affirmed.</w:t>
      </w:r>
    </w:p>
    <w:bookmarkEnd w:id="185"/>
    <w:bookmarkStart w:id="186" w:name="facts4"/>
    <w:p>
      <w:pPr>
        <w:pStyle w:val="Heading2"/>
      </w:pPr>
      <w:r>
        <w:rPr>
          <w:iCs/>
          <w:i/>
        </w:rPr>
        <w:t xml:space="preserve">Facts</w:t>
      </w:r>
      <w:hyperlink w:anchor="X828edf47100d038f3ca71c70992fc6deabc63fe">
        <w:r>
          <w:rPr>
            <w:rStyle w:val="Hyperlink"/>
            <w:vertAlign w:val="superscript"/>
          </w:rPr>
          <w:t xml:space="preserve">[4]</w:t>
        </w:r>
      </w:hyperlink>
    </w:p>
    <w:p>
      <w:pPr>
        <w:pStyle w:val="CaseBody"/>
      </w:pPr>
      <w:r>
        <w:t xml:space="preserve">NACEPF is an independent lay organization incorporated under the laws of Rhode Island. In 2000, NACEPF joined with Hispanic Information and Telecommunications Network, Inc. ("HITN"), Instructional Telecommunications Foundation, Inc. ("ITF"), and various affiliates of ITF to form the ITFS Spectrum Development Alliance, Inc. (the "Alliance"). Collectively, the Alliance owned a significant percentage of FCC-approved licenses for microwave signal transmissions ("spectrum") used for educational programs that were known as "Instruction Television Fixed Service" spectrum ("ITFS") licenses.</w:t>
      </w:r>
    </w:p>
    <w:p>
      <w:pPr>
        <w:pStyle w:val="CaseBody"/>
      </w:pPr>
      <w:r>
        <w:t xml:space="preserve">The Defendants were directors of Clearwire. The Defendants were also all employed by Goldman Sachs and served on the Clearwire Board of Directors at the behest of Goldman Sachs. NACEPF alleges that the Defendants effectively controlled Clearwire through the financial and other influence that Goldman Sachs had over Clearwire.</w:t>
      </w:r>
    </w:p>
    <w:p>
      <w:pPr>
        <w:pStyle w:val="CaseBody"/>
      </w:pPr>
      <w:r>
        <w:t xml:space="preserve">According to the Complaint, the Defendants represented to NACEPF and the other Alliance members that Clearwire's stated business purpose was to create a national system of wireless connections to the internet. Between 2000 and March 2001, Clearwire negotiated a Master Agreement with the Alliance, which Clearwire and the Alliance members entered into in March 2001. NACEPF asserts [95] that it negotiated the terms of the Master Agreement with several individuals, including the Defendants. NACEPF submits that all of the Defendants purported to be acting on the behalf of Goldman Sachs and the entity that became Clearwire.</w:t>
      </w:r>
    </w:p>
    <w:p>
      <w:pPr>
        <w:pStyle w:val="CaseBody"/>
      </w:pPr>
      <w:r>
        <w:t xml:space="preserve">Under the terms of the Master Agreement, Clearwire was to acquire the Alliance members' ITFS spectrum licenses when those licenses became available. To do so, Clearwire was obligated to pay NACEPF and other Alliance members more than $24.3 million. The Complaint alleges that the Defendants knew but did not tell NACEPF that Goldman Sachs did not intend to carry out the business plan that was the stated rationale for asking NACEPF to enter into the Master Agreement, i.e., by funding Clearwire.</w:t>
      </w:r>
    </w:p>
    <w:p>
      <w:pPr>
        <w:pStyle w:val="CaseBody"/>
      </w:pPr>
      <w:r>
        <w:t xml:space="preserve">In June 2002, the market for wireless spectrum collapsed when WorldCom announced its accounting problems. It appeared that there was or soon would be a surplus of spectrum available from World-Com. Thereafter, Clearwire began negotiations with the members of the Alliance to end Clearwire's obligations to the members. Eventually, Clearwire paid over $2 million to HITN and ITF to settle their claims and; according to NACEPF, was only able to limit its payments to that amount by otherwise threatening to file for bankruptcy protection. These settlements left the NACEPF as the sole remaining member of the Alliance. The Complaint alleges that, by October 2003, Clearwire "had been unable to obtain any further financing and effectively went out of business."</w:t>
      </w:r>
      <w:hyperlink w:anchor="X199eb19034887cab5565f033778136a1fbd97e2">
        <w:r>
          <w:rPr>
            <w:rStyle w:val="Hyperlink"/>
            <w:vertAlign w:val="superscript"/>
          </w:rPr>
          <w:t xml:space="preserve">[5]</w:t>
        </w:r>
      </w:hyperlink>
    </w:p>
    <w:bookmarkEnd w:id="186"/>
    <w:bookmarkStart w:id="187" w:name="nacepfs-complaint"/>
    <w:p>
      <w:pPr>
        <w:pStyle w:val="Heading2"/>
      </w:pPr>
      <w:r>
        <w:rPr>
          <w:iCs/>
          <w:i/>
        </w:rPr>
        <w:t xml:space="preserve">NACEPF's Complaint</w:t>
      </w:r>
    </w:p>
    <w:p>
      <w:pPr>
        <w:pStyle w:val="CaseBody"/>
      </w:pPr>
      <w:r>
        <w:t xml:space="preserve">In its Complaint, NACEPF asserts three claims against the Defendants. In Count I of the Complaint, NACEPF alleges that the Defendants fraudulently induced it to enter into the Master Agreement and, thereafter, to continue with the Master Agreement to "preserv[e] its spectrum licenses for acquisition by Clearwire."</w:t>
      </w:r>
      <w:hyperlink w:anchor="Xe648f35b1a221bae249c458846a6164486be648">
        <w:r>
          <w:rPr>
            <w:rStyle w:val="Hyperlink"/>
            <w:vertAlign w:val="superscript"/>
          </w:rPr>
          <w:t xml:space="preserve">[6]</w:t>
        </w:r>
      </w:hyperlink>
      <w:r>
        <w:t xml:space="preserve"> </w:t>
      </w:r>
      <w:r>
        <w:t xml:space="preserve">In Count II, NACEPF alleges that because, at all relevant times, Clearwire was either insolvent or in the "zone of insolvency," the Defendants owed fiduciary duties to NACEPF "as a substantial creditor of Clearwire," and that the Defendants breached those duties by:</w:t>
      </w:r>
    </w:p>
    <w:p>
      <w:pPr>
        <w:pStyle w:val="BlockText"/>
      </w:pPr>
      <w:r>
        <w:t xml:space="preserve">(1) not preserving the assets of Clearwire for its benefit and that of its creditors when it became apparent that Clearwire would not be able to continue as a going concern and would need to be liquidated and (2) holding on to NACEPF's ITFS license rights when Clearwire would not use them, solely to keep Goldman Sachs's investment "in play."</w:t>
      </w:r>
      <w:hyperlink w:anchor="X6ed22551fb3e3512e5ddae41c5f6e9899f7c29c">
        <w:r>
          <w:rPr>
            <w:rStyle w:val="Hyperlink"/>
            <w:vertAlign w:val="superscript"/>
          </w:rPr>
          <w:t xml:space="preserve">[7]</w:t>
        </w:r>
      </w:hyperlink>
    </w:p>
    <w:p>
      <w:pPr>
        <w:pStyle w:val="CaseBody"/>
      </w:pPr>
      <w:r>
        <w:t xml:space="preserve">In Count III, NACEPF claims that the Defendants tortiously interfered with a prospective business opportunity belonging to NACEPF in that they caused Clearwire wrongfully "to assert the right to acquire NACEPF wireless spectrum," which resulted in NACEPF losing "the opportunity to convey its licenses for spectrum to other buyers."</w:t>
      </w:r>
      <w:hyperlink w:anchor="X21084ed99686b75f17d5bbe51dbb8c760ba5cf4">
        <w:r>
          <w:rPr>
            <w:rStyle w:val="Hyperlink"/>
            <w:vertAlign w:val="superscript"/>
          </w:rPr>
          <w:t xml:space="preserve">[8]</w:t>
        </w:r>
      </w:hyperlink>
    </w:p>
    <w:bookmarkEnd w:id="187"/>
    <w:bookmarkStart w:id="188" w:name="motions-to-dismiss"/>
    <w:p>
      <w:pPr>
        <w:pStyle w:val="Heading2"/>
      </w:pPr>
      <w:r>
        <w:rPr>
          <w:iCs/>
          <w:i/>
        </w:rPr>
        <w:t xml:space="preserve">Motions to Dismiss</w:t>
      </w:r>
    </w:p>
    <w:p>
      <w:pPr>
        <w:pStyle w:val="CaseBody"/>
      </w:pPr>
      <w:r>
        <w:t xml:space="preserve">The Defendants moved to dismiss the Complaint on two grounds: first, for lack of personal jurisdiction under Court of Chancery Rule 12(b)(2); and, second, for [96] NACEPF's failure to state a claim upon which relief can be granted under Court of Chancery Rule 12(b)(6). With respect to their first basis for dismissal, the Defendants noted that NACEPF's sole ground for asserting personal jurisdiction over them is 10</w:t>
      </w:r>
      <w:r>
        <w:t xml:space="preserve"> </w:t>
      </w:r>
      <w:r>
        <w:rPr>
          <w:iCs/>
          <w:i/>
        </w:rPr>
        <w:t xml:space="preserve">Del. C.</w:t>
      </w:r>
      <w:r>
        <w:t xml:space="preserve"> </w:t>
      </w:r>
      <w:r>
        <w:t xml:space="preserve">§ 3114. The Defendants argued that personal jurisdiction under § 3114 requires, at least, sufficient allegations of a breach of fiduciary duty owed by director-defendants. With respect to their second basis for dismissal, the Defendants contended that, even assuming that personal jurisdiction was sufficiently alleged, NACEPF's Complaint failed to set forth allegations which adequately supported any of its claims for relief, as a matter of law.</w:t>
      </w:r>
    </w:p>
    <w:bookmarkEnd w:id="188"/>
    <w:bookmarkStart w:id="189" w:name="court-of-chancery-rule-12b2"/>
    <w:p>
      <w:pPr>
        <w:pStyle w:val="Heading2"/>
      </w:pPr>
      <w:r>
        <w:rPr>
          <w:iCs/>
          <w:i/>
        </w:rPr>
        <w:t xml:space="preserve">Court of Chancery Rule 12(b)(2)</w:t>
      </w:r>
    </w:p>
    <w:p>
      <w:pPr>
        <w:pStyle w:val="CaseBody"/>
      </w:pPr>
      <w:r>
        <w:t xml:space="preserve">The Court of Chancery initially addressed the Defendants' motion under Rule 12(b)(2).</w:t>
      </w:r>
      <w:hyperlink w:anchor="Xcef0055e50b71f9059a6b0e65e39d84b5ff656c">
        <w:r>
          <w:rPr>
            <w:rStyle w:val="Hyperlink"/>
            <w:vertAlign w:val="superscript"/>
          </w:rPr>
          <w:t xml:space="preserve">[9]</w:t>
        </w:r>
      </w:hyperlink>
      <w:r>
        <w:t xml:space="preserve"> </w:t>
      </w:r>
      <w:r>
        <w:t xml:space="preserve">It began by examining the exercise of personal jurisdiction over nonresident directors of Delaware corporations under 10</w:t>
      </w:r>
      <w:r>
        <w:t xml:space="preserve"> </w:t>
      </w:r>
      <w:r>
        <w:rPr>
          <w:iCs/>
          <w:i/>
        </w:rPr>
        <w:t xml:space="preserve">Del. C.</w:t>
      </w:r>
      <w:r>
        <w:t xml:space="preserve"> </w:t>
      </w:r>
      <w:r>
        <w:t xml:space="preserve">§ 3114:</w:t>
      </w:r>
      <w:hyperlink w:anchor="Xb28e5bd40f110528788adc90fb27fd7ff05a777">
        <w:r>
          <w:rPr>
            <w:rStyle w:val="Hyperlink"/>
            <w:vertAlign w:val="superscript"/>
          </w:rPr>
          <w:t xml:space="preserve">[10]</w:t>
        </w:r>
      </w:hyperlink>
    </w:p>
    <w:p>
      <w:pPr>
        <w:pStyle w:val="BlockText"/>
      </w:pPr>
      <w:r>
        <w:t xml:space="preserve">"[T]he Delaware courts have consistently held that Section 3114 is applicable only in connection with suits brought against a nonresident for acts performed in his . . . capacity as a director . . . of a Delaware corporation." Further narrowing the scope of Section 3114, "Delaware cases have consistently interpreted [early cases construing the section] as establishing that [it] . . . appl[ies] only in connection with suits involving the statutory and nonstatutory fiduciary duties of nonresident directors."</w:t>
      </w:r>
      <w:hyperlink w:anchor="X908a952c5f824f3b965277ec307bb74ad6a911a">
        <w:r>
          <w:rPr>
            <w:rStyle w:val="Hyperlink"/>
            <w:vertAlign w:val="superscript"/>
          </w:rPr>
          <w:t xml:space="preserve">[11]</w:t>
        </w:r>
      </w:hyperlink>
    </w:p>
    <w:p>
      <w:pPr>
        <w:pStyle w:val="CaseBody"/>
      </w:pPr>
      <w:r>
        <w:t xml:space="preserve">The Court of Chancery limited its Rule 12(b)(2) analysis to whether personal jurisdiction existed over the Defendants with respect to Count II of the Complaint.</w:t>
      </w:r>
    </w:p>
    <w:p>
      <w:pPr>
        <w:pStyle w:val="CaseBody"/>
      </w:pPr>
      <w:r>
        <w:t xml:space="preserve">Count II alleged that the Defendants breached their fiduciary duties while they served as directors of Clearwire and while Clearwire was either insolvent or in the zone of insolvency. The Court of Chancery concluded that the facts alleged in the Complaint, as supported by the affidavit submitted by NACEPF, constituted a</w:t>
      </w:r>
      <w:r>
        <w:t xml:space="preserve"> </w:t>
      </w:r>
      <w:r>
        <w:rPr>
          <w:iCs/>
          <w:i/>
        </w:rPr>
        <w:t xml:space="preserve">prima facia</w:t>
      </w:r>
      <w:r>
        <w:t xml:space="preserve"> </w:t>
      </w:r>
      <w:r>
        <w:t xml:space="preserve">showing of a breach of fiduciary duty by the Defendants in their capacity [97] as directors of a Delaware corporation. Accordingly, the Court of Chancery held that a statutory basis for the exercise of personal jurisdiction had been established by NACEPF for purposes of litigating Count II of the Complaint.</w:t>
      </w:r>
    </w:p>
    <w:p>
      <w:pPr>
        <w:pStyle w:val="CaseBody"/>
      </w:pPr>
      <w:r>
        <w:t xml:space="preserve">NACEPF expressly premised its Rule 12(b)(2) arguments for personal jurisdiction over the Defendants regarding Counts I and III (</w:t>
      </w:r>
      <w:r>
        <w:rPr>
          <w:iCs/>
          <w:i/>
        </w:rPr>
        <w:t xml:space="preserve">i.e.,</w:t>
      </w:r>
      <w:r>
        <w:t xml:space="preserve"> </w:t>
      </w:r>
      <w:r>
        <w:t xml:space="preserve">the non-fiduciary duty claims) on the Court of Chancery's first determining that Count II (</w:t>
      </w:r>
      <w:r>
        <w:rPr>
          <w:iCs/>
          <w:i/>
        </w:rPr>
        <w:t xml:space="preserve">i.e.,</w:t>
      </w:r>
      <w:r>
        <w:t xml:space="preserve"> </w:t>
      </w:r>
      <w:r>
        <w:t xml:space="preserve">the fiduciary duty claim) survives the Defendants' Rule 12(b)(6) motion to dismiss. Accordingly, the Court of Chancery proceeded on the basis that if it found that Count II must be dismissed under Rule 12(b)(6), then it would be without personal jurisdiction over the Defendants for purposes of moving forward with the merits of Counts I and III. Therefore, to resolve the issue of personal jurisdiction, the Court of Chancery was required to decide whether, as a matter of law, Count II of the NACEPF Complaint properly stated a breach of fiduciary duty claim upon which relief could be granted.</w:t>
      </w:r>
    </w:p>
    <w:bookmarkEnd w:id="189"/>
    <w:bookmarkStart w:id="190" w:name="court-of-chancery-rule-12b6"/>
    <w:p>
      <w:pPr>
        <w:pStyle w:val="Heading2"/>
      </w:pPr>
      <w:r>
        <w:rPr>
          <w:iCs/>
          <w:i/>
        </w:rPr>
        <w:t xml:space="preserve">Court of Chancery Rule 12(b)(6)</w:t>
      </w:r>
    </w:p>
    <w:p>
      <w:pPr>
        <w:pStyle w:val="CaseBody"/>
      </w:pPr>
      <w:r>
        <w:t xml:space="preserve">The standards governing motions to dismiss under Court of Chancery Rule 12(b)(6) are well settled:</w:t>
      </w:r>
    </w:p>
    <w:p>
      <w:pPr>
        <w:pStyle w:val="BlockText"/>
      </w:pPr>
      <w:r>
        <w:t xml:space="preserve">(i) all well-pleaded factual allegations are accepted as true; (ii) even vague allegations are "well-pleaded" if they give the opposing party notice of the claim; (iii) the Court must draw all reasonable inferences in favor of the nonmoving party; and (iv) dismissal is inappropriate unless the "plaintiff would not be entitled to recover under any reasonably conceivable set of circumstances susceptible of proof."</w:t>
      </w:r>
      <w:hyperlink w:anchor="X01f91a9f03c234ca7c1a2a702c1cc615a07e547">
        <w:r>
          <w:rPr>
            <w:rStyle w:val="Hyperlink"/>
            <w:vertAlign w:val="superscript"/>
          </w:rPr>
          <w:t xml:space="preserve">[12]</w:t>
        </w:r>
      </w:hyperlink>
    </w:p>
    <w:p>
      <w:pPr>
        <w:pStyle w:val="CaseBody"/>
      </w:pPr>
      <w:r>
        <w:t xml:space="preserve">In the Court of Chancery and in this appeal, NACEPF waived any basis it may have had for pursuit of its claim derivatively. Instead, NACEPF seeks to assert only a</w:t>
      </w:r>
      <w:r>
        <w:t xml:space="preserve"> </w:t>
      </w:r>
      <w:r>
        <w:rPr>
          <w:iCs/>
          <w:i/>
        </w:rPr>
        <w:t xml:space="preserve">direct claim</w:t>
      </w:r>
      <w:r>
        <w:t xml:space="preserve"> </w:t>
      </w:r>
      <w:r>
        <w:t xml:space="preserve">for breach of fiduciary duties. It contends that such direct claims by creditors should be recognized in the context of both insolvency and the zone of insolvency. Accordingly, in ruling on the 12(b)(6) motion to dismiss Count II of the Complaint, the Court of Chancery was confronted with two legal questions: whether, as a matter of law, a corporation's</w:t>
      </w:r>
      <w:r>
        <w:t xml:space="preserve"> </w:t>
      </w:r>
      <w:r>
        <w:rPr>
          <w:iCs/>
          <w:i/>
        </w:rPr>
        <w:t xml:space="preserve">creditors</w:t>
      </w:r>
      <w:r>
        <w:t xml:space="preserve"> </w:t>
      </w:r>
      <w:r>
        <w:t xml:space="preserve">may assert</w:t>
      </w:r>
      <w:r>
        <w:t xml:space="preserve"> </w:t>
      </w:r>
      <w:r>
        <w:rPr>
          <w:iCs/>
          <w:i/>
        </w:rPr>
        <w:t xml:space="preserve">direct</w:t>
      </w:r>
      <w:r>
        <w:t xml:space="preserve"> </w:t>
      </w:r>
      <w:r>
        <w:t xml:space="preserve">claims against directors for breach of fiduciary duties when the corporation is either: first, insolvent or second, in the zone of insolvency.</w:t>
      </w:r>
    </w:p>
    <w:bookmarkEnd w:id="190"/>
    <w:bookmarkStart w:id="191" w:name="X2d6b11cb41de7a76c1b80203dfd542a5b331a88"/>
    <w:p>
      <w:pPr>
        <w:pStyle w:val="Heading2"/>
      </w:pPr>
      <w:r>
        <w:rPr>
          <w:iCs/>
          <w:i/>
        </w:rPr>
        <w:t xml:space="preserve">Allegations of Insolvency and Zone of Insolvency</w:t>
      </w:r>
    </w:p>
    <w:p>
      <w:pPr>
        <w:pStyle w:val="CaseBody"/>
      </w:pPr>
      <w:r>
        <w:t xml:space="preserve">In support of its claim that Clearwire was either insolvent or in the zone of insolvency during the relevant periods, NACEPF alleged that Clearwire needed "substantially more financial support than it had obtained in March 2001."</w:t>
      </w:r>
      <w:hyperlink w:anchor="X5fff86ac641ab3552134b9e32c3772976e8204c">
        <w:r>
          <w:rPr>
            <w:rStyle w:val="Hyperlink"/>
            <w:vertAlign w:val="superscript"/>
          </w:rPr>
          <w:t xml:space="preserve">[13]</w:t>
        </w:r>
      </w:hyperlink>
      <w:r>
        <w:t xml:space="preserve"> </w:t>
      </w:r>
      <w:r>
        <w:t xml:space="preserve">The Complaint alleges Goldman Sachs had invested $47 million in Clearwire, which "represent[ed] 84% of the total sums invested in Clearwire in March 2001, when Clearwire was otherwise virtually out of funds."</w:t>
      </w:r>
      <w:hyperlink w:anchor="X37575bc355c2632363b6fd6477a25f553a1a7aa">
        <w:r>
          <w:rPr>
            <w:rStyle w:val="Hyperlink"/>
            <w:vertAlign w:val="superscript"/>
          </w:rPr>
          <w:t xml:space="preserve">[14]</w:t>
        </w:r>
      </w:hyperlink>
    </w:p>
    <w:p>
      <w:pPr>
        <w:pStyle w:val="BlockText"/>
      </w:pPr>
      <w:r>
        <w:t xml:space="preserve">After March 2001, Clearwire had financial obligations related to its agreement with NACEPF and others that potentially exceeded $134 million, did not have the ability to raise sufficient cash from operations to pay its debts as they became due and was dependent on Goldman [98] Sachs to make additional investments to fund Clearwire's operations for the foreseeable future.</w:t>
      </w:r>
      <w:hyperlink w:anchor="X0c62ba4f4a57bf446f6ef72892107d427d1567c">
        <w:r>
          <w:rPr>
            <w:rStyle w:val="Hyperlink"/>
            <w:vertAlign w:val="superscript"/>
          </w:rPr>
          <w:t xml:space="preserve">[15]</w:t>
        </w:r>
      </w:hyperlink>
    </w:p>
    <w:p>
      <w:pPr>
        <w:pStyle w:val="CaseBody"/>
      </w:pPr>
      <w:r>
        <w:t xml:space="preserve">The Complaint also alleges:</w:t>
      </w:r>
    </w:p>
    <w:p>
      <w:pPr>
        <w:pStyle w:val="BlockText"/>
      </w:pPr>
      <w:r>
        <w:t xml:space="preserve">For example, upon the closing of the Master Agreement, Clearwire had approximately $29.2 million in cash and of that $24.3 million would be needed for future payments for spectrum to the Alliance members. Clearwire's "burn" rate was $2.1 million per month and it had then no significant revenues. The process of acquiring spectrum upon expiration of existing licenses was both time consuming and expensive, particularly if existing licenseholders contested the validity of any Clearwire offer that those license holders were required to match under their rights of first refusal.</w:t>
      </w:r>
      <w:hyperlink w:anchor="X31a751b2a880b8c4edb435a1db2e658687ab3a6">
        <w:r>
          <w:rPr>
            <w:rStyle w:val="Hyperlink"/>
            <w:vertAlign w:val="superscript"/>
          </w:rPr>
          <w:t xml:space="preserve">[16]</w:t>
        </w:r>
      </w:hyperlink>
    </w:p>
    <w:p>
      <w:pPr>
        <w:pStyle w:val="CaseBody"/>
      </w:pPr>
      <w:r>
        <w:t xml:space="preserve">Additionally, in the Complaint, NACEPF alleges that, "[b]y October 2003, Clearwire had been unable to obtain any further financing and effectively went out of business. Except for money advanced to it as a stopgap measure by Goldman Sachs in late 2001, Clearwire was never able to raise any significant money."</w:t>
      </w:r>
      <w:hyperlink w:anchor="X337c7f095fe66243210b8e7d13970f015a10f02">
        <w:r>
          <w:rPr>
            <w:rStyle w:val="Hyperlink"/>
            <w:vertAlign w:val="superscript"/>
          </w:rPr>
          <w:t xml:space="preserve">[17]</w:t>
        </w:r>
      </w:hyperlink>
    </w:p>
    <w:p>
      <w:pPr>
        <w:pStyle w:val="CaseBody"/>
      </w:pPr>
      <w:r>
        <w:t xml:space="preserve">The Court of Chancery opined that insolvency may be demonstrated by either showing (1) "a deficiency of assets below liabilities with no reasonable prospect that the business can be successfully continued in the face thereof,"</w:t>
      </w:r>
      <w:hyperlink w:anchor="X5349af8baa36edbe62a3340e0f6dc92977ffbe2">
        <w:r>
          <w:rPr>
            <w:rStyle w:val="Hyperlink"/>
            <w:vertAlign w:val="superscript"/>
          </w:rPr>
          <w:t xml:space="preserve">[18]</w:t>
        </w:r>
      </w:hyperlink>
      <w:r>
        <w:t xml:space="preserve"> </w:t>
      </w:r>
      <w:r>
        <w:t xml:space="preserve">or (2) "an inability to meet maturing obligations as they fall due in the ordinary course of business."</w:t>
      </w:r>
      <w:hyperlink w:anchor="Xa62f7beba1d07ef1c336e4f70844b4609689691">
        <w:r>
          <w:rPr>
            <w:rStyle w:val="Hyperlink"/>
            <w:vertAlign w:val="superscript"/>
          </w:rPr>
          <w:t xml:space="preserve">[19]</w:t>
        </w:r>
      </w:hyperlink>
      <w:r>
        <w:t xml:space="preserve"> </w:t>
      </w:r>
      <w:r>
        <w:t xml:space="preserve">Applying the standards applicable to review under Rule 12(b)(6), the Court of Chancery concluded that NACEPF had satisfactorily alleged facts which permitted a reasonable inference that Clearwire operated in the zone of insolvency</w:t>
      </w:r>
      <w:hyperlink w:anchor="X86f3e2d11f518aafb10cc87d24fbba97c1a714a">
        <w:r>
          <w:rPr>
            <w:rStyle w:val="Hyperlink"/>
            <w:vertAlign w:val="superscript"/>
          </w:rPr>
          <w:t xml:space="preserve">[20]</w:t>
        </w:r>
      </w:hyperlink>
      <w:r>
        <w:t xml:space="preserve"> </w:t>
      </w:r>
      <w:r>
        <w:t xml:space="preserve">during at least a substantial portion of the relevant periods for purposes of this motion to dismiss. The Court of Chancery also concluded that insolvency had been adequately alleged in the Complaint, for Rule 12(b)(6) purposes, for at least a portion of the relevant periods following execution of the Master Agreement.</w:t>
      </w:r>
    </w:p>
    <w:p>
      <w:pPr>
        <w:pStyle w:val="CaseBody"/>
      </w:pPr>
      <w:r>
        <w:rPr>
          <w:iCs/>
          <w:i/>
        </w:rPr>
        <w:t xml:space="preserve">Corporations in the Zone of Insolvency Direct Claims for Breach of Fiduciary Duty May Not Be Asserted by Creditors</w:t>
      </w:r>
    </w:p>
    <w:p>
      <w:pPr>
        <w:pStyle w:val="CaseBody"/>
      </w:pPr>
      <w:r>
        <w:t xml:space="preserve">In order to withstand the Defendant's Rule 12(b)(6) motion to dismiss, the Plaintiff [99] was required to demonstrate that the breach of fiduciary duty claims set forth in Count II are cognizable under Delaware law.</w:t>
      </w:r>
      <w:hyperlink w:anchor="X7e56631c4b7aeb969397daf35515b1a84ebbc88">
        <w:r>
          <w:rPr>
            <w:rStyle w:val="Hyperlink"/>
            <w:vertAlign w:val="superscript"/>
          </w:rPr>
          <w:t xml:space="preserve">[21]</w:t>
        </w:r>
      </w:hyperlink>
      <w:r>
        <w:t xml:space="preserve"> </w:t>
      </w:r>
      <w:r>
        <w:t xml:space="preserve">This procedural requirement requires us to address a substantive question of first impression that is raised by the present appeal: as a matter of Delaware law, can the</w:t>
      </w:r>
      <w:r>
        <w:t xml:space="preserve"> </w:t>
      </w:r>
      <w:r>
        <w:rPr>
          <w:iCs/>
          <w:i/>
        </w:rPr>
        <w:t xml:space="preserve">creditor</w:t>
      </w:r>
      <w:r>
        <w:t xml:space="preserve"> </w:t>
      </w:r>
      <w:r>
        <w:t xml:space="preserve">of a corporation that is operating within the</w:t>
      </w:r>
      <w:r>
        <w:t xml:space="preserve"> </w:t>
      </w:r>
      <w:r>
        <w:rPr>
          <w:iCs/>
          <w:i/>
        </w:rPr>
        <w:t xml:space="preserve">zone of insolvency</w:t>
      </w:r>
      <w:r>
        <w:t xml:space="preserve"> </w:t>
      </w:r>
      <w:r>
        <w:t xml:space="preserve">bring a</w:t>
      </w:r>
      <w:r>
        <w:t xml:space="preserve"> </w:t>
      </w:r>
      <w:r>
        <w:rPr>
          <w:iCs/>
          <w:i/>
        </w:rPr>
        <w:t xml:space="preserve">direct action</w:t>
      </w:r>
      <w:r>
        <w:t xml:space="preserve"> </w:t>
      </w:r>
      <w:r>
        <w:t xml:space="preserve">against its directors for an alleged</w:t>
      </w:r>
      <w:r>
        <w:t xml:space="preserve"> </w:t>
      </w:r>
      <w:r>
        <w:rPr>
          <w:iCs/>
          <w:i/>
        </w:rPr>
        <w:t xml:space="preserve">breach of fiduciary</w:t>
      </w:r>
      <w:r>
        <w:t xml:space="preserve"> </w:t>
      </w:r>
      <w:r>
        <w:t xml:space="preserve">duty?</w:t>
      </w:r>
    </w:p>
    <w:p>
      <w:pPr>
        <w:pStyle w:val="CaseBody"/>
      </w:pPr>
      <w:r>
        <w:t xml:space="preserve">It is well established that the directors owe their fiduciary obligations to the corporation and its shareholders.</w:t>
      </w:r>
      <w:hyperlink w:anchor="Xd4e5fb1d683f210771ea187704cec5e5502abe6">
        <w:r>
          <w:rPr>
            <w:rStyle w:val="Hyperlink"/>
            <w:vertAlign w:val="superscript"/>
          </w:rPr>
          <w:t xml:space="preserve">[22]</w:t>
        </w:r>
      </w:hyperlink>
      <w:r>
        <w:t xml:space="preserve"> </w:t>
      </w:r>
      <w:r>
        <w:t xml:space="preserve">While shareholders rely on directors acting as fiduciaries to protect their interests, creditors are afforded protection through contractual agreements, fraud and fraudulent conveyance law, implied covenants of good faith and fair dealing, bankruptcy law, general commercial law and other sources of creditor rights.</w:t>
      </w:r>
      <w:hyperlink w:anchor="Xdc12fdab4558b38f713cf7536bafbcc301d4c37">
        <w:r>
          <w:rPr>
            <w:rStyle w:val="Hyperlink"/>
            <w:vertAlign w:val="superscript"/>
          </w:rPr>
          <w:t xml:space="preserve">[23]</w:t>
        </w:r>
      </w:hyperlink>
      <w:r>
        <w:t xml:space="preserve"> </w:t>
      </w:r>
      <w:r>
        <w:t xml:space="preserve">Delaware courts have traditionally been reluctant to expand existing fiduciary duties.</w:t>
      </w:r>
      <w:hyperlink w:anchor="X8d663778dfde410231a861ba1b33d89841abb92">
        <w:r>
          <w:rPr>
            <w:rStyle w:val="Hyperlink"/>
            <w:vertAlign w:val="superscript"/>
          </w:rPr>
          <w:t xml:space="preserve">[24]</w:t>
        </w:r>
      </w:hyperlink>
      <w:r>
        <w:t xml:space="preserve"> </w:t>
      </w:r>
      <w:r>
        <w:t xml:space="preserve">Accordingly, "the general rule is that directors do not owe creditors duties beyond the relevant contractual terms."</w:t>
      </w:r>
      <w:hyperlink w:anchor="Xcabc3beabdd5b97ecdb07b03dcd2624b3f08100">
        <w:r>
          <w:rPr>
            <w:rStyle w:val="Hyperlink"/>
            <w:vertAlign w:val="superscript"/>
          </w:rPr>
          <w:t xml:space="preserve">[25]</w:t>
        </w:r>
      </w:hyperlink>
    </w:p>
    <w:p>
      <w:pPr>
        <w:pStyle w:val="CaseBody"/>
      </w:pPr>
      <w:r>
        <w:t xml:space="preserve">In this case, NACEPF argues that when a corporation is in the zone of insolvency, this Court should recognize a new direct right for creditors to challenge directors' exercise of business judgments as breaches of the fiduciary duties owed to them. This Court has never directly addressed the zone of insolvency issue involving directors' purported fiduciary duties to creditors that is presented by NACEPF in this appeal.</w:t>
      </w:r>
      <w:hyperlink w:anchor="X7eb7c995e897ebc6b421245d74568141ee51209">
        <w:r>
          <w:rPr>
            <w:rStyle w:val="Hyperlink"/>
            <w:vertAlign w:val="superscript"/>
          </w:rPr>
          <w:t xml:space="preserve">[26]</w:t>
        </w:r>
      </w:hyperlink>
      <w:r>
        <w:t xml:space="preserve"> </w:t>
      </w:r>
      <w:r>
        <w:t xml:space="preserve">That subject has been discussed, however, in several judicial opinions</w:t>
      </w:r>
      <w:hyperlink w:anchor="X12b00d6348d6804d1ad835d2fa6d79dcbbcb71a">
        <w:r>
          <w:rPr>
            <w:rStyle w:val="Hyperlink"/>
            <w:vertAlign w:val="superscript"/>
          </w:rPr>
          <w:t xml:space="preserve">[27]</w:t>
        </w:r>
      </w:hyperlink>
      <w:r>
        <w:t xml:space="preserve"> </w:t>
      </w:r>
      <w:r>
        <w:t xml:space="preserve">and many scholarly articles.</w:t>
      </w:r>
      <w:hyperlink w:anchor="X8041c409cebdbd23601a106115b1821333e8b9e">
        <w:r>
          <w:rPr>
            <w:rStyle w:val="Hyperlink"/>
            <w:vertAlign w:val="superscript"/>
          </w:rPr>
          <w:t xml:space="preserve">[28]</w:t>
        </w:r>
      </w:hyperlink>
    </w:p>
    <w:p>
      <w:pPr>
        <w:pStyle w:val="CaseBody"/>
      </w:pPr>
      <w:r>
        <w:t xml:space="preserve">[100] In</w:t>
      </w:r>
      <w:r>
        <w:t xml:space="preserve"> </w:t>
      </w:r>
      <w:r>
        <w:rPr>
          <w:iCs/>
          <w:i/>
        </w:rPr>
        <w:t xml:space="preserve">Production Resources,</w:t>
      </w:r>
      <w:r>
        <w:t xml:space="preserve"> </w:t>
      </w:r>
      <w:r>
        <w:t xml:space="preserve">the Court of Chancery remarked that recognition of fiduciary duties to creditors in the "zone of insolvency" context may involve:</w:t>
      </w:r>
    </w:p>
    <w:p>
      <w:pPr>
        <w:pStyle w:val="BlockText"/>
      </w:pPr>
      <w:r>
        <w:t xml:space="preserve">"using the law of fiduciary duty to fill gaps that do not exist. Creditors are often protected by strong covenants, liens on assets, and other negotiated contractual protections. The implied covenant of good faith and fair dealing also protects creditors. So does the law of fraudulent conveyance. With these protections, when creditors are unable to prove that a corporation or its directors breached any of the specific legal duties owed to them, one would think that the conceptual room for concluding that the creditors were somehow, nevertheless, injured by inequitable conduct would be extremely small,</w:t>
      </w:r>
      <w:r>
        <w:t xml:space="preserve"> </w:t>
      </w:r>
      <w:r>
        <w:rPr>
          <w:iCs/>
          <w:i/>
        </w:rPr>
        <w:t xml:space="preserve">if extant.</w:t>
      </w:r>
      <w:r>
        <w:t xml:space="preserve"> </w:t>
      </w:r>
      <w:r>
        <w:t xml:space="preserve">Having complied with all legal obligations owed to the firm's creditors, the board would, in that scenario, ordinarily be free to take economic risk for the benefit of the firm's equity owners, so long as the directors comply with their fiduciary duties to the firm by selecting and pursuing with fidelity and prudence a plausible strategy to maximize the firm's value."</w:t>
      </w:r>
      <w:hyperlink w:anchor="X60300069909fd63b456b34f1014cf27696d0375">
        <w:r>
          <w:rPr>
            <w:rStyle w:val="Hyperlink"/>
            <w:vertAlign w:val="superscript"/>
          </w:rPr>
          <w:t xml:space="preserve">[29]</w:t>
        </w:r>
      </w:hyperlink>
    </w:p>
    <w:p>
      <w:pPr>
        <w:pStyle w:val="CaseBody"/>
      </w:pPr>
      <w:r>
        <w:t xml:space="preserve">In this case, the Court of Chancery noted that creditors' existing protections — among which are the protections afforded by their negotiated agreements, their security instruments, the implied covenant of good faith and fair dealing, fraudulent conveyance law, and bankruptcy law — render the imposition of an additional, unique layer of protection through direct claims for breach of fiduciary duty unnecessary.</w:t>
      </w:r>
      <w:hyperlink w:anchor="X624b289dda4ba6da4cc0d85a027e5bc2c2a1c54">
        <w:r>
          <w:rPr>
            <w:rStyle w:val="Hyperlink"/>
            <w:vertAlign w:val="superscript"/>
          </w:rPr>
          <w:t xml:space="preserve">[30]</w:t>
        </w:r>
      </w:hyperlink>
      <w:r>
        <w:t xml:space="preserve"> </w:t>
      </w:r>
      <w:r>
        <w:t xml:space="preserve">It also noted that "any benefit to be derived by the recognition of such additional direct claims appears minimal, at best, and significantly outweighed by the costs to economic efficiency."</w:t>
      </w:r>
      <w:hyperlink w:anchor="X4313991c4eee1175ceeaf0ab77b313928338eef">
        <w:r>
          <w:rPr>
            <w:rStyle w:val="Hyperlink"/>
            <w:vertAlign w:val="superscript"/>
          </w:rPr>
          <w:t xml:space="preserve">[31]</w:t>
        </w:r>
      </w:hyperlink>
      <w:r>
        <w:t xml:space="preserve"> </w:t>
      </w:r>
      <w:r>
        <w:t xml:space="preserve">The Court of Chancery reasoned that "an otherwise solvent corporation operating in the zone of insolvency is one in most need of effective and proactive leadership — as well as the ability to negotiate in good faith with its creditors — [101] goals which would likely be significantly undermined by the prospect of individual liability arising from the pursuit of direct claims by creditors."</w:t>
      </w:r>
      <w:hyperlink w:anchor="Xe922cc5aff0d4736bdd0e57c8b65079b74a819c">
        <w:r>
          <w:rPr>
            <w:rStyle w:val="Hyperlink"/>
            <w:vertAlign w:val="superscript"/>
          </w:rPr>
          <w:t xml:space="preserve">[32]</w:t>
        </w:r>
      </w:hyperlink>
      <w:r>
        <w:t xml:space="preserve"> </w:t>
      </w:r>
      <w:r>
        <w:t xml:space="preserve">We agree.</w:t>
      </w:r>
    </w:p>
    <w:p>
      <w:pPr>
        <w:pStyle w:val="CaseBody"/>
      </w:pPr>
      <w:r>
        <w:t xml:space="preserve">Delaware corporate law provides for a separation of control and ownership.</w:t>
      </w:r>
      <w:hyperlink w:anchor="X036815041211237a150ae251fb332e37fc4ea25">
        <w:r>
          <w:rPr>
            <w:rStyle w:val="Hyperlink"/>
            <w:vertAlign w:val="superscript"/>
          </w:rPr>
          <w:t xml:space="preserve">[33]</w:t>
        </w:r>
      </w:hyperlink>
      <w:r>
        <w:t xml:space="preserve"> </w:t>
      </w:r>
      <w:r>
        <w:t xml:space="preserve">The directors of Delaware corporations have "the legal responsibility to manage the business of a corporation for the benefit of its shareholders owners."</w:t>
      </w:r>
      <w:hyperlink w:anchor="X893d3a379ceb87fec76bbb7018a7193433a34a7">
        <w:r>
          <w:rPr>
            <w:rStyle w:val="Hyperlink"/>
            <w:vertAlign w:val="superscript"/>
          </w:rPr>
          <w:t xml:space="preserve">[34]</w:t>
        </w:r>
      </w:hyperlink>
      <w:r>
        <w:t xml:space="preserve"> </w:t>
      </w:r>
      <w:r>
        <w:t xml:space="preserve">Accordingly, fiduciary duties are imposed upon the directors to regulate their conduct when they perform</w:t>
      </w:r>
      <w:r>
        <w:t xml:space="preserve"> </w:t>
      </w:r>
      <w:r>
        <w:rPr>
          <w:iCs/>
          <w:i/>
        </w:rPr>
        <w:t xml:space="preserve">that</w:t>
      </w:r>
      <w:r>
        <w:t xml:space="preserve"> </w:t>
      </w:r>
      <w:r>
        <w:t xml:space="preserve">function. Although the fiduciary duties of the directors of a Delaware corporation are unremitting:</w:t>
      </w:r>
    </w:p>
    <w:p>
      <w:pPr>
        <w:pStyle w:val="BlockText"/>
      </w:pPr>
      <w:r>
        <w:t xml:space="preserve">the exact cause of conduct that must be charted to properly discharge that responsibility will change in the specific context of the action the director is taking with regard to either the corporation or its shareholders. This Court has endeavored to provide the directors with clear signal beacons and brightly lined channel markers as they navigate with due care, good faith, a loyalty on behalf of a Delaware corporation and its shareholders. This Court has also endeavored to mark the safe harbors clearly.</w:t>
      </w:r>
      <w:hyperlink w:anchor="X0554759cfc461d293d73ad6c13f61761db2900a">
        <w:r>
          <w:rPr>
            <w:rStyle w:val="Hyperlink"/>
            <w:vertAlign w:val="superscript"/>
          </w:rPr>
          <w:t xml:space="preserve">[35]</w:t>
        </w:r>
      </w:hyperlink>
    </w:p>
    <w:p>
      <w:pPr>
        <w:pStyle w:val="CaseBody"/>
      </w:pPr>
      <w:r>
        <w:t xml:space="preserve">In this case, the need for providing directors with definitive guidance compels us to hold that no direct claim for breach of fiduciary duties may be asserted by the creditors of a solvent corporation that is operating in the zone of insolvency. When a solvent corporation is navigating in the zone of insolvency, the focus for Delaware directors does not change: directors must continue to discharge their fiduciary duties to the corporation and its shareholders by exercising their business judgment in the best interests of the corporation for the benefit of its shareholder owners. Therefore, we hold the Court of Chancery properly concluded that Count II of the NACEPF Complaint fails to state a claim, as a matter of Delaware law, to the extent that it attempts to assert a direct claim for breach of fiduciary duty to a creditor while Clearwire was operating in the zone of insolvency.</w:t>
      </w:r>
    </w:p>
    <w:bookmarkEnd w:id="191"/>
    <w:bookmarkStart w:id="192" w:name="X4cdffd4ee5324c2ce1598f1ba6dd36d477c9bab"/>
    <w:p>
      <w:pPr>
        <w:pStyle w:val="Heading2"/>
      </w:pPr>
      <w:r>
        <w:rPr>
          <w:iCs/>
          <w:i/>
        </w:rPr>
        <w:t xml:space="preserve">Insolvent Corporations Direct Claims For Breach of Fiduciary Duty May Not Be Asserted by Creditors</w:t>
      </w:r>
    </w:p>
    <w:p>
      <w:pPr>
        <w:pStyle w:val="CaseBody"/>
      </w:pPr>
      <w:r>
        <w:t xml:space="preserve">It is well settled that directors owe fiduciary duties to the corporation.</w:t>
      </w:r>
      <w:hyperlink w:anchor="X397d8d4f8841069cbaecfe70db50bf53d04efff">
        <w:r>
          <w:rPr>
            <w:rStyle w:val="Hyperlink"/>
            <w:vertAlign w:val="superscript"/>
          </w:rPr>
          <w:t xml:space="preserve">[36]</w:t>
        </w:r>
      </w:hyperlink>
      <w:r>
        <w:t xml:space="preserve"> </w:t>
      </w:r>
      <w:r>
        <w:t xml:space="preserve">When a corporation is</w:t>
      </w:r>
      <w:r>
        <w:t xml:space="preserve"> </w:t>
      </w:r>
      <w:r>
        <w:rPr>
          <w:iCs/>
          <w:i/>
        </w:rPr>
        <w:t xml:space="preserve">solvent,</w:t>
      </w:r>
      <w:r>
        <w:t xml:space="preserve"> </w:t>
      </w:r>
      <w:r>
        <w:t xml:space="preserve">those duties may be enforced by its shareholders, who have standing to bring</w:t>
      </w:r>
      <w:r>
        <w:t xml:space="preserve"> </w:t>
      </w:r>
      <w:r>
        <w:rPr>
          <w:iCs/>
          <w:i/>
        </w:rPr>
        <w:t xml:space="preserve">derivative</w:t>
      </w:r>
      <w:r>
        <w:t xml:space="preserve"> </w:t>
      </w:r>
      <w:r>
        <w:t xml:space="preserve">actions on behalf of the corporation because they are the ultimate beneficiaries of the corporation's growth and increased value.</w:t>
      </w:r>
      <w:hyperlink w:anchor="X148adfd59cdd396e63079226f2f513061897a51">
        <w:r>
          <w:rPr>
            <w:rStyle w:val="Hyperlink"/>
            <w:vertAlign w:val="superscript"/>
          </w:rPr>
          <w:t xml:space="preserve">[37]</w:t>
        </w:r>
      </w:hyperlink>
      <w:r>
        <w:t xml:space="preserve"> </w:t>
      </w:r>
      <w:r>
        <w:t xml:space="preserve">When a corporation is</w:t>
      </w:r>
      <w:r>
        <w:t xml:space="preserve"> </w:t>
      </w:r>
      <w:r>
        <w:rPr>
          <w:iCs/>
          <w:i/>
        </w:rPr>
        <w:t xml:space="preserve">insolvent,</w:t>
      </w:r>
      <w:r>
        <w:t xml:space="preserve"> </w:t>
      </w:r>
      <w:r>
        <w:t xml:space="preserve">however, its creditors take the place of the shareholders as the residual beneficiaries of any increase in value.</w:t>
      </w:r>
    </w:p>
    <w:p>
      <w:pPr>
        <w:pStyle w:val="CaseBody"/>
      </w:pPr>
      <w:r>
        <w:t xml:space="preserve">Consequently, the creditors of an</w:t>
      </w:r>
      <w:r>
        <w:t xml:space="preserve"> </w:t>
      </w:r>
      <w:r>
        <w:rPr>
          <w:iCs/>
          <w:i/>
        </w:rPr>
        <w:t xml:space="preserve">insolvent</w:t>
      </w:r>
      <w:r>
        <w:t xml:space="preserve"> </w:t>
      </w:r>
      <w:r>
        <w:t xml:space="preserve">corporation have standing to maintain derivative claims against directors on behalf of the corporation for breaches of fiduciary duties.</w:t>
      </w:r>
      <w:hyperlink w:anchor="X5453529129b99be129ffcc1906bc7db60e80a5f">
        <w:r>
          <w:rPr>
            <w:rStyle w:val="Hyperlink"/>
            <w:vertAlign w:val="superscript"/>
          </w:rPr>
          <w:t xml:space="preserve">[38]</w:t>
        </w:r>
      </w:hyperlink>
      <w:r>
        <w:t xml:space="preserve"> </w:t>
      </w:r>
      <w:r>
        <w:t xml:space="preserve">The corporation's [102] insolvency "makes the creditors the principal constituency injured by any fiduciary breaches that diminish the firm's value."</w:t>
      </w:r>
      <w:hyperlink w:anchor="Xe6d556211f7be1a709794158a1193b3d71e15ae">
        <w:r>
          <w:rPr>
            <w:rStyle w:val="Hyperlink"/>
            <w:vertAlign w:val="superscript"/>
          </w:rPr>
          <w:t xml:space="preserve">[39]</w:t>
        </w:r>
      </w:hyperlink>
      <w:r>
        <w:t xml:space="preserve"> </w:t>
      </w:r>
      <w:r>
        <w:t xml:space="preserve">Therefore, equitable considerations give creditors standing to pursue derivative claims against the directors of an insolvent corporation. Individual creditors of an insolvent corporation have the same incentive to pursue valid derivative claims on its behalf that shareholders have when the corporation is solvent.</w:t>
      </w:r>
    </w:p>
    <w:p>
      <w:pPr>
        <w:pStyle w:val="CaseBody"/>
      </w:pPr>
      <w:r>
        <w:t xml:space="preserve">In</w:t>
      </w:r>
      <w:r>
        <w:t xml:space="preserve"> </w:t>
      </w:r>
      <w:r>
        <w:rPr>
          <w:iCs/>
          <w:i/>
        </w:rPr>
        <w:t xml:space="preserve">Production Resources,</w:t>
      </w:r>
      <w:r>
        <w:t xml:space="preserve"> </w:t>
      </w:r>
      <w:r>
        <w:t xml:space="preserve">the Court of Chancery recognized that — in most, if not all instances — creditors of insolvent corporations could bring derivative claims against directors of an insolvent corporation for breach of fiduciary duty. In that case, in response to the creditor plaintiff's contention that derivative claims for breach of fiduciary duty were transformed into</w:t>
      </w:r>
      <w:r>
        <w:t xml:space="preserve"> </w:t>
      </w:r>
      <w:r>
        <w:rPr>
          <w:iCs/>
          <w:i/>
        </w:rPr>
        <w:t xml:space="preserve">direct</w:t>
      </w:r>
      <w:r>
        <w:t xml:space="preserve"> </w:t>
      </w:r>
      <w:r>
        <w:t xml:space="preserve">claims upon insolvency, the Court of Chancery stated:</w:t>
      </w:r>
    </w:p>
    <w:p>
      <w:pPr>
        <w:pStyle w:val="BlockText"/>
      </w:pPr>
      <w:r>
        <w:t xml:space="preserve">The fact that the corporation has become insolvent does not turn [derivative] claims into direct creditor claims, it simply provides creditors with standing to assert those claims. At all times, claims of this kind belong to the corporation itself because even if the improper acts occur when the firm is insolvent, they operate to injure the firm in the first instance by reducing its value, injuring creditors only indirectly by diminishing the value of the firm and therefore the assets from which the creditors may satisfy their claims.</w:t>
      </w:r>
      <w:hyperlink w:anchor="Xf62267a9b7dd5d71a508b86946eb2af32e42f13">
        <w:r>
          <w:rPr>
            <w:rStyle w:val="Hyperlink"/>
            <w:vertAlign w:val="superscript"/>
          </w:rPr>
          <w:t xml:space="preserve">[40]</w:t>
        </w:r>
      </w:hyperlink>
    </w:p>
    <w:p>
      <w:pPr>
        <w:pStyle w:val="CaseBody"/>
      </w:pPr>
      <w:r>
        <w:t xml:space="preserve">Nevertheless, in</w:t>
      </w:r>
      <w:r>
        <w:t xml:space="preserve"> </w:t>
      </w:r>
      <w:r>
        <w:rPr>
          <w:iCs/>
          <w:i/>
        </w:rPr>
        <w:t xml:space="preserve">Production Resources,</w:t>
      </w:r>
      <w:r>
        <w:t xml:space="preserve"> </w:t>
      </w:r>
      <w:r>
        <w:t xml:space="preserve">the Court of Chancery stated that it was "not prepared to rule out" the</w:t>
      </w:r>
      <w:r>
        <w:t xml:space="preserve"> </w:t>
      </w:r>
      <w:r>
        <w:rPr>
          <w:iCs/>
          <w:i/>
        </w:rPr>
        <w:t xml:space="preserve">possibility</w:t>
      </w:r>
      <w:r>
        <w:t xml:space="preserve"> </w:t>
      </w:r>
      <w:r>
        <w:t xml:space="preserve">that the creditor plaintiff had alleged conduct that "might support" a</w:t>
      </w:r>
      <w:r>
        <w:t xml:space="preserve"> </w:t>
      </w:r>
      <w:r>
        <w:rPr>
          <w:iCs/>
          <w:i/>
        </w:rPr>
        <w:t xml:space="preserve">limited</w:t>
      </w:r>
      <w:r>
        <w:t xml:space="preserve"> </w:t>
      </w:r>
      <w:r>
        <w:t xml:space="preserve">direct claim.</w:t>
      </w:r>
      <w:hyperlink w:anchor="X2987a25f585226c0d2476f718eaa4ad2964f5e6">
        <w:r>
          <w:rPr>
            <w:rStyle w:val="Hyperlink"/>
            <w:vertAlign w:val="superscript"/>
          </w:rPr>
          <w:t xml:space="preserve">[41]</w:t>
        </w:r>
      </w:hyperlink>
      <w:r>
        <w:t xml:space="preserve"> </w:t>
      </w:r>
      <w:r>
        <w:t xml:space="preserve">Since the complaint in</w:t>
      </w:r>
      <w:r>
        <w:t xml:space="preserve"> </w:t>
      </w:r>
      <w:r>
        <w:rPr>
          <w:iCs/>
          <w:i/>
        </w:rPr>
        <w:t xml:space="preserve">Production Resources</w:t>
      </w:r>
      <w:r>
        <w:t xml:space="preserve"> </w:t>
      </w:r>
      <w:r>
        <w:t xml:space="preserve">sufficiently alleged a derivative claim, however, it was unnecessary to decide if creditors had a legal right to bring direct fiduciary claims against directors in the insolvency context.</w:t>
      </w:r>
      <w:hyperlink w:anchor="X34dcace958d3c18e914b13ecded20b685901194">
        <w:r>
          <w:rPr>
            <w:rStyle w:val="Hyperlink"/>
            <w:vertAlign w:val="superscript"/>
          </w:rPr>
          <w:t xml:space="preserve">[42]</w:t>
        </w:r>
      </w:hyperlink>
    </w:p>
    <w:p>
      <w:pPr>
        <w:pStyle w:val="CaseBody"/>
      </w:pPr>
      <w:r>
        <w:t xml:space="preserve">In this case, NACEPF did not attempt to allege a derivative claim in Count II of its Complaint. It only asserted a</w:t>
      </w:r>
      <w:r>
        <w:t xml:space="preserve"> </w:t>
      </w:r>
      <w:r>
        <w:rPr>
          <w:iCs/>
          <w:i/>
        </w:rPr>
        <w:t xml:space="preserve">direct</w:t>
      </w:r>
      <w:r>
        <w:t xml:space="preserve"> </w:t>
      </w:r>
      <w:r>
        <w:t xml:space="preserve">claim against the director Defendants for alleged breaches of fiduciary duty when Clearwire was insolvent. The Court of Chancery did not decide that issue. Instead, the Court of Chancery</w:t>
      </w:r>
      <w:r>
        <w:t xml:space="preserve"> </w:t>
      </w:r>
      <w:r>
        <w:rPr>
          <w:iCs/>
          <w:i/>
        </w:rPr>
        <w:t xml:space="preserve">assumed arguendo</w:t>
      </w:r>
      <w:r>
        <w:t xml:space="preserve"> </w:t>
      </w:r>
      <w:r>
        <w:t xml:space="preserve">that a direct claim for a breach of fiduciary duty to a creditor is legally cognizable in the context of actual insolvency. It then held that Count II of NACEPF's Complaint failed to state such a direct creditor claim because it did not satisfy the pleading requirements described by the decisions in</w:t>
      </w:r>
      <w:r>
        <w:t xml:space="preserve"> </w:t>
      </w:r>
      <w:r>
        <w:rPr>
          <w:iCs/>
          <w:i/>
        </w:rPr>
        <w:t xml:space="preserve">Production Resources</w:t>
      </w:r>
      <w:hyperlink w:anchor="X0930062a4e0284598fd740ee928d8b5cd264eb7">
        <w:r>
          <w:rPr>
            <w:rStyle w:val="Hyperlink"/>
            <w:vertAlign w:val="superscript"/>
          </w:rPr>
          <w:t xml:space="preserve">[43]</w:t>
        </w:r>
      </w:hyperlink>
      <w:r>
        <w:t xml:space="preserve"> </w:t>
      </w:r>
      <w:r>
        <w:t xml:space="preserve">and [103]</w:t>
      </w:r>
      <w:r>
        <w:t xml:space="preserve"> </w:t>
      </w:r>
      <w:r>
        <w:rPr>
          <w:iCs/>
          <w:i/>
        </w:rPr>
        <w:t xml:space="preserve">Big Lots Stores, Inc. v. Bain Capital Fund VII, LLC.</w:t>
      </w:r>
      <w:hyperlink w:anchor="X702674cb325284a3f377f420aad65a56529cb03">
        <w:r>
          <w:rPr>
            <w:rStyle w:val="Hyperlink"/>
            <w:vertAlign w:val="superscript"/>
          </w:rPr>
          <w:t xml:space="preserve">[44]</w:t>
        </w:r>
      </w:hyperlink>
    </w:p>
    <w:p>
      <w:pPr>
        <w:pStyle w:val="CaseBody"/>
      </w:pPr>
      <w:r>
        <w:t xml:space="preserve">To date, the Court of Chancery has never recognized that a creditor has the right to assert a</w:t>
      </w:r>
      <w:r>
        <w:t xml:space="preserve"> </w:t>
      </w:r>
      <w:r>
        <w:rPr>
          <w:iCs/>
          <w:i/>
        </w:rPr>
        <w:t xml:space="preserve">direct</w:t>
      </w:r>
      <w:r>
        <w:t xml:space="preserve"> </w:t>
      </w:r>
      <w:r>
        <w:t xml:space="preserve">claim for breach of fiduciary duty against the directors of an</w:t>
      </w:r>
      <w:r>
        <w:t xml:space="preserve"> </w:t>
      </w:r>
      <w:r>
        <w:rPr>
          <w:iCs/>
          <w:i/>
        </w:rPr>
        <w:t xml:space="preserve">insolvent</w:t>
      </w:r>
      <w:r>
        <w:t xml:space="preserve"> </w:t>
      </w:r>
      <w:r>
        <w:t xml:space="preserve">corporation. However, prior to this opinion, that possibility remained an open question because of the "arguendo assumption" in this case and the</w:t>
      </w:r>
      <w:r>
        <w:t xml:space="preserve"> </w:t>
      </w:r>
      <w:r>
        <w:rPr>
          <w:iCs/>
          <w:i/>
        </w:rPr>
        <w:t xml:space="preserve">dicta</w:t>
      </w:r>
      <w:r>
        <w:t xml:space="preserve"> </w:t>
      </w:r>
      <w:r>
        <w:t xml:space="preserve">in</w:t>
      </w:r>
      <w:r>
        <w:t xml:space="preserve"> </w:t>
      </w:r>
      <w:r>
        <w:rPr>
          <w:iCs/>
          <w:i/>
        </w:rPr>
        <w:t xml:space="preserve">Production Resources</w:t>
      </w:r>
      <w:r>
        <w:t xml:space="preserve"> </w:t>
      </w:r>
      <w:r>
        <w:t xml:space="preserve">and</w:t>
      </w:r>
      <w:r>
        <w:t xml:space="preserve"> </w:t>
      </w:r>
      <w:r>
        <w:rPr>
          <w:iCs/>
          <w:i/>
        </w:rPr>
        <w:t xml:space="preserve">Big Lots Stores.</w:t>
      </w:r>
      <w:r>
        <w:t xml:space="preserve"> </w:t>
      </w:r>
      <w:r>
        <w:t xml:space="preserve">In this opinion, we recognize "the pragmatic conduct-regulating legal realms . . . calls for more precise conceptual line drawing."</w:t>
      </w:r>
      <w:hyperlink w:anchor="X01399fa2ef5fce9101550b8e3211087827504d8">
        <w:r>
          <w:rPr>
            <w:rStyle w:val="Hyperlink"/>
            <w:vertAlign w:val="superscript"/>
          </w:rPr>
          <w:t xml:space="preserve">[45]</w:t>
        </w:r>
      </w:hyperlink>
    </w:p>
    <w:p>
      <w:pPr>
        <w:pStyle w:val="CaseBody"/>
      </w:pPr>
      <w:r>
        <w:t xml:space="preserve">Recognizing that directors of an insolvent corporation owe direct fiduciary duties to creditors, would create uncertainty for directors who have a fiduciary duty to exercise their business judgment in the best interest of the insolvent corporation. To recognize a new right for creditors to bring direct fiduciary claims against those directors would create a conflict between those directors' duty to maximize the value of the insolvent corporation for the benefit of all those having an interest in it, and the newly recognized direct fiduciary duty to individual creditors. Directors of insolvent corporations must retain the freedom to engage in vigorous, good faith negotiations with individual creditors for the benefit of the corporation.</w:t>
      </w:r>
      <w:hyperlink w:anchor="X65c89d68084ba41769e71ba4ba6058910f14b0b">
        <w:r>
          <w:rPr>
            <w:rStyle w:val="Hyperlink"/>
            <w:vertAlign w:val="superscript"/>
          </w:rPr>
          <w:t xml:space="preserve">[46]</w:t>
        </w:r>
      </w:hyperlink>
      <w:r>
        <w:t xml:space="preserve"> </w:t>
      </w:r>
      <w:r>
        <w:t xml:space="preserve">Accordingly, we hold that individual</w:t>
      </w:r>
      <w:r>
        <w:t xml:space="preserve"> </w:t>
      </w:r>
      <w:r>
        <w:rPr>
          <w:iCs/>
          <w:i/>
        </w:rPr>
        <w:t xml:space="preserve">creditors</w:t>
      </w:r>
      <w:r>
        <w:t xml:space="preserve"> </w:t>
      </w:r>
      <w:r>
        <w:t xml:space="preserve">of an</w:t>
      </w:r>
      <w:r>
        <w:t xml:space="preserve"> </w:t>
      </w:r>
      <w:r>
        <w:rPr>
          <w:iCs/>
          <w:i/>
        </w:rPr>
        <w:t xml:space="preserve">insolvent</w:t>
      </w:r>
      <w:r>
        <w:t xml:space="preserve"> </w:t>
      </w:r>
      <w:r>
        <w:t xml:space="preserve">corporation have</w:t>
      </w:r>
      <w:r>
        <w:t xml:space="preserve"> </w:t>
      </w:r>
      <w:r>
        <w:rPr>
          <w:iCs/>
          <w:i/>
        </w:rPr>
        <w:t xml:space="preserve">no right to assert direct</w:t>
      </w:r>
      <w:r>
        <w:t xml:space="preserve"> </w:t>
      </w:r>
      <w:r>
        <w:t xml:space="preserve">claims for breach of fiduciary duty against corporate directors. Creditors may nonetheless protect their interest by bringing derivative claims on behalf of the insolvent corporation or any</w:t>
      </w:r>
      <w:r>
        <w:t xml:space="preserve"> </w:t>
      </w:r>
      <w:r>
        <w:rPr>
          <w:iCs/>
          <w:i/>
        </w:rPr>
        <w:t xml:space="preserve">other</w:t>
      </w:r>
      <w:r>
        <w:t xml:space="preserve"> </w:t>
      </w:r>
      <w:r>
        <w:t xml:space="preserve">direct nonfiduciary claim, as discussed earlier in this opinion, that may be available for individual creditors.</w:t>
      </w:r>
    </w:p>
    <w:bookmarkEnd w:id="192"/>
    <w:bookmarkStart w:id="193" w:name="conclusion-2"/>
    <w:p>
      <w:pPr>
        <w:pStyle w:val="Heading2"/>
      </w:pPr>
      <w:r>
        <w:rPr>
          <w:iCs/>
          <w:i/>
        </w:rPr>
        <w:t xml:space="preserve">Conclusion</w:t>
      </w:r>
    </w:p>
    <w:p>
      <w:pPr>
        <w:pStyle w:val="CaseBody"/>
      </w:pPr>
      <w:r>
        <w:t xml:space="preserve">The creditors of a Delaware corporation that is either insolvent or in the zone of insolvency have no right, as a matter of law, to assert direct claims for breach of fiduciary duty against its directors. Therefore, Count II of NACEPF's Complaint failed to state a claim upon which relief could be granted. Consequently, the final judgment of the Court of Chancery is affirmed.</w:t>
      </w:r>
    </w:p>
    <w:p>
      <w:pPr>
        <w:pStyle w:val="CaseBody"/>
      </w:pPr>
      <w:hyperlink w:anchor="X8f691b967bd4580b206e66b765f3b91368cc6cb">
        <w:r>
          <w:rPr>
            <w:rStyle w:val="Hyperlink"/>
          </w:rPr>
          <w:t xml:space="preserve">[1]</w:t>
        </w:r>
      </w:hyperlink>
      <w:r>
        <w:t xml:space="preserve"> </w:t>
      </w:r>
      <w:r>
        <w:t xml:space="preserve">Sitting by designation pursuant to Del. Const. art. IV, § 12 and Supr. Ct. R. 2 and 4.</w:t>
      </w:r>
    </w:p>
    <w:p>
      <w:pPr>
        <w:pStyle w:val="CaseBody"/>
      </w:pPr>
      <w:hyperlink w:anchor="Xbc6b1e0956c69f1c698d649d9dc8865985b5566">
        <w:r>
          <w:rPr>
            <w:rStyle w:val="Hyperlink"/>
          </w:rPr>
          <w:t xml:space="preserve">[2]</w:t>
        </w:r>
      </w:hyperlink>
      <w:r>
        <w:t xml:space="preserve"> </w:t>
      </w:r>
      <w:r>
        <w:rPr>
          <w:iCs/>
          <w:i/>
        </w:rPr>
        <w:t xml:space="preserve">North American Catholic Educational Programming Foundation, Inc. v. Gheewalla,</w:t>
      </w:r>
      <w:r>
        <w:t xml:space="preserve"> </w:t>
      </w:r>
      <w:r>
        <w:t xml:space="preserve">2006 WL 2588971 (Del.Ch. Sept. 1, 2006) ("Opinion").</w:t>
      </w:r>
    </w:p>
    <w:p>
      <w:pPr>
        <w:pStyle w:val="CaseBody"/>
      </w:pPr>
      <w:hyperlink w:anchor="Xca28bed812e73e309ef23b368570dc1e3d7a646">
        <w:r>
          <w:rPr>
            <w:rStyle w:val="Hyperlink"/>
          </w:rPr>
          <w:t xml:space="preserve">[3]</w:t>
        </w:r>
      </w:hyperlink>
      <w:r>
        <w:t xml:space="preserve"> </w:t>
      </w:r>
      <w:r>
        <w:t xml:space="preserve">This action was initially filed in the Superior Court; it was dismissed without prejudice for lack of subject matter jurisdiction. Transfer to the Court of Chancery was permitted under 10</w:t>
      </w:r>
      <w:r>
        <w:t xml:space="preserve"> </w:t>
      </w:r>
      <w:r>
        <w:rPr>
          <w:iCs/>
          <w:i/>
        </w:rPr>
        <w:t xml:space="preserve">Del. C.</w:t>
      </w:r>
      <w:r>
        <w:t xml:space="preserve"> </w:t>
      </w:r>
      <w:r>
        <w:t xml:space="preserve">§ 1902.</w:t>
      </w:r>
    </w:p>
    <w:p>
      <w:pPr>
        <w:pStyle w:val="CaseBody"/>
      </w:pPr>
      <w:hyperlink w:anchor="Xdbd8d989c05c72bd2f7e05d9ee64e98fbb71479">
        <w:r>
          <w:rPr>
            <w:rStyle w:val="Hyperlink"/>
          </w:rPr>
          <w:t xml:space="preserve">[4]</w:t>
        </w:r>
      </w:hyperlink>
      <w:r>
        <w:t xml:space="preserve"> </w:t>
      </w:r>
      <w:r>
        <w:t xml:space="preserve">The relevant facts are primarily selected excerpts from the opening brief filed by NACEPF in this appeal.</w:t>
      </w:r>
    </w:p>
    <w:p>
      <w:pPr>
        <w:pStyle w:val="CaseBody"/>
      </w:pPr>
      <w:hyperlink w:anchor="X173e84ebb2df2af497788958c19babaf7587b5c">
        <w:r>
          <w:rPr>
            <w:rStyle w:val="Hyperlink"/>
          </w:rPr>
          <w:t xml:space="preserve">[5]</w:t>
        </w:r>
      </w:hyperlink>
      <w:r>
        <w:t xml:space="preserve"> </w:t>
      </w:r>
      <w:r>
        <w:t xml:space="preserve">Complaint at ¶ 36 ("Except for money advanced to it as a stopgap measure by Goldman Sachs in late 2001, Clearwire was never able to raise any significant money.").</w:t>
      </w:r>
    </w:p>
    <w:p>
      <w:pPr>
        <w:pStyle w:val="CaseBody"/>
      </w:pPr>
      <w:hyperlink w:anchor="Xc0a8c50c735ad38bfa9b3d6163a81eab111f27f">
        <w:r>
          <w:rPr>
            <w:rStyle w:val="Hyperlink"/>
          </w:rPr>
          <w:t xml:space="preserve">[6]</w:t>
        </w:r>
      </w:hyperlink>
      <w:r>
        <w:t xml:space="preserve"> </w:t>
      </w:r>
      <w:r>
        <w:rPr>
          <w:iCs/>
          <w:i/>
        </w:rPr>
        <w:t xml:space="preserve">Id.</w:t>
      </w:r>
      <w:r>
        <w:t xml:space="preserve"> </w:t>
      </w:r>
      <w:r>
        <w:t xml:space="preserve">at ¶ 40.</w:t>
      </w:r>
    </w:p>
    <w:p>
      <w:pPr>
        <w:pStyle w:val="CaseBody"/>
      </w:pPr>
      <w:hyperlink w:anchor="X6d2fe2c8eff9ffc150858960ffed5fd4e8453dc">
        <w:r>
          <w:rPr>
            <w:rStyle w:val="Hyperlink"/>
          </w:rPr>
          <w:t xml:space="preserve">[7]</w:t>
        </w:r>
      </w:hyperlink>
      <w:r>
        <w:t xml:space="preserve"> </w:t>
      </w:r>
      <w:r>
        <w:rPr>
          <w:iCs/>
          <w:i/>
        </w:rPr>
        <w:t xml:space="preserve">Id.</w:t>
      </w:r>
      <w:r>
        <w:t xml:space="preserve"> </w:t>
      </w:r>
      <w:r>
        <w:t xml:space="preserve">at ¶ 45.</w:t>
      </w:r>
    </w:p>
    <w:p>
      <w:pPr>
        <w:pStyle w:val="CaseBody"/>
      </w:pPr>
      <w:hyperlink w:anchor="X676e1f20f8fa8bde160861c764e418c3b58c3ac">
        <w:r>
          <w:rPr>
            <w:rStyle w:val="Hyperlink"/>
          </w:rPr>
          <w:t xml:space="preserve">[8]</w:t>
        </w:r>
      </w:hyperlink>
      <w:r>
        <w:t xml:space="preserve"> </w:t>
      </w:r>
      <w:r>
        <w:rPr>
          <w:iCs/>
          <w:i/>
        </w:rPr>
        <w:t xml:space="preserve">Id.</w:t>
      </w:r>
      <w:r>
        <w:t xml:space="preserve"> </w:t>
      </w:r>
      <w:r>
        <w:t xml:space="preserve">at ¶ 50.</w:t>
      </w:r>
    </w:p>
    <w:p>
      <w:pPr>
        <w:pStyle w:val="CaseBody"/>
      </w:pPr>
      <w:hyperlink w:anchor="X3e0036159bcce439b5e41f43e58e63842eb20b3">
        <w:r>
          <w:rPr>
            <w:rStyle w:val="Hyperlink"/>
          </w:rPr>
          <w:t xml:space="preserve">[9]</w:t>
        </w:r>
      </w:hyperlink>
      <w:r>
        <w:t xml:space="preserve"> </w:t>
      </w:r>
      <w:r>
        <w:rPr>
          <w:iCs/>
          <w:i/>
        </w:rPr>
        <w:t xml:space="preserve">See</w:t>
      </w:r>
      <w:r>
        <w:t xml:space="preserve"> </w:t>
      </w:r>
      <w:r>
        <w:rPr>
          <w:iCs/>
          <w:i/>
        </w:rPr>
        <w:t xml:space="preserve">Branson v. Exide Elecs. Corp.,</w:t>
      </w:r>
      <w:r>
        <w:t xml:space="preserve"> </w:t>
      </w:r>
      <w:r>
        <w:t xml:space="preserve">625 A.2d 267 (Del.1993).</w:t>
      </w:r>
    </w:p>
    <w:p>
      <w:pPr>
        <w:pStyle w:val="CaseBody"/>
      </w:pPr>
      <w:hyperlink w:anchor="X576527e32ce751c9ded7268090f8cc3756f43eb">
        <w:r>
          <w:rPr>
            <w:rStyle w:val="Hyperlink"/>
          </w:rPr>
          <w:t xml:space="preserve">[10]</w:t>
        </w:r>
      </w:hyperlink>
      <w:r>
        <w:t xml:space="preserve"> </w:t>
      </w:r>
      <w:r>
        <w:t xml:space="preserve">The basis for personal jurisdiction relied upon by NACEPF, provides:</w:t>
      </w:r>
    </w:p>
    <w:p>
      <w:pPr>
        <w:pStyle w:val="CaseBody"/>
      </w:pPr>
      <w:r>
        <w:t xml:space="preserve">Every nonresident of this State who after September 1, 1977, accepts election or appointment as a director, trustee or member of the governing body of a corporation organized under the laws of this State or who after June 30, 1978, serves in such capacity, and every resident of this State who so accepts election or appointment or serves in such capacity and thereafter removes residence from this State shall, by such acceptance or by such service, be deemed thereby to have consented to the appointment of the registered agent of such corporation (or, if there is none, the Secretary of State) as an agent upon whom service of process may be made in all civil actions or proceedings brought in this State, by or on behalf of, or against such corporation, in which such director, trustee or member is a necessary or proper party, or in any action or proceeding against such director, trustee or member</w:t>
      </w:r>
      <w:r>
        <w:t xml:space="preserve"> </w:t>
      </w:r>
      <w:r>
        <w:rPr>
          <w:iCs/>
          <w:i/>
        </w:rPr>
        <w:t xml:space="preserve">for violation of a duty in such capacity,</w:t>
      </w:r>
      <w:r>
        <w:t xml:space="preserve"> </w:t>
      </w:r>
      <w:r>
        <w:t xml:space="preserve">whether or not the person continues to serve as such director, trustee or member at the time suit is commenced. Such acceptance or service as such director, trustee or member shall be a signification of the consent of such director, trustee or member that any process when so served shall be of the same legal force and validity as if served upon such director, trustee or member within this State and such appointment of the registered agent (or, if there is none, the Secretary of State) shall be irrevocable.</w:t>
      </w:r>
    </w:p>
    <w:p>
      <w:pPr>
        <w:pStyle w:val="CaseBody"/>
      </w:pPr>
      <w:r>
        <w:t xml:space="preserve">10</w:t>
      </w:r>
      <w:r>
        <w:t xml:space="preserve"> </w:t>
      </w:r>
      <w:r>
        <w:rPr>
          <w:iCs/>
          <w:i/>
        </w:rPr>
        <w:t xml:space="preserve">Del. C.</w:t>
      </w:r>
      <w:r>
        <w:t xml:space="preserve"> </w:t>
      </w:r>
      <w:r>
        <w:t xml:space="preserve">§ 3114(a) (emphasis added).</w:t>
      </w:r>
    </w:p>
    <w:p>
      <w:pPr>
        <w:pStyle w:val="CaseBody"/>
      </w:pPr>
      <w:hyperlink w:anchor="X70fd279391f81f97bc0b99e4f4bfaa01e60cc53">
        <w:r>
          <w:rPr>
            <w:rStyle w:val="Hyperlink"/>
          </w:rPr>
          <w:t xml:space="preserve">[11]</w:t>
        </w:r>
      </w:hyperlink>
      <w:r>
        <w:t xml:space="preserve"> </w:t>
      </w:r>
      <w:r>
        <w:t xml:space="preserve">Donald J. Wolfe, Jr. &amp; Michael A. Pittenger,</w:t>
      </w:r>
      <w:r>
        <w:t xml:space="preserve"> </w:t>
      </w:r>
      <w:r>
        <w:rPr>
          <w:iCs/>
          <w:i/>
        </w:rPr>
        <w:t xml:space="preserve">Corporate and Commercial Practice in the Delaware Court of Chancery</w:t>
      </w:r>
      <w:r>
        <w:t xml:space="preserve"> </w:t>
      </w:r>
      <w:r>
        <w:t xml:space="preserve">§ 3-5[a] (2005).</w:t>
      </w:r>
    </w:p>
    <w:p>
      <w:pPr>
        <w:pStyle w:val="CaseBody"/>
      </w:pPr>
      <w:hyperlink w:anchor="X3e152a4493ef1ad40d996261e833b9eee418f7e">
        <w:r>
          <w:rPr>
            <w:rStyle w:val="Hyperlink"/>
          </w:rPr>
          <w:t xml:space="preserve">[12]</w:t>
        </w:r>
      </w:hyperlink>
      <w:r>
        <w:t xml:space="preserve"> </w:t>
      </w:r>
      <w:r>
        <w:rPr>
          <w:iCs/>
          <w:i/>
        </w:rPr>
        <w:t xml:space="preserve">In re General Motors (Hughes) S'holder Litig.,</w:t>
      </w:r>
      <w:r>
        <w:t xml:space="preserve"> </w:t>
      </w:r>
      <w:r>
        <w:t xml:space="preserve">897 A.2d 162, 168 (Del.2006) (quoting</w:t>
      </w:r>
      <w:r>
        <w:t xml:space="preserve"> </w:t>
      </w:r>
      <w:r>
        <w:rPr>
          <w:iCs/>
          <w:i/>
        </w:rPr>
        <w:t xml:space="preserve">Savor, Inc. v. FMR Corp.,</w:t>
      </w:r>
      <w:r>
        <w:t xml:space="preserve"> </w:t>
      </w:r>
      <w:r>
        <w:t xml:space="preserve">812 A.2d 894, 896-97 (Del.2002)).</w:t>
      </w:r>
    </w:p>
    <w:p>
      <w:pPr>
        <w:pStyle w:val="CaseBody"/>
      </w:pPr>
      <w:hyperlink w:anchor="X40319de65b2c34028f802f15d5fffec52724362">
        <w:r>
          <w:rPr>
            <w:rStyle w:val="Hyperlink"/>
          </w:rPr>
          <w:t xml:space="preserve">[13]</w:t>
        </w:r>
      </w:hyperlink>
      <w:r>
        <w:t xml:space="preserve"> </w:t>
      </w:r>
      <w:r>
        <w:t xml:space="preserve">Complaint at ¶ 30.</w:t>
      </w:r>
    </w:p>
    <w:p>
      <w:pPr>
        <w:pStyle w:val="CaseBody"/>
      </w:pPr>
      <w:hyperlink w:anchor="Xf1e6f092eb4a4304c16f66b27fd0a4d750b9d69">
        <w:r>
          <w:rPr>
            <w:rStyle w:val="Hyperlink"/>
          </w:rPr>
          <w:t xml:space="preserve">[14]</w:t>
        </w:r>
      </w:hyperlink>
      <w:r>
        <w:t xml:space="preserve"> </w:t>
      </w:r>
      <w:r>
        <w:rPr>
          <w:iCs/>
          <w:i/>
        </w:rPr>
        <w:t xml:space="preserve">Id.</w:t>
      </w:r>
      <w:r>
        <w:t xml:space="preserve"> </w:t>
      </w:r>
      <w:r>
        <w:t xml:space="preserve">at ¶ 7(a).</w:t>
      </w:r>
    </w:p>
    <w:p>
      <w:pPr>
        <w:pStyle w:val="CaseBody"/>
      </w:pPr>
      <w:hyperlink w:anchor="X98f3397fe43b5a64142621300618583efeebbdc">
        <w:r>
          <w:rPr>
            <w:rStyle w:val="Hyperlink"/>
          </w:rPr>
          <w:t xml:space="preserve">[15]</w:t>
        </w:r>
      </w:hyperlink>
      <w:r>
        <w:t xml:space="preserve"> </w:t>
      </w:r>
      <w:r>
        <w:rPr>
          <w:iCs/>
          <w:i/>
        </w:rPr>
        <w:t xml:space="preserve">Id.</w:t>
      </w:r>
      <w:r>
        <w:t xml:space="preserve"> </w:t>
      </w:r>
      <w:r>
        <w:t xml:space="preserve">at ¶ 7(b) (emphasis added). NACEPF also asserts that "Clearwire was unable to borrow money or obtain any other significant financing after March 2001, except from Goldman Sachs."</w:t>
      </w:r>
      <w:r>
        <w:t xml:space="preserve"> </w:t>
      </w:r>
      <w:r>
        <w:rPr>
          <w:iCs/>
          <w:i/>
        </w:rPr>
        <w:t xml:space="preserve">Id.</w:t>
      </w:r>
      <w:r>
        <w:t xml:space="preserve"> </w:t>
      </w:r>
      <w:r>
        <w:t xml:space="preserve">at ¶ 7(c).</w:t>
      </w:r>
    </w:p>
    <w:p>
      <w:pPr>
        <w:pStyle w:val="CaseBody"/>
      </w:pPr>
      <w:hyperlink w:anchor="Xce3bb47243f9d80866da54842ca043c0a29f34a">
        <w:r>
          <w:rPr>
            <w:rStyle w:val="Hyperlink"/>
          </w:rPr>
          <w:t xml:space="preserve">[16]</w:t>
        </w:r>
      </w:hyperlink>
      <w:r>
        <w:t xml:space="preserve"> </w:t>
      </w:r>
      <w:r>
        <w:rPr>
          <w:iCs/>
          <w:i/>
        </w:rPr>
        <w:t xml:space="preserve">Id.</w:t>
      </w:r>
      <w:r>
        <w:t xml:space="preserve"> </w:t>
      </w:r>
      <w:r>
        <w:t xml:space="preserve">at ¶ 30.</w:t>
      </w:r>
    </w:p>
    <w:p>
      <w:pPr>
        <w:pStyle w:val="CaseBody"/>
      </w:pPr>
      <w:hyperlink w:anchor="X36ea7a0650e482fd5d6fb034688d03af4ffe1a0">
        <w:r>
          <w:rPr>
            <w:rStyle w:val="Hyperlink"/>
          </w:rPr>
          <w:t xml:space="preserve">[17]</w:t>
        </w:r>
      </w:hyperlink>
      <w:r>
        <w:t xml:space="preserve"> </w:t>
      </w:r>
      <w:r>
        <w:rPr>
          <w:iCs/>
          <w:i/>
        </w:rPr>
        <w:t xml:space="preserve">Id.</w:t>
      </w:r>
      <w:r>
        <w:t xml:space="preserve"> </w:t>
      </w:r>
      <w:r>
        <w:t xml:space="preserve">at ¶ 36.</w:t>
      </w:r>
    </w:p>
    <w:p>
      <w:pPr>
        <w:pStyle w:val="CaseBody"/>
      </w:pPr>
      <w:hyperlink w:anchor="Xc0663a761f4b1a0526cb161d3c1357b7fb6baf6">
        <w:r>
          <w:rPr>
            <w:rStyle w:val="Hyperlink"/>
          </w:rPr>
          <w:t xml:space="preserve">[18]</w:t>
        </w:r>
      </w:hyperlink>
      <w:r>
        <w:t xml:space="preserve"> </w:t>
      </w:r>
      <w:r>
        <w:t xml:space="preserve">For that proposition, the Court of Chancery relied upon</w:t>
      </w:r>
      <w:r>
        <w:t xml:space="preserve"> </w:t>
      </w:r>
      <w:r>
        <w:rPr>
          <w:iCs/>
          <w:i/>
        </w:rPr>
        <w:t xml:space="preserve">Production Res. Group v. NCT Group, Inc.,</w:t>
      </w:r>
      <w:r>
        <w:t xml:space="preserve"> </w:t>
      </w:r>
      <w:r>
        <w:t xml:space="preserve">863 A.2d 772, 782 (Del.Ch. 2004) (quoting</w:t>
      </w:r>
      <w:r>
        <w:t xml:space="preserve"> </w:t>
      </w:r>
      <w:r>
        <w:rPr>
          <w:iCs/>
          <w:i/>
        </w:rPr>
        <w:t xml:space="preserve">Siple v. S &amp; K Plumbing &amp; Heating, Inc.,</w:t>
      </w:r>
      <w:r>
        <w:t xml:space="preserve"> </w:t>
      </w:r>
      <w:r>
        <w:t xml:space="preserve">1982 WL 8789, at *2 (Del.Ch. Apr. 13, 1982));</w:t>
      </w:r>
      <w:r>
        <w:t xml:space="preserve"> </w:t>
      </w:r>
      <w:r>
        <w:rPr>
          <w:iCs/>
          <w:i/>
        </w:rPr>
        <w:t xml:space="preserve">Geyer v. Ingersoll Publ'ns Co.,</w:t>
      </w:r>
      <w:r>
        <w:t xml:space="preserve"> </w:t>
      </w:r>
      <w:r>
        <w:t xml:space="preserve">621 A.2d 784, 789 (Del.Ch.1992) (explaining that corporation is insolvent if "it has liabilities in excess of a reasonable market value of assets held"); and</w:t>
      </w:r>
      <w:r>
        <w:t xml:space="preserve"> </w:t>
      </w:r>
      <w:r>
        <w:rPr>
          <w:iCs/>
          <w:i/>
        </w:rPr>
        <w:t xml:space="preserve">McDonald v. Williams,</w:t>
      </w:r>
      <w:r>
        <w:t xml:space="preserve"> </w:t>
      </w:r>
      <w:r>
        <w:t xml:space="preserve">174 U.S. 397, 403, 19 S.Ct. 743, 43 L.Ed. 1022 (1899) (defining insolvent corporation as an entity with assets valued at less than its debts).</w:t>
      </w:r>
    </w:p>
    <w:p>
      <w:pPr>
        <w:pStyle w:val="CaseBody"/>
      </w:pPr>
      <w:hyperlink w:anchor="X730f0cbed29ec2f757c6f15dc21fbb990a657e6">
        <w:r>
          <w:rPr>
            <w:rStyle w:val="Hyperlink"/>
          </w:rPr>
          <w:t xml:space="preserve">[19]</w:t>
        </w:r>
      </w:hyperlink>
      <w:r>
        <w:t xml:space="preserve"> </w:t>
      </w:r>
      <w:r>
        <w:t xml:space="preserve">For that proposition, the Court of Chancery also relied upon</w:t>
      </w:r>
      <w:r>
        <w:t xml:space="preserve"> </w:t>
      </w:r>
      <w:r>
        <w:rPr>
          <w:iCs/>
          <w:i/>
        </w:rPr>
        <w:t xml:space="preserve">Production Res. Group v. NCT Group, Inc.,</w:t>
      </w:r>
      <w:r>
        <w:t xml:space="preserve"> </w:t>
      </w:r>
      <w:r>
        <w:t xml:space="preserve">863 A.2d at 782 (quoting</w:t>
      </w:r>
      <w:r>
        <w:t xml:space="preserve"> </w:t>
      </w:r>
      <w:r>
        <w:rPr>
          <w:iCs/>
          <w:i/>
        </w:rPr>
        <w:t xml:space="preserve">Siple v. S &amp; K Plumbing &amp; Heating, Inc.,</w:t>
      </w:r>
      <w:r>
        <w:t xml:space="preserve"> </w:t>
      </w:r>
      <w:r>
        <w:t xml:space="preserve">1982 WL 8789, at *2).</w:t>
      </w:r>
    </w:p>
    <w:p>
      <w:pPr>
        <w:pStyle w:val="CaseBody"/>
      </w:pPr>
      <w:hyperlink w:anchor="X532b55048324688135a1850189efd450696beb8">
        <w:r>
          <w:rPr>
            <w:rStyle w:val="Hyperlink"/>
          </w:rPr>
          <w:t xml:space="preserve">[20]</w:t>
        </w:r>
      </w:hyperlink>
      <w:r>
        <w:t xml:space="preserve"> </w:t>
      </w:r>
      <w:r>
        <w:t xml:space="preserve">In light of its ultimate ruling, the Court of Chancery did not attempt to set forth a precise definition of what constitutes the "zone of insolvency."</w:t>
      </w:r>
      <w:r>
        <w:t xml:space="preserve"> </w:t>
      </w:r>
      <w:r>
        <w:rPr>
          <w:iCs/>
          <w:i/>
        </w:rPr>
        <w:t xml:space="preserve">See</w:t>
      </w:r>
      <w:r>
        <w:t xml:space="preserve"> </w:t>
      </w:r>
      <w:r>
        <w:rPr>
          <w:iCs/>
          <w:i/>
        </w:rPr>
        <w:t xml:space="preserve">Credit Lyonnais Bank Nederland N.V. v. Pathe Commc'ns Corp.,</w:t>
      </w:r>
      <w:r>
        <w:t xml:space="preserve"> </w:t>
      </w:r>
      <w:r>
        <w:t xml:space="preserve">1991 WL 277613, at *34;</w:t>
      </w:r>
      <w:r>
        <w:t xml:space="preserve"> </w:t>
      </w:r>
      <w:r>
        <w:rPr>
          <w:iCs/>
          <w:i/>
        </w:rPr>
        <w:t xml:space="preserve">see also</w:t>
      </w:r>
      <w:r>
        <w:t xml:space="preserve"> </w:t>
      </w:r>
      <w:r>
        <w:rPr>
          <w:iCs/>
          <w:i/>
        </w:rPr>
        <w:t xml:space="preserve">Production Res. Group v. NCT Group, Inc.,</w:t>
      </w:r>
      <w:r>
        <w:t xml:space="preserve"> </w:t>
      </w:r>
      <w:r>
        <w:t xml:space="preserve">863 A.2d at 789 n. 56 (describing the difficulties presented in identifying "zone of insolvency"). Our holding in this opinion also makes it unnecessary to precisely define a "zone of insolvency."</w:t>
      </w:r>
    </w:p>
    <w:p>
      <w:pPr>
        <w:pStyle w:val="CaseBody"/>
      </w:pPr>
      <w:hyperlink w:anchor="X207ed32da616b09f9b746c5e9f50335d532cf4d">
        <w:r>
          <w:rPr>
            <w:rStyle w:val="Hyperlink"/>
          </w:rPr>
          <w:t xml:space="preserve">[21]</w:t>
        </w:r>
      </w:hyperlink>
      <w:r>
        <w:t xml:space="preserve"> </w:t>
      </w:r>
      <w:r>
        <w:rPr>
          <w:iCs/>
          <w:i/>
        </w:rPr>
        <w:t xml:space="preserve">See</w:t>
      </w:r>
      <w:r>
        <w:t xml:space="preserve"> </w:t>
      </w:r>
      <w:r>
        <w:rPr>
          <w:iCs/>
          <w:i/>
        </w:rPr>
        <w:t xml:space="preserve">Tooley v. Donaldson, Lufkin &amp; Jenrette, Inc.,</w:t>
      </w:r>
      <w:r>
        <w:t xml:space="preserve"> </w:t>
      </w:r>
      <w:r>
        <w:t xml:space="preserve">845 A.2d 1031, 1039 (Del.2004) ("In this case it cannot be concluded that the complaint alleges a derivative claim. . . . But, it does not necessarily follow that the complaint states a direct, individual claim. While the complaint purports to set forth a direct claim, in reality, it states no claim at all.")</w:t>
      </w:r>
    </w:p>
    <w:p>
      <w:pPr>
        <w:pStyle w:val="CaseBody"/>
      </w:pPr>
      <w:hyperlink w:anchor="Xfaaa34b06acf19a49f1cb88c7ad5fe766b1e608">
        <w:r>
          <w:rPr>
            <w:rStyle w:val="Hyperlink"/>
          </w:rPr>
          <w:t xml:space="preserve">[22]</w:t>
        </w:r>
      </w:hyperlink>
      <w:r>
        <w:t xml:space="preserve"> </w:t>
      </w:r>
      <w:r>
        <w:rPr>
          <w:iCs/>
          <w:i/>
        </w:rPr>
        <w:t xml:space="preserve">See</w:t>
      </w:r>
      <w:r>
        <w:t xml:space="preserve"> </w:t>
      </w:r>
      <w:r>
        <w:rPr>
          <w:iCs/>
          <w:i/>
        </w:rPr>
        <w:t xml:space="preserve">Guth v. Loft,</w:t>
      </w:r>
      <w:r>
        <w:t xml:space="preserve"> </w:t>
      </w:r>
      <w:r>
        <w:t xml:space="preserve">5 A.2d 503, 510 (Del. 1939) (while not technically trustees, directors stand in a fiduciary relationship to the corporation and its shareholders);</w:t>
      </w:r>
      <w:r>
        <w:t xml:space="preserve"> </w:t>
      </w:r>
      <w:r>
        <w:rPr>
          <w:iCs/>
          <w:i/>
        </w:rPr>
        <w:t xml:space="preserve">Malone v. Brincat,</w:t>
      </w:r>
      <w:r>
        <w:t xml:space="preserve"> </w:t>
      </w:r>
      <w:r>
        <w:t xml:space="preserve">722 A.2d 5, 10 (Del.1998).</w:t>
      </w:r>
    </w:p>
    <w:p>
      <w:pPr>
        <w:pStyle w:val="CaseBody"/>
      </w:pPr>
      <w:hyperlink w:anchor="X89b5bbc1186eec11f24e05d3fba811f1362e6e6">
        <w:r>
          <w:rPr>
            <w:rStyle w:val="Hyperlink"/>
          </w:rPr>
          <w:t xml:space="preserve">[23]</w:t>
        </w:r>
      </w:hyperlink>
      <w:r>
        <w:t xml:space="preserve"> </w:t>
      </w:r>
      <w:r>
        <w:rPr>
          <w:iCs/>
          <w:i/>
        </w:rPr>
        <w:t xml:space="preserve">See</w:t>
      </w:r>
      <w:r>
        <w:t xml:space="preserve"> </w:t>
      </w:r>
      <w:r>
        <w:rPr>
          <w:iCs/>
          <w:i/>
        </w:rPr>
        <w:t xml:space="preserve">Production Res. Group v. NCT Group, Inc.,</w:t>
      </w:r>
      <w:r>
        <w:t xml:space="preserve"> </w:t>
      </w:r>
      <w:r>
        <w:t xml:space="preserve">863 A.2d at 790.</w:t>
      </w:r>
    </w:p>
    <w:p>
      <w:pPr>
        <w:pStyle w:val="CaseBody"/>
      </w:pPr>
      <w:hyperlink w:anchor="Xcc875a923cecb23df7df66fcdfcb611434cb4b8">
        <w:r>
          <w:rPr>
            <w:rStyle w:val="Hyperlink"/>
          </w:rPr>
          <w:t xml:space="preserve">[24]</w:t>
        </w:r>
      </w:hyperlink>
      <w:r>
        <w:t xml:space="preserve"> </w:t>
      </w:r>
      <w:r>
        <w:rPr>
          <w:iCs/>
          <w:i/>
        </w:rPr>
        <w:t xml:space="preserve">See, e.g.,</w:t>
      </w:r>
      <w:r>
        <w:t xml:space="preserve"> </w:t>
      </w:r>
      <w:r>
        <w:rPr>
          <w:iCs/>
          <w:i/>
        </w:rPr>
        <w:t xml:space="preserve">Wal-Mart Stores, Inc. v. AIG Life Ins. Co.,</w:t>
      </w:r>
      <w:r>
        <w:t xml:space="preserve"> </w:t>
      </w:r>
      <w:r>
        <w:t xml:space="preserve">872 A.2d 611, 625 (Del.Ch.2005),</w:t>
      </w:r>
      <w:r>
        <w:t xml:space="preserve"> </w:t>
      </w:r>
      <w:r>
        <w:rPr>
          <w:iCs/>
          <w:i/>
        </w:rPr>
        <w:t xml:space="preserve">aff'd in part and rev'd in part on other grounds,</w:t>
      </w:r>
      <w:r>
        <w:t xml:space="preserve"> </w:t>
      </w:r>
      <w:r>
        <w:t xml:space="preserve">901 A.2d 106 (Del.2006).</w:t>
      </w:r>
    </w:p>
    <w:p>
      <w:pPr>
        <w:pStyle w:val="CaseBody"/>
      </w:pPr>
      <w:hyperlink w:anchor="Xfd5f56062a2e88a513151e1cd27301208024ff4">
        <w:r>
          <w:rPr>
            <w:rStyle w:val="Hyperlink"/>
          </w:rPr>
          <w:t xml:space="preserve">[25]</w:t>
        </w:r>
      </w:hyperlink>
      <w:r>
        <w:t xml:space="preserve"> </w:t>
      </w:r>
      <w:r>
        <w:rPr>
          <w:iCs/>
          <w:i/>
        </w:rPr>
        <w:t xml:space="preserve">See, e.g.,</w:t>
      </w:r>
      <w:r>
        <w:t xml:space="preserve"> </w:t>
      </w:r>
      <w:r>
        <w:rPr>
          <w:iCs/>
          <w:i/>
        </w:rPr>
        <w:t xml:space="preserve">Simons v. Cogan,</w:t>
      </w:r>
      <w:r>
        <w:t xml:space="preserve"> </w:t>
      </w:r>
      <w:r>
        <w:t xml:space="preserve">549 A.2d 300, 304 (Del.1988);</w:t>
      </w:r>
      <w:r>
        <w:t xml:space="preserve"> </w:t>
      </w:r>
      <w:r>
        <w:rPr>
          <w:iCs/>
          <w:i/>
        </w:rPr>
        <w:t xml:space="preserve">Katz v. Oak Indus., Inc.,</w:t>
      </w:r>
      <w:r>
        <w:t xml:space="preserve"> </w:t>
      </w:r>
      <w:r>
        <w:t xml:space="preserve">508 A.2d 873, 879 (Del.Ch.1986);</w:t>
      </w:r>
      <w:r>
        <w:t xml:space="preserve"> </w:t>
      </w:r>
      <w:r>
        <w:rPr>
          <w:iCs/>
          <w:i/>
        </w:rPr>
        <w:t xml:space="preserve">Geyer v. Ingersoll Publ'ns Co.,</w:t>
      </w:r>
      <w:r>
        <w:t xml:space="preserve"> </w:t>
      </w:r>
      <w:r>
        <w:t xml:space="preserve">621 A.2d 784, 787 (Del.Ch. 1992);</w:t>
      </w:r>
      <w:r>
        <w:t xml:space="preserve"> </w:t>
      </w:r>
      <w:r>
        <w:rPr>
          <w:iCs/>
          <w:i/>
        </w:rPr>
        <w:t xml:space="preserve">Production Res. Group v. NCT Group, Inc.,</w:t>
      </w:r>
      <w:r>
        <w:t xml:space="preserve"> </w:t>
      </w:r>
      <w:r>
        <w:t xml:space="preserve">863 A.2d 772, 787 (Del.Ch.2004).</w:t>
      </w:r>
    </w:p>
    <w:p>
      <w:pPr>
        <w:pStyle w:val="CaseBody"/>
      </w:pPr>
      <w:hyperlink w:anchor="Xcf48ea7d3f582739326f87439c23a83da2ac38c">
        <w:r>
          <w:rPr>
            <w:rStyle w:val="Hyperlink"/>
          </w:rPr>
          <w:t xml:space="preserve">[26]</w:t>
        </w:r>
      </w:hyperlink>
      <w:r>
        <w:t xml:space="preserve"> </w:t>
      </w:r>
      <w:r>
        <w:t xml:space="preserve">E. Norman Veasey &amp; Christine T. Di Guglelmo,</w:t>
      </w:r>
      <w:r>
        <w:t xml:space="preserve"> </w:t>
      </w:r>
      <w:r>
        <w:rPr>
          <w:iCs/>
          <w:i/>
        </w:rPr>
        <w:t xml:space="preserve">What Happened in Delaware Corporate Law and Governance From 1992-2004? A Retrospective on Some Key Developments,</w:t>
      </w:r>
      <w:r>
        <w:t xml:space="preserve"> </w:t>
      </w:r>
      <w:r>
        <w:t xml:space="preserve">153 U. Pa. L.Rev. 1399, 1432 (May 2005).</w:t>
      </w:r>
    </w:p>
    <w:p>
      <w:pPr>
        <w:pStyle w:val="CaseBody"/>
      </w:pPr>
      <w:hyperlink w:anchor="Xbcea3fc687d67be5c9e10f9c5234888aecbba9c">
        <w:r>
          <w:rPr>
            <w:rStyle w:val="Hyperlink"/>
          </w:rPr>
          <w:t xml:space="preserve">[27]</w:t>
        </w:r>
      </w:hyperlink>
      <w:r>
        <w:t xml:space="preserve"> </w:t>
      </w:r>
      <w:r>
        <w:rPr>
          <w:iCs/>
          <w:i/>
        </w:rPr>
        <w:t xml:space="preserve">Credit Lyonnais Bank Nederland N.V. v. Pathe Commc'ns Corp.,</w:t>
      </w:r>
      <w:r>
        <w:t xml:space="preserve"> </w:t>
      </w:r>
      <w:r>
        <w:t xml:space="preserve">1991 WL 277613 (Del. Ch.);</w:t>
      </w:r>
      <w:r>
        <w:t xml:space="preserve"> </w:t>
      </w:r>
      <w:r>
        <w:rPr>
          <w:iCs/>
          <w:i/>
        </w:rPr>
        <w:t xml:space="preserve">Production Resources Group, L.L.C. v. NCT Group, Inc.,</w:t>
      </w:r>
      <w:r>
        <w:t xml:space="preserve"> </w:t>
      </w:r>
      <w:r>
        <w:t xml:space="preserve">863 A.2d 772 (Del.Ch.2004);</w:t>
      </w:r>
      <w:r>
        <w:t xml:space="preserve"> </w:t>
      </w:r>
      <w:r>
        <w:rPr>
          <w:iCs/>
          <w:i/>
        </w:rPr>
        <w:t xml:space="preserve">Trenwick America Litig. Trust v. Ernst &amp; Young, L.L.P.,</w:t>
      </w:r>
      <w:r>
        <w:t xml:space="preserve"> </w:t>
      </w:r>
      <w:r>
        <w:t xml:space="preserve">906 A.2d 168 (Del.Ch.2006);</w:t>
      </w:r>
      <w:r>
        <w:t xml:space="preserve"> </w:t>
      </w:r>
      <w:r>
        <w:rPr>
          <w:iCs/>
          <w:i/>
        </w:rPr>
        <w:t xml:space="preserve">Big Lots Stores, Inc. v. Bain Capital Fund VI, LLC,</w:t>
      </w:r>
      <w:r>
        <w:t xml:space="preserve"> </w:t>
      </w:r>
      <w:r>
        <w:t xml:space="preserve">922 A.2d 1169 (Del.Ch.2006).</w:t>
      </w:r>
    </w:p>
    <w:p>
      <w:pPr>
        <w:pStyle w:val="CaseBody"/>
      </w:pPr>
      <w:hyperlink w:anchor="Xbd0726554e8b3e6afd649a6a67d8d16f6888877">
        <w:r>
          <w:rPr>
            <w:rStyle w:val="Hyperlink"/>
          </w:rPr>
          <w:t xml:space="preserve">[28]</w:t>
        </w:r>
      </w:hyperlink>
      <w:r>
        <w:t xml:space="preserve"> </w:t>
      </w:r>
      <w:r>
        <w:t xml:space="preserve">Rutheford B. Campbell, Jr. &amp; Christopher W. Frost,</w:t>
      </w:r>
      <w:r>
        <w:t xml:space="preserve"> </w:t>
      </w:r>
      <w:r>
        <w:rPr>
          <w:iCs/>
          <w:i/>
        </w:rPr>
        <w:t xml:space="preserve">Managers' Fiduciary Duties in Financially Distressed Corporations: Chaos in Delaware (and Elsewhere),</w:t>
      </w:r>
      <w:r>
        <w:t xml:space="preserve"> </w:t>
      </w:r>
      <w:r>
        <w:t xml:space="preserve">32 J. Corp. L. 491 (2007); Richard M. Cieri &amp; Michael J. Riela,</w:t>
      </w:r>
      <w:r>
        <w:t xml:space="preserve"> </w:t>
      </w:r>
      <w:r>
        <w:rPr>
          <w:iCs/>
          <w:i/>
        </w:rPr>
        <w:t xml:space="preserve">Protecting Directors and Officers of Corporations That Are Insolvent or In the Zone or Vicinity of Insolvency: Important Considerations, Practical Solutions,</w:t>
      </w:r>
      <w:r>
        <w:t xml:space="preserve"> </w:t>
      </w:r>
      <w:r>
        <w:t xml:space="preserve">2 DePaul Bus. &amp; Com. L.J. 295, 301-02 (2004); Patrick M. Jones &amp; Katherine Heid Harris,</w:t>
      </w:r>
      <w:r>
        <w:t xml:space="preserve"> </w:t>
      </w:r>
      <w:r>
        <w:rPr>
          <w:iCs/>
          <w:i/>
        </w:rPr>
        <w:t xml:space="preserve">Chicken Little Was Wrong (Again): Perceived Trends in the Delaware Corporate Law of Fiduciary Duties and Standing in the Zone of Insolvency,</w:t>
      </w:r>
      <w:r>
        <w:t xml:space="preserve"> </w:t>
      </w:r>
      <w:r>
        <w:t xml:space="preserve">16 J. Bankr. L. &amp; Prac. 2 (2007); Laura Lin,</w:t>
      </w:r>
      <w:r>
        <w:t xml:space="preserve"> </w:t>
      </w:r>
      <w:r>
        <w:rPr>
          <w:iCs/>
          <w:i/>
        </w:rPr>
        <w:t xml:space="preserve">Shift of Fiduciary Duty Upon Corporate Insolvency: Proper Scope of Directors' Duty to Creditors,</w:t>
      </w:r>
      <w:r>
        <w:t xml:space="preserve"> </w:t>
      </w:r>
      <w:r>
        <w:t xml:space="preserve">46 Vand. L.Rev. 1485, 1487 (1993); Jonathan C. Lipson,</w:t>
      </w:r>
      <w:r>
        <w:t xml:space="preserve"> </w:t>
      </w:r>
      <w:r>
        <w:rPr>
          <w:iCs/>
          <w:i/>
        </w:rPr>
        <w:t xml:space="preserve">Directors' Duties to Creditors: Powe-Imbalance and the Financially Distressed Corporation,</w:t>
      </w:r>
      <w:r>
        <w:t xml:space="preserve"> </w:t>
      </w:r>
      <w:r>
        <w:t xml:space="preserve">50 UCLA L.Rev. 1189 (2003); Ramesh K.S. Rao, et al.,</w:t>
      </w:r>
      <w:r>
        <w:t xml:space="preserve"> </w:t>
      </w:r>
      <w:r>
        <w:rPr>
          <w:iCs/>
          <w:i/>
        </w:rPr>
        <w:t xml:space="preserve">Fiduciary Duty A La Lyonnais: An Economic Perspective on Corporate Governance in a Financially-Distressed Firm,</w:t>
      </w:r>
      <w:r>
        <w:t xml:space="preserve"> </w:t>
      </w:r>
      <w:r>
        <w:t xml:space="preserve">22 J. Corp. L. 53 (1996); Myron M. Sheinfeld &amp; Harris Pippitt,</w:t>
      </w:r>
      <w:r>
        <w:t xml:space="preserve"> </w:t>
      </w:r>
      <w:r>
        <w:rPr>
          <w:iCs/>
          <w:i/>
        </w:rPr>
        <w:t xml:space="preserve">Fiduciary Duties of Directors of a Corporation in the vicinity of Insolvency and After Initiation of a Bankruptcy Case,</w:t>
      </w:r>
      <w:r>
        <w:t xml:space="preserve"> </w:t>
      </w:r>
      <w:r>
        <w:t xml:space="preserve">60 Bus. Law. 79 (2004); Robert K. Sahyan, Note,</w:t>
      </w:r>
      <w:r>
        <w:t xml:space="preserve"> </w:t>
      </w:r>
      <w:r>
        <w:rPr>
          <w:iCs/>
          <w:i/>
        </w:rPr>
        <w:t xml:space="preserve">The Myth of the Zone of Insolvency: Production Resources Group v. NCG Group,</w:t>
      </w:r>
      <w:r>
        <w:t xml:space="preserve"> </w:t>
      </w:r>
      <w:r>
        <w:t xml:space="preserve">3 Hastings Bus. L.J. 181 (2006). Vladimir Jelisavcic,</w:t>
      </w:r>
      <w:r>
        <w:t xml:space="preserve"> </w:t>
      </w:r>
      <w:r>
        <w:rPr>
          <w:iCs/>
          <w:i/>
        </w:rPr>
        <w:t xml:space="preserve">Corporate Law — A Safe Harbor Proposal to Define the Limits of Directors' Fiduciary Duty to Creditors in the "Vicinity of Insolvency:" Credit Lyonnais Bank Nederland N.V. v. Pathe Commc'ns Corp.,</w:t>
      </w:r>
      <w:r>
        <w:t xml:space="preserve"> </w:t>
      </w:r>
      <w:r>
        <w:t xml:space="preserve">18 J. Corp. L. 145 (Fall 1993).</w:t>
      </w:r>
      <w:r>
        <w:t xml:space="preserve"> </w:t>
      </w:r>
      <w:r>
        <w:rPr>
          <w:iCs/>
          <w:i/>
        </w:rPr>
        <w:t xml:space="preserve">See also</w:t>
      </w:r>
      <w:r>
        <w:t xml:space="preserve"> </w:t>
      </w:r>
      <w:r>
        <w:t xml:space="preserve">Selected Papers from the University of Maryland's "Twilight in the Zone of Insolvency" Conference: Stephen M. Bainbridge,</w:t>
      </w:r>
      <w:r>
        <w:t xml:space="preserve"> </w:t>
      </w:r>
      <w:r>
        <w:rPr>
          <w:iCs/>
          <w:i/>
        </w:rPr>
        <w:t xml:space="preserve">Much Ado About Little? Insolvency, 1 J.Bus.&amp;Tech.L.; 335 (2007); J. Directors' Fiduciary Duties in the Vicinity of William Callison,</w:t>
      </w:r>
      <w:r>
        <w:t xml:space="preserve"> </w:t>
      </w:r>
      <w:r>
        <w:t xml:space="preserve">Why a Fiduciary Duty Shift to Creditors of Insolvent Business Entities Is Incorrect as a Matter of Theory and Practice,</w:t>
      </w:r>
      <w:r>
        <w:t xml:space="preserve"> </w:t>
      </w:r>
      <w:r>
        <w:rPr>
          <w:iCs/>
          <w:i/>
        </w:rPr>
        <w:t xml:space="preserve">1 J.Bus.&amp;Tech.L.; 431 (2007); Larry E. Ribstein &amp; Kelli A. Alces,</w:t>
      </w:r>
      <w:r>
        <w:t xml:space="preserve"> </w:t>
      </w:r>
      <w:r>
        <w:t xml:space="preserve">Directors' Duties in Failing Firms, 1 J.Bus.&amp;Tech.L.; 529 (2007); Frederick Tung,</w:t>
      </w:r>
      <w:r>
        <w:t xml:space="preserve"> </w:t>
      </w:r>
      <w:r>
        <w:rPr>
          <w:iCs/>
          <w:i/>
        </w:rPr>
        <w:t xml:space="preserve">Gap Filling in the Zone of Insolvency,</w:t>
      </w:r>
      <w:r>
        <w:t xml:space="preserve"> </w:t>
      </w:r>
      <w:r>
        <w:t xml:space="preserve">1 J.Bus.&amp;Tech.L.; 607 (2007).</w:t>
      </w:r>
    </w:p>
    <w:p>
      <w:pPr>
        <w:pStyle w:val="CaseBody"/>
      </w:pPr>
      <w:hyperlink w:anchor="X0b20c4f36282847dd97ca39d350ee756979c902">
        <w:r>
          <w:rPr>
            <w:rStyle w:val="Hyperlink"/>
          </w:rPr>
          <w:t xml:space="preserve">[29]</w:t>
        </w:r>
      </w:hyperlink>
      <w:r>
        <w:t xml:space="preserve"> </w:t>
      </w:r>
      <w:r>
        <w:rPr>
          <w:iCs/>
          <w:i/>
        </w:rPr>
        <w:t xml:space="preserve">Production Resources Group L.L. v. NCT Group, Inc.,</w:t>
      </w:r>
      <w:r>
        <w:t xml:space="preserve"> </w:t>
      </w:r>
      <w:r>
        <w:t xml:space="preserve">863 A.2d at 790 (emphasis, added).</w:t>
      </w:r>
    </w:p>
    <w:p>
      <w:pPr>
        <w:pStyle w:val="CaseBody"/>
      </w:pPr>
      <w:hyperlink w:anchor="Xd4df1a5020a2ad5d53b25b727b56718b3183a68">
        <w:r>
          <w:rPr>
            <w:rStyle w:val="Hyperlink"/>
          </w:rPr>
          <w:t xml:space="preserve">[30]</w:t>
        </w:r>
      </w:hyperlink>
      <w:r>
        <w:t xml:space="preserve"> </w:t>
      </w:r>
      <w:r>
        <w:rPr>
          <w:iCs/>
          <w:i/>
        </w:rPr>
        <w:t xml:space="preserve">See, e.g.,</w:t>
      </w:r>
      <w:r>
        <w:t xml:space="preserve"> </w:t>
      </w:r>
      <w:r>
        <w:rPr>
          <w:iCs/>
          <w:i/>
        </w:rPr>
        <w:t xml:space="preserve">Big Lots Stores, Inc. v. Bain Capital Fund VII, LLC,</w:t>
      </w:r>
      <w:r>
        <w:t xml:space="preserve"> </w:t>
      </w:r>
      <w:r>
        <w:t xml:space="preserve">922 A.2d at 1181 (citing Stephen M. Bainbridge,</w:t>
      </w:r>
      <w:r>
        <w:t xml:space="preserve"> </w:t>
      </w:r>
      <w:r>
        <w:rPr>
          <w:iCs/>
          <w:i/>
        </w:rPr>
        <w:t xml:space="preserve">Much Ado About Little? Directors' Fiduciary Duties in the Vicinity of Insolvency,</w:t>
      </w:r>
      <w:r>
        <w:t xml:space="preserve"> </w:t>
      </w:r>
      <w:r>
        <w:t xml:space="preserve">1 J.Bus.&amp;Tech.L.; 335 (2007).</w:t>
      </w:r>
    </w:p>
    <w:p>
      <w:pPr>
        <w:pStyle w:val="CaseBody"/>
      </w:pPr>
      <w:hyperlink w:anchor="Xfe82e009e8cc8d6a5e877b9bef1d0711fbeff54">
        <w:r>
          <w:rPr>
            <w:rStyle w:val="Hyperlink"/>
          </w:rPr>
          <w:t xml:space="preserve">[31]</w:t>
        </w:r>
      </w:hyperlink>
      <w:r>
        <w:t xml:space="preserve"> </w:t>
      </w:r>
      <w:r>
        <w:t xml:space="preserve">Opinion at *13.</w:t>
      </w:r>
    </w:p>
    <w:p>
      <w:pPr>
        <w:pStyle w:val="CaseBody"/>
      </w:pPr>
      <w:hyperlink w:anchor="X7dcc6fe853d0a2f1269c6f8ae5897fd4bd0cfe7">
        <w:r>
          <w:rPr>
            <w:rStyle w:val="Hyperlink"/>
          </w:rPr>
          <w:t xml:space="preserve">[32]</w:t>
        </w:r>
      </w:hyperlink>
      <w:r>
        <w:t xml:space="preserve"> </w:t>
      </w:r>
      <w:r>
        <w:rPr>
          <w:iCs/>
          <w:i/>
        </w:rPr>
        <w:t xml:space="preserve">Id.</w:t>
      </w:r>
    </w:p>
    <w:p>
      <w:pPr>
        <w:pStyle w:val="CaseBody"/>
      </w:pPr>
      <w:hyperlink w:anchor="Xf5e3fe1d58ae21355a351ad576e73649afae70e">
        <w:r>
          <w:rPr>
            <w:rStyle w:val="Hyperlink"/>
          </w:rPr>
          <w:t xml:space="preserve">[33]</w:t>
        </w:r>
      </w:hyperlink>
      <w:r>
        <w:t xml:space="preserve"> </w:t>
      </w:r>
      <w:r>
        <w:rPr>
          <w:iCs/>
          <w:i/>
        </w:rPr>
        <w:t xml:space="preserve">Malone v. Brincat,</w:t>
      </w:r>
      <w:r>
        <w:t xml:space="preserve"> </w:t>
      </w:r>
      <w:r>
        <w:t xml:space="preserve">722 A.2d 5 (1998).</w:t>
      </w:r>
    </w:p>
    <w:p>
      <w:pPr>
        <w:pStyle w:val="CaseBody"/>
      </w:pPr>
      <w:hyperlink w:anchor="X19f016fa39f71fe4524988b0dc1943e12d28c57">
        <w:r>
          <w:rPr>
            <w:rStyle w:val="Hyperlink"/>
          </w:rPr>
          <w:t xml:space="preserve">[34]</w:t>
        </w:r>
      </w:hyperlink>
      <w:r>
        <w:t xml:space="preserve"> </w:t>
      </w:r>
      <w:r>
        <w:rPr>
          <w:iCs/>
          <w:i/>
        </w:rPr>
        <w:t xml:space="preserve">Id.</w:t>
      </w:r>
      <w:r>
        <w:t xml:space="preserve"> </w:t>
      </w:r>
      <w:r>
        <w:t xml:space="preserve">at 9.</w:t>
      </w:r>
    </w:p>
    <w:p>
      <w:pPr>
        <w:pStyle w:val="CaseBody"/>
      </w:pPr>
      <w:hyperlink w:anchor="X388b599581eda23c283efbc86d30fb95e85839c">
        <w:r>
          <w:rPr>
            <w:rStyle w:val="Hyperlink"/>
          </w:rPr>
          <w:t xml:space="preserve">[35]</w:t>
        </w:r>
      </w:hyperlink>
      <w:r>
        <w:t xml:space="preserve"> </w:t>
      </w:r>
      <w:r>
        <w:rPr>
          <w:iCs/>
          <w:i/>
        </w:rPr>
        <w:t xml:space="preserve">Id.</w:t>
      </w:r>
      <w:r>
        <w:t xml:space="preserve"> </w:t>
      </w:r>
      <w:r>
        <w:t xml:space="preserve">at 10.</w:t>
      </w:r>
    </w:p>
    <w:p>
      <w:pPr>
        <w:pStyle w:val="CaseBody"/>
      </w:pPr>
      <w:hyperlink w:anchor="X7703ac51b4335a9cacec218aebe5e65fcfb108c">
        <w:r>
          <w:rPr>
            <w:rStyle w:val="Hyperlink"/>
          </w:rPr>
          <w:t xml:space="preserve">[36]</w:t>
        </w:r>
      </w:hyperlink>
      <w:r>
        <w:t xml:space="preserve"> </w:t>
      </w:r>
      <w:r>
        <w:rPr>
          <w:iCs/>
          <w:i/>
        </w:rPr>
        <w:t xml:space="preserve">See, e.g.,</w:t>
      </w:r>
      <w:r>
        <w:t xml:space="preserve"> </w:t>
      </w:r>
      <w:r>
        <w:rPr>
          <w:iCs/>
          <w:i/>
        </w:rPr>
        <w:t xml:space="preserve">Guth v. Loft, Inc.,</w:t>
      </w:r>
      <w:r>
        <w:t xml:space="preserve"> </w:t>
      </w:r>
      <w:r>
        <w:t xml:space="preserve">5 A.2d 503, 510 (Del.1939).</w:t>
      </w:r>
    </w:p>
    <w:p>
      <w:pPr>
        <w:pStyle w:val="CaseBody"/>
      </w:pPr>
      <w:hyperlink w:anchor="Xb4fa56f3e3ce040e74f6624584ca323b2827e47">
        <w:r>
          <w:rPr>
            <w:rStyle w:val="Hyperlink"/>
          </w:rPr>
          <w:t xml:space="preserve">[37]</w:t>
        </w:r>
      </w:hyperlink>
      <w:r>
        <w:t xml:space="preserve"> </w:t>
      </w:r>
      <w:r>
        <w:rPr>
          <w:iCs/>
          <w:i/>
        </w:rPr>
        <w:t xml:space="preserve">See, e.g.,</w:t>
      </w:r>
      <w:r>
        <w:t xml:space="preserve"> </w:t>
      </w:r>
      <w:r>
        <w:rPr>
          <w:iCs/>
          <w:i/>
        </w:rPr>
        <w:t xml:space="preserve">Aronson v. Lewis,</w:t>
      </w:r>
      <w:r>
        <w:t xml:space="preserve"> </w:t>
      </w:r>
      <w:r>
        <w:t xml:space="preserve">473 A.2d 805, 811 (Del.1984)</w:t>
      </w:r>
      <w:r>
        <w:t xml:space="preserve"> </w:t>
      </w:r>
      <w:r>
        <w:rPr>
          <w:iCs/>
          <w:i/>
        </w:rPr>
        <w:t xml:space="preserve">partially overruled on other grounds by</w:t>
      </w:r>
      <w:r>
        <w:t xml:space="preserve"> </w:t>
      </w:r>
      <w:r>
        <w:rPr>
          <w:iCs/>
          <w:i/>
        </w:rPr>
        <w:t xml:space="preserve">Brehm v. Eisner,</w:t>
      </w:r>
      <w:r>
        <w:t xml:space="preserve"> </w:t>
      </w:r>
      <w:r>
        <w:t xml:space="preserve">746 A.2d 244 (Del.2000).</w:t>
      </w:r>
    </w:p>
    <w:p>
      <w:pPr>
        <w:pStyle w:val="CaseBody"/>
      </w:pPr>
      <w:hyperlink w:anchor="X3cacec83782b7bb4a846c96651a2cf066360d81">
        <w:r>
          <w:rPr>
            <w:rStyle w:val="Hyperlink"/>
          </w:rPr>
          <w:t xml:space="preserve">[38]</w:t>
        </w:r>
      </w:hyperlink>
      <w:r>
        <w:t xml:space="preserve"> </w:t>
      </w:r>
      <w:r>
        <w:rPr>
          <w:iCs/>
          <w:i/>
        </w:rPr>
        <w:t xml:space="preserve">Agostino v. Hicks,</w:t>
      </w:r>
      <w:r>
        <w:t xml:space="preserve"> </w:t>
      </w:r>
      <w:r>
        <w:t xml:space="preserve">845 A.2d 1110, 1117 (Del.Ch.2004);</w:t>
      </w:r>
      <w:r>
        <w:t xml:space="preserve"> </w:t>
      </w:r>
      <w:r>
        <w:rPr>
          <w:iCs/>
          <w:i/>
        </w:rPr>
        <w:t xml:space="preserve">see also</w:t>
      </w:r>
      <w:r>
        <w:t xml:space="preserve"> </w:t>
      </w:r>
      <w:r>
        <w:rPr>
          <w:iCs/>
          <w:i/>
        </w:rPr>
        <w:t xml:space="preserve">Tooley v. Donaldson, Lufkin &amp; Jenrette, Inc.,</w:t>
      </w:r>
      <w:r>
        <w:t xml:space="preserve"> </w:t>
      </w:r>
      <w:r>
        <w:t xml:space="preserve">845 A.2d at 1036 ("The derivative suit has been generally described as `one of the most interesting and ingenious of accountability mechanisms for large formal organizations.'") (quoting</w:t>
      </w:r>
      <w:r>
        <w:t xml:space="preserve"> </w:t>
      </w:r>
      <w:r>
        <w:rPr>
          <w:iCs/>
          <w:i/>
        </w:rPr>
        <w:t xml:space="preserve">Kramer v. W. Pac. Indus., Inc.,</w:t>
      </w:r>
      <w:r>
        <w:t xml:space="preserve"> </w:t>
      </w:r>
      <w:r>
        <w:t xml:space="preserve">546 A.2d 348, 351 (Del.1988));</w:t>
      </w:r>
      <w:r>
        <w:t xml:space="preserve"> </w:t>
      </w:r>
      <w:r>
        <w:rPr>
          <w:iCs/>
          <w:i/>
        </w:rPr>
        <w:t xml:space="preserve">Guttman v. Huang,</w:t>
      </w:r>
      <w:r>
        <w:t xml:space="preserve"> </w:t>
      </w:r>
      <w:r>
        <w:t xml:space="preserve">823 A.2d 492, 500 (Del.Ch.2003) (noting the "deterrence effects of meritorious derivative suits on faithless conduct.").</w:t>
      </w:r>
    </w:p>
    <w:p>
      <w:pPr>
        <w:pStyle w:val="CaseBody"/>
      </w:pPr>
      <w:hyperlink w:anchor="X659426455f70aeafcfd4ef475930d7d91099bff">
        <w:r>
          <w:rPr>
            <w:rStyle w:val="Hyperlink"/>
          </w:rPr>
          <w:t xml:space="preserve">[39]</w:t>
        </w:r>
      </w:hyperlink>
      <w:r>
        <w:t xml:space="preserve"> </w:t>
      </w:r>
      <w:r>
        <w:rPr>
          <w:iCs/>
          <w:i/>
        </w:rPr>
        <w:t xml:space="preserve">Production Resources Group, L.L.C. v. NCT Group, Inc.,</w:t>
      </w:r>
      <w:r>
        <w:t xml:space="preserve"> </w:t>
      </w:r>
      <w:r>
        <w:t xml:space="preserve">863 A.2d at 794 n. 67.</w:t>
      </w:r>
    </w:p>
    <w:p>
      <w:pPr>
        <w:pStyle w:val="CaseBody"/>
      </w:pPr>
      <w:hyperlink w:anchor="X3ac0d091373205b3431f0cecf0c26a1e7a86c94">
        <w:r>
          <w:rPr>
            <w:rStyle w:val="Hyperlink"/>
          </w:rPr>
          <w:t xml:space="preserve">[40]</w:t>
        </w:r>
      </w:hyperlink>
      <w:r>
        <w:t xml:space="preserve"> </w:t>
      </w:r>
      <w:r>
        <w:rPr>
          <w:iCs/>
          <w:i/>
        </w:rPr>
        <w:t xml:space="preserve">Production Resources Group, L.L.C. v. NCT Group, Inc.,</w:t>
      </w:r>
      <w:r>
        <w:t xml:space="preserve"> </w:t>
      </w:r>
      <w:r>
        <w:t xml:space="preserve">863 A.2d at 776;</w:t>
      </w:r>
      <w:r>
        <w:t xml:space="preserve"> </w:t>
      </w:r>
      <w:r>
        <w:rPr>
          <w:iCs/>
          <w:i/>
        </w:rPr>
        <w:t xml:space="preserve">see also</w:t>
      </w:r>
      <w:r>
        <w:t xml:space="preserve"> </w:t>
      </w:r>
      <w:r>
        <w:rPr>
          <w:iCs/>
          <w:i/>
        </w:rPr>
        <w:t xml:space="preserve">Trenwick Am. Litig. Trust v. Ernst &amp; Young, L.L.P.,</w:t>
      </w:r>
      <w:r>
        <w:t xml:space="preserve"> </w:t>
      </w:r>
      <w:r>
        <w:t xml:space="preserve">906 A.2d 168, 195 n. 75 (Del.Ch.2006).</w:t>
      </w:r>
    </w:p>
    <w:p>
      <w:pPr>
        <w:pStyle w:val="CaseBody"/>
      </w:pPr>
      <w:hyperlink w:anchor="X776903b4fb57b403fc30fe5dde2b916955977e8">
        <w:r>
          <w:rPr>
            <w:rStyle w:val="Hyperlink"/>
          </w:rPr>
          <w:t xml:space="preserve">[41]</w:t>
        </w:r>
      </w:hyperlink>
      <w:r>
        <w:t xml:space="preserve"> </w:t>
      </w:r>
      <w:r>
        <w:rPr>
          <w:iCs/>
          <w:i/>
        </w:rPr>
        <w:t xml:space="preserve">Production Resources Group, L.L.C. v. NCT Group, Inc.,</w:t>
      </w:r>
      <w:r>
        <w:t xml:space="preserve"> </w:t>
      </w:r>
      <w:r>
        <w:t xml:space="preserve">863 A.2d at 800. The court reserved "the opportunity . . . to revisit some of these questions with better input from the parties."</w:t>
      </w:r>
      <w:r>
        <w:t xml:space="preserve"> </w:t>
      </w:r>
      <w:r>
        <w:rPr>
          <w:iCs/>
          <w:i/>
        </w:rPr>
        <w:t xml:space="preserve">Id.</w:t>
      </w:r>
      <w:r>
        <w:t xml:space="preserve"> </w:t>
      </w:r>
      <w:r>
        <w:t xml:space="preserve">at 801.</w:t>
      </w:r>
    </w:p>
    <w:p>
      <w:pPr>
        <w:pStyle w:val="CaseBody"/>
      </w:pPr>
      <w:hyperlink w:anchor="X2e5ed61b9b04e3ba5cf63b5d4726ac7ed0bb177">
        <w:r>
          <w:rPr>
            <w:rStyle w:val="Hyperlink"/>
          </w:rPr>
          <w:t xml:space="preserve">[42]</w:t>
        </w:r>
      </w:hyperlink>
      <w:r>
        <w:t xml:space="preserve"> </w:t>
      </w:r>
      <w:r>
        <w:rPr>
          <w:iCs/>
          <w:i/>
        </w:rPr>
        <w:t xml:space="preserve">Id.</w:t>
      </w:r>
    </w:p>
    <w:p>
      <w:pPr>
        <w:pStyle w:val="CaseBody"/>
      </w:pPr>
      <w:hyperlink w:anchor="X1a5910c292634ae1bfd01ae8e7ec64dfdfe33e0">
        <w:r>
          <w:rPr>
            <w:rStyle w:val="Hyperlink"/>
          </w:rPr>
          <w:t xml:space="preserve">[43]</w:t>
        </w:r>
      </w:hyperlink>
      <w:r>
        <w:t xml:space="preserve"> </w:t>
      </w:r>
      <w:r>
        <w:t xml:space="preserve">In</w:t>
      </w:r>
      <w:r>
        <w:t xml:space="preserve"> </w:t>
      </w:r>
      <w:r>
        <w:rPr>
          <w:iCs/>
          <w:i/>
        </w:rPr>
        <w:t xml:space="preserve">Production Resources,</w:t>
      </w:r>
      <w:r>
        <w:t xml:space="preserve"> </w:t>
      </w:r>
      <w:r>
        <w:t xml:space="preserve">the Court of Chancery expressed in</w:t>
      </w:r>
      <w:r>
        <w:t xml:space="preserve"> </w:t>
      </w:r>
      <w:r>
        <w:rPr>
          <w:iCs/>
          <w:i/>
        </w:rPr>
        <w:t xml:space="preserve">dicta</w:t>
      </w:r>
      <w:r>
        <w:t xml:space="preserve"> </w:t>
      </w:r>
      <w:r>
        <w:t xml:space="preserve">a "conservative assumption that there might, possibly exist circumstances in which the directors [of an actually insolvent corporation] display such a marked degree of animus towards a particular creditor with a proven entitlement to payment that they expose themselves to a direct fiduciary duty claim by that creditor."</w:t>
      </w:r>
      <w:r>
        <w:t xml:space="preserve"> </w:t>
      </w:r>
      <w:r>
        <w:rPr>
          <w:iCs/>
          <w:i/>
        </w:rPr>
        <w:t xml:space="preserve">Production Resources Group, L.L.C. v. NCT Group, Inc.,</w:t>
      </w:r>
      <w:r>
        <w:t xml:space="preserve"> </w:t>
      </w:r>
      <w:r>
        <w:t xml:space="preserve">863 A.2d at 798. We think not. While there may well be a basis for a direct claim arising out of contract or tort, our holding today precludes a direct claim arising out of a purported breach of a fiduciary duty owed to that creditor by the directors of an insolvent corporation.</w:t>
      </w:r>
    </w:p>
    <w:p>
      <w:pPr>
        <w:pStyle w:val="CaseBody"/>
      </w:pPr>
      <w:hyperlink w:anchor="X77b7ff24004cbc15199414b28e546dc362bbc9a">
        <w:r>
          <w:rPr>
            <w:rStyle w:val="Hyperlink"/>
          </w:rPr>
          <w:t xml:space="preserve">[44]</w:t>
        </w:r>
      </w:hyperlink>
      <w:r>
        <w:t xml:space="preserve"> </w:t>
      </w:r>
      <w:r>
        <w:rPr>
          <w:iCs/>
          <w:i/>
        </w:rPr>
        <w:t xml:space="preserve">Big Lots Stores, Inc. v. Bain Capital Fund VII, LLC,</w:t>
      </w:r>
      <w:r>
        <w:t xml:space="preserve"> </w:t>
      </w:r>
      <w:r>
        <w:t xml:space="preserve">922 A.2d 1169 (Del.Ch.2006). In</w:t>
      </w:r>
      <w:r>
        <w:t xml:space="preserve"> </w:t>
      </w:r>
      <w:r>
        <w:rPr>
          <w:iCs/>
          <w:i/>
        </w:rPr>
        <w:t xml:space="preserve">Big Lots,</w:t>
      </w:r>
      <w:r>
        <w:t xml:space="preserve"> </w:t>
      </w:r>
      <w:r>
        <w:t xml:space="preserve">the Court of Chancery reiterated, also in</w:t>
      </w:r>
      <w:r>
        <w:t xml:space="preserve"> </w:t>
      </w:r>
      <w:r>
        <w:rPr>
          <w:iCs/>
          <w:i/>
        </w:rPr>
        <w:t xml:space="preserve">dicta,</w:t>
      </w:r>
      <w:r>
        <w:t xml:space="preserve"> </w:t>
      </w:r>
      <w:r>
        <w:t xml:space="preserve">that any potentially cognizable direct claims asserted by creditors in actual insolvency should be confined to the limited circumstances in</w:t>
      </w:r>
      <w:r>
        <w:t xml:space="preserve"> </w:t>
      </w:r>
      <w:r>
        <w:rPr>
          <w:iCs/>
          <w:i/>
        </w:rPr>
        <w:t xml:space="preserve">Production Resources,</w:t>
      </w:r>
      <w:r>
        <w:t xml:space="preserve"> </w:t>
      </w:r>
      <w:r>
        <w:t xml:space="preserve">namely, instances in which invidious conduct toward a particular "creditor" with a "proven entitlement to payment" has been alleged.</w:t>
      </w:r>
      <w:r>
        <w:t xml:space="preserve"> </w:t>
      </w:r>
      <w:r>
        <w:rPr>
          <w:iCs/>
          <w:i/>
        </w:rPr>
        <w:t xml:space="preserve">Id.</w:t>
      </w:r>
      <w:r>
        <w:t xml:space="preserve"> </w:t>
      </w:r>
      <w:r>
        <w:t xml:space="preserve">The suggestion in that</w:t>
      </w:r>
      <w:r>
        <w:t xml:space="preserve"> </w:t>
      </w:r>
      <w:r>
        <w:rPr>
          <w:iCs/>
          <w:i/>
        </w:rPr>
        <w:t xml:space="preserve">dicta</w:t>
      </w:r>
      <w:r>
        <w:t xml:space="preserve"> </w:t>
      </w:r>
      <w:r>
        <w:t xml:space="preserve">is also inconsistent with and precluded by our holding in this opinion.</w:t>
      </w:r>
    </w:p>
    <w:p>
      <w:pPr>
        <w:pStyle w:val="CaseBody"/>
      </w:pPr>
      <w:hyperlink w:anchor="X2c1b72dd3428a9a2feff1c135b3ba6efa40e747">
        <w:r>
          <w:rPr>
            <w:rStyle w:val="Hyperlink"/>
          </w:rPr>
          <w:t xml:space="preserve">[45]</w:t>
        </w:r>
      </w:hyperlink>
      <w:r>
        <w:t xml:space="preserve"> </w:t>
      </w:r>
      <w:r>
        <w:rPr>
          <w:iCs/>
          <w:i/>
        </w:rPr>
        <w:t xml:space="preserve">In Re Walt Disney Co. Derivative Litigation,</w:t>
      </w:r>
      <w:r>
        <w:t xml:space="preserve"> </w:t>
      </w:r>
      <w:r>
        <w:t xml:space="preserve">906 A.2d 27, 65 (Del.2006).</w:t>
      </w:r>
    </w:p>
    <w:p>
      <w:pPr>
        <w:pStyle w:val="CaseBody"/>
      </w:pPr>
      <w:hyperlink w:anchor="Xf876b61a0eda047bebe0f07769eea13d9694aa0">
        <w:r>
          <w:rPr>
            <w:rStyle w:val="Hyperlink"/>
          </w:rPr>
          <w:t xml:space="preserve">[46]</w:t>
        </w:r>
      </w:hyperlink>
      <w:r>
        <w:t xml:space="preserve"> </w:t>
      </w:r>
      <w:r>
        <w:rPr>
          <w:iCs/>
          <w:i/>
        </w:rPr>
        <w:t xml:space="preserve">Production Resources Group, L.L.C. v. NCT Group, Inc.,</w:t>
      </w:r>
      <w:r>
        <w:t xml:space="preserve"> </w:t>
      </w:r>
      <w:r>
        <w:t xml:space="preserve">863 A.2d at 797.</w:t>
      </w:r>
    </w:p>
    <w:bookmarkEnd w:id="193"/>
    <w:p>
      <w:pPr>
        <w:pStyle w:val="NodeEnd"/>
      </w:pPr>
      <w:r>
        <w:t xml:space="preserve"> </w:t>
      </w:r>
    </w:p>
    <w:p>
      <w:pPr>
        <w:pStyle w:val="NodeStart"/>
      </w:pPr>
      <w:r>
        <w:t xml:space="preserve"> </w:t>
      </w:r>
    </w:p>
    <w:p>
      <w:pPr>
        <w:pStyle w:val="HeadSeparator"/>
      </w:pPr>
      <w:r>
        <w:t xml:space="preserve"> </w:t>
      </w:r>
    </w:p>
    <w:bookmarkStart w:id="102" w:name="_auto_toc_102"/>
    <w:bookmarkEnd w:id="102"/>
    <w:p>
      <w:pPr>
        <w:pStyle w:val="ResourceNumber"/>
      </w:pPr>
      <w:r>
        <w:t xml:space="preserve">8.3</w:t>
      </w:r>
    </w:p>
    <w:p>
      <w:pPr>
        <w:pStyle w:val="ResourceTitle"/>
      </w:pPr>
      <w:r>
        <w:t xml:space="preserve">Mass. UFTA</w:t>
      </w:r>
    </w:p>
    <w:p>
      <w:pPr>
        <w:pStyle w:val="HeadFieldSeparator"/>
      </w:pPr>
      <w:r>
        <w:t xml:space="preserve"> </w:t>
      </w:r>
    </w:p>
    <w:p>
      <w:pPr>
        <w:pStyle w:val="ResourceLink"/>
      </w:pPr>
      <w:hyperlink r:id="rId194">
        <w:r>
          <w:rPr>
            <w:rStyle w:val="Hyperlink"/>
          </w:rPr>
          <w:t xml:space="preserve">https://malegislature.gov/Laws/GeneralLaws/PartI/TitleXV/Chapter109A/Section5</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p>
      <w:pPr>
        <w:pStyle w:val="ChapterSpacer"/>
        <w:sectPr>
          <w:footerReference w:type="even" r:id="rId14"/>
          <w:footerReference w:type="default" r:id="rId14"/>
          <w:headerReference w:type="even" r:id="rId11"/>
          <w:headerReference w:type="default" r:id="rId12"/>
          <w:pgSz w:h="15840" w:w="12240"/>
          <w:pgMar w:bottom="1440" w:gutter="720" w:header="1440" w:left="1440" w:right="1440" w:top="1800"/>
          <w:pgNumType w:pgNumType="decimal"/>
        </w:sectPr>
      </w:pPr>
      <w:r>
        <w:t xml:space="preserve"> </w:t>
      </w:r>
    </w:p>
    <w:bookmarkStart w:id="103" w:name="_auto_toc_103"/>
    <w:bookmarkEnd w:id="103"/>
    <w:p>
      <w:pPr>
        <w:pStyle w:val="ChapterNumber"/>
      </w:pPr>
      <w:r>
        <w:t xml:space="preserve">9</w:t>
      </w:r>
    </w:p>
    <w:p>
      <w:pPr>
        <w:pStyle w:val="ChapterTitle"/>
      </w:pPr>
      <w:r>
        <w:t xml:space="preserve">Basic M&amp;A</w:t>
      </w:r>
    </w:p>
    <w:p>
      <w:pPr>
        <w:pStyle w:val="HeadEnd"/>
        <w:sectPr>
          <w:footerReference w:type="even" r:id="rId14"/>
          <w:footerReference w:type="default" r:id="rId14"/>
          <w:headerReference w:type="even" r:id="rId11"/>
          <w:headerReference w:type="default" r:id="rId12"/>
          <w:type w:val="oddPage"/>
          <w:pgSz w:h="15840" w:w="12240"/>
          <w:pgMar w:bottom="1440" w:gutter="720" w:header="1440" w:left="1440" w:right="1440" w:top="1800"/>
          <w:pgNumType w:pgNumType="decimal"/>
        </w:sectPr>
      </w:pPr>
      <w:r>
        <w:t xml:space="preserve"> </w:t>
      </w:r>
    </w:p>
    <w:p>
      <w:pPr>
        <w:pStyle w:val="NodeEnd"/>
      </w:pPr>
      <w:r>
        <w:t xml:space="preserve"> </w:t>
      </w:r>
    </w:p>
    <w:p>
      <w:pPr>
        <w:pStyle w:val="NodeStart"/>
      </w:pPr>
      <w:r>
        <w:t xml:space="preserve"> </w:t>
      </w:r>
    </w:p>
    <w:p>
      <w:pPr>
        <w:pStyle w:val="HeadSeparator"/>
      </w:pPr>
      <w:r>
        <w:t xml:space="preserve"> </w:t>
      </w:r>
    </w:p>
    <w:bookmarkStart w:id="104" w:name="_auto_toc_104"/>
    <w:bookmarkEnd w:id="104"/>
    <w:p>
      <w:pPr>
        <w:pStyle w:val="SectionNumber"/>
      </w:pPr>
      <w:r>
        <w:t xml:space="preserve">9.1</w:t>
      </w:r>
    </w:p>
    <w:p>
      <w:pPr>
        <w:pStyle w:val="SectionTitle"/>
      </w:pPr>
      <w:r>
        <w:t xml:space="preserve">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105" w:name="_auto_toc_105"/>
    <w:bookmarkEnd w:id="105"/>
    <w:p>
      <w:pPr>
        <w:pStyle w:val="ResourceNumber"/>
      </w:pPr>
      <w:r>
        <w:t xml:space="preserve">9.1.1</w:t>
      </w:r>
    </w:p>
    <w:p>
      <w:pPr>
        <w:pStyle w:val="ResourceTitle"/>
      </w:pPr>
      <w:r>
        <w:t xml:space="preserve">Zetlin v. Hanson Holdings, Inc.</w:t>
      </w:r>
    </w:p>
    <w:p>
      <w:pPr>
        <w:pStyle w:val="HeadEnd"/>
      </w:pPr>
      <w:r>
        <w:t xml:space="preserve"> </w:t>
      </w:r>
    </w:p>
    <w:p>
      <w:pPr>
        <w:pStyle w:val="CaseHeader"/>
      </w:pPr>
      <w:r>
        <w:t xml:space="preserve">New York Court of Appeals</w:t>
      </w:r>
    </w:p>
    <w:p>
      <w:pPr>
        <w:pStyle w:val="CaseHeader"/>
      </w:pPr>
      <w:r>
        <w:t xml:space="preserve">48 N.Y.2d 684</w:t>
      </w:r>
    </w:p>
    <w:p>
      <w:pPr>
        <w:pStyle w:val="CaseHeader"/>
      </w:pPr>
      <w:r>
        <w:t xml:space="preserve">1979-10-11</w:t>
      </w:r>
    </w:p>
    <w:p>
      <w:pPr>
        <w:pStyle w:val="CaseBody"/>
      </w:pPr>
      <w:r>
        <w:rPr>
          <w:rStyle w:val="Elision"/>
        </w:rPr>
        <w:t xml:space="preserve">[ … ]</w:t>
      </w:r>
    </w:p>
    <w:p>
      <w:pPr>
        <w:pStyle w:val="CaseBody"/>
      </w:pPr>
      <w:r>
        <w:t xml:space="preserve">The order of the Appellate Division should be affirmed, with costs.</w:t>
      </w:r>
    </w:p>
    <w:p>
      <w:pPr>
        <w:pStyle w:val="CaseBody"/>
      </w:pPr>
      <w:r>
        <w:t xml:space="preserve">Plaintiff Zetlin owned approximately 2% of the outstanding shares of Gable Industries, Inc., with defendants Hanson Holdings, Inc., and Sylvestri, together with members of the Sylvestri family, owning 44.4% of Gable’s shares. The defendants sold their interests to Flintkote Co. for a premium price of $15 per share, at a time when Gable stock was selling on the open market for $7.38 per share. It is undisputed that the 44.4% acquired by Flintkote represented effective control of Gable.</w:t>
      </w:r>
    </w:p>
    <w:p>
      <w:pPr>
        <w:pStyle w:val="CaseBody"/>
      </w:pPr>
      <w:r>
        <w:t xml:space="preserve">Recognizing that those who invest the capital necessary to acquire a dominant position in the ownership of a corporation have the right of controlling that corporation, it has long been settled law that, absent looting of corporate assets, conversion of a corporate opportunity, fraud or other acts of bad faith, a controlling stockholder is free to sell, and a purchaser is free to buy, that controlling interest at a premium price</w:t>
      </w:r>
      <w:r>
        <w:t xml:space="preserve"> </w:t>
      </w:r>
      <w:r>
        <w:rPr>
          <w:rStyle w:val="Elision"/>
        </w:rPr>
        <w:t xml:space="preserve">[ … ]</w:t>
      </w:r>
      <w:r>
        <w:t xml:space="preserve">.</w:t>
      </w:r>
    </w:p>
    <w:p>
      <w:pPr>
        <w:pStyle w:val="CaseBody"/>
      </w:pPr>
      <w:r>
        <w:t xml:space="preserve">Certainly, minority shareholders are entitled to protection against such abuse by controlling shareholders. They are not entitled, however, to inhibit the legitimate interests of the other stockholders. It is for this reason that control shares usually command a premium price. The premium is the added amount an investor is willing to pay for the privilege of directly influencing the corporation’s affairs.</w:t>
      </w:r>
    </w:p>
    <w:p>
      <w:pPr>
        <w:pStyle w:val="CaseBody"/>
      </w:pPr>
      <w:r>
        <w:t xml:space="preserve">In this action plaintiff Zetlin contends that minority stockholders are entitled to an opportunity to share equally in any premium paid for a controlling interest in the corporation. This rule would profoundly affect the manner in which controlling stock interests are now transferred. It would require, essentially, that a controlling interest be transferred only by means of an offer to all stockholders, i.e., a tender offer. This would be contrary to existing law and if so radical a change is to be effected it would best be done by the Legislature.</w:t>
      </w:r>
    </w:p>
    <w:p>
      <w:pPr>
        <w:pStyle w:val="CaseBody"/>
      </w:pPr>
      <w:r>
        <w:rPr>
          <w:rStyle w:val="Elision"/>
        </w:rPr>
        <w:t xml:space="preserve">[ … ]</w:t>
      </w:r>
    </w:p>
    <w:p>
      <w:pPr>
        <w:pStyle w:val="NodeEnd"/>
      </w:pPr>
      <w:r>
        <w:t xml:space="preserve"> </w:t>
      </w:r>
    </w:p>
    <w:p>
      <w:pPr>
        <w:pStyle w:val="NodeStart"/>
      </w:pPr>
      <w:r>
        <w:t xml:space="preserve"> </w:t>
      </w:r>
    </w:p>
    <w:p>
      <w:pPr>
        <w:pStyle w:val="HeadSeparator"/>
      </w:pPr>
      <w:r>
        <w:t xml:space="preserve"> </w:t>
      </w:r>
    </w:p>
    <w:bookmarkStart w:id="106" w:name="_auto_toc_106"/>
    <w:bookmarkEnd w:id="106"/>
    <w:p>
      <w:pPr>
        <w:pStyle w:val="ResourceNumber"/>
      </w:pPr>
      <w:r>
        <w:t xml:space="preserve">9.1.2</w:t>
      </w:r>
    </w:p>
    <w:p>
      <w:pPr>
        <w:pStyle w:val="ResourceTitle"/>
      </w:pPr>
      <w:r>
        <w:t xml:space="preserve">Perlman v. Feldmann</w:t>
      </w:r>
    </w:p>
    <w:p>
      <w:pPr>
        <w:pStyle w:val="HeadEnd"/>
      </w:pPr>
      <w:r>
        <w:t xml:space="preserve"> </w:t>
      </w:r>
    </w:p>
    <w:p>
      <w:pPr>
        <w:pStyle w:val="CaseHeader"/>
      </w:pPr>
      <w:r>
        <w:t xml:space="preserve">United States Court of Appeals for the Second Circuit</w:t>
      </w:r>
    </w:p>
    <w:p>
      <w:pPr>
        <w:pStyle w:val="CaseHeader"/>
      </w:pPr>
      <w:r>
        <w:t xml:space="preserve">219 F.2d 173</w:t>
      </w:r>
    </w:p>
    <w:p>
      <w:pPr>
        <w:pStyle w:val="CaseHeader"/>
      </w:pPr>
      <w:r>
        <w:t xml:space="preserve">No. 9, Docket 22918</w:t>
      </w:r>
    </w:p>
    <w:p>
      <w:pPr>
        <w:pStyle w:val="CaseHeader"/>
      </w:pPr>
      <w:r>
        <w:t xml:space="preserve">1955-01-26</w:t>
      </w:r>
    </w:p>
    <w:p>
      <w:pPr>
        <w:pStyle w:val="CaseBody"/>
      </w:pPr>
      <w:r>
        <w:rPr>
          <w:rStyle w:val="Elision"/>
        </w:rPr>
        <w:t xml:space="preserve">[ … ]</w:t>
      </w:r>
    </w:p>
    <w:p>
      <w:pPr>
        <w:pStyle w:val="CaseBody"/>
      </w:pPr>
      <w:r>
        <w:t xml:space="preserve">CLARK, Chief Judge.</w:t>
      </w:r>
    </w:p>
    <w:p>
      <w:pPr>
        <w:pStyle w:val="CaseBody"/>
      </w:pPr>
      <w:r>
        <w:t xml:space="preserve">This is a derivative action brought by minority stockholders of Newport, Steel Corporation to compel accounting-for, and restitution of, allegedly illegal gains which accrued to defendants as a. result of the sale in August, 1950, of their controlling interest in the corporation. The principal defendant, C. Russell Feldmann, who represented and acted for the others, members of his family,</w:t>
      </w:r>
      <w:r>
        <w:rPr>
          <w:rStyle w:val="FootnoteReference"/>
        </w:rPr>
        <w:footnoteReference w:customMarkFollows="1" w:id="25"/>
        <w:t xml:space="preserve">1</w:t>
      </w:r>
      <w:r>
        <w:t xml:space="preserve">was at that time not only the dominant-stockholder, but also the chairman of' the board of directors and the president of the corporation. Newport, an Indiana. corporation, operated mills for the production of steel sheets for sale to manufacturers of steel products, first at Newport, Kentucky, and later also at other places in Kentucky and Ohio. The buyers, a syndicate organized as Wilport Company, a Delaware corporation, consisted of end-users of steel who were interested in securing a source of supply in a market becoming ever tighter in the Korean War. Plaintiffs contend that the consideration paid for the stock included compensation for the sale of a corporate asset, a power held in trust for the corporation by Feldmann as its fiduciary. This power was the ability to control the allocation of the corporate product in a time of short supply, through control of the board of directors; and it was effectively transferred in this sale by having Feldmann procure the resignation of his own board and the election of Wilport’s nominees immediately upon consummation of the sale.</w:t>
      </w:r>
    </w:p>
    <w:p>
      <w:pPr>
        <w:pStyle w:val="CaseBody"/>
      </w:pPr>
      <w:r>
        <w:t xml:space="preserve">The present action represents the consolidation of three pending stockholders’ actions in which yet another stockholder has been permitted to intervene. Jurisdiction below was based upon the diverse citizenship of the parties. Plaintiffs argue here, as they did in the court below, that in the situation here disclosed the vendors must account to the nonparticipating minority stockholders for that share of their profit which is attributable to the sale of the corporate power.</w:t>
      </w:r>
      <w:r>
        <w:t xml:space="preserve"> </w:t>
      </w:r>
      <w:r>
        <w:rPr>
          <w:rStyle w:val="Elision"/>
        </w:rPr>
        <w:t xml:space="preserve">[ … ]</w:t>
      </w:r>
    </w:p>
    <w:p>
      <w:pPr>
        <w:pStyle w:val="CaseBody"/>
      </w:pPr>
      <w:r>
        <w:t xml:space="preserve">The essential facts found by the trial judge are not in dispute. Newport was a relative newcomer in the steel industry with predominantly old installations which were in the process of being supplemented by more modern facilities. Except in times of extreme shortage Newport was not in a position to compete profitably with other steel mills for customers not in its immediate geographical area. Wilport, the purchasing syndicate, consisted of geographically remote end-users of steel who were interested in buying more steel from Newport than they had been able to obtain during recent periods of tight supply. The price of $20 per share was found by Judge Hincks to be a fair one for a control block of stock, although the over-the-counter market price had not exceeded $12 and the book value per share was $17.03. But this finding was limited by Judge Hincks’ statement that “[w]hat value the block would have had if shorn of its appurtenant power to control distribution of the corporate product, the evidence does not show.” It was also conditioned by his earlier ruling that the burden was on plaintiffs to prove a lesser value for the stock.</w:t>
      </w:r>
    </w:p>
    <w:p>
      <w:pPr>
        <w:pStyle w:val="CaseBody"/>
      </w:pPr>
      <w:r>
        <w:t xml:space="preserve">Both as director and as dominant stockholder, Feldmann stood in a fiduciary relationship to the corporation and to the minority stockholders as beneficiaries thereof.</w:t>
      </w:r>
      <w:r>
        <w:t xml:space="preserve"> </w:t>
      </w:r>
      <w:r>
        <w:rPr>
          <w:rStyle w:val="Elision"/>
        </w:rPr>
        <w:t xml:space="preserve">[ … ]</w:t>
      </w:r>
      <w:r>
        <w:t xml:space="preserve">His fiduciary obligation must in the first instance be measured by the law of Indiana, the state of incorporation of Newport.</w:t>
      </w:r>
      <w:r>
        <w:t xml:space="preserve"> </w:t>
      </w:r>
      <w:r>
        <w:rPr>
          <w:rStyle w:val="Elision"/>
        </w:rPr>
        <w:t xml:space="preserve">[ … ]</w:t>
      </w:r>
      <w:r>
        <w:t xml:space="preserve"> </w:t>
      </w:r>
      <w:r>
        <w:t xml:space="preserve">Although there is no Indiana case directly in point, the most closely analogous one emphasizes the close scrutiny to which Indiana subjects the conduct of fiduciaries when personal benefit may stand in the way of fulfillment of trust obligations.</w:t>
      </w:r>
      <w:r>
        <w:t xml:space="preserve"> </w:t>
      </w:r>
      <w:r>
        <w:rPr>
          <w:rStyle w:val="Elision"/>
        </w:rPr>
        <w:t xml:space="preserve">[ … ]</w:t>
      </w:r>
    </w:p>
    <w:p>
      <w:pPr>
        <w:pStyle w:val="CaseBody"/>
      </w:pPr>
      <w:r>
        <w:t xml:space="preserve">In Indiana, then, as elsewhere, the responsibility of the fiduciary is not limited to a proper regard for the tangible balance sheet assets of the corporation, but includes the dedication of his uncorrupted business judgment for the sole benefit of the corporation, in any dealings which may adversely affect it.</w:t>
      </w:r>
      <w:r>
        <w:t xml:space="preserve"> </w:t>
      </w:r>
      <w:r>
        <w:rPr>
          <w:rStyle w:val="Elision"/>
        </w:rPr>
        <w:t xml:space="preserve">[ … ]</w:t>
      </w:r>
    </w:p>
    <w:p>
      <w:pPr>
        <w:pStyle w:val="CaseBody"/>
      </w:pPr>
      <w:r>
        <w:t xml:space="preserve">It is true, as defendants have been at pains to point out, that this is not the ordinary case of breach of fiduciary duty. We have here no fraud, no misuse of confidential information, no outright looting of a helpless corporation. But on the other hand, we do not find compliance with that high standard which we have just stated and which we and other courts have come to expect and demand of corporate fiduciaries.</w:t>
      </w:r>
      <w:r>
        <w:t xml:space="preserve"> </w:t>
      </w:r>
      <w:r>
        <w:rPr>
          <w:rStyle w:val="HighlightedText"/>
        </w:rPr>
        <w:t xml:space="preserve">In the often-quoted words of Judge Cardozo</w:t>
      </w:r>
      <w:r>
        <w:t xml:space="preserve">: “Many forms of conduct permissible in a workaday world for those acting at arm’s length, are forbidden to those bound by fiduciary ties. A trustee is held to something stricter than the morals of the market place. Not honesty alone, but the punctilio of an honor the most sensitive, is then the standard of behavior. As to this there has developed a tradition that is unbending and inveterate. Uncompromising rigidity has been the attitude of courts of equity when petitioned to undermine the rule of undivided loyalty by the ‘disintegrating erosion’ of particular exceptions.” Meinhard v. Salmon</w:t>
      </w:r>
      <w:r>
        <w:rPr>
          <w:rStyle w:val="Elision"/>
        </w:rPr>
        <w:t xml:space="preserve">[ … ]</w:t>
      </w:r>
      <w:r>
        <w:t xml:space="preserve">. The actions of defendants in siphoning off for personal gain corporate advantages to be derived from a favorable market situation do not betoken the necessary undivided loyalty owed by the fiduciary 'to his principal.</w:t>
      </w:r>
    </w:p>
    <w:p>
      <w:pPr>
        <w:pStyle w:val="CaseBody"/>
      </w:pPr>
      <w:r>
        <w:t xml:space="preserve">The corporate opportunities of whose misappropriation the minority stockholders complain need not have been an absolute certainty in order to support this action against Feldmann. If there was possibility of corporate gain, they are entitled to recover.</w:t>
      </w:r>
      <w:r>
        <w:t xml:space="preserve"> </w:t>
      </w:r>
      <w:r>
        <w:rPr>
          <w:rStyle w:val="Elision"/>
        </w:rPr>
        <w:t xml:space="preserve">[ … ]</w:t>
      </w:r>
    </w:p>
    <w:p>
      <w:pPr>
        <w:pStyle w:val="CaseBody"/>
      </w:pPr>
      <w:r>
        <w:t xml:space="preserve">This rationale is equally appropriate to a consideration of the benefits which Newport might have derived from the steel shortage. In the past Newport had used and profited by its market leverage by operation of what the industry had come to call the “Feldmann Plan.” This consisted of securing interest-free advances from prospective purchasers of steel in return for firm commitments to them from future production. The funds thus acquired were used to finance improvements in existing plants and to acquire new installations. In the summer of 1950 Newport had been negotiating for cold-rolling facilities which it needed for a more fully integrated operation and a more marketable product, and Feldmann plan funds might well have been used toward this end.</w:t>
      </w:r>
    </w:p>
    <w:p>
      <w:pPr>
        <w:pStyle w:val="CaseBody"/>
      </w:pPr>
      <w:r>
        <w:t xml:space="preserve">Further, as plaintiffs alternatively suggest, Newport might have used the period of short supply to build up patronage in the geographical area in which it could compete profitably even when steel was more abundant. Either of these opportunities was Newport’s, to be used to its advantage only. Only if defendants had been able to negate completely any possibility of gain by Newport could they have prevailed. It is true that a trial court finding states: “Whether or not, in August, 1950, Newport’s position was such that it could have entered into ‘Feldmann Plan’ type transactions to procure funds and financing for the further expansion and integration of its steel facilities and whether such expansion would have been desirable for Newport, the evidence does not show.” This, however, cannot avail the defendants, who — contrary to the ruling below — had the burden of proof on this issue, since fiduciaries always have the burden of proof in establishing the fairness of their dealings with trust property.</w:t>
      </w:r>
      <w:r>
        <w:t xml:space="preserve"> </w:t>
      </w:r>
      <w:r>
        <w:rPr>
          <w:rStyle w:val="Elision"/>
        </w:rPr>
        <w:t xml:space="preserve">[ … ]</w:t>
      </w:r>
    </w:p>
    <w:p>
      <w:pPr>
        <w:pStyle w:val="CaseBody"/>
      </w:pPr>
      <w:r>
        <w:t xml:space="preserve">Defendants seek to categorize the corporate opportunities which might have accrued to Newport as too unethical to warrant further consideration. It is true that reputable steel producers were not participating in the gray market brought about by the Korean War and were refraining from advancing their prices, although to do so would not have been illegal. But Feldmann plan transactions were not considered within this self-imposed interdiction; the trial court found that around the time of the Feld-mann sale Jones &amp; Laughlin Steel Corporation, Republic Steel Company, and Pittsburgh Steel Corporation were all participating in such arrangements. In any event, it ill becomes the defendants to disparage as unethical the market advantages from which they themselves reaped rich benefits.</w:t>
      </w:r>
    </w:p>
    <w:p>
      <w:pPr>
        <w:pStyle w:val="CaseBody"/>
      </w:pPr>
      <w:r>
        <w:t xml:space="preserve">We do not mean to- suggest that a majority stockholder cannot dispose of his controlling block of stock to outsiders without having to account to his corporation for profits or even never do this with impunity when the buyer is an interested customer, actual or potential, for the corporation’s product. But when the sale necessarily results in a sacrifice of this element of corporate good will and consequent unusual profit to the fiduciary who has caused the sacrifice, he should account for his gains. So in a time of market shortage, where a call on a corporation’s product commands an unusually large premium, in' one form or another, we think it sound law that a fiduciary may not appropriate to himself the value of this premium. Such personal gain at the expense of his coventurers seems particularly reprehensible when made by the trusted president and director of his company. In this case the violation of duty seems to be all the clearer because of this triple role in which Feldmann appears, though we are unwilling to say, and are not to be understood as saying, that we should accept a lesser obligation for any one of his roles alone.</w:t>
      </w:r>
    </w:p>
    <w:p>
      <w:pPr>
        <w:pStyle w:val="CaseBody"/>
      </w:pPr>
      <w:r>
        <w:t xml:space="preserve">Hence to the extent that the price received by Feldmann and his co-defendants included such a bonus, he is accountable to the minority stockholders who sue here.</w:t>
      </w:r>
      <w:r>
        <w:t xml:space="preserve"> </w:t>
      </w:r>
      <w:r>
        <w:rPr>
          <w:rStyle w:val="Elision"/>
        </w:rPr>
        <w:t xml:space="preserve">[ … ]</w:t>
      </w:r>
      <w:r>
        <w:t xml:space="preserve"> </w:t>
      </w:r>
      <w:r>
        <w:t xml:space="preserve">And plaintiffs, as they contend, are entitled to a recovery in their own right, instead of in right of the corporation (as in the usual derivative actions), since neither Wilport nor their successors in interest should share in any judgment which may be rendered.</w:t>
      </w:r>
      <w:r>
        <w:t xml:space="preserve"> </w:t>
      </w:r>
      <w:r>
        <w:rPr>
          <w:rStyle w:val="Elision"/>
        </w:rPr>
        <w:t xml:space="preserve">[ … ]</w:t>
      </w:r>
      <w:r>
        <w:t xml:space="preserve">Defendants cannot well object to this form of recovery, since the only alternative, recovery for the corporation as a whole, would subject them to a greater total liability.</w:t>
      </w:r>
    </w:p>
    <w:p>
      <w:pPr>
        <w:pStyle w:val="CaseBody"/>
      </w:pPr>
      <w:r>
        <w:t xml:space="preserve">The case will therefore be remanded to the district court for a determination of the question expressly left open below, namely, the value of defendants’ stock without the appurtenant control over the corporation’s output of steel. We reiterate that on this issue, as on all others relating to a breach of fiduciary duty, the burden of proof must rest on the defendants.</w:t>
      </w:r>
      <w:r>
        <w:t xml:space="preserve"> </w:t>
      </w:r>
      <w:r>
        <w:rPr>
          <w:rStyle w:val="Elision"/>
        </w:rPr>
        <w:t xml:space="preserve">[ … ]</w:t>
      </w:r>
      <w:r>
        <w:t xml:space="preserve"> </w:t>
      </w:r>
      <w:r>
        <w:t xml:space="preserve">Judgment should go to these plaintiffs and those whom they represent for any premium value so shown to the extent of their respective stock interests.</w:t>
      </w:r>
    </w:p>
    <w:p>
      <w:pPr>
        <w:pStyle w:val="CaseBody"/>
      </w:pPr>
      <w:r>
        <w:t xml:space="preserve">The judgment is therefore reversed and the action remanded for further proceedings pursuant to this opinion. -</w:t>
      </w:r>
    </w:p>
    <w:p>
      <w:pPr>
        <w:pStyle w:val="CaseBody"/>
      </w:pPr>
      <w:r>
        <w:t xml:space="preserve">SWAN, Circuit Judge</w:t>
      </w:r>
    </w:p>
    <w:p>
      <w:pPr>
        <w:pStyle w:val="CaseBody"/>
      </w:pPr>
      <w:r>
        <w:t xml:space="preserve">(dissenting).</w:t>
      </w:r>
    </w:p>
    <w:p>
      <w:pPr>
        <w:pStyle w:val="CaseBody"/>
      </w:pPr>
      <w:r>
        <w:t xml:space="preserve">With the general principles enunciated in the majority opinion as to the duties of fiduciaries I am, of course, in thorough accord. But, as Mr. Justice Frankfurter stated in Securities and Exchange Comm. v. Chenery Corp.,</w:t>
      </w:r>
      <w:r>
        <w:rPr>
          <w:rStyle w:val="Elision"/>
        </w:rPr>
        <w:t xml:space="preserve">[ … ]</w:t>
      </w:r>
      <w:r>
        <w:t xml:space="preserve">“to say that a man is a fiduciary only begins analysis; it gives direction to further inquiry. To whom is he a fiduciary? What obligations does he owe as a fiduciary? In what respect has he failed to discharge these obligations ?” My brothers’ opinion does not specify precisely what fiduciary duty Feldmann is held to have violated or whether it was a duty imposed upon him as the dominant stockholder or as a director of Newport. Without such specification I think that both the legal profession and the business world will find the decision confusing and will be unable to foretell the extent of its impact upon customary practices in the sale of stock.</w:t>
      </w:r>
    </w:p>
    <w:p>
      <w:pPr>
        <w:pStyle w:val="CaseBody"/>
      </w:pPr>
      <w:r>
        <w:t xml:space="preserve">The power to control the management of a corporation, that is, to elect directors to manage its affairs, is an inseparable incident to the ownership of a majority of its stock, or sometimes, as in the present instance, to the ownership of enough shares, less than a majority, to control an election. Concededly a majority or dominant shareholder is ordinarily privileged to sell his stock at the best price obtainable from the purchaser. In so doing he acts on his own behalf, not as an agent of the corporation. If he knows or has reason to believe that the purchaser intends to exercise to the detriment of the corporation the power of management acquired by the purchase, such knowledge or reasonable suspicion will terminate the dominant shareholder’s privilege to sell and will create a duty not to transfer the power of management to such purchaser. The duty seems to me to resemble the obligation which everyone is under not to assist another to commit a tort rather than the obligation of a fiduciary. But whatever the nature of the duty, a violation of it will subject the violator to liability for damages sustained by the corporation. Judge Hincks found that Feldmann had no reason to think that Wilport would use the power of management it would acquire by the purchase to injure Newport, and that there was no proof that it ever was so used. Feld-mann did know, it is true, that the reason Wilport wanted the stock was to put in a board of directors who would be likely to permit Wilport’s members to purchase more of Newport’s steel than they might otherwise be able to get. But there is nothing illegal in a dominant shareholder purchasing from his own corporation at the same prices it offers to other customers. That is what the members of Wilport did, and there is no proof that Newport suffered any detriment therefrom.</w:t>
      </w:r>
    </w:p>
    <w:p>
      <w:pPr>
        <w:pStyle w:val="CaseBody"/>
      </w:pPr>
      <w:r>
        <w:t xml:space="preserve">My brothers say that “the consideration paid for the Stock included compensation for the sale of a corporate asset”, which they describe as “the ability to control the allocation of the corporate product in a time of short supply, through control of the board of directors; and it was effectively transferred in this sale by having Feldmann procure the resignation of his own board and the election of Wilport’s nominees immediately upon consummation of the sale.” The implications of this are not clear to me. If it means that when market conditions are such as to induce users of a corporation’s product to wish to buy a controlling block of stock in order to be able to purchase part of the corporation’s output at the same mill list prices as are offered to other customers, the dominant stockholder is under a fiduciary duty not to sell his stock, I cannot agree. For reasons already stated, in my opinion Feldmann was not proved to be under any fiduciary duty as a stockholder not to sell the stock he controlled.</w:t>
      </w:r>
    </w:p>
    <w:p>
      <w:pPr>
        <w:pStyle w:val="CaseBody"/>
      </w:pPr>
      <w:r>
        <w:t xml:space="preserve">Feldmann was also a director of Newport. Perhaps the quoted statement means that as a director he violated his fiduciary duty in voting to elect Wil-port’s nominees to fill the vacancies created by the resignations of the former directors of Newport. As a director Feldmann was under a fiduciary duty to use an honest judgment in acting on the corporation’s behalf. A director is privileged to resign, but so long as he remains a director he must be faithful to his fiduciary duties and must not make a personal gain from performing them. Consequently, if the price paid for Feld-mann’s stock included a payment for voting to elect the new directors, he must account to the corporation for such payment, even though he honestly believed that the men he voted to elect were well qualified to serve as directors. He can not take pay for performing his fiduciary duty. There is no suggestion that he did do so, unless the price paid for his stock was more than its value.</w:t>
      </w:r>
      <w:r>
        <w:t xml:space="preserve"> </w:t>
      </w:r>
      <w:r>
        <w:rPr>
          <w:rStyle w:val="Elision"/>
        </w:rPr>
        <w:t xml:space="preserve">[ … ]</w:t>
      </w:r>
    </w:p>
    <w:p>
      <w:pPr>
        <w:pStyle w:val="CaseBody"/>
      </w:pPr>
      <w:r>
        <w:rPr>
          <w:rStyle w:val="Elision"/>
        </w:rPr>
        <w:t xml:space="preserve">[ … ]</w:t>
      </w:r>
      <w:r>
        <w:t xml:space="preserve">Concededly a controlling block of stock has greater sale value than a small lot. While the spread between $10 per share for small lots and $20 per share for the controlling block seems rather extraordinarily wide, the $20 valuation was supported by</w:t>
      </w:r>
      <w:r>
        <w:t xml:space="preserve"> </w:t>
      </w:r>
      <w:r>
        <w:rPr>
          <w:rStyle w:val="Elision"/>
        </w:rPr>
        <w:t xml:space="preserve">[ … ]</w:t>
      </w:r>
      <w:r>
        <w:t xml:space="preserve">expert testimony</w:t>
      </w:r>
      <w:r>
        <w:t xml:space="preserve"> </w:t>
      </w:r>
      <w:r>
        <w:rPr>
          <w:rStyle w:val="Elision"/>
        </w:rPr>
        <w:t xml:space="preserve">[ … ]</w:t>
      </w:r>
      <w:r>
        <w:t xml:space="preserve">. I see no justification for upsetting the valuation as clearly erroneous.</w:t>
      </w:r>
      <w:r>
        <w:t xml:space="preserve"> </w:t>
      </w:r>
      <w:r>
        <w:rPr>
          <w:rStyle w:val="Elision"/>
        </w:rPr>
        <w:t xml:space="preserve">[ … ]</w:t>
      </w:r>
      <w:r>
        <w:t xml:space="preserve">The controlling block could not by any possibility be shorn of its appurtenant power to elect directors and through them to control distribution of the corporate product. It is this “appurtenant power” which gives a controlling block its value as such block. What evidence could be adduced to show the value of the block “if shorn” of such appurtenant power, I cannot conceive, for it cannot be shorn of it.</w:t>
      </w:r>
    </w:p>
    <w:p>
      <w:pPr>
        <w:pStyle w:val="CaseBody"/>
      </w:pPr>
      <w:r>
        <w:rPr>
          <w:rStyle w:val="Elision"/>
        </w:rPr>
        <w:t xml:space="preserve">[ … ]</w:t>
      </w:r>
    </w:p>
    <w:p>
      <w:pPr>
        <w:pStyle w:val="CaseBody"/>
      </w:pPr>
      <w:r>
        <w:t xml:space="preserve">I would affirm the judgment on appeal.</w:t>
      </w:r>
    </w:p>
    <w:p>
      <w:pPr>
        <w:pStyle w:val="CaseFootnoteText"/>
      </w:pPr>
      <w:r>
        <w:rPr>
          <w:rStyle w:val="Elision"/>
        </w:rPr>
        <w:t xml:space="preserve">[ … ]</w:t>
      </w:r>
      <w:r>
        <w:rPr>
          <w:rStyle w:val="Elision"/>
        </w:rPr>
        <w:t xml:space="preserve">[ … ]</w:t>
      </w:r>
    </w:p>
    <w:p>
      <w:pPr>
        <w:pStyle w:val="NodeEnd"/>
      </w:pPr>
      <w:r>
        <w:t xml:space="preserve"> </w:t>
      </w:r>
    </w:p>
    <w:p>
      <w:pPr>
        <w:pStyle w:val="NodeStart"/>
      </w:pPr>
      <w:r>
        <w:t xml:space="preserve"> </w:t>
      </w:r>
    </w:p>
    <w:p>
      <w:pPr>
        <w:pStyle w:val="HeadSeparator"/>
      </w:pPr>
      <w:r>
        <w:t xml:space="preserve"> </w:t>
      </w:r>
    </w:p>
    <w:bookmarkStart w:id="107" w:name="_auto_toc_107"/>
    <w:bookmarkEnd w:id="107"/>
    <w:p>
      <w:pPr>
        <w:pStyle w:val="ResourceNumber"/>
      </w:pPr>
      <w:r>
        <w:t xml:space="preserve">9.1.3</w:t>
      </w:r>
    </w:p>
    <w:p>
      <w:pPr>
        <w:pStyle w:val="ResourceTitle"/>
      </w:pPr>
      <w:r>
        <w:t xml:space="preserve">In re Delphi Financial Group Shareholder Litigation.</w:t>
      </w:r>
    </w:p>
    <w:p>
      <w:pPr>
        <w:pStyle w:val="HeadEnd"/>
      </w:pPr>
      <w:r>
        <w:t xml:space="preserve"> </w:t>
      </w:r>
    </w:p>
    <w:bookmarkStart w:id="195" w:name="X4a47f6291401c0df92ee43e085b437a07b8ee29"/>
    <w:p>
      <w:pPr>
        <w:pStyle w:val="Heading2"/>
      </w:pPr>
      <w:r>
        <w:t xml:space="preserve">IN RE DELPHI FINANCIAL GROUP SHAREHOLDER LITIGATION.</w:t>
      </w:r>
    </w:p>
    <w:p>
      <w:pPr>
        <w:pStyle w:val="FirstParagraph"/>
      </w:pPr>
      <w:r>
        <w:rPr>
          <w:rStyle w:val="Elision"/>
        </w:rPr>
        <w:t xml:space="preserve">[ … ]</w:t>
      </w:r>
    </w:p>
    <w:p>
      <w:pPr>
        <w:pStyle w:val="BodyText"/>
      </w:pPr>
      <w:r>
        <w:t xml:space="preserve">Court of Chancery of Delaware.</w:t>
      </w:r>
    </w:p>
    <w:p>
      <w:pPr>
        <w:pStyle w:val="BodyText"/>
      </w:pPr>
      <w:r>
        <w:rPr>
          <w:rStyle w:val="Elision"/>
        </w:rPr>
        <w:t xml:space="preserve">[ … ]</w:t>
      </w:r>
    </w:p>
    <w:p>
      <w:pPr>
        <w:pStyle w:val="BodyText"/>
      </w:pPr>
      <w:r>
        <w:t xml:space="preserve">Decided: March 6, 2012.</w:t>
      </w:r>
    </w:p>
    <w:p>
      <w:pPr>
        <w:pStyle w:val="BodyText"/>
      </w:pPr>
      <w:r>
        <w:rPr>
          <w:rStyle w:val="Elision"/>
        </w:rPr>
        <w:t xml:space="preserve">[ … ]</w:t>
      </w:r>
    </w:p>
    <w:bookmarkEnd w:id="195"/>
    <w:bookmarkStart w:id="196" w:name="glasscock-vice-chancellor.-1"/>
    <w:p>
      <w:pPr>
        <w:pStyle w:val="Heading2"/>
      </w:pPr>
      <w:r>
        <w:t xml:space="preserve">GLASSCOCK, Vice Chancellor.</w:t>
      </w:r>
    </w:p>
    <w:p>
      <w:pPr>
        <w:pStyle w:val="FirstParagraph"/>
      </w:pPr>
      <w:r>
        <w:t xml:space="preserve">This matter involves the proposed takeover of Delphi Financial Group, Inc. ("Delphi" or the "Company"), by Tokio Marine Holdings, Inc. ("TMH"). Delphi is an insurance holding company founded by Defendant Robert Rosenkranz. Rosenkranz took Delphi public in 1990. In so doing, he created two classes of stock, Class A, largely held by the public, and Class B, retained by Rosenkranz. Although Rosenkranz retained less than 13% of the shares outstanding, each share of Class B stock represented the right to ten votes in stockholder matters, while each share of Class A stock entitled the holder to one vote. In other words, Rosenkranz retained control of Delphi. Among the rights associated with control is the ability to seek a control premium should Delphi be sold. Rosenkranz could retain or bargain away that right; he chose to sell it to the Class A stockholders. This was accomplished by a charter provision, which directed that, on sale of the company, each share of Class B stock would be converted to Class A, entitled to the same consideration as any other Class A stock. This concession to the Class A stockholders resulted, presumably, in a higher purchase price for Class A stock than would have been the case without the provision.</w:t>
      </w:r>
    </w:p>
    <w:p>
      <w:pPr>
        <w:pStyle w:val="BodyText"/>
      </w:pPr>
      <w:r>
        <w:t xml:space="preserve">In 2011, TMH, through an intermediary, contacted Rosenkranz about the possible purchase of Delphi. While negotiating with TMH on behalf of Delphi, Rosenkranz at the same time made it clear to Delphi's board that, notwithstanding the charter provision, he would not consent to the sale without a premium paid for his Class B stock. Although the Delphi board was reluctant to recommend a differential for the Class B stock, it also recognized that the premium TMH was willing to pay over market was very large, and would probably be attractive to the stockholders. It therefore set up a committee of independent directors to negotiate a differential for the Class B stock. The committee was ultimately able to negotiate the per share price demanded by Rosenkranz from $59 down to $53.875.</w:t>
      </w:r>
      <w:hyperlink w:anchor="Xa7815dd48f0a815bf6666e1aaa6439b044bcd00">
        <w:r>
          <w:rPr>
            <w:rStyle w:val="Hyperlink"/>
            <w:vertAlign w:val="superscript"/>
          </w:rPr>
          <w:t xml:space="preserve">[1]</w:t>
        </w:r>
      </w:hyperlink>
    </w:p>
    <w:p>
      <w:pPr>
        <w:pStyle w:val="BodyText"/>
      </w:pPr>
      <w:r>
        <w:t xml:space="preserve">Meanwhile, Rosenkranz continued to negotiate with TMH on behalf of Delphi. TMH ultimately agreed to pay $46 per share for Delphi. TMH was then informed that the deal would be structured to provide a differential: $44.875 per share for the Class A shares; $53.875 per share for the Class B shares. The deal was conditioned on a majority of the publicly held Class A shares being voted in favor, and a successful vote to amend the Delphi Charter to allow Rosenkranz to receive the differential.</w:t>
      </w:r>
    </w:p>
    <w:p>
      <w:pPr>
        <w:pStyle w:val="BodyText"/>
      </w:pPr>
      <w:r>
        <w:rPr>
          <w:rStyle w:val="Elision"/>
        </w:rPr>
        <w:t xml:space="preserve">[ … ]</w:t>
      </w:r>
    </w:p>
    <w:p>
      <w:pPr>
        <w:pStyle w:val="BodyText"/>
      </w:pPr>
      <w:r>
        <w:t xml:space="preserve">The Plaintiff stockholders argue that Rosenkranz is not entitled to the stock price differential, that the Delphi Board breached its duty to the stockholders in structuring the deal to include such a differential at the Class A stockholders' expense, and that the fiduciary breaches of Rosenkranz and the Board were aided wrongfully by TMH.</w:t>
      </w:r>
      <w:r>
        <w:t xml:space="preserve"> </w:t>
      </w:r>
      <w:r>
        <w:rPr>
          <w:rStyle w:val="Elision"/>
        </w:rPr>
        <w:t xml:space="preserve">[ … ]</w:t>
      </w:r>
    </w:p>
    <w:p>
      <w:pPr>
        <w:pStyle w:val="BodyText"/>
      </w:pPr>
      <w:r>
        <w:t xml:space="preserve">Based upon the record developed through expedited discovery and presented at the preliminary injunction hearing, I find that the Plaintiffs have demonstrated a likelihood of success on the merits at least with respect to the allegations against Rosenkranz.</w:t>
      </w:r>
      <w:r>
        <w:t xml:space="preserve"> </w:t>
      </w:r>
      <w:r>
        <w:rPr>
          <w:rStyle w:val="Elision"/>
        </w:rPr>
        <w:t xml:space="preserve">[ … ]</w:t>
      </w:r>
    </w:p>
    <w:bookmarkEnd w:id="196"/>
    <w:bookmarkStart w:id="197" w:name="i.-background2"/>
    <w:p>
      <w:pPr>
        <w:pStyle w:val="Heading2"/>
      </w:pPr>
      <w:r>
        <w:t xml:space="preserve">I. BACKGROUND</w:t>
      </w:r>
      <w:hyperlink w:anchor="X15660115b4e48a2a02ee29af6abb2f6bf7d9bf1">
        <w:r>
          <w:rPr>
            <w:rStyle w:val="Hyperlink"/>
            <w:vertAlign w:val="superscript"/>
          </w:rPr>
          <w:t xml:space="preserve">[2]</w:t>
        </w:r>
      </w:hyperlink>
    </w:p>
    <w:bookmarkEnd w:id="197"/>
    <w:bookmarkStart w:id="198" w:name="section-14"/>
    <w:p>
      <w:pPr>
        <w:pStyle w:val="Heading2"/>
      </w:pPr>
      <w:r>
        <w:rPr>
          <w:rStyle w:val="Elision"/>
          <w:iCs/>
          <w:i/>
        </w:rPr>
        <w:t xml:space="preserve">[ … ]</w:t>
      </w:r>
    </w:p>
    <w:p>
      <w:pPr>
        <w:pStyle w:val="FirstParagraph"/>
      </w:pPr>
      <w:r>
        <w:t xml:space="preserve">Delphi was founded in 1987 by Defendant Robert Rosenkranz, who is Delphi's current CEO and Chairman.</w:t>
      </w:r>
    </w:p>
    <w:p>
      <w:pPr>
        <w:pStyle w:val="BodyText"/>
      </w:pPr>
      <w:r>
        <w:t xml:space="preserve">Delphi's board comprises nine directors, all of whom are Defendants in this action. Seven of the directors are independent and do not hold officer positions within Delphi.</w:t>
      </w:r>
      <w:hyperlink w:anchor="X296a485178f432e35bdf27dd3c06ac9ae009ee3">
        <w:r>
          <w:rPr>
            <w:rStyle w:val="Hyperlink"/>
            <w:vertAlign w:val="superscript"/>
          </w:rPr>
          <w:t xml:space="preserve">[3]</w:t>
        </w:r>
      </w:hyperlink>
      <w:r>
        <w:t xml:space="preserve"> </w:t>
      </w:r>
      <w:r>
        <w:rPr>
          <w:rStyle w:val="Elision"/>
        </w:rPr>
        <w:t xml:space="preserve">[ … ]</w:t>
      </w:r>
    </w:p>
    <w:p>
      <w:pPr>
        <w:pStyle w:val="BodyText"/>
      </w:pPr>
      <w:r>
        <w:t xml:space="preserve">Delphi's board also includes two directors who hold officer positions in the Company: Rosenkranz, who is Chairman of the Board and CEO, and Donald A. Sherman, who has served as President and COO of Delphi since 2006 and as a director since 2002. Sherman also serves as a director of Delphi's principal subsidiaries and as President and COO of Delphi Capital Management, Inc. ("DCM"), a wholly owned subsidiary of Delphi through which Delphi conducts its New York activities and which is involved in an expense allocation agreement, discussed below, with certain Rosenkranz-affiliated entities.</w:t>
      </w:r>
    </w:p>
    <w:p>
      <w:pPr>
        <w:pStyle w:val="BodyText"/>
      </w:pPr>
      <w:r>
        <w:rPr>
          <w:rStyle w:val="Elision"/>
        </w:rPr>
        <w:t xml:space="preserve">[ … ]</w:t>
      </w:r>
    </w:p>
    <w:p>
      <w:pPr>
        <w:pStyle w:val="BodyText"/>
      </w:pPr>
      <w:r>
        <w:t xml:space="preserve">Defendant TMH is a Japanese holding company whose subsidiaries offer products and services in the global property and casualty insurance, reinsurance, and life insurance markets. TMH has no affiliation with Rosenkranz, Delphi, or any of the Director or Executive Defendants.</w:t>
      </w:r>
    </w:p>
    <w:bookmarkEnd w:id="198"/>
    <w:bookmarkStart w:id="199" w:name="Xd5d81da619784af2078d919bce366ec2f90eb53"/>
    <w:p>
      <w:pPr>
        <w:pStyle w:val="Heading2"/>
      </w:pPr>
      <w:r>
        <w:rPr>
          <w:iCs/>
          <w:i/>
        </w:rPr>
        <w:t xml:space="preserve">B. Delphi's Capital Structure and Relevant Charter Provisions</w:t>
      </w:r>
    </w:p>
    <w:p>
      <w:pPr>
        <w:pStyle w:val="FirstParagraph"/>
      </w:pPr>
      <w:r>
        <w:t xml:space="preserve">Delphi first issued shares to the public in 1990. Following this IPO, Delphi's ownership was divided between holders of Class A common stock and Class B common stock. Delphi Class A shares are widely held, publicly traded, and entitled by the Delphi Charter</w:t>
      </w:r>
      <w:hyperlink w:anchor="X757504a455c8758af409e0628021d2a0a73e61e">
        <w:r>
          <w:rPr>
            <w:rStyle w:val="Hyperlink"/>
            <w:vertAlign w:val="superscript"/>
          </w:rPr>
          <w:t xml:space="preserve">[6]</w:t>
        </w:r>
      </w:hyperlink>
      <w:r>
        <w:t xml:space="preserve"> </w:t>
      </w:r>
      <w:r>
        <w:t xml:space="preserve">to one vote per share. Class B shares are held entirely by Rosenkranz and his affiliates and are entitled to ten votes per share; however, the the Delphi Charter caps the aggregate voting power of the Class B shares at 49.9%. Rosenkranz also owns Class A shares, but a voting agreement with Delphi caps Rosenkranz's total voting power, regardless of his stock ownership, at 49.9%. Although Rosenkranz possesses 49.9% of the Delphi stockholder voting power due to his Class B shares, his stock ownership accounts for roughly 12.9% of Delphi's equity.</w:t>
      </w:r>
    </w:p>
    <w:p>
      <w:pPr>
        <w:pStyle w:val="BodyText"/>
      </w:pPr>
      <w:r>
        <w:t xml:space="preserve">In addition to the cap the Delphi Charter places on Class B voting power and the cap placed on Rosenkranz's total voting power by voting agreement, the Delphi Charter contains other restrictions on the Class B shares and Rosenkranz's rights as the holder of those shares. Except for transfers to certain affiliates, the Delphi Charter provides that the transfer of any Class B shares first effects a share-for-share conversion of those shares into Class A stock;</w:t>
      </w:r>
      <w:hyperlink w:anchor="X97282b14d06b7001c7f570360106b90ed167077">
        <w:r>
          <w:rPr>
            <w:rStyle w:val="Hyperlink"/>
            <w:vertAlign w:val="superscript"/>
          </w:rPr>
          <w:t xml:space="preserve">[7]</w:t>
        </w:r>
      </w:hyperlink>
      <w:r>
        <w:t xml:space="preserve"> </w:t>
      </w:r>
      <w:r>
        <w:t xml:space="preserve">thus, while Rosenkranz exercises with his Class B voting power an effective veto right over any action requiring stockholder approval, he is unable to transfer that voting power. Moreover, the Delphi Charter contains a provision prohibiting disparate consideration between Class A and B stock in the event of a merger:</w:t>
      </w:r>
    </w:p>
    <w:p>
      <w:pPr>
        <w:pStyle w:val="BlockText"/>
      </w:pPr>
      <w:r>
        <w:t xml:space="preserve">[I]n the case of any distribution or payment . . . on Class A Common Stock or Class B Common Stock upon the consolidation or merger of the Corporation with or into any other corporation . . . such distribution payment shall be made ratably on a per share basis among the holders of the Class A Common Stock and Class B Common Stock as a single class.</w:t>
      </w:r>
      <w:hyperlink w:anchor="X8073ba15d546ef3d87fd2bcb6f206df80f457f4">
        <w:r>
          <w:rPr>
            <w:rStyle w:val="Hyperlink"/>
            <w:vertAlign w:val="superscript"/>
          </w:rPr>
          <w:t xml:space="preserve">[8]</w:t>
        </w:r>
      </w:hyperlink>
    </w:p>
    <w:p>
      <w:pPr>
        <w:pStyle w:val="FirstParagraph"/>
      </w:pPr>
      <w:r>
        <w:t xml:space="preserve">These Charter provisions were in force at Delphi's IPO, and while they preserve Rosenkranz's voting power and effective right of approval over all Delphi actions requiring a majority stockholder vote, they severely limit Rosenkranz's ability to realize any other benefits by means of his Class B stock ownership, beyond those he of course possesses as a 12.9% equity holder in Delphi.</w:t>
      </w:r>
    </w:p>
    <w:bookmarkEnd w:id="199"/>
    <w:bookmarkStart w:id="200" w:name="section-15"/>
    <w:p>
      <w:pPr>
        <w:pStyle w:val="Heading2"/>
      </w:pPr>
      <w:r>
        <w:rPr>
          <w:rStyle w:val="Elision"/>
          <w:iCs/>
          <w:i/>
        </w:rPr>
        <w:t xml:space="preserve">[ … ]</w:t>
      </w:r>
    </w:p>
    <w:bookmarkEnd w:id="200"/>
    <w:bookmarkStart w:id="201" w:name="X9b2cffdfa0655743695e30524544e70f45d6009"/>
    <w:p>
      <w:pPr>
        <w:pStyle w:val="Heading2"/>
      </w:pPr>
      <w:r>
        <w:rPr>
          <w:iCs/>
          <w:i/>
        </w:rPr>
        <w:t xml:space="preserve">D. TMH Approaches Delphi Regarding an Acquisition</w:t>
      </w:r>
    </w:p>
    <w:p>
      <w:pPr>
        <w:pStyle w:val="FirstParagraph"/>
      </w:pPr>
      <w:r>
        <w:t xml:space="preserve">On July 20, 2011, TMH made an unsolicited approach, through its investment banker MacQuarie Capital ("MacQuarie"), to Delphi to express its interest in acquiring the Company. TMH had plans to expand internationally and enter the property, casualty, and life insurance markets, and it had identified Delphi as a potential acquisition target in pursuit of that strategy. A MacQuarie representative called Rosenkranz to request a preliminary meeting between the senior management of Delphi and TMH. Rosenkranz's initial response was that he did not think Delphi was for sale. Eventually, however, Rosenkranz called the MacQuarie representative back and indicated that he would report TMH's interest to Delphi's Board at the upcoming quarterly meeting. Rosenkranz also tentatively scheduled a meeting between Delphi and TMH representatives for the day after the board meeting.</w:t>
      </w:r>
      <w:hyperlink w:anchor="Xcd3bf3a3883820cb2878f9f655b90f3835688ef">
        <w:r>
          <w:rPr>
            <w:rStyle w:val="Hyperlink"/>
            <w:vertAlign w:val="superscript"/>
          </w:rPr>
          <w:t xml:space="preserve">[14]</w:t>
        </w:r>
      </w:hyperlink>
    </w:p>
    <w:p>
      <w:pPr>
        <w:pStyle w:val="BodyText"/>
      </w:pPr>
      <w:r>
        <w:t xml:space="preserve">At the Delphi Board's August 3rd meeting, Rosenkranz informed the other directors of the Delphi Board of TMH's interest in acquiring Delphi. The Director Defendants authorized preliminary discussions and disclosures with TMH.</w:t>
      </w:r>
      <w:hyperlink w:anchor="Xf94667ee75ccfd38c47e8ea0d685af2c1da60cc">
        <w:r>
          <w:rPr>
            <w:rStyle w:val="Hyperlink"/>
            <w:vertAlign w:val="superscript"/>
          </w:rPr>
          <w:t xml:space="preserve">[15]</w:t>
        </w:r>
      </w:hyperlink>
      <w:r>
        <w:t xml:space="preserve"> </w:t>
      </w:r>
      <w:r>
        <w:rPr>
          <w:rStyle w:val="Elision"/>
        </w:rPr>
        <w:t xml:space="preserve">[ … ]</w:t>
      </w:r>
    </w:p>
    <w:p>
      <w:pPr>
        <w:pStyle w:val="BodyText"/>
      </w:pPr>
      <w:r>
        <w:rPr>
          <w:rStyle w:val="Elision"/>
        </w:rPr>
        <w:t xml:space="preserve">[ … ]</w:t>
      </w:r>
    </w:p>
    <w:p>
      <w:pPr>
        <w:pStyle w:val="BodyText"/>
      </w:pPr>
      <w:r>
        <w:rPr>
          <w:rStyle w:val="Elision"/>
        </w:rPr>
        <w:t xml:space="preserve">[ … ]</w:t>
      </w:r>
      <w:r>
        <w:t xml:space="preserve">Rosenkranz considered how he might receive a premium on his Class B shares above what the Class A stockholders would receive in the Merger. Because the Delphi Charter prohibits disparate distributions of merger consideration through a provision that was in place when Delphi went public in 1990, Rosenkranz knew that any premium would require a charter amendment. Apparently undeterred by the fact that Section 7 of Delphi's Charter would likely be viewed by Delphi's public stockholders as expressly prohibiting the differential consideration he sought, and that the Delphi stock price paid by these investors likely reflected a company in which the controlling stockholder, though retaining voting control, had bargained away his right to be compensated disparately for his shares, Rosenkranz discussed with Sherman, Kiratsous, and Coulter, Delphi's General Counsel, how such a division of the merger proceeds might be accomplished.</w:t>
      </w:r>
      <w:hyperlink w:anchor="X8e6ea0e003cbff93ef571c497ca67bbb22a8de4">
        <w:r>
          <w:rPr>
            <w:rStyle w:val="Hyperlink"/>
            <w:vertAlign w:val="superscript"/>
          </w:rPr>
          <w:t xml:space="preserve">[16]</w:t>
        </w:r>
      </w:hyperlink>
      <w:r>
        <w:rPr>
          <w:rStyle w:val="Elision"/>
        </w:rPr>
        <w:t xml:space="preserve">[ … ]</w:t>
      </w:r>
      <w:r>
        <w:t xml:space="preserve">Coulter advised Rosenkranz that a special committee should be formed and that the transaction should be conditioned on approval by a majority vote of the disinterested Class A stockholders.</w:t>
      </w:r>
      <w:hyperlink w:anchor="X9020d9ffda80349e8eaba6d2c2623a0427a8a3c">
        <w:r>
          <w:rPr>
            <w:rStyle w:val="Hyperlink"/>
            <w:vertAlign w:val="superscript"/>
          </w:rPr>
          <w:t xml:space="preserve">[17]</w:t>
        </w:r>
      </w:hyperlink>
      <w:r>
        <w:t xml:space="preserve"> </w:t>
      </w:r>
      <w:r>
        <w:t xml:space="preserve">Despite using Delphi resources in procuring this advice, Rosenkranz did not inform the Board of his desire for disparate consideration until a Board meeting in mid September.</w:t>
      </w:r>
    </w:p>
    <w:p>
      <w:pPr>
        <w:pStyle w:val="BodyText"/>
      </w:pPr>
      <w:r>
        <w:t xml:space="preserve">On September 7, 2011, at a meeting attended by the Executive Defendants, Brimecome conveyed TMH's interest in acquiring Delphi at a price between $33-$35 per share (a 50-59% premium over Delphi's then-market price of $21.98). After initially responding that TMH's offer was inadequate, Rosenkranz later contacted Brimecome to reiterate his disappointment and convey his expectation of an opening offer in the range of 1.5-2.0 times book value, or $45-$60 per share, which was consistent with the price he had suggested to Delphi's Board in early August.</w:t>
      </w:r>
      <w:hyperlink w:anchor="X0dcb5438fe6831cc5b9a72232bba86f8a0ba2b0">
        <w:r>
          <w:rPr>
            <w:rStyle w:val="Hyperlink"/>
            <w:vertAlign w:val="superscript"/>
          </w:rPr>
          <w:t xml:space="preserve">[18]</w:t>
        </w:r>
      </w:hyperlink>
      <w:r>
        <w:t xml:space="preserve"> </w:t>
      </w:r>
      <w:r>
        <w:t xml:space="preserve">Rosenkranz countered with this range despite the fact that he knew at the time that he was unwilling to sell at $45. Nevertheless, he thought $45 per share might be attractive to the Class A stockholders, as Delphi's stock was at the time trading around the low twenties, and he suspected that demanding his own desired price of $55-$60 at that stage of the negotiations would have turned off TMH and killed the discussions.</w:t>
      </w:r>
      <w:hyperlink w:anchor="X45a737606dfcd7119a58a4fea954eabebf55ff4">
        <w:r>
          <w:rPr>
            <w:rStyle w:val="Hyperlink"/>
            <w:vertAlign w:val="superscript"/>
          </w:rPr>
          <w:t xml:space="preserve">[19]</w:t>
        </w:r>
      </w:hyperlink>
      <w:r>
        <w:t xml:space="preserve"> </w:t>
      </w:r>
      <w:r>
        <w:t xml:space="preserve">Several days later, Brimecome called and informed Rosenkranz that TMH, after hearing that $40 was a nonstarter for Delphi's controlling stockholder, was raising its offer to $45 per share, then a 106% premium over market. Rosenkranz advised Brimecome that he would take the offer to Delphi's Board.</w:t>
      </w:r>
    </w:p>
    <w:bookmarkEnd w:id="201"/>
    <w:bookmarkStart w:id="202" w:name="X724b65df096214f451118860c5fba1e31a592de"/>
    <w:p>
      <w:pPr>
        <w:pStyle w:val="Heading2"/>
      </w:pPr>
      <w:r>
        <w:rPr>
          <w:iCs/>
          <w:i/>
        </w:rPr>
        <w:t xml:space="preserve">E. The Board Forms a Special Committee and Sub-Committee</w:t>
      </w:r>
    </w:p>
    <w:p>
      <w:pPr>
        <w:pStyle w:val="FirstParagraph"/>
      </w:pPr>
      <w:r>
        <w:t xml:space="preserve">On September 16, 2011, Rosenkranz presented TMH's $45 per share offer to the Board.</w:t>
      </w:r>
      <w:hyperlink w:anchor="Xb127c536221617b13e86fdc228b493b048d7b01">
        <w:r>
          <w:rPr>
            <w:rStyle w:val="Hyperlink"/>
            <w:vertAlign w:val="superscript"/>
          </w:rPr>
          <w:t xml:space="preserve">[20]</w:t>
        </w:r>
      </w:hyperlink>
      <w:r>
        <w:t xml:space="preserve"> </w:t>
      </w:r>
      <w:r>
        <w:t xml:space="preserve">Rosenkranz acknowledged the offer's substantial premium over Delphi's stock price, but he disclosed to the Board that he nonetheless found it inadequate from his perspective as controlling stockholder, and that he would be unlikely to vote his Class B shares in favor of Merger at that price.</w:t>
      </w:r>
      <w:hyperlink w:anchor="X4243eba8a5f8915233beb3450cc2cb90570f3ed">
        <w:r>
          <w:rPr>
            <w:rStyle w:val="Hyperlink"/>
            <w:vertAlign w:val="superscript"/>
          </w:rPr>
          <w:t xml:space="preserve">[21]</w:t>
        </w:r>
      </w:hyperlink>
      <w:r>
        <w:t xml:space="preserve"> </w:t>
      </w:r>
      <w:r>
        <w:t xml:space="preserve">Because of the conflict of interest Rosenkranz's position created between him and Delphi's public stockholders, Rosenkranz suggested, and the Board agreed, to form a Special Committee, comprising the Board's seven independent directors (the Director Defendants), to evaluate the proposal from TMH, direct further discussions with TMH, and consider alternatives to the TMH proposal.</w:t>
      </w:r>
      <w:hyperlink w:anchor="Xefbc89f91f275b719807f086b576e49c12f8f2d">
        <w:r>
          <w:rPr>
            <w:rStyle w:val="Hyperlink"/>
            <w:vertAlign w:val="superscript"/>
          </w:rPr>
          <w:t xml:space="preserve">[22]</w:t>
        </w:r>
      </w:hyperlink>
      <w:r>
        <w:t xml:space="preserve"> </w:t>
      </w:r>
      <w:r>
        <w:t xml:space="preserve">The members of the Special Committee held Class A shares only,</w:t>
      </w:r>
      <w:hyperlink w:anchor="X002504df31d931d380e937931f4e422f393c6ce">
        <w:r>
          <w:rPr>
            <w:rStyle w:val="Hyperlink"/>
            <w:vertAlign w:val="superscript"/>
          </w:rPr>
          <w:t xml:space="preserve">[23]</w:t>
        </w:r>
      </w:hyperlink>
      <w:r>
        <w:t xml:space="preserve"> </w:t>
      </w:r>
      <w:r>
        <w:t xml:space="preserve">aligning their financial interests with those of the public stockholders.</w:t>
      </w:r>
    </w:p>
    <w:p>
      <w:pPr>
        <w:pStyle w:val="BodyText"/>
      </w:pPr>
      <w:r>
        <w:t xml:space="preserve">The Special Committee retained Cravath, Swaine &amp; Moore LLP ("Cravath") as legal advisor and Lazard Frères &amp; Co. LLC ("Lazard") as financial advisor.</w:t>
      </w:r>
      <w:hyperlink w:anchor="Xb10da850707edbdccd6fc03e837b21ca406d813">
        <w:r>
          <w:rPr>
            <w:rStyle w:val="Hyperlink"/>
            <w:vertAlign w:val="superscript"/>
          </w:rPr>
          <w:t xml:space="preserve">[24]</w:t>
        </w:r>
      </w:hyperlink>
      <w:r>
        <w:t xml:space="preserve"> </w:t>
      </w:r>
      <w:r>
        <w:t xml:space="preserve">Cravath advised the Special Committee of its fiduciary obligations, including its mandate to represent only the Class A stockholders, and interviewed the directors about their connections to Rosenkranz.</w:t>
      </w:r>
      <w:hyperlink w:anchor="Xeef959330a578606df6ff25e4ddbebcaab2d1da">
        <w:r>
          <w:rPr>
            <w:rStyle w:val="Hyperlink"/>
            <w:vertAlign w:val="superscript"/>
          </w:rPr>
          <w:t xml:space="preserve">[25]</w:t>
        </w:r>
      </w:hyperlink>
      <w:r>
        <w:t xml:space="preserve"> </w:t>
      </w:r>
      <w:r>
        <w:t xml:space="preserve">Based on these interviews and per Cravath's advice, the Special Committee limited its membership to five directors— Fox, Hirsh, Litvack, Meehan, and O'Connor—each chosen for his relative business and industry experience and his lack of any connection, economic or social, to Rosenkranz.</w:t>
      </w:r>
    </w:p>
    <w:p>
      <w:pPr>
        <w:pStyle w:val="BodyText"/>
      </w:pPr>
      <w:r>
        <w:t xml:space="preserve">At a later board meeting, the full Delphi Board formally established the Special Committee and set forth its mandate.</w:t>
      </w:r>
      <w:hyperlink w:anchor="X7b3d004908460bb17e0f2680a4edfaa17c1c537">
        <w:r>
          <w:rPr>
            <w:rStyle w:val="Hyperlink"/>
            <w:vertAlign w:val="superscript"/>
          </w:rPr>
          <w:t xml:space="preserve">[26]</w:t>
        </w:r>
      </w:hyperlink>
      <w:r>
        <w:t xml:space="preserve"> </w:t>
      </w:r>
      <w:r>
        <w:t xml:space="preserve">The Board charged the Special Committee with representing the best interests of the Class A stockholders, granted the Special Committee full authority to take any action that would be available to the Board in connection with the transaction, and authorized the Special Committee to pursue and consider alternative transactions to the TMH bid if it deemed such alternatives to be of interest to the Class A stockholders. Additionally, the Board conditioned its approval or recommendation of the potential transaction on the Special Committee's affirmative recommendation thereof. The Special Committee then met and created a Sub-Committee— comprising Fox, Meehan, and O'Connor—to act on the Special Committee's behalf with respect to any matters related to Rosenkranz and differential merger consideration.</w:t>
      </w:r>
      <w:hyperlink w:anchor="X407f6a2830618a3f263d154065586151488149f">
        <w:r>
          <w:rPr>
            <w:rStyle w:val="Hyperlink"/>
            <w:vertAlign w:val="superscript"/>
          </w:rPr>
          <w:t xml:space="preserve">[27]</w:t>
        </w:r>
      </w:hyperlink>
      <w:r>
        <w:t xml:space="preserve"> </w:t>
      </w:r>
      <w:r>
        <w:t xml:space="preserve">The Sub-Committee was given full authority with respect to these matters. Finally, just as the Board conditioned its approval of any transaction on a favorable recommendation by the Special Committee, the Special Committee conditioned its approval on the favorable recommendation of the Sub-Committee.</w:t>
      </w:r>
    </w:p>
    <w:p>
      <w:pPr>
        <w:pStyle w:val="BodyText"/>
      </w:pPr>
      <w:r>
        <w:t xml:space="preserve">The Special Committee then sought advice from its legal and financial advisors on its obligations and the valuation of the Company. Lazard advised the Special Committee that the premium offered by the TMH proposal—more than 100% over Delphi's stock price at the time—was a tremendous deal, and that in light of the significant premium offered, Delphi was unlikely to see a comparable proposal from another buyer.</w:t>
      </w:r>
      <w:hyperlink w:anchor="X3c03fb7f6326b2a5266bbe08c2d254f85bb3a0b">
        <w:r>
          <w:rPr>
            <w:rStyle w:val="Hyperlink"/>
            <w:vertAlign w:val="superscript"/>
          </w:rPr>
          <w:t xml:space="preserve">[28]</w:t>
        </w:r>
      </w:hyperlink>
      <w:r>
        <w:t xml:space="preserve"> </w:t>
      </w:r>
      <w:r>
        <w:t xml:space="preserve">The Special Committee discussed Lazard's advice and considered whether to solicit additional offers, such as through an auction or a quiet shopping of the Company. Ultimately, the Special Committee concluded that since TMH was the acquirer most likely to be interested in acquiring Delphi and had already offered a colossal premium over market price, shopping Delphi was not worth the impact such a course of action would have on negotiations with TMH or the risk of a potential leak disrupting Delphi's ongoing business.</w:t>
      </w:r>
      <w:hyperlink w:anchor="X8c41d81918b808f6edcdfc742dd1434f3131ad9">
        <w:r>
          <w:rPr>
            <w:rStyle w:val="Hyperlink"/>
            <w:vertAlign w:val="superscript"/>
          </w:rPr>
          <w:t xml:space="preserve">[29]</w:t>
        </w:r>
      </w:hyperlink>
    </w:p>
    <w:bookmarkEnd w:id="202"/>
    <w:bookmarkStart w:id="203" w:name="f.-price-differential-negotiations"/>
    <w:p>
      <w:pPr>
        <w:pStyle w:val="Heading2"/>
      </w:pPr>
      <w:r>
        <w:rPr>
          <w:iCs/>
          <w:i/>
        </w:rPr>
        <w:t xml:space="preserve">F. Price Differential Negotiations</w:t>
      </w:r>
    </w:p>
    <w:p>
      <w:pPr>
        <w:pStyle w:val="FirstParagraph"/>
      </w:pPr>
      <w:r>
        <w:t xml:space="preserve">Leading up to and simultaneously with the negotiations with TMH, the Sub-Committee negotiated with Rosenkranz regarding whether there would be any disparate allocation of the Merger consideration and, if so, what the differential would be. Rosenkranz opened the discussion with a request of $59 per Class B share and $43 per Class A share, asserting to the Special Committee that he did not expect TMH to raise its offer price; that if TMH did raise its price, Rosenkranz expected that increase to be allocated evenly dollar-for-dollar on top of the $59/$43 split; that he was unequivocally not a seller at $45; and that if his demands were not met, he would have no qualms about walking away from the deal and continuing the status quo of running Delphi on a standalone basis.</w:t>
      </w:r>
      <w:hyperlink w:anchor="X3a9e3550f8d422cb7b2c8d8473a84a024a1ce32">
        <w:r>
          <w:rPr>
            <w:rStyle w:val="Hyperlink"/>
            <w:vertAlign w:val="superscript"/>
          </w:rPr>
          <w:t xml:space="preserve">[30]</w:t>
        </w:r>
      </w:hyperlink>
      <w:r>
        <w:t xml:space="preserve"> </w:t>
      </w:r>
      <w:r>
        <w:t xml:space="preserve">The Sub-Committee reviewed comparable acquisitions of companies with dual-class stock, and, after hearing from its financial and legal advisors that disparate consideration in such cases is unusual and problematic, attempted to persuade Rosenkranz, over a number of meetings and phone conversations, to accept the same price as the Class A stockholders.</w:t>
      </w:r>
      <w:hyperlink w:anchor="X9603fd5fd206f7bcbc30ed0ce077811ede445b6">
        <w:r>
          <w:rPr>
            <w:rStyle w:val="Hyperlink"/>
            <w:vertAlign w:val="superscript"/>
          </w:rPr>
          <w:t xml:space="preserve">[31]</w:t>
        </w:r>
      </w:hyperlink>
      <w:r>
        <w:t xml:space="preserve"> </w:t>
      </w:r>
      <w:r>
        <w:t xml:space="preserve">Nevertheless, Rosenkrantz remained obstinate, refusing to back down on his demand for some level of disparate consideration.</w:t>
      </w:r>
    </w:p>
    <w:p>
      <w:pPr>
        <w:pStyle w:val="BodyText"/>
      </w:pPr>
      <w:r>
        <w:t xml:space="preserve">The Sub-Committee considered whether Rosenkrantz was truly willing to walk away from the merger rather than accept $45 per share, and it concluded, for several reasons, including Rosenkranz's plans for Delphi's expansion, that Rosenkranz was prepared to jettison the deal if he did not get his way. Thus, not wanting to deprive the Class A stockholders of the opportunity to realize a circa-100% premium on their shares, the Special Committee decided to accept the idea of differential consideration but to fight for a reduction in the consideration differential.</w:t>
      </w:r>
      <w:hyperlink w:anchor="Xcb7a3792c5591baa7db935b5ba782c20e7c6f5f">
        <w:r>
          <w:rPr>
            <w:rStyle w:val="Hyperlink"/>
            <w:vertAlign w:val="superscript"/>
          </w:rPr>
          <w:t xml:space="preserve">[32]</w:t>
        </w:r>
      </w:hyperlink>
    </w:p>
    <w:p>
      <w:pPr>
        <w:pStyle w:val="BodyText"/>
      </w:pPr>
      <w:r>
        <w:t xml:space="preserve">The Sub-Committee engaged in a back-and-forth with Rosenkranz in the days leading up to an October 14, 2011, meeting with TMH representatives. The Sub-Committee informed Rosenkranz that it was willing to permit him differential consideration, but only if Rosenkranz's per share incremental premium was limited to less than 10%, to which Rosenkranz replied by reducing his request for disparate consideration to $55.50 per share for Class B shares and $43.50 per share for the Class A shares.</w:t>
      </w:r>
      <w:hyperlink w:anchor="X147688f28a9ef4a2d0f971a34ee16bd51303db5">
        <w:r>
          <w:rPr>
            <w:rStyle w:val="Hyperlink"/>
            <w:vertAlign w:val="superscript"/>
          </w:rPr>
          <w:t xml:space="preserve">[33]</w:t>
        </w:r>
      </w:hyperlink>
      <w:r>
        <w:t xml:space="preserve"> </w:t>
      </w:r>
      <w:r>
        <w:t xml:space="preserve">Just days before the October 14th meeting with TMH, the Sub-Committee and Rosenkranz remained far apart on the magnitude of the differential. Still, neither side wanted to lose momentum in the negotiations with TMH or insult the TMH representatives who were flying in from Japan, and so both sides felt that it was important to keep the October 14th meeting date.</w:t>
      </w:r>
    </w:p>
    <w:p>
      <w:pPr>
        <w:pStyle w:val="BodyText"/>
      </w:pPr>
      <w:r>
        <w:t xml:space="preserve">There was also the issue of what role Rosenkranz should have in the upcoming meeting, given his and the Sub-Committee's concurrent sparring over the differential consideration. After consulting with Cravath, the Sub-Committee decided that it was best to allow Rosenkranz to remain the point person, subject to direction and oversight by the Special Committee and Sub-Committee.</w:t>
      </w:r>
      <w:hyperlink w:anchor="X1565a4de6493e5e74cdcf3e003292d21810b6e8">
        <w:r>
          <w:rPr>
            <w:rStyle w:val="Hyperlink"/>
            <w:vertAlign w:val="superscript"/>
          </w:rPr>
          <w:t xml:space="preserve">[34]</w:t>
        </w:r>
      </w:hyperlink>
      <w:r>
        <w:t xml:space="preserve"> </w:t>
      </w:r>
      <w:r>
        <w:t xml:space="preserve">The Sub-Committee reasoned that Rosenkranz would be an effective negotiatior because, as Chairman, CEO, and founder of Delphi, Rosenkranz had intimiate knowledge of the business, and that while Rosenkranz's interests were adverse to the Class A stockholders', both Classes' interests were aligned with respect to securing the highest</w:t>
      </w:r>
      <w:r>
        <w:t xml:space="preserve"> </w:t>
      </w:r>
      <w:r>
        <w:rPr>
          <w:iCs/>
          <w:i/>
        </w:rPr>
        <w:t xml:space="preserve">total</w:t>
      </w:r>
      <w:r>
        <w:t xml:space="preserve"> </w:t>
      </w:r>
      <w:r>
        <w:t xml:space="preserve">offer from TMH. Moreover, as TMH did not at that point know of the potential for differential consideration, the Special Committee did not want to spook TMH by replacing Rosenkranz, who had theretofore represented Delphi in the negotiations. The Special Committee thus agreed that Rosenkranz would remain the face of the negotiations and would attend the October 14th meeting with TMH. Apparently not trusting Rosenkranz to act solely as a fiduciary for the stockholders, the Special Committee also directed Lazard to attend the meeting.</w:t>
      </w:r>
      <w:hyperlink w:anchor="Xc466078ee7ccfc59775975e40cc013abb8c502a">
        <w:r>
          <w:rPr>
            <w:rStyle w:val="Hyperlink"/>
            <w:vertAlign w:val="superscript"/>
          </w:rPr>
          <w:t xml:space="preserve">[35]</w:t>
        </w:r>
      </w:hyperlink>
    </w:p>
    <w:bookmarkEnd w:id="203"/>
    <w:bookmarkStart w:id="204" w:name="g.-merger-price-negotiations"/>
    <w:p>
      <w:pPr>
        <w:pStyle w:val="Heading2"/>
      </w:pPr>
      <w:r>
        <w:rPr>
          <w:iCs/>
          <w:i/>
        </w:rPr>
        <w:t xml:space="preserve">G. Merger Price Negotiations</w:t>
      </w:r>
    </w:p>
    <w:p>
      <w:pPr>
        <w:pStyle w:val="FirstParagraph"/>
      </w:pPr>
      <w:r>
        <w:t xml:space="preserve">The morning before the October 14th meeting, the Special Committee met to decide on Delphi's position with respect to price. After a discussion with Lazard, the Special Committee directed Rosenkranz to request that TMH increase its offer to $48.50 and authorized Rosenkranz to convey to TMH that he would take a price of $47 or higher back to the Special Committee if the circumstances warranted.</w:t>
      </w:r>
      <w:hyperlink w:anchor="Xba70426e2c8e8ab86dc736f8ca2a6980a0e1bec">
        <w:r>
          <w:rPr>
            <w:rStyle w:val="Hyperlink"/>
            <w:vertAlign w:val="superscript"/>
          </w:rPr>
          <w:t xml:space="preserve">[36]</w:t>
        </w:r>
      </w:hyperlink>
      <w:r>
        <w:t xml:space="preserve"> </w:t>
      </w:r>
      <w:r>
        <w:t xml:space="preserve">At the meeting with TMH, Rosenkranz requested $48.50 per share, and TMH responded that it would consider whether it could increase its offer, although it expressed surprise that Delphi was asking for more money given that TMH had previously indicated that $45 was its maximum price.</w:t>
      </w:r>
      <w:hyperlink w:anchor="X4c5e00da7a63458f91cddc77e3db7ca4ff6278d">
        <w:r>
          <w:rPr>
            <w:rStyle w:val="Hyperlink"/>
            <w:vertAlign w:val="superscript"/>
          </w:rPr>
          <w:t xml:space="preserve">[37]</w:t>
        </w:r>
      </w:hyperlink>
    </w:p>
    <w:p>
      <w:pPr>
        <w:pStyle w:val="BodyText"/>
      </w:pPr>
      <w:r>
        <w:t xml:space="preserve">Several days later, Brimecome of TMH called Rosenkranz to inform him that $45 was TMH's best and final offer.</w:t>
      </w:r>
      <w:hyperlink w:anchor="X7dcd530f4aa62c1fddc5b2877b196fe7e7a6d40">
        <w:r>
          <w:rPr>
            <w:rStyle w:val="Hyperlink"/>
            <w:vertAlign w:val="superscript"/>
          </w:rPr>
          <w:t xml:space="preserve">[38]</w:t>
        </w:r>
      </w:hyperlink>
      <w:r>
        <w:t xml:space="preserve"> </w:t>
      </w:r>
      <w:r>
        <w:t xml:space="preserve">Authorized by the Special Committee to drop Delphi's ask to $47 per share, Rosenkranz responded by proposing a $2 special dividend per share at or around the time of the closing (which would effectively increase the merger consideration to $47). Brimecome then informed Rosenkranz that TMH would respond to this offer shortly. The next day, TMH contacted Rosenkranz to counter with a $1 special dividend; Rosenkranz agreed to take the offer to the Special Committee.</w:t>
      </w:r>
    </w:p>
    <w:p>
      <w:pPr>
        <w:pStyle w:val="BodyText"/>
      </w:pPr>
      <w:r>
        <w:t xml:space="preserve">Rosenkranz immediately called Fox, the Chairman of the Special Committee, and informed him of the call with TMH.</w:t>
      </w:r>
      <w:hyperlink w:anchor="Xff14ede0e5261b6a1ec09bd2e5d1d9f3211abfb">
        <w:r>
          <w:rPr>
            <w:rStyle w:val="Hyperlink"/>
            <w:vertAlign w:val="superscript"/>
          </w:rPr>
          <w:t xml:space="preserve">[39]</w:t>
        </w:r>
      </w:hyperlink>
      <w:r>
        <w:t xml:space="preserve"> </w:t>
      </w:r>
      <w:r>
        <w:t xml:space="preserve">Rosenkranz relayed TMH's offer and indicated that he would not support a transaction based on TMH's revised offer unless the $1 special dividend was split evenly between Class A and Class B shares. Rosenkranz also warned Fox that he would refuse to entertain further negotiations regarding the differential consideration, and that he would walk away from the transaction if he did not receive $56.50 for each of his Class B shares (with the Class A consideration being $44.50 per share).</w:t>
      </w:r>
      <w:hyperlink w:anchor="X06f38255c1fc1df70dc35b9359f23382ffa49e4">
        <w:r>
          <w:rPr>
            <w:rStyle w:val="Hyperlink"/>
            <w:vertAlign w:val="superscript"/>
          </w:rPr>
          <w:t xml:space="preserve">[40]</w:t>
        </w:r>
      </w:hyperlink>
      <w:r>
        <w:t xml:space="preserve"> </w:t>
      </w:r>
      <w:r>
        <w:t xml:space="preserve">The Special Committee and the Sub-Committee thus decided to finish negotiating the terms of the differential consideration before responding to TMH's revised offer.</w:t>
      </w:r>
    </w:p>
    <w:bookmarkEnd w:id="204"/>
    <w:bookmarkStart w:id="205" w:name="Xb93953cf8e0095b9992ad8657114294980c181e"/>
    <w:p>
      <w:pPr>
        <w:pStyle w:val="Heading2"/>
      </w:pPr>
      <w:r>
        <w:rPr>
          <w:iCs/>
          <w:i/>
        </w:rPr>
        <w:t xml:space="preserve">H. Agreement on Price and Remaining Merger Terms</w:t>
      </w:r>
    </w:p>
    <w:p>
      <w:pPr>
        <w:pStyle w:val="FirstParagraph"/>
      </w:pPr>
      <w:r>
        <w:t xml:space="preserve">With TMH's offer of $46 per share ($45 plus the $1 special dividend) on the table, the Sub-Committee and Rosenkranz continued their negotiations regarding the division of the Merger consideration. Fox and Rosenkranz engaged in extensive back-and-forth discussions, with Rosenkranz refusing to accept less than $56.50 for his Class B shares and Fox holding fast to his demand for $45.25 for the Class A shares, which would have left $51.25 per Class B share. Over the course of this back-and-forth, Rosenkranz's gamut of emotions confirmed that the Kübler-Ross Model</w:t>
      </w:r>
      <w:hyperlink w:anchor="X7df456dbebb57e3ab2b7bb63f691f7c580d5321">
        <w:r>
          <w:rPr>
            <w:rStyle w:val="Hyperlink"/>
            <w:vertAlign w:val="superscript"/>
          </w:rPr>
          <w:t xml:space="preserve">[41]</w:t>
        </w:r>
      </w:hyperlink>
      <w:r>
        <w:t xml:space="preserve"> </w:t>
      </w:r>
      <w:r>
        <w:t xml:space="preserve">indeed applies to corporate controllers whose attempts to divert merger consideration to themselves at the expense of the minority stockholders are rebuked by intractable special committees. Rosenkranz began in denial of the fact that he might not receive his original request of $59 per share and was isolated with the formation of the Special Committee, grew angry as the Sub-Committee held firm to its original demand of $45.25 for the Class A shares,</w:t>
      </w:r>
      <w:hyperlink w:anchor="X85861892064c35d158ea6877508551a74d1a92d">
        <w:r>
          <w:rPr>
            <w:rStyle w:val="Hyperlink"/>
            <w:vertAlign w:val="superscript"/>
          </w:rPr>
          <w:t xml:space="preserve">[42]</w:t>
        </w:r>
      </w:hyperlink>
      <w:r>
        <w:t xml:space="preserve"> </w:t>
      </w:r>
      <w:r>
        <w:t xml:space="preserve">began to bargain and revised his proposal to $44.75 for the Class A shares,</w:t>
      </w:r>
      <w:hyperlink w:anchor="Xced6a82ad832222ff5b45b9b504adff82e0cb90">
        <w:r>
          <w:rPr>
            <w:rStyle w:val="Hyperlink"/>
            <w:vertAlign w:val="superscript"/>
          </w:rPr>
          <w:t xml:space="preserve">[43]</w:t>
        </w:r>
      </w:hyperlink>
      <w:r>
        <w:t xml:space="preserve"> </w:t>
      </w:r>
      <w:r>
        <w:t xml:space="preserve">plunged into depression when the Sub-Committee only reduced its demand to $45 per Class A share,</w:t>
      </w:r>
      <w:hyperlink w:anchor="X165f58f7fa49252095b6da61a877a64f7f8acbe">
        <w:r>
          <w:rPr>
            <w:rStyle w:val="Hyperlink"/>
            <w:vertAlign w:val="superscript"/>
          </w:rPr>
          <w:t xml:space="preserve">[44]</w:t>
        </w:r>
      </w:hyperlink>
      <w:r>
        <w:t xml:space="preserve"> </w:t>
      </w:r>
      <w:r>
        <w:t xml:space="preserve">and finally arrived at "acceptance" when Fox, believing the deal to be in jeopardy, proposed $44.875 for Class A and $53.875 for Class B.</w:t>
      </w:r>
      <w:hyperlink w:anchor="Xfe23c37695e7a1218660ff32580ea081a1a8006">
        <w:r>
          <w:rPr>
            <w:rStyle w:val="Hyperlink"/>
            <w:vertAlign w:val="superscript"/>
          </w:rPr>
          <w:t xml:space="preserve">[45]</w:t>
        </w:r>
      </w:hyperlink>
    </w:p>
    <w:p>
      <w:pPr>
        <w:pStyle w:val="BodyText"/>
      </w:pPr>
      <w:r>
        <w:t xml:space="preserve">Fox brought this proposal to the Sub-Committee, which approved the differential consideration of $53.875 and $44.875, which fell on the low end of the range of differential consideration transactions presented by Lazard. The Sub-Committee brought the proposal to the Special Committee, which upon hearing Fox's report approved the differential and agreed to accept TMH's $46 offer and move forward with the remaining terms of the transaction. On October 21, 2011, Rosenkranz relayed the Special Committee's acceptance to TMH and informed TMH for the first time of the differential consideration, toward which TMH reportedly did not express any concern.</w:t>
      </w:r>
      <w:hyperlink w:anchor="Xc7e95a22001a825946677916c540bfedd51736a">
        <w:r>
          <w:rPr>
            <w:rStyle w:val="Hyperlink"/>
            <w:vertAlign w:val="superscript"/>
          </w:rPr>
          <w:t xml:space="preserve">[46]</w:t>
        </w:r>
      </w:hyperlink>
    </w:p>
    <w:p>
      <w:pPr>
        <w:pStyle w:val="BodyText"/>
      </w:pPr>
      <w:r>
        <w:t xml:space="preserve">In the months following the agreement on price, the Special Committee and TMH negotiated the remaining terms of the Merger. One of the key provisions obtained by the Special Committee was the non-waivable conditioning of the Merger on the affirmative vote of a majority of the disinterested Class A stockholders. In other words, the Merger must receive majority approval from a group of Class A shares that excludes Class A shares owned directly or indirectly by Class B stockholders (Rosenkranz), Delphi officers or directors, TMH, or any of their affiliates.</w:t>
      </w:r>
    </w:p>
    <w:p>
      <w:pPr>
        <w:pStyle w:val="BodyText"/>
      </w:pPr>
      <w:r>
        <w:t xml:space="preserve">In addition, since Section 7 of Delphi's Charter prohibits the unequal distribution of merger consideration, the parties agreed to condition the Merger on the approval of a charter amendment that explicitly excludes the Merger from that prohibition (the "Charter Amendment"). The Sub-Committee found such an amendment to be in the best interests of the Class A stockholders as it was, in the view of the Sub-Committee and in light of Rosenkranz's demands, the only way to enable the Class A stockholders to obtain a substantial premium on their shares.</w:t>
      </w:r>
      <w:hyperlink w:anchor="Xe113bbc86c51d8b02d29ca8d75583bd3845fe2a">
        <w:r>
          <w:rPr>
            <w:rStyle w:val="Hyperlink"/>
            <w:vertAlign w:val="superscript"/>
          </w:rPr>
          <w:t xml:space="preserve">[47]</w:t>
        </w:r>
      </w:hyperlink>
      <w:r>
        <w:t xml:space="preserve"> </w:t>
      </w:r>
      <w:r>
        <w:t xml:space="preserve">The differential was necessary to secure Rosenkranz's approval of the deal, and the Charter Amendment was necessary to allow that differential.</w:t>
      </w:r>
    </w:p>
    <w:bookmarkEnd w:id="205"/>
    <w:bookmarkStart w:id="206" w:name="section-16"/>
    <w:p>
      <w:pPr>
        <w:pStyle w:val="Heading2"/>
      </w:pPr>
      <w:r>
        <w:rPr>
          <w:rStyle w:val="Elision"/>
          <w:iCs/>
          <w:i/>
        </w:rPr>
        <w:t xml:space="preserve">[ … ]</w:t>
      </w:r>
    </w:p>
    <w:bookmarkEnd w:id="206"/>
    <w:bookmarkStart w:id="207" w:name="section-17"/>
    <w:p>
      <w:pPr>
        <w:pStyle w:val="Heading2"/>
      </w:pPr>
      <w:r>
        <w:rPr>
          <w:rStyle w:val="Elision"/>
          <w:iCs/>
          <w:i/>
        </w:rPr>
        <w:t xml:space="preserve">[ … ]</w:t>
      </w:r>
    </w:p>
    <w:p>
      <w:pPr>
        <w:pStyle w:val="FirstParagraph"/>
      </w:pPr>
      <w:r>
        <w:t xml:space="preserve">On December 20, 2011, the Sub-Committee, Special Committee, and the full Board held meetings to discuss the finalized terms of the Merger Agreement. Lazard advised that the overall merger consideration was fair and represented a significant premium over market price.</w:t>
      </w:r>
      <w:hyperlink w:anchor="Xdd363550101622f73db5e80824b134a2ab126d4">
        <w:r>
          <w:rPr>
            <w:rStyle w:val="Hyperlink"/>
            <w:vertAlign w:val="superscript"/>
          </w:rPr>
          <w:t xml:space="preserve">[52]</w:t>
        </w:r>
      </w:hyperlink>
      <w:r>
        <w:t xml:space="preserve"> </w:t>
      </w:r>
      <w:r>
        <w:t xml:space="preserve">Also, the Special Committee, considering data provided to it by Lazard, concluded that the consideration differential was well within and potentially at the low end of comparable precedent transactions. The Sub-Committee, Special Committee, and the Board then approved the transaction, and Delphi and TMH executed the Merger Agreement on December 21, 2011.</w:t>
      </w:r>
    </w:p>
    <w:p>
      <w:pPr>
        <w:pStyle w:val="BodyText"/>
      </w:pPr>
      <w:r>
        <w:rPr>
          <w:rStyle w:val="Elision"/>
        </w:rPr>
        <w:t xml:space="preserve">[ … ]</w:t>
      </w:r>
    </w:p>
    <w:p>
      <w:pPr>
        <w:pStyle w:val="BodyText"/>
      </w:pPr>
      <w:r>
        <w:rPr>
          <w:rStyle w:val="Elision"/>
        </w:rPr>
        <w:t xml:space="preserve">[ … ]</w:t>
      </w:r>
    </w:p>
    <w:p>
      <w:pPr>
        <w:pStyle w:val="BodyText"/>
      </w:pPr>
      <w:r>
        <w:rPr>
          <w:rStyle w:val="Elision"/>
        </w:rPr>
        <w:t xml:space="preserve">[ … ]</w:t>
      </w:r>
    </w:p>
    <w:bookmarkEnd w:id="207"/>
    <w:bookmarkStart w:id="208" w:name="ii.-the-plaintiffs-claims"/>
    <w:p>
      <w:pPr>
        <w:pStyle w:val="Heading2"/>
      </w:pPr>
      <w:r>
        <w:t xml:space="preserve">II. THE PLAINTIFFS' CLAIMS</w:t>
      </w:r>
    </w:p>
    <w:p>
      <w:pPr>
        <w:pStyle w:val="FirstParagraph"/>
      </w:pPr>
      <w:r>
        <w:rPr>
          <w:rStyle w:val="Elision"/>
        </w:rPr>
        <w:t xml:space="preserve">[ … ]</w:t>
      </w:r>
      <w:r>
        <w:rPr>
          <w:rStyle w:val="Elision"/>
        </w:rPr>
        <w:t xml:space="preserve">[ … ]</w:t>
      </w:r>
      <w:r>
        <w:t xml:space="preserve">Plaintiffs attack the negotiations between the Director Defendants (through the Sub-Committee) and Rosenkranz with respect to differential consideration. The Plaintiffs allege that the Director Defendants and Rosenkranz breached their fiduciary duties to the Class A stockholders in approving the consideration differential. Additionally, the Plaintiffs assert that Rosenkranz breached his fiduciary and contractual obligations in seeking such a differential in the first instance because the Delphi Charter prohibits the unequal distribution of merger consideration.</w:t>
      </w:r>
      <w:r>
        <w:t xml:space="preserve"> </w:t>
      </w:r>
      <w:r>
        <w:rPr>
          <w:rStyle w:val="Elision"/>
        </w:rPr>
        <w:t xml:space="preserve">[ … ]</w:t>
      </w:r>
    </w:p>
    <w:p>
      <w:pPr>
        <w:pStyle w:val="BodyText"/>
      </w:pPr>
      <w:r>
        <w:rPr>
          <w:rStyle w:val="Elision"/>
        </w:rPr>
        <w:t xml:space="preserve">[ … ]</w:t>
      </w:r>
      <w:r>
        <w:t xml:space="preserve">Plaintiffs point to several instances of wrongdoing</w:t>
      </w:r>
      <w:r>
        <w:t xml:space="preserve"> </w:t>
      </w:r>
      <w:r>
        <w:rPr>
          <w:rStyle w:val="Elision"/>
        </w:rPr>
        <w:t xml:space="preserve">[ … ]</w:t>
      </w:r>
      <w:hyperlink w:anchor="Xc58740901be5ef88d5fe8edc347332631d8b666">
        <w:r>
          <w:rPr>
            <w:rStyle w:val="Hyperlink"/>
            <w:vertAlign w:val="superscript"/>
          </w:rPr>
          <w:t xml:space="preserve">[56]</w:t>
        </w:r>
      </w:hyperlink>
      <w:r>
        <w:t xml:space="preserve"> </w:t>
      </w:r>
      <w:r>
        <w:t xml:space="preserve">They contend that Rosenkranz, who holds a fiduciary position as Board member, CEO, and controlling stockholder, dominated the negotiation process with TMH against the interests of the Class A stockholders. The Plaintiffs assert that Rosenkranz's interests were not aligned with the stockholders' when he negotiated with TMH because he knew that he would collect a higher price per share than the Class A stockholders. The Plaintiffs contend that Rosenkranz intended from the outset to receive a premium on his Class B shares at the expense of the Class A shares, and is attempting, by tying the vote on the Charter Amendment with the vote on the Merger, to coerce the Class A stockholders into amending the provisions of Delphi's Charter that prohibit such disparate consideration, in violation of his fiduciary and contractual obligations. The Plaintiffs allege that the Board went along with this plan by allowing Rosenkranz to remain the face of Delphi in negotiations with TMH even after Rosenkranz disclosed his intent to procure disparate consideration and by allowing the Merger to be predicated on a coercive vote on the Charter Amendment.</w:t>
      </w:r>
    </w:p>
    <w:p>
      <w:pPr>
        <w:pStyle w:val="BodyText"/>
      </w:pPr>
      <w:r>
        <w:rPr>
          <w:rStyle w:val="Elision"/>
        </w:rPr>
        <w:t xml:space="preserve">[ … ]</w:t>
      </w:r>
    </w:p>
    <w:p>
      <w:pPr>
        <w:pStyle w:val="BodyText"/>
      </w:pPr>
      <w:r>
        <w:rPr>
          <w:rStyle w:val="Elision"/>
        </w:rPr>
        <w:t xml:space="preserve">[ … ]</w:t>
      </w:r>
      <w:r>
        <w:t xml:space="preserve"> </w:t>
      </w:r>
      <w:r>
        <w:t xml:space="preserve">The Plaintiffs argue that Rosenkranz breached his fiduciary and contractual obligations to the stockholders by seeking disparate consideration in the first place, as the Delphi Charter requires equal treatment of Class A and Class B shares in the distribution of merger consideration. For the same reasons, argue the Plaintiffs, the Director and Executive Defendants breached their fiduciary duties in facilitating and approving the consideration differential.</w:t>
      </w:r>
      <w:r>
        <w:rPr>
          <w:rStyle w:val="Elision"/>
        </w:rPr>
        <w:t xml:space="preserve">[ … ]</w:t>
      </w:r>
    </w:p>
    <w:bookmarkEnd w:id="208"/>
    <w:bookmarkStart w:id="209" w:name="iii.-analysis-1"/>
    <w:p>
      <w:pPr>
        <w:pStyle w:val="Heading2"/>
      </w:pPr>
      <w:r>
        <w:t xml:space="preserve">III. ANALYSIS</w:t>
      </w:r>
    </w:p>
    <w:p>
      <w:pPr>
        <w:pStyle w:val="FirstParagraph"/>
      </w:pPr>
      <w:r>
        <w:rPr>
          <w:rStyle w:val="Elision"/>
        </w:rPr>
        <w:t xml:space="preserve">[ … ]</w:t>
      </w:r>
    </w:p>
    <w:bookmarkEnd w:id="209"/>
    <w:bookmarkStart w:id="210" w:name="section-18"/>
    <w:p>
      <w:pPr>
        <w:pStyle w:val="Heading2"/>
      </w:pPr>
      <w:r>
        <w:rPr>
          <w:rStyle w:val="Elision"/>
          <w:iCs/>
          <w:i/>
        </w:rPr>
        <w:t xml:space="preserve">[ … ]</w:t>
      </w:r>
    </w:p>
    <w:bookmarkEnd w:id="210"/>
    <w:bookmarkStart w:id="211" w:name="section-19"/>
    <w:p>
      <w:pPr>
        <w:pStyle w:val="Heading2"/>
      </w:pPr>
      <w:r>
        <w:rPr>
          <w:rStyle w:val="Elision"/>
        </w:rPr>
        <w:t xml:space="preserve">[ … ]</w:t>
      </w:r>
    </w:p>
    <w:p>
      <w:pPr>
        <w:pStyle w:val="FirstParagraph"/>
      </w:pPr>
      <w:r>
        <w:rPr>
          <w:rStyle w:val="Elision"/>
        </w:rPr>
        <w:t xml:space="preserve">[ … ]</w:t>
      </w:r>
    </w:p>
    <w:bookmarkEnd w:id="211"/>
    <w:bookmarkStart w:id="212" w:name="X1dea41dd90296b2e920fa3859495741081e8ad4"/>
    <w:p>
      <w:pPr>
        <w:pStyle w:val="Heading2"/>
      </w:pPr>
      <w:r>
        <w:t xml:space="preserve">2. Challenges to the Negotiations with Rosenkranz and the Sub-Committee's Approval of Disparate Consideration</w:t>
      </w:r>
    </w:p>
    <w:p>
      <w:pPr>
        <w:pStyle w:val="FirstParagraph"/>
      </w:pPr>
      <w:r>
        <w:t xml:space="preserve">The Plaintiffs' most persuasive argument, based on the preliminary record before me, is that despite a contrary provision in the Delphi Charter, Rosenkranz, in breach of his contractual and fiduciary duties, sought and obtained a control premium for his shares, an effort that was facilitated by the Executive and Director Defendants. As discussed above, Delphi's Charter contains two classes of stock: Class A, entitled to one vote per share, and Class B, entitled to ten votes per share. Rosenkranz holds all of the Class B shares; thus, even though he only owns 12.9% of Delphi's equity, he controls 49.9% of the stockholders' voting power. As a result, Rosenkranz can effectively block any merger or similar transaction that is not to his liking.</w:t>
      </w:r>
    </w:p>
    <w:p>
      <w:pPr>
        <w:pStyle w:val="BodyText"/>
      </w:pPr>
      <w:r>
        <w:t xml:space="preserve">Nevertheless, the Delphi Charter contains certain restrictions on Rosenkranz's power. Though Rosenkranz can act as a controlling stockholder, the Charter provides that, in a merger, the Class A stockholders and the Class B stockholders must be treated equally. Additionally, if Rosenkranz attempts to transfer his Class B stock to anyone besides an affiliate of his, the Class B stock converts into Class A stock. The Merger here is conditioned, at Rosenkranz's insistence, on a Charter Amendment removing the requirement of equal distribution of merger consideration. Once the Charter is amended, Rosenkranz can receive a higher payment for his shares than the Class A stockholders. At the same time the disinterested Sub-Committee negotiated these provisions with Rosenkranz, Rosenkranz took the lead in the negotiations with TMH, despite this apparent conflict with Delphi's public stockholders.</w:t>
      </w:r>
    </w:p>
    <w:p>
      <w:pPr>
        <w:pStyle w:val="BodyText"/>
      </w:pPr>
      <w:r>
        <w:t xml:space="preserve">Rosenkranz, in taking Delphi public, created, via the Charter, a mechanism whereby he retained voting control of Delphi as the holder of the high-vote Class B stock. As Rosenkranz points out, a controlling stockholder is, with limited exceptions, entitled under Delaware law to negotiate a control premium for its shares.</w:t>
      </w:r>
      <w:hyperlink w:anchor="X27e605b82e56795aa012e4da02b7a8a29dcc716">
        <w:r>
          <w:rPr>
            <w:rStyle w:val="Hyperlink"/>
            <w:vertAlign w:val="superscript"/>
          </w:rPr>
          <w:t xml:space="preserve">[63]</w:t>
        </w:r>
      </w:hyperlink>
      <w:r>
        <w:t xml:space="preserve"> </w:t>
      </w:r>
      <w:r>
        <w:t xml:space="preserve">Moreover, a controlling stockholder is free to consider its interests alone in weighing the decision to sell its shares or, having made such a decision, evaluating the adequacy of a given price.</w:t>
      </w:r>
      <w:hyperlink w:anchor="Xdca5860a4f8ed667dd3752522aa7b90c47eb534">
        <w:r>
          <w:rPr>
            <w:rStyle w:val="Hyperlink"/>
            <w:vertAlign w:val="superscript"/>
          </w:rPr>
          <w:t xml:space="preserve">[64]</w:t>
        </w:r>
      </w:hyperlink>
      <w:r>
        <w:t xml:space="preserve"> </w:t>
      </w:r>
      <w:r>
        <w:t xml:space="preserve">Rosenkranz contends that as a stockholder he has the right to control and vote his shares in his best interest, which generally includes the right to sell a controlling share for a premium at the expense of the minority stockholders.</w:t>
      </w:r>
    </w:p>
    <w:p>
      <w:pPr>
        <w:pStyle w:val="BodyText"/>
      </w:pPr>
      <w:r>
        <w:t xml:space="preserve">The Plaintiffs argue that by including a provision in Delphi's Charter providing that Class B stockholders would accept the same consideration as Class A stockholders in the case of a sale, Rosenkranz gave up his right to a control premium. They argue that by approving a merger conditioned on the Charter Amendment, which restores Rosenkranz's right to obtain disparate consideration for his shares, the Board and Rosenkranz are coercing the stockholders into choosing between approving the Merger at the cost of a substantial premium to Rosenkranz or voting against the Merger and forgoing an otherwise attractive deal (that could nevertheless be more attractive sans the Rosenkranz premium). The Plaintiffs allege that the Charter Amendment is coercive because in order to realize the benefits of the merger, the stockholders must induce Rosenkranz's consent by repealing a Charter provision that exists to protect them from exactly this situation. In other words, the Plaintiffs contend that although Rosenkranz may sell his stock generally free of fiduciary concerns for the minority stockholders, he may not do so in a way that coerces the stockholders' concession of a right guaranteed under the Charter.</w:t>
      </w:r>
    </w:p>
    <w:p>
      <w:pPr>
        <w:pStyle w:val="BodyText"/>
      </w:pPr>
      <w:r>
        <w:t xml:space="preserve">Rosenkranz and the Board counter that the Charter specifically provides for amendment. The Director Defendants also argue that, notwithstanding the Charter provision requiring the equal distribution of consideration to Class A and Class B stockholders in the event of a sale, the sale to TMH involves a substantial premium over market and is a compelling transaction—one which the stockholders ought to have the opportunity to accept, even if they must also approve the Charter Amendment to consummate the Merger.</w:t>
      </w:r>
      <w:hyperlink w:anchor="X40050595e5879666d7c2164d0e6483eedbc1cda">
        <w:r>
          <w:rPr>
            <w:rStyle w:val="Hyperlink"/>
            <w:vertAlign w:val="superscript"/>
          </w:rPr>
          <w:t xml:space="preserve">[65]</w:t>
        </w:r>
      </w:hyperlink>
      <w:r>
        <w:t xml:space="preserve"> </w:t>
      </w:r>
      <w:r>
        <w:t xml:space="preserve">The Director Defendants state:</w:t>
      </w:r>
    </w:p>
    <w:p>
      <w:pPr>
        <w:pStyle w:val="BlockText"/>
      </w:pPr>
      <w:r>
        <w:t xml:space="preserve">[I]f stockholders like the transaction, they will support the Certificate Amendment, and if they don't like the transaction, they won't. Amazingly, the supposed source of "coercion" is that the price being offered by [TMH] is so</w:t>
      </w:r>
      <w:r>
        <w:t xml:space="preserve"> </w:t>
      </w:r>
      <w:r>
        <w:rPr>
          <w:iCs/>
          <w:i/>
        </w:rPr>
        <w:t xml:space="preserve">high</w:t>
      </w:r>
      <w:r>
        <w:t xml:space="preserve"> </w:t>
      </w:r>
      <w:r>
        <w:t xml:space="preserve">that stockholders might actually want to accept it. By this definition, every good deal is "coercive."</w:t>
      </w:r>
      <w:hyperlink w:anchor="Xe5516c372459281003c8cb40e71edabd0d59387">
        <w:r>
          <w:rPr>
            <w:rStyle w:val="Hyperlink"/>
            <w:vertAlign w:val="superscript"/>
          </w:rPr>
          <w:t xml:space="preserve">[66]</w:t>
        </w:r>
      </w:hyperlink>
    </w:p>
    <w:p>
      <w:pPr>
        <w:pStyle w:val="FirstParagraph"/>
      </w:pPr>
      <w:r>
        <w:t xml:space="preserve">The argument of the Director Defendants and Rosenkranz reduces to this syllogism: Rosenkranz, in taking Delphi public in 1990, retained control. Notwithstanding his retention of control, he gave up, through Section 7 of the Delphi Charter, the right to receive a control premium. Consistent with Delaware law,</w:t>
      </w:r>
      <w:hyperlink w:anchor="Xb3026c855057b7f7dd849b650a583b2adeddef5">
        <w:r>
          <w:rPr>
            <w:rStyle w:val="Hyperlink"/>
            <w:vertAlign w:val="superscript"/>
          </w:rPr>
          <w:t xml:space="preserve">[67]</w:t>
        </w:r>
      </w:hyperlink>
      <w:r>
        <w:t xml:space="preserve"> </w:t>
      </w:r>
      <w:r>
        <w:t xml:space="preserve">however, the Charter provided for its own amendment by majority vote of the stockholders. Thus, since Rosenkranz is, as a controlling stockholder, generally unconstrained by fiduciary duties when deciding whether to sell his stock, he is permitted to condition his approval of a sale on both a restoration of his right to receive a control premium and on actually receiving such a premium. I find this argument unpersuasive.</w:t>
      </w:r>
    </w:p>
    <w:p>
      <w:pPr>
        <w:pStyle w:val="BodyText"/>
      </w:pPr>
      <w:r>
        <w:t xml:space="preserve">Section 7 of the Charter gives the stockholders the right to receive the same consideration, in a merger, as received by Rosenkranz. I assume that the stockholders, in return for the protection against differential merger consideration found in the Charter, paid a higher price for their shares.</w:t>
      </w:r>
      <w:hyperlink w:anchor="Xbc424e2c03d322f7dabeac0e3473f98e2a1cd10">
        <w:r>
          <w:rPr>
            <w:rStyle w:val="Hyperlink"/>
            <w:vertAlign w:val="superscript"/>
          </w:rPr>
          <w:t xml:space="preserve">[68]</w:t>
        </w:r>
      </w:hyperlink>
      <w:r>
        <w:t xml:space="preserve"> </w:t>
      </w:r>
      <w:r>
        <w:t xml:space="preserve">In other words, though Rosenkranz retained voting control, he sold his right to a control premium to the Class A stockholders via the Charter. The Charter provision, which prevents disparate consideration, exists so that if a merger is proposed, Rosenkranz cannot extract a</w:t>
      </w:r>
      <w:r>
        <w:t xml:space="preserve"> </w:t>
      </w:r>
      <w:r>
        <w:rPr>
          <w:iCs/>
          <w:i/>
        </w:rPr>
        <w:t xml:space="preserve">second</w:t>
      </w:r>
      <w:r>
        <w:t xml:space="preserve"> </w:t>
      </w:r>
      <w:r>
        <w:t xml:space="preserve">control premium for himself at the expense of the Class A stockholders.</w:t>
      </w:r>
    </w:p>
    <w:p>
      <w:pPr>
        <w:pStyle w:val="BodyText"/>
      </w:pPr>
      <w:r>
        <w:t xml:space="preserve">Of course, the Charter provided for its own amendment. Presumably, Rosenkranz, clear of any impending sale, could have purchased the right to a control premium back from the stockholders through a negotiated vote in favor of a charter amendment. But to accept Rosenkranz's argument and to allow him to coerce such an amendment here would be to render the Charter rights illusory and would permit Rosenkranz, who benefited by selling his control premium to the Class A stockholders at Delphi's IPO, to sell the same control premium again in connection with this Merger. That would amount to a wrongful transfer of merger consideration from the Class A stockholders to Rosenkranz.</w:t>
      </w:r>
    </w:p>
    <w:p>
      <w:pPr>
        <w:pStyle w:val="BodyText"/>
      </w:pPr>
      <w:r>
        <w:t xml:space="preserve">What would have happened if Rosenkranz had respected the Charter provision? He would still have had voting control. He may have insisted that no merger occur without consideration for all shares of at least $53.875, which likely would have killed the deal and restored the status quo.</w:t>
      </w:r>
      <w:hyperlink w:anchor="X5fbd0ffde76259f9cca0c79194dc3b0e5dc2ac9">
        <w:r>
          <w:rPr>
            <w:rStyle w:val="Hyperlink"/>
            <w:vertAlign w:val="superscript"/>
          </w:rPr>
          <w:t xml:space="preserve">[69]</w:t>
        </w:r>
      </w:hyperlink>
      <w:r>
        <w:t xml:space="preserve"> </w:t>
      </w:r>
      <w:r>
        <w:t xml:space="preserve">Or, without his steadfast belief that he was entitled to a differential, Rosenkranz may have agreed to a deal for all shares at $46, representing as it does a substantial premium over market. Because Rosenkranz sought instead to exact a control premium he had already bargained away, the answer to the question posed above is unknowable.</w:t>
      </w:r>
    </w:p>
    <w:p>
      <w:pPr>
        <w:pStyle w:val="BodyText"/>
      </w:pPr>
      <w:r>
        <w:t xml:space="preserve">Our Supreme Court has stated that a corporate charter, along with its accompanying bylaws, is a contract between the corporation's stockholders.</w:t>
      </w:r>
      <w:hyperlink w:anchor="Xbfe781c9f0e43b8f5877c27f01922f138de10bf">
        <w:r>
          <w:rPr>
            <w:rStyle w:val="Hyperlink"/>
            <w:vertAlign w:val="superscript"/>
          </w:rPr>
          <w:t xml:space="preserve">[70]</w:t>
        </w:r>
      </w:hyperlink>
      <w:r>
        <w:t xml:space="preserve"> </w:t>
      </w:r>
      <w:r>
        <w:t xml:space="preserve">Inherent in any contractual relationship is the implied covenant of good faith and fair dealing.</w:t>
      </w:r>
      <w:hyperlink w:anchor="Xf17657fe80f1629ebec4b0a7146d12aebbbaebc">
        <w:r>
          <w:rPr>
            <w:rStyle w:val="Hyperlink"/>
            <w:vertAlign w:val="superscript"/>
          </w:rPr>
          <w:t xml:space="preserve">[71]</w:t>
        </w:r>
      </w:hyperlink>
      <w:r>
        <w:t xml:space="preserve"> </w:t>
      </w:r>
      <w:r>
        <w:t xml:space="preserve">This implied covenant "embodies the law's expectation that each party to a contract will act with good faith toward the other with respect to the subject matter of the contract."</w:t>
      </w:r>
      <w:hyperlink w:anchor="Xd78a7cd51172d06ba183af8c269c1fae8340983">
        <w:r>
          <w:rPr>
            <w:rStyle w:val="Hyperlink"/>
            <w:vertAlign w:val="superscript"/>
          </w:rPr>
          <w:t xml:space="preserve">[72]</w:t>
        </w:r>
      </w:hyperlink>
      <w:r>
        <w:t xml:space="preserve"> </w:t>
      </w:r>
      <w:r>
        <w:t xml:space="preserve">A party breaches the covenant "by taking advantage of [its] position to control implementation of the agreement's terms," such that "[its] conduct frustrates the `overarching purpose' of the contract."</w:t>
      </w:r>
      <w:hyperlink w:anchor="Xd5a68d4c8c9db0cf32d14300cbc0c522528541f">
        <w:r>
          <w:rPr>
            <w:rStyle w:val="Hyperlink"/>
            <w:vertAlign w:val="superscript"/>
          </w:rPr>
          <w:t xml:space="preserve">[73]</w:t>
        </w:r>
      </w:hyperlink>
    </w:p>
    <w:p>
      <w:pPr>
        <w:pStyle w:val="BodyText"/>
      </w:pPr>
      <w:r>
        <w:t xml:space="preserve">The Plaintiffs argue that Rosenkranz has breached the implied covenant of good faith and fair dealing. They assert that the stockholders, therefore, have a remedy for breach of contract as well as fiduciary duty. They point out that, following the Defendants' logic, the existence of the amendment procedure rendered the provision mandating equal price on sale for the Class A and B shares a sham, since Rosenkranz retained the ability to coerce a charter amendment, and thus a control premium, in connection with any favorable merger offer. Implicit in the Plaintiffs' argument is that, had the purchasers of Delphi's public stock realized this, they may not have purchased the stock, at least at the price paid.</w:t>
      </w:r>
    </w:p>
    <w:p>
      <w:pPr>
        <w:pStyle w:val="BodyText"/>
      </w:pPr>
      <w:r>
        <w:t xml:space="preserve">I need not decide at this preliminary stage whether the rights of the stockholder class here sound in breach of contract as well as breach of fiduciary duty. It suffices that I find on the present record that the Plaintiffs bought Delphi's stock with the understanding that the Charter structured the corporation in such a way that denied Rosenkranz a control premium, and that as a result, Rosenkranz effectively extracted a control premium from the initial sale of the Class A shares, while at the same time retaining his voting majority. I therefore find that the Plaintiffs are reasonably likely to be able to demonstrate at trial that in negotiating for disparate consideration and only agreeing to support the merger if he received it, Rosenkranz violated duties to the stockholders.</w:t>
      </w:r>
    </w:p>
    <w:p>
      <w:pPr>
        <w:pStyle w:val="BodyText"/>
      </w:pPr>
      <w:r>
        <w:rPr>
          <w:rStyle w:val="Elision"/>
        </w:rPr>
        <w:t xml:space="preserve">[ … ]</w:t>
      </w:r>
    </w:p>
    <w:bookmarkEnd w:id="212"/>
    <w:bookmarkStart w:id="213" w:name="section-20"/>
    <w:p>
      <w:pPr>
        <w:pStyle w:val="Heading2"/>
      </w:pPr>
      <w:r>
        <w:rPr>
          <w:rStyle w:val="Elision"/>
        </w:rPr>
        <w:t xml:space="preserve">[ … ]</w:t>
      </w:r>
    </w:p>
    <w:bookmarkEnd w:id="213"/>
    <w:bookmarkStart w:id="214" w:name="section-21"/>
    <w:p>
      <w:pPr>
        <w:pStyle w:val="Heading2"/>
      </w:pPr>
      <w:r>
        <w:rPr>
          <w:rStyle w:val="Elision"/>
          <w:iCs/>
          <w:i/>
        </w:rPr>
        <w:t xml:space="preserve">[ … ]</w:t>
      </w:r>
    </w:p>
    <w:bookmarkEnd w:id="214"/>
    <w:bookmarkStart w:id="215" w:name="conclusion-3"/>
    <w:p>
      <w:pPr>
        <w:pStyle w:val="Heading2"/>
      </w:pPr>
      <w:r>
        <w:t xml:space="preserve">CONCLUSION</w:t>
      </w:r>
    </w:p>
    <w:p>
      <w:pPr>
        <w:pStyle w:val="FirstParagraph"/>
      </w:pPr>
      <w:r>
        <w:t xml:space="preserve">Robert Rosenkranz founded Delphi, built its value, and took the Company public.</w:t>
      </w:r>
      <w:r>
        <w:t xml:space="preserve"> </w:t>
      </w:r>
      <w:r>
        <w:rPr>
          <w:rStyle w:val="Elision"/>
        </w:rPr>
        <w:t xml:space="preserve">[ … ]</w:t>
      </w:r>
      <w:r>
        <w:t xml:space="preserve">Plaintiffs concede that, as a public company, Delphi has been well-run by Rosenkranz and the Board. Having built Delphi, and having retained control of the Company throughout, Rosenkranz clearly feels morally entitled to a premium for his stock. The Plaintiffs have demonstrated a reasonable likelihood that they will be able to prove at trial that Rosenkranz is not so entitled, however.</w:t>
      </w:r>
    </w:p>
    <w:p>
      <w:pPr>
        <w:pStyle w:val="BodyText"/>
      </w:pPr>
      <w:r>
        <w:rPr>
          <w:rStyle w:val="Elision"/>
        </w:rPr>
        <w:t xml:space="preserve">[ … ]</w:t>
      </w:r>
    </w:p>
    <w:p>
      <w:pPr>
        <w:pStyle w:val="BodyText"/>
      </w:pPr>
      <w:r>
        <w:rPr>
          <w:rStyle w:val="Elision"/>
        </w:rPr>
        <w:t xml:space="preserve">[ … ]</w:t>
      </w:r>
    </w:p>
    <w:p>
      <w:pPr>
        <w:pStyle w:val="BodyText"/>
      </w:pPr>
      <w:hyperlink w:anchor="X15a5af02d7b00c3e535f67693bae1977e723fcb">
        <w:r>
          <w:rPr>
            <w:rStyle w:val="Elision"/>
          </w:rPr>
          <w:t xml:space="preserve">[ … ]</w:t>
        </w:r>
      </w:hyperlink>
    </w:p>
    <w:p>
      <w:pPr>
        <w:pStyle w:val="BodyText"/>
      </w:pPr>
      <w:hyperlink w:anchor="Xc1adef460c5cc339a1cc29151bf32c239f5e236">
        <w:r>
          <w:rPr>
            <w:rStyle w:val="Elision"/>
          </w:rPr>
          <w:t xml:space="preserve">[ … ]</w:t>
        </w:r>
      </w:hyperlink>
    </w:p>
    <w:p>
      <w:pPr>
        <w:pStyle w:val="BodyText"/>
      </w:pPr>
      <w:hyperlink w:anchor="X090f83f06dbf4d4f26f707c8e27aa913932e2c4">
        <w:r>
          <w:rPr>
            <w:rStyle w:val="Elision"/>
          </w:rPr>
          <w:t xml:space="preserve">[ … ]</w:t>
        </w:r>
      </w:hyperlink>
    </w:p>
    <w:p>
      <w:pPr>
        <w:pStyle w:val="BodyText"/>
      </w:pPr>
      <w:hyperlink w:anchor="X9328ec96f253ec1826a504cf4eca1ae76376cb9">
        <w:r>
          <w:rPr>
            <w:rStyle w:val="Elision"/>
          </w:rPr>
          <w:t xml:space="preserve">[ … ]</w:t>
        </w:r>
      </w:hyperlink>
    </w:p>
    <w:p>
      <w:pPr>
        <w:pStyle w:val="BodyText"/>
      </w:pPr>
      <w:hyperlink w:anchor="X0847cb4936c04e395c8ef9da3a69a67feb6e5ec">
        <w:r>
          <w:rPr>
            <w:rStyle w:val="Elision"/>
          </w:rPr>
          <w:t xml:space="preserve">[ … ]</w:t>
        </w:r>
      </w:hyperlink>
    </w:p>
    <w:p>
      <w:pPr>
        <w:pStyle w:val="BodyText"/>
      </w:pPr>
      <w:hyperlink w:anchor="Xdc5c4c7147051a831b6a314b80f71935a2e35b1">
        <w:r>
          <w:rPr>
            <w:rStyle w:val="Elision"/>
          </w:rPr>
          <w:t xml:space="preserve">[ … ]</w:t>
        </w:r>
      </w:hyperlink>
    </w:p>
    <w:p>
      <w:pPr>
        <w:pStyle w:val="BodyText"/>
      </w:pPr>
      <w:hyperlink w:anchor="Xc62a48f74158e868ca18608153764216f42b19a">
        <w:r>
          <w:rPr>
            <w:rStyle w:val="Elision"/>
          </w:rPr>
          <w:t xml:space="preserve">[ … ]</w:t>
        </w:r>
      </w:hyperlink>
    </w:p>
    <w:bookmarkEnd w:id="215"/>
    <w:p>
      <w:pPr>
        <w:pStyle w:val="NodeEnd"/>
      </w:pPr>
      <w:r>
        <w:t xml:space="preserve"> </w:t>
      </w:r>
    </w:p>
    <w:p>
      <w:pPr>
        <w:pStyle w:val="NodeStart"/>
      </w:pPr>
      <w:r>
        <w:t xml:space="preserve"> </w:t>
      </w:r>
    </w:p>
    <w:p>
      <w:pPr>
        <w:pStyle w:val="HeadSeparator"/>
      </w:pPr>
      <w:r>
        <w:t xml:space="preserve"> </w:t>
      </w:r>
    </w:p>
    <w:bookmarkStart w:id="108" w:name="_auto_toc_108"/>
    <w:bookmarkEnd w:id="108"/>
    <w:p>
      <w:pPr>
        <w:pStyle w:val="ResourceNumber"/>
      </w:pPr>
      <w:r>
        <w:t xml:space="preserve">9.1.4</w:t>
      </w:r>
    </w:p>
    <w:p>
      <w:pPr>
        <w:pStyle w:val="ResourceTitle"/>
      </w:pPr>
      <w:r>
        <w:t xml:space="preserve">Speiser v. Baker</w:t>
      </w:r>
    </w:p>
    <w:p>
      <w:pPr>
        <w:pStyle w:val="HeadEnd"/>
      </w:pPr>
      <w:r>
        <w:t xml:space="preserve"> </w:t>
      </w:r>
    </w:p>
    <w:p>
      <w:pPr>
        <w:pStyle w:val="CaseHeader"/>
      </w:pPr>
      <w:r>
        <w:t xml:space="preserve">Delaware Court of Chancery</w:t>
      </w:r>
    </w:p>
    <w:p>
      <w:pPr>
        <w:pStyle w:val="CaseHeader"/>
      </w:pPr>
      <w:r>
        <w:t xml:space="preserve">525 A.2d 1001</w:t>
      </w:r>
    </w:p>
    <w:p>
      <w:pPr>
        <w:pStyle w:val="CaseHeader"/>
      </w:pPr>
      <w:r>
        <w:t xml:space="preserve">Civ. A. No. 8694</w:t>
      </w:r>
    </w:p>
    <w:p>
      <w:pPr>
        <w:pStyle w:val="CaseHeader"/>
      </w:pPr>
      <w:r>
        <w:t xml:space="preserve">1987-03-19</w:t>
      </w:r>
    </w:p>
    <w:p>
      <w:pPr>
        <w:pStyle w:val="CaseBody"/>
      </w:pPr>
      <w:r>
        <w:t xml:space="preserve">Submitted: Jan. 7, 1987.</w:t>
      </w:r>
    </w:p>
    <w:p>
      <w:pPr>
        <w:pStyle w:val="CaseBody"/>
      </w:pPr>
      <w:r>
        <w:t xml:space="preserve">James F. Burnett and Donald J. Wolfe, Jr. of Potter Anderson &amp; Corroon, Wilmington, and Fried, Frank, Harris, Shriver &amp; Jacobson, New York City, of counsel, for plaintiff.</w:t>
      </w:r>
    </w:p>
    <w:p>
      <w:pPr>
        <w:pStyle w:val="CaseBody"/>
      </w:pPr>
      <w:r>
        <w:t xml:space="preserve">David A. Drexler of Morris, Nichols, Arsht &amp; Tunnell, Wilmington, and Koether, Harris &amp; Hoffman, New York City, of counsel, for defendants.</w:t>
      </w:r>
    </w:p>
    <w:p>
      <w:pPr>
        <w:pStyle w:val="CaseBody"/>
      </w:pPr>
      <w:r>
        <w:t xml:space="preserve">ALLEN, Chancellor.</w:t>
      </w:r>
    </w:p>
    <w:p>
      <w:pPr>
        <w:pStyle w:val="CaseBody"/>
      </w:pPr>
      <w:r>
        <w:t xml:space="preserve">The present action is brought under Section 211(c) of our corporation law and seeks an order requiring the convening of an annual meeting of shareholders of Health Med Corporation, a Delaware corporation. The Answer admits that no annual meeting of stockholders of that corporation has been held for several years, but attempts to allege affirmative defenses to the relief sought. In addition, that pleading asserts an affirmative right to a declaratory judgment unrelated, in my opinion, to the annual meeting.</w:t>
      </w:r>
    </w:p>
    <w:p>
      <w:pPr>
        <w:pStyle w:val="CaseBody"/>
      </w:pPr>
      <w:r>
        <w:t xml:space="preserve">Pending is a motion by plaintiff seeking (1) judgment on the pleadings and (2) dismissal of defendant’s affirmative claim for relief. That motion raises two distinct legal issues. The first relates to plaintiff’s Section 211 claim: it is whether defendant, having admitted facts that constitute a</w:t>
      </w:r>
      <w:r>
        <w:t xml:space="preserve"> </w:t>
      </w:r>
      <w:r>
        <w:rPr>
          <w:iCs/>
          <w:i/>
        </w:rPr>
        <w:t xml:space="preserve">pri-ma facie</w:t>
      </w:r>
      <w:r>
        <w:t xml:space="preserve"> </w:t>
      </w:r>
      <w:r>
        <w:t xml:space="preserve">case for such relief, has pleaded facts which, if true, would constitute an equitable defense to the claim.</w:t>
      </w:r>
    </w:p>
    <w:p>
      <w:pPr>
        <w:pStyle w:val="CaseBody"/>
      </w:pPr>
      <w:r>
        <w:t xml:space="preserve">The second issue is raised by plaintiff’s motion to dismiss claims asserted by defendant as cross-claims and counterclaims. It is whether the circular ownership of stock among the companies involved in this litigation violates Section 160(c) of our general corporation law. Stated generally, Section 160(c) prohibits the voting of stock that belongs to the issuer and prohibits the voting of the issuer’s stock when owned by another corporation if the issuer holds, directly or indirectly, a majority of the shares entitled to vote at an election of the directors of that second corporation.</w:t>
      </w:r>
    </w:p>
    <w:p>
      <w:pPr>
        <w:pStyle w:val="CaseBody"/>
      </w:pPr>
      <w:r>
        <w:t xml:space="preserve">Plaintiff is Marvin Speiser, the owner of 50% of Health Med’s common stock. Mr. Speiser is also president of Health Med and one of its two directors. Named as defendants are the company itself and Leon Baker, who owns the remaining 50% of Health Med’s common stock and is Health Med’s other director. Because of the particular quorum requirements set forth in Health Med’s certificate, Baker, as the owner of the other 50% of Health Med’s common stock, is able to frustrate the convening of an annual meeting by simply not attending. Thus, the need for the Section 211 action.</w:t>
      </w:r>
    </w:p>
    <w:p>
      <w:pPr>
        <w:pStyle w:val="CaseBody"/>
      </w:pPr>
      <w:r>
        <w:t xml:space="preserve">Despite the admission of facts constituting a</w:t>
      </w:r>
      <w:r>
        <w:t xml:space="preserve"> </w:t>
      </w:r>
      <w:r>
        <w:rPr>
          <w:iCs/>
          <w:i/>
        </w:rPr>
        <w:t xml:space="preserve">prima facie</w:t>
      </w:r>
      <w:r>
        <w:t xml:space="preserve"> </w:t>
      </w:r>
      <w:r>
        <w:t xml:space="preserve">case under Section 211, Baker asserts that a meeting should not be ordered. He contends, in a pleading denominated as “Second Affirmative Defense and Cross-Counterclaim” (hereafter simply the counterclaim), that the meeting sought is intended to be used as a key step in a plan by Mr. Speiser to cement control of Health Med in derogation of his fiduciary duty to Health Med’s other shareholders. For his part, to thwart an allegedly wrongful scheme Baker seeks a declaratory judgment that shares of another Delaware corporation — Health Chem (hereafter “Chem”) —held by Health Med may not be voted by Health Med. The prohibition of Section 160(c) is asserted as the legal authority for this affirmative relief.</w:t>
      </w:r>
    </w:p>
    <w:p>
      <w:pPr>
        <w:pStyle w:val="CaseBody"/>
      </w:pPr>
      <w:r>
        <w:t xml:space="preserve">I conclude that Mr. Speiser is now entitled to judgment on his claim seeking to compel the holding of an annual meeting by Health Med, but that plaintiff’s motion to dismiss the counterclaim must be denied. The legal reasoning leading to these conclusions is set forth below, after a brief recitation of the admitted facts.</w:t>
      </w:r>
    </w:p>
    <w:p>
      <w:pPr>
        <w:pStyle w:val="CaseBody"/>
      </w:pPr>
      <w:r>
        <w:t xml:space="preserve">I.</w:t>
      </w:r>
    </w:p>
    <w:p>
      <w:pPr>
        <w:pStyle w:val="CaseBody"/>
      </w:pPr>
      <w:r>
        <w:t xml:space="preserve">The facts of the corporate relationships involved here are complex even when simplified to their essentials.</w:t>
      </w:r>
    </w:p>
    <w:p>
      <w:pPr>
        <w:pStyle w:val="CaseBody"/>
      </w:pPr>
      <w:r>
        <w:t xml:space="preserve">There is involved in this case a single operating business — Chem, a publicly traded company (American Stock Exchange). On its stock ledger, Chem’s stockholders fall into four classes: the public (40%), Mr. Speiser (10%), Mr. Baker (8%) and Health Med (42%). In fact, however, Health Med is itself wholly owned indirectly by Chem and Messrs. Speiser and Baker. Thus, the parties interested in this matter (as owners of Chem’s equity) are Speiser, Baker and Chem’s public shareholders.</w:t>
      </w:r>
    </w:p>
    <w:p>
      <w:pPr>
        <w:pStyle w:val="CaseBody"/>
      </w:pPr>
      <w:r>
        <w:t xml:space="preserve">How the circular ownership here involved came about is not critical for present purposes. What is relevant is that Chem (through a wholly owned subsidiary called Medallion Corp.) owns 95% of the equity of Health Med</w:t>
      </w:r>
      <w:r>
        <w:t xml:space="preserve"> </w:t>
      </w:r>
      <w:r>
        <w:t xml:space="preserve"> </w:t>
      </w:r>
      <w:r>
        <w:rPr>
          <w:iCs/>
          <w:i/>
        </w:rPr>
        <w:t xml:space="preserve">.</w:t>
      </w:r>
      <w:r>
        <w:t xml:space="preserve"> </w:t>
      </w:r>
      <w:r>
        <w:t xml:space="preserve">However, Chem’s 95% equity ownership in Health Med is not represented by ownership of 95% of the current voting power of Health Med. This is because what Chem owns is an issue of Health Med convertible preferred stock which, while bearing an unqualified right to be converted immediately into common stock of Health Med representing 95% of Health Med’s voting power, in its present unconverted state, carries the right to only approximately 9% of Health Med’s vote. In its unconverted state the preferred commands</w:t>
      </w:r>
      <w:r>
        <w:t xml:space="preserve"> </w:t>
      </w:r>
      <w:r>
        <w:rPr>
          <w:iCs/>
          <w:i/>
        </w:rPr>
        <w:t xml:space="preserve">in toto</w:t>
      </w:r>
      <w:r>
        <w:t xml:space="preserve"> </w:t>
      </w:r>
      <w:r>
        <w:t xml:space="preserve">the same dividend rights (i.e., 95% of all dividends declared and paid) as it would if converted to common stock.</w:t>
      </w:r>
    </w:p>
    <w:p>
      <w:pPr>
        <w:pStyle w:val="CaseBody"/>
      </w:pPr>
      <w:r>
        <w:t xml:space="preserve">Speiser and Baker own the balance of Health Med’s voting power. Each presently votes 50% of Health Med’s only other issue of stock, its common stock.</w:t>
      </w:r>
    </w:p>
    <w:p>
      <w:pPr>
        <w:pStyle w:val="CaseBody"/>
      </w:pPr>
      <w:r>
        <w:t xml:space="preserve">This structure may be grasped most easily through a graphic presentation.</w:t>
      </w:r>
    </w:p>
    <w:p>
      <w:pPr>
        <w:pStyle w:val="CaseBody"/>
      </w:pPr>
      <w:r>
        <w:t xml:space="preserve">OWNERSHIP OF VOTING STOCK HEALTH HEP * HEALTH-CHEM</w:t>
      </w:r>
    </w:p>
    <w:p>
      <w:pPr>
        <w:pStyle w:val="CaseBody"/>
      </w:pPr>
      <w:r>
        <w:drawing>
          <wp:inline>
            <wp:extent cx="5334000" cy="5973333"/>
            <wp:effectExtent b="0" l="0" r="0" t="0"/>
            <wp:docPr descr="" title="" id="1" name="Picture"/>
            <a:graphic>
              <a:graphicData uri="http://schemas.openxmlformats.org/drawingml/2006/picture">
                <pic:pic>
                  <pic:nvPicPr>
                    <pic:cNvPr descr="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" id="0" name="Picture"/>
                    <pic:cNvPicPr>
                      <a:picLocks noChangeArrowheads="1" noChangeAspect="1"/>
                    </pic:cNvPicPr>
                  </pic:nvPicPr>
                  <pic:blipFill>
                    <a:blip r:embed="rId216"/>
                    <a:stretch>
                      <a:fillRect/>
                    </a:stretch>
                  </pic:blipFill>
                  <pic:spPr bwMode="auto">
                    <a:xfrm>
                      <a:off x="0" y="0"/>
                      <a:ext cx="5334000" cy="5973333"/>
                    </a:xfrm>
                    <a:prstGeom prst="rect">
                      <a:avLst/>
                    </a:prstGeom>
                    <a:noFill/>
                    <a:ln w="9525">
                      <a:noFill/>
                      <a:headEnd/>
                      <a:tailEnd/>
                    </a:ln>
                  </pic:spPr>
                </pic:pic>
              </a:graphicData>
            </a:graphic>
          </wp:inline>
        </w:drawing>
      </w:r>
    </w:p>
    <w:p>
      <w:pPr>
        <w:pStyle w:val="CaseBody"/>
      </w:pPr>
      <w:r>
        <w:t xml:space="preserve">(1) Ownership interests are approximate.</w:t>
      </w:r>
    </w:p>
    <w:p>
      <w:pPr>
        <w:pStyle w:val="CaseBody"/>
      </w:pPr>
      <w:r>
        <w:t xml:space="preserve">(2) Holdings in Health-Chem exceed 100% because Speiser and Baker holdings reflect assumed exercise of options.</w:t>
      </w:r>
    </w:p>
    <w:p>
      <w:pPr>
        <w:pStyle w:val="CaseBody"/>
      </w:pPr>
      <w:r>
        <w:t xml:space="preserve">This circular structure was carefully constructed as a means to permit Messrs. Speiser and Baker to control Chem while together owning less than 35% of its equity. It has functioned in that way successfully for some years. Speiser has served as president of all three corporations. When Speiser and Baker’s mutual plan required shareholder votes, Speiser apparently directed the vote of Health Med’s holdings of Chem stock (its only substantial asset) in a way that together with the vote of Speiser and Baker’s personal Chem holdings, assured that their view would prevail.</w:t>
      </w:r>
    </w:p>
    <w:p>
      <w:pPr>
        <w:pStyle w:val="CaseBody"/>
      </w:pPr>
      <w:r>
        <w:t xml:space="preserve">The conversion of Chem’s (Medallion’s) preferred stock in Health Med would result in the destruction of the Baker-Speiser control mechanism. Under Section 160(c) of the Delaware corporation law (quoted and discussed below), in that circumstance, Health Med would certainly be unable to vote its 42% stock interest in Chem. As a result, the other shareholders of Chem (i.e., the owners of the real equity interest in Chem) would have their voting power increased to the percentages shown on the above chart, that is, the voting power of the public stockholders of Chem would increase from 40% to 65.6%.</w:t>
      </w:r>
    </w:p>
    <w:p>
      <w:pPr>
        <w:pStyle w:val="CaseBody"/>
      </w:pPr>
      <w:r>
        <w:t xml:space="preserve">For reasons that are not important for the moment, Speiser and Baker have now fallen out. Control of Health Med and the vote of its Chem stock thus has now become critical to them. Mr. Speiser, by virtue of his office as President of Medallion and of Health Med, is apparently currently in a position to control Health Med and its vote. Baker asserts, not implausibly, that Speiser now seeks a Health Med stockholders meeting for the purpose of removing Baker as one of Health Med’s two directors in order to remove his independent judgment from the scene.</w:t>
      </w:r>
    </w:p>
    <w:p>
      <w:pPr>
        <w:pStyle w:val="CaseBody"/>
      </w:pPr>
      <w:r>
        <w:t xml:space="preserve">None of Chem’s public shareholders have heretofore complained that the failure to convert Chem’s (Medallion’s) preferred stock in Health Med to common constituted a wrong. Several shareholders have, however, now moved to intervene in this action and asked to be aligned with Mr. Baker. This application is resisted by Mr. Speiser — who asserts some estoppel arguments personal to Mr. Baker as a ground for dismissing Bakers counterclaim.</w:t>
      </w:r>
      <w:r>
        <w:rPr>
          <w:rStyle w:val="FootnoteReference"/>
        </w:rPr>
        <w:footnoteReference w:customMarkFollows="1" w:id="56"/>
        <w:t xml:space="preserve">2</w:t>
      </w:r>
    </w:p>
    <w:p>
      <w:pPr>
        <w:pStyle w:val="CaseBody"/>
      </w:pPr>
      <w:r>
        <w:t xml:space="preserve">II.</w:t>
      </w:r>
    </w:p>
    <w:p>
      <w:pPr>
        <w:pStyle w:val="CaseBody"/>
      </w:pPr>
      <w:r>
        <w:t xml:space="preserve">Despite defendant Baker’s pleading, which intermingles aspects of his affirmative defense to the Section 211(c) claim with elements of his affirmative claim for declaratory relief, I believe the two issues raised by this motion can most appropriately be analyzed independently. The allegedly wrongful control of</w:t>
      </w:r>
      <w:r>
        <w:t xml:space="preserve"> </w:t>
      </w:r>
      <w:r>
        <w:rPr>
          <w:iCs/>
          <w:i/>
        </w:rPr>
        <w:t xml:space="preserve">Chem</w:t>
      </w:r>
      <w:r>
        <w:t xml:space="preserve"> </w:t>
      </w:r>
      <w:r>
        <w:t xml:space="preserve">that is at the center of the claim for affirmative relief is not a matter that will be voted upon at (nor be significantly affected by) a Health Med stockholder meeting. The Section 160 claim is not that Chem (Medallion) ought not to be permitted to vote</w:t>
      </w:r>
      <w:r>
        <w:t xml:space="preserve"> </w:t>
      </w:r>
      <w:r>
        <w:rPr>
          <w:iCs/>
          <w:i/>
        </w:rPr>
        <w:t xml:space="preserve">its</w:t>
      </w:r>
      <w:r>
        <w:t xml:space="preserve"> </w:t>
      </w:r>
      <w:r>
        <w:t xml:space="preserve">stock at a Health Med meeting, but that Health Med is precluded from exercising rights as a Chem shareholder. Thus, while the two claims are factually related, they are, in my opinion, essentially independent claims legally. I therefore analyze them separately and turn first to Speiser's motion for judgment on the pleadings with respect to his Section 211(c) claim.</w:t>
      </w:r>
    </w:p>
    <w:p>
      <w:pPr>
        <w:pStyle w:val="CaseBody"/>
      </w:pPr>
      <w:r>
        <w:t xml:space="preserve">Section 211(b) of our corporation law contains a mandatory requirement that every Delaware corporation “shall” hold an “annual meeting of stockholders ... for the election of directors.” Section 211(c) confers authority upon this court to order that such an annual meeting be convened when a plaintiff demonstrates that (1) he is a shareholder of the company and (2) no annual meeting has been held within 30 days of the date designated therefor or, if no date had been set, for 13 months since the last annual meeting. Proof of these two statutory elements has been said to constitute a</w:t>
      </w:r>
      <w:r>
        <w:t xml:space="preserve"> </w:t>
      </w:r>
      <w:r>
        <w:rPr>
          <w:iCs/>
          <w:i/>
        </w:rPr>
        <w:t xml:space="preserve">prima facie</w:t>
      </w:r>
      <w:r>
        <w:t xml:space="preserve"> </w:t>
      </w:r>
      <w:r>
        <w:t xml:space="preserve">case for relief.</w:t>
      </w:r>
      <w:r>
        <w:t xml:space="preserve"> </w:t>
      </w:r>
      <w:r>
        <w:rPr>
          <w:iCs/>
          <w:i/>
        </w:rPr>
        <w:t xml:space="preserve">Saxon Industries, Inc. v. NKFW Partners,</w:t>
      </w:r>
      <w:r>
        <w:t xml:space="preserve"> </w:t>
      </w:r>
      <w:r>
        <w:t xml:space="preserve">Del.Supr.,</w:t>
      </w:r>
      <w:r>
        <w:t xml:space="preserve"> </w:t>
      </w:r>
      <w:r>
        <w:t xml:space="preserve">488 A.2d 1298</w:t>
      </w:r>
      <w:r>
        <w:t xml:space="preserve"> </w:t>
      </w:r>
      <w:r>
        <w:t xml:space="preserve">(1984).</w:t>
      </w:r>
    </w:p>
    <w:p>
      <w:pPr>
        <w:pStyle w:val="CaseBody"/>
      </w:pPr>
      <w:r>
        <w:t xml:space="preserve">Given the central role of the shareholders’ annual meeting in the scheme of corporate governance contemplated by Delaware law, it is not surprising that once these statutory elements have been shown, the cases have recognized that the right to an order compelling the holding of such a meeting is “virtually absolute.”</w:t>
      </w:r>
      <w:r>
        <w:t xml:space="preserve"> </w:t>
      </w:r>
      <w:r>
        <w:rPr>
          <w:iCs/>
          <w:i/>
        </w:rPr>
        <w:t xml:space="preserve">Coaxial Communications, Inc. v. CNA Financial Corp.,</w:t>
      </w:r>
      <w:r>
        <w:t xml:space="preserve"> </w:t>
      </w:r>
      <w:r>
        <w:t xml:space="preserve">Del.Supr.,</w:t>
      </w:r>
      <w:r>
        <w:t xml:space="preserve"> </w:t>
      </w:r>
      <w:r>
        <w:t xml:space="preserve">367 A.2d 994</w:t>
      </w:r>
      <w:r>
        <w:t xml:space="preserve"> </w:t>
      </w:r>
      <w:r>
        <w:t xml:space="preserve">(1976);</w:t>
      </w:r>
      <w:r>
        <w:t xml:space="preserve"> </w:t>
      </w:r>
      <w:r>
        <w:rPr>
          <w:iCs/>
          <w:i/>
        </w:rPr>
        <w:t xml:space="preserve">Prickett v. American Steel and Pump Corporation,</w:t>
      </w:r>
      <w:r>
        <w:t xml:space="preserve"> </w:t>
      </w:r>
      <w:r>
        <w:t xml:space="preserve">Del.Ch.,</w:t>
      </w:r>
      <w:r>
        <w:t xml:space="preserve"> </w:t>
      </w:r>
      <w:r>
        <w:t xml:space="preserve">251 A.2d 576</w:t>
      </w:r>
      <w:r>
        <w:t xml:space="preserve"> </w:t>
      </w:r>
      <w:r>
        <w:t xml:space="preserve">(1969). Since, however, the statutory language of Section 211(c) is permissive, not mandatory (“... the Court of Chancery may summarily order a meeting to be held ...”), the statute itself would seem to contemplate the possibility of a</w:t>
      </w:r>
      <w:r>
        <w:t xml:space="preserve"> </w:t>
      </w:r>
      <w:r>
        <w:rPr>
          <w:iCs/>
          <w:i/>
        </w:rPr>
        <w:t xml:space="preserve">prima facie</w:t>
      </w:r>
      <w:r>
        <w:t xml:space="preserve"> </w:t>
      </w:r>
      <w:r>
        <w:t xml:space="preserve">case being defeated. While the Supreme Court has acknowledged such a possibility as a general matter,</w:t>
      </w:r>
      <w:r>
        <w:t xml:space="preserve"> </w:t>
      </w:r>
      <w:r>
        <w:rPr>
          <w:iCs/>
          <w:i/>
        </w:rPr>
        <w:t xml:space="preserve">see Saxon Industries, supra</w:t>
      </w:r>
      <w:r>
        <w:t xml:space="preserve"> </w:t>
      </w:r>
      <w:r>
        <w:t xml:space="preserve">at 1301, no Delaware case actually declining to compel a meeting once the statutory elements have been proven has been cited. Thus, the question here is whether facts have been pleaded which, if true, would establish this as that rare instance in which relief should be denied to plaintiff establishing a</w:t>
      </w:r>
      <w:r>
        <w:t xml:space="preserve"> </w:t>
      </w:r>
      <w:r>
        <w:rPr>
          <w:iCs/>
          <w:i/>
        </w:rPr>
        <w:t xml:space="preserve">prima facie</w:t>
      </w:r>
      <w:r>
        <w:t xml:space="preserve"> </w:t>
      </w:r>
      <w:r>
        <w:t xml:space="preserve">case under Section 211(c).</w:t>
      </w:r>
    </w:p>
    <w:p>
      <w:pPr>
        <w:pStyle w:val="CaseBody"/>
      </w:pPr>
      <w:r>
        <w:t xml:space="preserve">In addressing this question, the task is to evaluate the legal sufficiency of the facts alleged while ignoring wholly conclusory statements.</w:t>
      </w:r>
      <w:r>
        <w:t xml:space="preserve"> </w:t>
      </w:r>
      <w:r>
        <w:rPr>
          <w:iCs/>
          <w:i/>
        </w:rPr>
        <w:t xml:space="preserve">Schleiff v. Baltimore &amp; O.R.R.,</w:t>
      </w:r>
      <w:r>
        <w:t xml:space="preserve"> </w:t>
      </w:r>
      <w:r>
        <w:t xml:space="preserve">Del.Ch.,</w:t>
      </w:r>
      <w:r>
        <w:t xml:space="preserve"> </w:t>
      </w:r>
      <w:r>
        <w:t xml:space="preserve">130 A.2d 321</w:t>
      </w:r>
      <w:r>
        <w:t xml:space="preserve"> </w:t>
      </w:r>
      <w:r>
        <w:t xml:space="preserve">(1957); 5 Wright</w:t>
      </w:r>
      <w:r>
        <w:t xml:space="preserve"> </w:t>
      </w:r>
      <w:r>
        <w:rPr>
          <w:iCs/>
          <w:i/>
        </w:rPr>
        <w:t xml:space="preserve">&amp;</w:t>
      </w:r>
      <w:r>
        <w:t xml:space="preserve"> </w:t>
      </w:r>
      <w:r>
        <w:t xml:space="preserve">Miller, Federal Practice and Procedure § 1368 at p. 692. Of course, on such a motion, the non-moving party is entitled to the benefit of any inferences that may fairly be drawn from his pleading. The motion should not be granted unless it appears to a reasonable certainty that under no set of facts that could be proven under the allegations of the Answer would plaintiff’s</w:t>
      </w:r>
      <w:r>
        <w:t xml:space="preserve"> </w:t>
      </w:r>
      <w:r>
        <w:rPr>
          <w:iCs/>
          <w:i/>
        </w:rPr>
        <w:t xml:space="preserve">prima facie</w:t>
      </w:r>
      <w:r>
        <w:t xml:space="preserve"> </w:t>
      </w:r>
      <w:r>
        <w:t xml:space="preserve">claim be defeated. Cf</w:t>
      </w:r>
      <w:r>
        <w:rPr>
          <w:iCs/>
          <w:i/>
        </w:rPr>
        <w:t xml:space="preserve">. Harman v. Masoneilan International, Inc.,</w:t>
      </w:r>
      <w:r>
        <w:t xml:space="preserve"> </w:t>
      </w:r>
      <w:r>
        <w:t xml:space="preserve">Del.Supr.,</w:t>
      </w:r>
      <w:r>
        <w:t xml:space="preserve"> </w:t>
      </w:r>
      <w:r>
        <w:t xml:space="preserve">442 A.2d 487</w:t>
      </w:r>
      <w:r>
        <w:t xml:space="preserve"> </w:t>
      </w:r>
      <w:r>
        <w:t xml:space="preserve">(1982).</w:t>
      </w:r>
      <w:r>
        <w:rPr>
          <w:rStyle w:val="FootnoteReference"/>
        </w:rPr>
        <w:footnoteReference w:customMarkFollows="1" w:id="83"/>
        <w:t xml:space="preserve">3</w:t>
      </w:r>
    </w:p>
    <w:p>
      <w:pPr>
        <w:pStyle w:val="CaseBody"/>
      </w:pPr>
      <w:r>
        <w:t xml:space="preserve">Two affirmative defenses are alleged. The first is as follows:</w:t>
      </w:r>
    </w:p>
    <w:p>
      <w:pPr>
        <w:pStyle w:val="BlockText"/>
      </w:pPr>
      <w:r>
        <w:t xml:space="preserve">17. Plaintiff is estopped from prosecuting this action by reason of the fact that he caused, participated in and acquiesced in the conduct complained of in the Complaint.</w:t>
      </w:r>
    </w:p>
    <w:p>
      <w:pPr>
        <w:pStyle w:val="CaseBody"/>
      </w:pPr>
      <w:r>
        <w:t xml:space="preserve">I take this to mean that Speiser acquiesced in the failure of Health-Med to hold an annual meeting for several years. Altema-tively, it may mean that Speiser acquiesced in the creation of a quorum requirement (a majority of each class of stock) that, in effect, gives both Baker and Speiser the practical power to prevent the convening of a meeting. Accepting as true the factual assertion that Speiser acquiesced in both respects, the question arises whether either such action constitutes a defense to the</w:t>
      </w:r>
      <w:r>
        <w:t xml:space="preserve"> </w:t>
      </w:r>
      <w:r>
        <w:rPr>
          <w:iCs/>
          <w:i/>
        </w:rPr>
        <w:t xml:space="preserve">prima facie</w:t>
      </w:r>
      <w:r>
        <w:t xml:space="preserve"> </w:t>
      </w:r>
      <w:r>
        <w:t xml:space="preserve">case that here has concededly been made out. I cannot believe so.</w:t>
      </w:r>
    </w:p>
    <w:p>
      <w:pPr>
        <w:pStyle w:val="CaseBody"/>
      </w:pPr>
      <w:r>
        <w:t xml:space="preserve">In the light of the compulsory nature of the requirement for an annual meeting,</w:t>
      </w:r>
      <w:r>
        <w:t xml:space="preserve"> </w:t>
      </w:r>
      <w:r>
        <w:rPr>
          <w:iCs/>
          <w:i/>
        </w:rPr>
        <w:t xml:space="preserve">see</w:t>
      </w:r>
      <w:r>
        <w:t xml:space="preserve"> </w:t>
      </w:r>
      <w:r>
        <w:t xml:space="preserve">8</w:t>
      </w:r>
      <w:r>
        <w:t xml:space="preserve"> </w:t>
      </w:r>
      <w:r>
        <w:rPr>
          <w:iCs/>
          <w:i/>
        </w:rPr>
        <w:t xml:space="preserve">Del. C.</w:t>
      </w:r>
      <w:r>
        <w:t xml:space="preserve"> </w:t>
      </w:r>
      <w:r>
        <w:t xml:space="preserve">§ 211(b), it would require a powerful equity for this court to fail to act when a shareholder satisfies the statutory elements of a claim under Section 211(c). Mere acquiescence in the failure to hold earlier meetings, or indeed actual connivance to avoid earlier meetings, ought not, in my opinion, deprive shareholders generally of the right to elect directors at an annual meeting.</w:t>
      </w:r>
      <w:r>
        <w:t xml:space="preserve"> </w:t>
      </w:r>
      <w:r>
        <w:rPr>
          <w:iCs/>
          <w:i/>
        </w:rPr>
        <w:t xml:space="preserve">Compare In Re Potter Instrument Co.,</w:t>
      </w:r>
      <w:r>
        <w:t xml:space="preserve"> </w:t>
      </w:r>
      <w:r>
        <w:t xml:space="preserve">593 F.2d 470</w:t>
      </w:r>
      <w:r>
        <w:t xml:space="preserve"> </w:t>
      </w:r>
      <w:r>
        <w:t xml:space="preserve">(2d Cir. 1979).</w:t>
      </w:r>
    </w:p>
    <w:p>
      <w:pPr>
        <w:pStyle w:val="CaseBody"/>
      </w:pPr>
      <w:r>
        <w:t xml:space="preserve">The second basis alleged in the answer for denying the relief sought by Speiser is that the meeting sought is a step in a plan to remove Baker from office and, thus, to secure to Speiser complete control of Health Med and, through it, Chem. This is said to be inequitable, to give rise to “unclean hands” and to involve a breach of fiduciary duty to</w:t>
      </w:r>
      <w:r>
        <w:t xml:space="preserve"> </w:t>
      </w:r>
      <w:r>
        <w:rPr>
          <w:iCs/>
          <w:i/>
        </w:rPr>
        <w:t xml:space="preserve">Chem.</w:t>
      </w:r>
      <w:r>
        <w:t xml:space="preserve"> </w:t>
      </w:r>
      <w:r>
        <w:t xml:space="preserve">While the pleading raising this defense relates principally to the Section 160 counterclaim discussed below, it is asserted as having some relevance to plaintiffs Section 211 claim as well. It is summarized in paragraph 18 of Baker’s pleading:</w:t>
      </w:r>
    </w:p>
    <w:p>
      <w:pPr>
        <w:pStyle w:val="BlockText"/>
      </w:pPr>
      <w:r>
        <w:t xml:space="preserve">18. The meeting of stockholders of Health Med sought by the complaint herein is not sought for any lawful purpose or interest of Health Med, but is, upon information and belief, sought as a further step in an unlawful scheme by plaintiff Speiser to arrogate to himself absolute control of Health-Chem, whose equity securities are the only assets of Health Med, in violation of Section 160(c) of the Delaware General Corporation Law and in derogation of the rights of the stockholders of Health-Chem other than Speiser and his family.</w:t>
      </w:r>
    </w:p>
    <w:p>
      <w:pPr>
        <w:pStyle w:val="CaseBody"/>
      </w:pPr>
      <w:r>
        <w:t xml:space="preserve">The facts alleged to flesh out this conclusory statement do state a claim, as I hold below, for relief, but what seems clear is that they allege no wrong to Health Med or its shareholders that will occur by reason of the holding of Health Med’s annual meeting statutorily required by subsection (b) of Section 211. All that is really alleged with respect to Health Med is that Baker will likely be voted out of office as a Health Med director and the company will fall under the complete domination of Speiser. The answer to that, of course, is if the votes entitled to be cast at the meeting are cast so as to obtain that result, so be it. Surely Speiser</w:t>
      </w:r>
      <w:r>
        <w:t xml:space="preserve"> </w:t>
      </w:r>
      <w:r>
        <w:rPr>
          <w:iCs/>
          <w:i/>
        </w:rPr>
        <w:t xml:space="preserve">qua</w:t>
      </w:r>
      <w:r>
        <w:t xml:space="preserve"> </w:t>
      </w:r>
      <w:r>
        <w:t xml:space="preserve">Health Med shareholder is entitled to so vote. That the Chem (Medallion) 9% vote will be cast against Baker (as very likely as it seems) would not he a reason to enjoin the meeting</w:t>
      </w:r>
      <w:r>
        <w:rPr>
          <w:rStyle w:val="FootnoteReference"/>
        </w:rPr>
        <w:footnoteReference w:customMarkFollows="1" w:id="106"/>
        <w:t xml:space="preserve">4</w:t>
      </w:r>
      <w:r>
        <w:t xml:space="preserve"> </w:t>
      </w:r>
      <w:r>
        <w:t xml:space="preserve">and cannot be a reason to excuse compliance with the command of Section 211(b).</w:t>
      </w:r>
    </w:p>
    <w:p>
      <w:pPr>
        <w:pStyle w:val="CaseBody"/>
      </w:pPr>
      <w:r>
        <w:t xml:space="preserve">Accordingly, I conclude that Baker has not alleged facts which, if proven, would show this to be that theoretically possible case in which a</w:t>
      </w:r>
      <w:r>
        <w:t xml:space="preserve"> </w:t>
      </w:r>
      <w:r>
        <w:rPr>
          <w:iCs/>
          <w:i/>
        </w:rPr>
        <w:t xml:space="preserve">prima fade</w:t>
      </w:r>
      <w:r>
        <w:t xml:space="preserve"> </w:t>
      </w:r>
      <w:r>
        <w:t xml:space="preserve">case under Section 211(c) is defeated by the existence of a supervening equity counseling the withholding of the remedy authorized by that statute.</w:t>
      </w:r>
    </w:p>
    <w:p>
      <w:pPr>
        <w:pStyle w:val="CaseBody"/>
      </w:pPr>
      <w:r>
        <w:t xml:space="preserve">III.</w:t>
      </w:r>
    </w:p>
    <w:p>
      <w:pPr>
        <w:pStyle w:val="CaseBody"/>
      </w:pPr>
      <w:r>
        <w:t xml:space="preserve">I tura now to Speiser’s motion to dismiss the counterclaim seeking a declaratory judgment that Health Med may not vote its 42% stock interest in Chem. The prohibition contained in Section 160 of our corporation law is asserted as the principal basis for such relief.</w:t>
      </w:r>
    </w:p>
    <w:p>
      <w:pPr>
        <w:pStyle w:val="CaseBody"/>
      </w:pPr>
      <w:r>
        <w:t xml:space="preserve">The pertinent language of the statute is as follows:</w:t>
      </w:r>
    </w:p>
    <w:p>
      <w:pPr>
        <w:pStyle w:val="BlockText"/>
      </w:pPr>
      <w:r>
        <w:t xml:space="preserve">Shares of its own capital stock belonging to the corporation or to another corporation, if a majority of the shares entitled to vote in the election of directors of such other corporation is held directly or indirectly, by the corporation, shall neither be entitled to vote nor counted for quorum purposes.</w:t>
      </w:r>
    </w:p>
    <w:p>
      <w:pPr>
        <w:pStyle w:val="CaseBody"/>
      </w:pPr>
      <w:r>
        <w:t xml:space="preserve">Baker’s argument is that the Chem stock owned by Health Med is disabled by this statute from voting because Chem controls Health Med through its unconditional present right to convert its Health Med preferred to a 95% interest in Health Med’s common stock. For present purposes, I, of course, accept this allegation as true. In expressing this argument in statutory terms, Baker argues that the unconditional power to convert its preferred stock to a controlling interest in Health Med’s common stock and thus become the owner of a majority of the stock entitled to vote in an election of directors of Health Med, itself constitutes “indirect” ownership by Chem of a “majority of the shares entitled to vote in an election of directors” of Health Med. Baker also supports this interpretation with arguments concerning the policy of the statute and claims of violation of fiduciary duty.</w:t>
      </w:r>
    </w:p>
    <w:p>
      <w:pPr>
        <w:pStyle w:val="CaseBody"/>
      </w:pPr>
      <w:r>
        <w:t xml:space="preserve">Mr. Speiser, for his part, claims that a literal, and a fair, reading of the statutory words that Baker relies upon cannot support his argument. Speiser’s counter-argument focuses on just what stock is “entitled to vote” and argues that unless and until the preferred stock is converted, it has the legal attributes of preferred stock and not of any other security into which it may later be transmuted. In its present state, it is clear that the preferred can cast only 9% of the vote at the election of directors of Health Med. Thus, it is argued that the literal language of Section 160(c) compels the conclusion that the voting structure of these companies does not violate that statute.</w:t>
      </w:r>
    </w:p>
    <w:p>
      <w:pPr>
        <w:pStyle w:val="CaseBody"/>
      </w:pPr>
      <w:r>
        <w:t xml:space="preserve">Speiser’s argument is cogent. It is a literal argument, but I do not criticize it for that.</w:t>
      </w:r>
      <w:r>
        <w:rPr>
          <w:rStyle w:val="FootnoteReference"/>
        </w:rPr>
        <w:footnoteReference w:customMarkFollows="1" w:id="129"/>
        <w:t xml:space="preserve">5</w:t>
      </w:r>
      <w:r>
        <w:t xml:space="preserve"> </w:t>
      </w:r>
      <w:r>
        <w:t xml:space="preserve">As a general matter, those who must shape their conduct to conform to the dictates of statutory law should be able to satisfy such requirements by satisfying the literal demands of the law rather than being required to guess about the nature and extent of some broader or different restriction at the risk of an</w:t>
      </w:r>
      <w:r>
        <w:t xml:space="preserve"> </w:t>
      </w:r>
      <w:r>
        <w:rPr>
          <w:iCs/>
          <w:i/>
        </w:rPr>
        <w:t xml:space="preserve">ex post facto</w:t>
      </w:r>
      <w:r>
        <w:t xml:space="preserve"> </w:t>
      </w:r>
      <w:r>
        <w:t xml:space="preserve">determination of error. The utility of a literal approach to statutory construction is particularly apparent in the interpretation of the requirements of our corporation law— where both the statute itself and most transactions governed by it are carefully planned and result from a thoughtful and highly rational process.</w:t>
      </w:r>
    </w:p>
    <w:p>
      <w:pPr>
        <w:pStyle w:val="CaseBody"/>
      </w:pPr>
      <w:r>
        <w:t xml:space="preserve">Thus, Delaware courts, when called upon to construe the technical and carefully drafted provisions of our statutory corporation law, do so with a sensitivity to the importance of the predictability of that law. That sensitivity causes our law, in that setting, to reflect an enhanced respect for the literal statutory language.</w:t>
      </w:r>
      <w:r>
        <w:t xml:space="preserve"> </w:t>
      </w:r>
      <w:r>
        <w:rPr>
          <w:iCs/>
          <w:i/>
        </w:rPr>
        <w:t xml:space="preserve">See, e.g., Orzeck v. Englehart,</w:t>
      </w:r>
      <w:r>
        <w:t xml:space="preserve"> </w:t>
      </w:r>
      <w:r>
        <w:t xml:space="preserve">Del.Supr.,</w:t>
      </w:r>
      <w:r>
        <w:t xml:space="preserve"> </w:t>
      </w:r>
      <w:r>
        <w:t xml:space="preserve">195 A.2d 375</w:t>
      </w:r>
      <w:r>
        <w:t xml:space="preserve"> </w:t>
      </w:r>
      <w:r>
        <w:t xml:space="preserve">(1963);</w:t>
      </w:r>
      <w:r>
        <w:t xml:space="preserve"> </w:t>
      </w:r>
      <w:r>
        <w:rPr>
          <w:iCs/>
          <w:i/>
        </w:rPr>
        <w:t xml:space="preserve">Federal United Corp v. Havender,</w:t>
      </w:r>
      <w:r>
        <w:t xml:space="preserve"> </w:t>
      </w:r>
      <w:r>
        <w:t xml:space="preserve">Del.Supr.,</w:t>
      </w:r>
      <w:r>
        <w:t xml:space="preserve"> </w:t>
      </w:r>
      <w:r>
        <w:t xml:space="preserve">11 A.2d 331</w:t>
      </w:r>
      <w:r>
        <w:t xml:space="preserve"> </w:t>
      </w:r>
      <w:r>
        <w:t xml:space="preserve">(1940);</w:t>
      </w:r>
      <w:r>
        <w:t xml:space="preserve"> </w:t>
      </w:r>
      <w:r>
        <w:rPr>
          <w:iCs/>
          <w:i/>
        </w:rPr>
        <w:t xml:space="preserve">Field v. Allyn,</w:t>
      </w:r>
      <w:r>
        <w:t xml:space="preserve"> </w:t>
      </w:r>
      <w:r>
        <w:t xml:space="preserve">Del.Ch.,</w:t>
      </w:r>
      <w:r>
        <w:t xml:space="preserve"> </w:t>
      </w:r>
      <w:r>
        <w:t xml:space="preserve">457 A.2d 1089</w:t>
      </w:r>
      <w:r>
        <w:t xml:space="preserve"> </w:t>
      </w:r>
      <w:r>
        <w:t xml:space="preserve">(1983);</w:t>
      </w:r>
      <w:r>
        <w:t xml:space="preserve"> </w:t>
      </w:r>
      <w:r>
        <w:rPr>
          <w:iCs/>
          <w:i/>
        </w:rPr>
        <w:t xml:space="preserve">Providence &amp; Worcester Co. v. Baker,</w:t>
      </w:r>
      <w:r>
        <w:t xml:space="preserve"> </w:t>
      </w:r>
      <w:r>
        <w:t xml:space="preserve">Del.Supr.,</w:t>
      </w:r>
      <w:r>
        <w:t xml:space="preserve"> </w:t>
      </w:r>
      <w:r>
        <w:t xml:space="preserve">378 A.2d 121</w:t>
      </w:r>
      <w:r>
        <w:t xml:space="preserve"> </w:t>
      </w:r>
      <w:r>
        <w:t xml:space="preserve">(1977). When the task is to construe the meaning of reasonably precise words contained in our corporation statute, such as “entitled to vote,” our preference, generally, must be to accord them their usual and customary meaning to persons familiar with this particular body of law.</w:t>
      </w:r>
    </w:p>
    <w:p>
      <w:pPr>
        <w:pStyle w:val="CaseBody"/>
      </w:pPr>
      <w:r>
        <w:t xml:space="preserve">The statutory language of Section 160(c) which Baker relies upon, when read literally does not, in my opinion, proscribe the voting of Health Med’s stock in Chem. That is, I cannot conclude that Chem (or its Medallion subsidiary) presently “holds,” even indirectly, a majority of the stock “entitled to vote” in Health Med’s election of directors. The stock entitled to vote in such an election, and the extent of its voting power, is technically defined in Health Med’s certificate of incorporation. In its unconverted state, Medallion’s holding of preferred simply does not represent a majority of the voting power of Health Med.</w:t>
      </w:r>
    </w:p>
    <w:p>
      <w:pPr>
        <w:pStyle w:val="CaseBody"/>
      </w:pPr>
      <w:r>
        <w:t xml:space="preserve">However, acceptance of Speiser’s argument does not end the matter. The clause the parties argue over, even when read as Speiser reads it, does not purport to confer a right to vote stock not falling within its literal terms; it is simply a restriction. More importantly, other statutory words may be read to extend Section 160(c) prohibition to the voting of Health Med’s Chem holdings. Specifically, the principal prohibition of the statute is directed to shares of its own capital stock “belonging to the corporation.” This phrase is not a technically precise term whose literal meaning is clear; it requires interpretation. I turn then to the analysis of these statutory words that leads me to conclude that they do reach the facts pleaded in the counterclaim.</w:t>
      </w:r>
    </w:p>
    <w:p>
      <w:pPr>
        <w:pStyle w:val="CaseBody"/>
      </w:pPr>
      <w:r>
        <w:t xml:space="preserve">A.</w:t>
      </w:r>
    </w:p>
    <w:p>
      <w:pPr>
        <w:pStyle w:val="CaseBody"/>
      </w:pPr>
      <w:r>
        <w:t xml:space="preserve">First a word on the function of courts when interpreting statutes. While it is our responsibility to accord to clear and definite statutory words their ordinary meaning, the process of interpretation cannot be—and has never been—entirely a dictionary-driven enterprise. Words themselves are imperfect and ambiguous symbols and the human imagination that shapes them into legal commands is inevitably unable to foresee all of the contexts in which the problem addressed will later arise. Thus, in construing a statute:</w:t>
      </w:r>
    </w:p>
    <w:p>
      <w:pPr>
        <w:pStyle w:val="BlockText"/>
      </w:pPr>
      <w:r>
        <w:t xml:space="preserve">There is no surer guide ... than its purpose when that is sufficiently disclosed; nor any surer mark of oversolici-tude for the letter than to wince at carrying out that purpose because the words do not formally quite match with it.</w:t>
      </w:r>
    </w:p>
    <w:p>
      <w:pPr>
        <w:pStyle w:val="CaseBody"/>
      </w:pPr>
      <w:r>
        <w:rPr>
          <w:iCs/>
          <w:i/>
        </w:rPr>
        <w:t xml:space="preserve">Federal Deposit Insurance Corp. v. Tremaine,</w:t>
      </w:r>
      <w:r>
        <w:t xml:space="preserve"> </w:t>
      </w:r>
      <w:r>
        <w:t xml:space="preserve">133 F.2d 827</w:t>
      </w:r>
      <w:r>
        <w:t xml:space="preserve">, 830 (2d Cir.1943) (L. Hand, J.). A due respect for the legislative will requires a sympathetic reading of statutes designed to promote the attainment of the end sought.</w:t>
      </w:r>
      <w:r>
        <w:t xml:space="preserve"> </w:t>
      </w:r>
      <w:r>
        <w:rPr>
          <w:iCs/>
          <w:i/>
        </w:rPr>
        <w:t xml:space="preserve">See Magill v. North American Refractories Company,</w:t>
      </w:r>
      <w:r>
        <w:t xml:space="preserve"> </w:t>
      </w:r>
      <w:r>
        <w:t xml:space="preserve">Del.Supr.,</w:t>
      </w:r>
      <w:r>
        <w:t xml:space="preserve"> </w:t>
      </w:r>
      <w:r>
        <w:t xml:space="preserve">128 A.2d 233</w:t>
      </w:r>
      <w:r>
        <w:t xml:space="preserve"> </w:t>
      </w:r>
      <w:r>
        <w:t xml:space="preserve">(1956). Over four hundred years ago, Lord Coke gave guidance to English judges engaged in the process of statutory interpretation that is sound today:</w:t>
      </w:r>
    </w:p>
    <w:p>
      <w:pPr>
        <w:pStyle w:val="BlockText"/>
      </w:pPr>
      <w:r>
        <w:t xml:space="preserve">The office of all Judges is always to make such construction as shall suppress the mischief and advance the remedy, and to suppress subtle inventions and evasions for continuance of the mischief ... and to add force and life to the cure and remedy according to the true intent of the makers of the Act....</w:t>
      </w:r>
    </w:p>
    <w:p>
      <w:pPr>
        <w:pStyle w:val="CaseBody"/>
      </w:pPr>
      <w:r>
        <w:rPr>
          <w:iCs/>
          <w:i/>
        </w:rPr>
        <w:t xml:space="preserve">Heydon’s Case,</w:t>
      </w:r>
      <w:r>
        <w:t xml:space="preserve"> </w:t>
      </w:r>
      <w:r>
        <w:t xml:space="preserve">3 Co.Rep. 7a, 76 Eng.Rep. 637 (King’s Bench 1584).</w:t>
      </w:r>
    </w:p>
    <w:p>
      <w:pPr>
        <w:pStyle w:val="CaseBody"/>
      </w:pPr>
      <w:r>
        <w:t xml:space="preserve">Following this sensible advice, we then begin our inquiry into what the legislature meant and intended by the words “belonging to,” as used in Section 160(c), by a historical inquiry into the purposes meant to be served by Section 160(c) and statutes like it. This history is particularly instructive here because it demonstrates, I believe, that the very evil the statute sought to address is present here.</w:t>
      </w:r>
    </w:p>
    <w:p>
      <w:pPr>
        <w:pStyle w:val="CaseBody"/>
      </w:pPr>
      <w:r>
        <w:t xml:space="preserve">B.</w:t>
      </w:r>
    </w:p>
    <w:p>
      <w:pPr>
        <w:pStyle w:val="CaseBody"/>
      </w:pPr>
      <w:r>
        <w:t xml:space="preserve">Almost from the earliest stirrings of a distinctive body of law dealing with corporations, courts have been alert to the dangers posed by structures that permit directors of a corporation, by reason of their office, to control votes appertenant to shares of the company’s stock owned by the corporation itself or a nominee or agent of the corporation.</w:t>
      </w:r>
      <w:r>
        <w:t xml:space="preserve"> </w:t>
      </w:r>
      <w:r>
        <w:rPr>
          <w:iCs/>
          <w:i/>
        </w:rPr>
        <w:t xml:space="preserve">See Ex Parte Holmes,</w:t>
      </w:r>
      <w:r>
        <w:t xml:space="preserve"> </w:t>
      </w:r>
      <w:r>
        <w:t xml:space="preserve">N.Y.Sup.Ct.,</w:t>
      </w:r>
      <w:r>
        <w:t xml:space="preserve"> </w:t>
      </w:r>
      <w:r>
        <w:t xml:space="preserve">5 Cow. 426</w:t>
      </w:r>
      <w:r>
        <w:t xml:space="preserve"> </w:t>
      </w:r>
      <w:r>
        <w:t xml:space="preserve">(1826);</w:t>
      </w:r>
      <w:r>
        <w:t xml:space="preserve"> </w:t>
      </w:r>
      <w:r>
        <w:rPr>
          <w:iCs/>
          <w:i/>
        </w:rPr>
        <w:t xml:space="preserve">In the Matter of Barker,</w:t>
      </w:r>
      <w:r>
        <w:t xml:space="preserve"> </w:t>
      </w:r>
      <w:r>
        <w:t xml:space="preserve">N.Y.Supr.Ct.,</w:t>
      </w:r>
      <w:r>
        <w:t xml:space="preserve"> </w:t>
      </w:r>
      <w:r>
        <w:t xml:space="preserve">6 Wend. 509</w:t>
      </w:r>
      <w:r>
        <w:t xml:space="preserve">, 10 N.Y.Com.L.Rpt. 508 (1828);</w:t>
      </w:r>
      <w:r>
        <w:t xml:space="preserve"> </w:t>
      </w:r>
      <w:r>
        <w:rPr>
          <w:iCs/>
          <w:i/>
        </w:rPr>
        <w:t xml:space="preserve">Brewster v. Hartley,</w:t>
      </w:r>
      <w:r>
        <w:t xml:space="preserve"> </w:t>
      </w:r>
      <w:r>
        <w:t xml:space="preserve">Cal.Supr.,</w:t>
      </w:r>
      <w:r>
        <w:t xml:space="preserve"> </w:t>
      </w:r>
      <w:r>
        <w:t xml:space="preserve">37 Cal. 15</w:t>
      </w:r>
      <w:r>
        <w:t xml:space="preserve"> </w:t>
      </w:r>
      <w:r>
        <w:t xml:space="preserve">(1869);</w:t>
      </w:r>
      <w:r>
        <w:t xml:space="preserve"> </w:t>
      </w:r>
      <w:r>
        <w:rPr>
          <w:iCs/>
          <w:i/>
        </w:rPr>
        <w:t xml:space="preserve">Monsseaux v. Urquhart,</w:t>
      </w:r>
      <w:r>
        <w:t xml:space="preserve"> </w:t>
      </w:r>
      <w:r>
        <w:t xml:space="preserve">La.Supr.,</w:t>
      </w:r>
      <w:r>
        <w:t xml:space="preserve"> </w:t>
      </w:r>
      <w:r>
        <w:t xml:space="preserve">19 La. Ann. 482</w:t>
      </w:r>
      <w:r>
        <w:t xml:space="preserve">,</w:t>
      </w:r>
      <w:r>
        <w:t xml:space="preserve"> </w:t>
      </w:r>
      <w:r>
        <w:t xml:space="preserve">30 La. 362</w:t>
      </w:r>
      <w:r>
        <w:t xml:space="preserve"> </w:t>
      </w:r>
      <w:r>
        <w:t xml:space="preserve">(1867);</w:t>
      </w:r>
      <w:r>
        <w:t xml:space="preserve"> </w:t>
      </w:r>
      <w:r>
        <w:rPr>
          <w:iCs/>
          <w:i/>
        </w:rPr>
        <w:t xml:space="preserve">American Railway</w:t>
      </w:r>
      <w:r>
        <w:t xml:space="preserve">—Frog</w:t>
      </w:r>
      <w:r>
        <w:t xml:space="preserve"> </w:t>
      </w:r>
      <w:r>
        <w:rPr>
          <w:iCs/>
          <w:i/>
        </w:rPr>
        <w:t xml:space="preserve">Co. v. Haven,</w:t>
      </w:r>
      <w:r>
        <w:t xml:space="preserve"> </w:t>
      </w:r>
      <w:r>
        <w:t xml:space="preserve">Mass.Supr.,</w:t>
      </w:r>
      <w:r>
        <w:t xml:space="preserve"> </w:t>
      </w:r>
      <w:r>
        <w:t xml:space="preserve">101 Mass. 398</w:t>
      </w:r>
      <w:r>
        <w:t xml:space="preserve"> </w:t>
      </w:r>
      <w:r>
        <w:t xml:space="preserve">(1869);</w:t>
      </w:r>
      <w:r>
        <w:t xml:space="preserve"> </w:t>
      </w:r>
      <w:r>
        <w:rPr>
          <w:iCs/>
          <w:i/>
        </w:rPr>
        <w:t xml:space="preserve">Allen v. De Lager-berger,</w:t>
      </w:r>
      <w:r>
        <w:t xml:space="preserve"> </w:t>
      </w:r>
      <w:r>
        <w:t xml:space="preserve">Ohio Super.,</w:t>
      </w:r>
      <w:r>
        <w:t xml:space="preserve"> </w:t>
      </w:r>
      <w:r>
        <w:t xml:space="preserve">10 Ohio Dec.Rep. 341</w:t>
      </w:r>
      <w:r>
        <w:t xml:space="preserve"> </w:t>
      </w:r>
      <w:r>
        <w:t xml:space="preserve">(1888).</w:t>
      </w:r>
    </w:p>
    <w:p>
      <w:pPr>
        <w:pStyle w:val="CaseBody"/>
      </w:pPr>
      <w:r>
        <w:t xml:space="preserve">The rule that finds its first expression in these cases can be said to be of common law origin in the sense that it arose as a judicial gloss on the statutory right to vote shares. The reason for the rule is not mysterious. Such structures deprive the true owners of the corporate enterprise of a portion of their voice in choosing who shall serve as directors in charge of the management of the corporate venture. Chief Justice Taft, while still an Ohio trial court judge, stated the rationale succinctly in 1888:</w:t>
      </w:r>
    </w:p>
    <w:p>
      <w:pPr>
        <w:pStyle w:val="BlockText"/>
      </w:pPr>
      <w:r>
        <w:t xml:space="preserve">The power to vote is a power incident to ownership of stock, but to allow the directors acting for the corporation to vote the stock would not be distributing the power equally among the stockholders, as the dividends are distributed equally amongst them by payment into the treasury of the company, and it would be entrusting to persons in power the means of keeping themselves in power.</w:t>
      </w:r>
    </w:p>
    <w:p>
      <w:pPr>
        <w:pStyle w:val="CaseBody"/>
      </w:pPr>
      <w:r>
        <w:rPr>
          <w:iCs/>
          <w:i/>
        </w:rPr>
        <w:t xml:space="preserve">Allen v. De Lagerberger,</w:t>
      </w:r>
      <w:r>
        <w:t xml:space="preserve"> </w:t>
      </w:r>
      <w:r>
        <w:t xml:space="preserve">10 Ohio Dec.Rep. 341</w:t>
      </w:r>
      <w:r>
        <w:t xml:space="preserve"> </w:t>
      </w:r>
      <w:r>
        <w:t xml:space="preserve">(1888).</w:t>
      </w:r>
    </w:p>
    <w:p>
      <w:pPr>
        <w:pStyle w:val="CaseBody"/>
      </w:pPr>
      <w:r>
        <w:t xml:space="preserve">The earliest reported American decision on the point was even more succinct:</w:t>
      </w:r>
    </w:p>
    <w:p>
      <w:pPr>
        <w:pStyle w:val="BlockText"/>
      </w:pPr>
      <w:r>
        <w:t xml:space="preserve">It is not to be tolerated that a Company should procure stock in any shape which its officers may wield to the purposes of an election; thus securing themselves against the possibility of removal.</w:t>
      </w:r>
    </w:p>
    <w:p>
      <w:pPr>
        <w:pStyle w:val="CaseBody"/>
      </w:pPr>
      <w:r>
        <w:rPr>
          <w:iCs/>
          <w:i/>
        </w:rPr>
        <w:t xml:space="preserve">Ex Parte Holmes,</w:t>
      </w:r>
      <w:r>
        <w:t xml:space="preserve"> </w:t>
      </w:r>
      <w:r>
        <w:t xml:space="preserve">N.Y.Sup.Ct.,</w:t>
      </w:r>
      <w:r>
        <w:t xml:space="preserve"> </w:t>
      </w:r>
      <w:r>
        <w:t xml:space="preserve">5 Cow. 426</w:t>
      </w:r>
      <w:r>
        <w:t xml:space="preserve">, 435 (1826).</w:t>
      </w:r>
    </w:p>
    <w:p>
      <w:pPr>
        <w:pStyle w:val="CaseBody"/>
      </w:pPr>
      <w:r>
        <w:t xml:space="preserve">As the country experienced a movement in the latter part of the 19th century towards comprehensive general laws of incorporation, the rule came to be expressed in those statutes. The first general incorporation law of this State of which I am aware, the Act of 1883, contained such a prohibition.</w:t>
      </w:r>
      <w:r>
        <w:t xml:space="preserve"> </w:t>
      </w:r>
      <w:r>
        <w:rPr>
          <w:iCs/>
          <w:i/>
        </w:rPr>
        <w:t xml:space="preserve">See</w:t>
      </w:r>
      <w:r>
        <w:t xml:space="preserve"> </w:t>
      </w:r>
      <w:r>
        <w:t xml:space="preserve">17 Del. Laws 212</w:t>
      </w:r>
      <w:r>
        <w:t xml:space="preserve">, 225 (1883). The predecessor of our present general corporation law statute, first adopted in 1899, contained an expression of the rule typical for that period:</w:t>
      </w:r>
    </w:p>
    <w:p>
      <w:pPr>
        <w:pStyle w:val="BlockText"/>
      </w:pPr>
      <w:r>
        <w:t xml:space="preserve">Section 24. Shares of stock of the corporation belonging to the corporation shall not be voted upon directly or indirectly.</w:t>
      </w:r>
    </w:p>
    <w:p>
      <w:pPr>
        <w:pStyle w:val="CaseBody"/>
      </w:pPr>
      <w:r>
        <w:t xml:space="preserve">21 Del. Laws 453</w:t>
      </w:r>
      <w:r>
        <w:t xml:space="preserve"> </w:t>
      </w:r>
      <w:r>
        <w:t xml:space="preserve">(1899).</w:t>
      </w:r>
    </w:p>
    <w:p>
      <w:pPr>
        <w:pStyle w:val="CaseBody"/>
      </w:pPr>
      <w:r>
        <w:t xml:space="preserve">The nineteenth century cases on this subject dealt with a variety of schemes through which a corporation could control the voting of its own stock: trusts</w:t>
      </w:r>
      <w:r>
        <w:t xml:space="preserve"> </w:t>
      </w:r>
      <w:r>
        <w:rPr>
          <w:iCs/>
          <w:i/>
        </w:rPr>
        <w:t xml:space="preserve">(Ex Parte Holmes,</w:t>
      </w:r>
      <w:r>
        <w:t xml:space="preserve"> </w:t>
      </w:r>
      <w:r>
        <w:t xml:space="preserve">supra),</w:t>
      </w:r>
      <w:r>
        <w:t xml:space="preserve"> </w:t>
      </w:r>
      <w:r>
        <w:t xml:space="preserve">agency</w:t>
      </w:r>
      <w:r>
        <w:t xml:space="preserve"> </w:t>
      </w:r>
      <w:r>
        <w:rPr>
          <w:iCs/>
          <w:i/>
        </w:rPr>
        <w:t xml:space="preserve">(Monsseaux v. Urquhart, supra; American Railway-Frog Co. v. Haven, supra)</w:t>
      </w:r>
      <w:r>
        <w:t xml:space="preserve"> </w:t>
      </w:r>
      <w:r>
        <w:t xml:space="preserve">and pledges</w:t>
      </w:r>
      <w:r>
        <w:t xml:space="preserve"> </w:t>
      </w:r>
      <w:r>
        <w:rPr>
          <w:iCs/>
          <w:i/>
        </w:rPr>
        <w:t xml:space="preserve">(Brewster v. Hartley,</w:t>
      </w:r>
      <w:r>
        <w:rPr>
          <w:iCs/>
          <w:i/>
        </w:rPr>
        <w:t xml:space="preserve"> </w:t>
      </w:r>
      <w:r>
        <w:rPr>
          <w:iCs/>
          <w:i/>
        </w:rPr>
        <w:t xml:space="preserve">supra).</w:t>
      </w:r>
      <w:r>
        <w:t xml:space="preserve"> </w:t>
      </w:r>
      <w:r>
        <w:t xml:space="preserve">The attempted use of a subsidiary for that purpose, however, was not treated during that period because, until very late in the century, corporations generally had no power to own stock in other corporations. 6A W. Fletcher,</w:t>
      </w:r>
      <w:r>
        <w:t xml:space="preserve"> </w:t>
      </w:r>
      <w:r>
        <w:rPr>
          <w:iCs/>
          <w:i/>
        </w:rPr>
        <w:t xml:space="preserve">Cyclopedia of the Law of Private Corporations</w:t>
      </w:r>
      <w:r>
        <w:t xml:space="preserve"> </w:t>
      </w:r>
      <w:r>
        <w:t xml:space="preserve">§ 2825 (rev. perm. ed. 1981). But, with the amendment of the New Jersey corporation law in 1896 to permit holding company structures</w:t>
      </w:r>
      <w:r>
        <w:t xml:space="preserve"> </w:t>
      </w:r>
      <w:r>
        <w:rPr>
          <w:iCs/>
          <w:i/>
        </w:rPr>
        <w:t xml:space="preserve">(see State v. Atlantic City &amp; S.R. Co.,</w:t>
      </w:r>
      <w:r>
        <w:t xml:space="preserve"> </w:t>
      </w:r>
      <w:r>
        <w:t xml:space="preserve">N.J.Ev. &amp; Apps., 72 A. Ill (1909)) and the 1899 emulation of that statute in Delaware</w:t>
      </w:r>
      <w:r>
        <w:t xml:space="preserve"> </w:t>
      </w:r>
      <w:r>
        <w:rPr>
          <w:iCs/>
          <w:i/>
        </w:rPr>
        <w:t xml:space="preserve">(see Chicago Corp. v. Munds,</w:t>
      </w:r>
      <w:r>
        <w:t xml:space="preserve"> </w:t>
      </w:r>
      <w:r>
        <w:t xml:space="preserve">Del.Ch.,</w:t>
      </w:r>
      <w:r>
        <w:t xml:space="preserve"> </w:t>
      </w:r>
      <w:r>
        <w:t xml:space="preserve">172 A. 452</w:t>
      </w:r>
      <w:r>
        <w:t xml:space="preserve">, 454 (1934)) the mischief addressed by Section 160(c) and its predecessors became feasible through the use of a separate corporation. The leading case dealing with this manifestation of the problem arose in Delaware in 1934. That</w:t>
      </w:r>
      <w:r>
        <w:t xml:space="preserve"> </w:t>
      </w:r>
      <w:r>
        <w:rPr>
          <w:iCs/>
          <w:i/>
        </w:rPr>
        <w:t xml:space="preserve">case</w:t>
      </w:r>
      <w:r>
        <w:t xml:space="preserve">—Italo</w:t>
      </w:r>
      <w:r>
        <w:t xml:space="preserve"> </w:t>
      </w:r>
      <w:r>
        <w:rPr>
          <w:iCs/>
          <w:i/>
        </w:rPr>
        <w:t xml:space="preserve">Petroleum Corp. v. Producers Oil Corp.,</w:t>
      </w:r>
      <w:r>
        <w:t xml:space="preserve"> </w:t>
      </w:r>
      <w:r>
        <w:t xml:space="preserve">Del.Ch.,</w:t>
      </w:r>
      <w:r>
        <w:t xml:space="preserve"> </w:t>
      </w:r>
      <w:r>
        <w:t xml:space="preserve">174 A. 276</w:t>
      </w:r>
      <w:r>
        <w:t xml:space="preserve"> </w:t>
      </w:r>
      <w:r>
        <w:t xml:space="preserve">— construed a version of the statutory prohibition not materially different from the section of the 1899 Act quoted above. Chancellor Wol-cott there rejected the argument that stock belonging to a 99% owned subsidiary was not stock “belonging to the [parent] corporation” because it was owned legally by the subsidiary. Thus, he construed the statutory prohibition against voting (directly or indirectly) stock belonging to the corporation as a prohibition against voting stock belonging (directly or indirectly) to the corporation. In so holding, this court was motivated by the same concerns that underlay the pre-statute cases and the statutory codification itself:</w:t>
      </w:r>
    </w:p>
    <w:p>
      <w:pPr>
        <w:pStyle w:val="BlockText"/>
      </w:pPr>
      <w:r>
        <w:t xml:space="preserve">It seems to me to be carrying the doctrine of distinct corporate entity to an unreasonable extreme to say that, in a contest over control of a corporation those in charge of it should be allowed to have votes counted in their favor which are cast by a subsidiary stockholder wholly owned, controlled, dominated and therefore dictated to by themselves as the spokesmen of the parent.</w:t>
      </w:r>
    </w:p>
    <w:p>
      <w:pPr>
        <w:pStyle w:val="CaseBody"/>
      </w:pPr>
      <w:r>
        <w:rPr>
          <w:iCs/>
          <w:i/>
        </w:rPr>
        <w:t xml:space="preserve">Italo Petroleum Corp. v. Producers Oil Corp., supra</w:t>
      </w:r>
      <w:r>
        <w:t xml:space="preserve"> </w:t>
      </w:r>
      <w:r>
        <w:t xml:space="preserve">at 279.</w:t>
      </w:r>
    </w:p>
    <w:p>
      <w:pPr>
        <w:pStyle w:val="CaseBody"/>
      </w:pPr>
      <w:r>
        <w:t xml:space="preserve">The statutory language construed in</w:t>
      </w:r>
      <w:r>
        <w:t xml:space="preserve"> </w:t>
      </w:r>
      <w:r>
        <w:rPr>
          <w:iCs/>
          <w:i/>
        </w:rPr>
        <w:t xml:space="preserve">Ita-lo</w:t>
      </w:r>
      <w:r>
        <w:t xml:space="preserve"> </w:t>
      </w:r>
      <w:r>
        <w:t xml:space="preserve">remained substantially unchanged until 1967 when a version similar to the current version of Section 160(c) was enacted.</w:t>
      </w:r>
      <w:r>
        <w:rPr>
          <w:rStyle w:val="FootnoteReference"/>
        </w:rPr>
        <w:footnoteReference w:customMarkFollows="1" w:id="151"/>
        <w:t xml:space="preserve">6</w:t>
      </w:r>
      <w:r>
        <w:t xml:space="preserve"> </w:t>
      </w:r>
      <w:r>
        <w:t xml:space="preserve">56 Del. Laws 50</w:t>
      </w:r>
      <w:r>
        <w:t xml:space="preserve"> </w:t>
      </w:r>
      <w:r>
        <w:t xml:space="preserve">(1967). One knowledgeable commentator has referred to the 1967 amendment as codifying the result of</w:t>
      </w:r>
      <w:r>
        <w:t xml:space="preserve"> </w:t>
      </w:r>
      <w:r>
        <w:rPr>
          <w:iCs/>
          <w:i/>
        </w:rPr>
        <w:t xml:space="preserve">Italo Petroleum.</w:t>
      </w:r>
      <w:r>
        <w:t xml:space="preserve"> </w:t>
      </w:r>
      <w:r>
        <w:t xml:space="preserve">Folk,</w:t>
      </w:r>
      <w:r>
        <w:t xml:space="preserve"> </w:t>
      </w:r>
      <w:r>
        <w:rPr>
          <w:iCs/>
          <w:i/>
        </w:rPr>
        <w:t xml:space="preserve">The Delaware General Corporation Law</w:t>
      </w:r>
      <w:r>
        <w:t xml:space="preserve"> </w:t>
      </w:r>
      <w:r>
        <w:t xml:space="preserve">at p. 159 (1972). Actually, it did that and something more; it specified instances in which stock owned by a subsidiary would be conclusively presumed to be stock “belonging to” its parent. The critical question is, however, did the 1967 amendment intend to do the obverse? Did it intend to create a conclusive statutory presumption that, in no event would stock owned by another corporation that did not satisfy the new test (a majority of shares entitled to vote, etc.) be deemed to be stock “belonging to the corporation?”</w:t>
      </w:r>
    </w:p>
    <w:p>
      <w:pPr>
        <w:pStyle w:val="CaseBody"/>
      </w:pPr>
      <w:r>
        <w:t xml:space="preserve">There is no hint in the legislative words that such a result was intended and I think that (given the surprising fact that the underlying problem can — as this case attests — arise in situations in which the parent does not hold a majority of the stock entitled to vote at the election of the subsidiary’s directors) the policy of the statute would require a clear expression of such an intention before it could be found. Moreover, there seems slight reason relating to the purpose of the statute for the legislature to have intended to create a safe harbor for entrenchment schemes implemented through the use of corporate subsidiaries while leaving all other agencies through which such plans could be executed governed by the general language “belonging to.”</w:t>
      </w:r>
    </w:p>
    <w:p>
      <w:pPr>
        <w:pStyle w:val="CaseBody"/>
      </w:pPr>
      <w:r>
        <w:t xml:space="preserve">Accordingly, attempting to read these words in a sensible way consistent with the underlying purpose of the enactment, I conclude that stock held by a corporate “subsidiary” may, in some circumstances, “belong to” the issuer and thus be prohibited from voting, even if the issuer does not hold a majority of shares entitled to vote at the election of directors of the subsidiary.</w:t>
      </w:r>
    </w:p>
    <w:p>
      <w:pPr>
        <w:pStyle w:val="CaseBody"/>
      </w:pPr>
      <w:r>
        <w:t xml:space="preserve">C.</w:t>
      </w:r>
    </w:p>
    <w:p>
      <w:pPr>
        <w:pStyle w:val="CaseBody"/>
      </w:pPr>
      <w:r>
        <w:t xml:space="preserve">Assuming the truth of the facts alleged in the counterclaim, I am of the view that this is such a case. Here the substantial ownership of Chem in Health Med is not simply large, it is — at 95% — practically complete. The difference in that regard between this case and</w:t>
      </w:r>
      <w:r>
        <w:t xml:space="preserve"> </w:t>
      </w:r>
      <w:r>
        <w:rPr>
          <w:iCs/>
          <w:i/>
        </w:rPr>
        <w:t xml:space="preserve">Italo Petroleum,</w:t>
      </w:r>
      <w:r>
        <w:t xml:space="preserve"> </w:t>
      </w:r>
      <w:r>
        <w:t xml:space="preserve">is modest and cannot be regarded as material. Here, as there, the parent is required, by generally accepted accounting rules, to treat the subsidiary’s stock ownership as treasury shares on its own books. While those principles do not serve as a substitute for legal analysis, they are expertly fashioned rules designed to reflect financial reality. Where GAAP principles require a parent to account for stock as treasury shares, I would think a corporation would have a difficult task in persuading a disinterested court that those shares ought not to be deemed to belong to it for purposes of Section 160(c).</w:t>
      </w:r>
    </w:p>
    <w:p>
      <w:pPr>
        <w:pStyle w:val="CaseBody"/>
      </w:pPr>
      <w:r>
        <w:t xml:space="preserve">The facts alleged exemplify the very problem Section 160(c) was intended to resolve. That is, here the capital of one corporation (Chem) has been invested in another corporation (Health Med) and that investment, in turn, is used solely to control votes of the first corporation. The principal (indeed the sole) effect of this arrangement is to muffle the voice of the public shareholders of Chem in the governance of Chem as contemplated by the certificate of incorporation of that corporation and our corporation law. In purpose and effect the scheme here put in place is not materially different from the schemes repeatedly struck down for more than one hundred fifty years by American courts.</w:t>
      </w:r>
      <w:r>
        <w:t xml:space="preserve"> </w:t>
      </w:r>
      <w:r>
        <w:rPr>
          <w:iCs/>
          <w:i/>
        </w:rPr>
        <w:t xml:space="preserve">See, e.g., Italo Petroleum Corp. v. Producers Oil Corp.,</w:t>
      </w:r>
      <w:r>
        <w:t xml:space="preserve"> </w:t>
      </w:r>
      <w:r>
        <w:t xml:space="preserve">Del.Ch.,</w:t>
      </w:r>
      <w:r>
        <w:t xml:space="preserve"> </w:t>
      </w:r>
      <w:r>
        <w:t xml:space="preserve">174 A. 276</w:t>
      </w:r>
      <w:r>
        <w:t xml:space="preserve"> </w:t>
      </w:r>
      <w:r>
        <w:t xml:space="preserve">(1934) and cases cited</w:t>
      </w:r>
      <w:r>
        <w:t xml:space="preserve"> </w:t>
      </w:r>
      <w:r>
        <w:rPr>
          <w:iCs/>
          <w:i/>
        </w:rPr>
        <w:t xml:space="preserve">supra</w:t>
      </w:r>
      <w:r>
        <w:t xml:space="preserve"> </w:t>
      </w:r>
      <w:r>
        <w:t xml:space="preserve">p. 1009.</w:t>
      </w:r>
    </w:p>
    <w:p>
      <w:pPr>
        <w:pStyle w:val="CaseBody"/>
      </w:pPr>
      <w:r>
        <w:t xml:space="preserve">For the foregoing reason, the motion to dismiss the counterclaim will be denied.</w:t>
      </w:r>
    </w:p>
    <w:p>
      <w:pPr>
        <w:pStyle w:val="CaseBody"/>
      </w:pPr>
      <w:r>
        <w:t xml:space="preserve">D.</w:t>
      </w:r>
    </w:p>
    <w:p>
      <w:pPr>
        <w:pStyle w:val="CaseBody"/>
      </w:pPr>
      <w:r>
        <w:t xml:space="preserve">Another independent reason exists for denying Speiser’s motion to dismiss.</w:t>
      </w:r>
    </w:p>
    <w:p>
      <w:pPr>
        <w:pStyle w:val="CaseBody"/>
      </w:pPr>
      <w:r>
        <w:t xml:space="preserve">While I have said that courts interpreting the meaning of our technical corporation law statute have a particular sensitivity to the utility of a technical and literal interpretation of that law when the words chosen are reasonably specific and clear, our law is the polar opposite of technical and literal when the fiduciary duties of corporate officers and directors are involved.</w:t>
      </w:r>
      <w:r>
        <w:t xml:space="preserve"> </w:t>
      </w:r>
      <w:r>
        <w:rPr>
          <w:iCs/>
          <w:i/>
        </w:rPr>
        <w:t xml:space="preserve">See generally, Revlon v. MacAndrews &amp; Forbes Holdings, Inc.,</w:t>
      </w:r>
      <w:r>
        <w:t xml:space="preserve"> </w:t>
      </w:r>
      <w:r>
        <w:t xml:space="preserve">Del.Supr.,</w:t>
      </w:r>
      <w:r>
        <w:t xml:space="preserve"> </w:t>
      </w:r>
      <w:r>
        <w:t xml:space="preserve">506 A.2d 173</w:t>
      </w:r>
      <w:r>
        <w:t xml:space="preserve"> </w:t>
      </w:r>
      <w:r>
        <w:t xml:space="preserve">(1985);</w:t>
      </w:r>
      <w:r>
        <w:t xml:space="preserve"> </w:t>
      </w:r>
      <w:r>
        <w:rPr>
          <w:iCs/>
          <w:i/>
        </w:rPr>
        <w:t xml:space="preserve">Weinberger v. UOP,</w:t>
      </w:r>
      <w:r>
        <w:t xml:space="preserve"> </w:t>
      </w:r>
      <w:r>
        <w:t xml:space="preserve">Del.Supr.,</w:t>
      </w:r>
      <w:r>
        <w:t xml:space="preserve"> </w:t>
      </w:r>
      <w:r>
        <w:t xml:space="preserve">457 A.2d 701</w:t>
      </w:r>
      <w:r>
        <w:t xml:space="preserve"> </w:t>
      </w:r>
      <w:r>
        <w:t xml:space="preserve">(1983);</w:t>
      </w:r>
      <w:r>
        <w:t xml:space="preserve"> </w:t>
      </w:r>
      <w:r>
        <w:rPr>
          <w:iCs/>
          <w:i/>
        </w:rPr>
        <w:t xml:space="preserve">Singer v. Magnavox,</w:t>
      </w:r>
      <w:r>
        <w:t xml:space="preserve"> </w:t>
      </w:r>
      <w:r>
        <w:t xml:space="preserve">Del.Supr.,</w:t>
      </w:r>
      <w:r>
        <w:t xml:space="preserve"> </w:t>
      </w:r>
      <w:r>
        <w:t xml:space="preserve">380 A.2d 969</w:t>
      </w:r>
      <w:r>
        <w:t xml:space="preserve"> </w:t>
      </w:r>
      <w:r>
        <w:t xml:space="preserve">(1977);</w:t>
      </w:r>
      <w:r>
        <w:t xml:space="preserve"> </w:t>
      </w:r>
      <w:r>
        <w:rPr>
          <w:iCs/>
          <w:i/>
        </w:rPr>
        <w:t xml:space="preserve">Guth v. Loft,</w:t>
      </w:r>
      <w:r>
        <w:t xml:space="preserve"> </w:t>
      </w:r>
      <w:r>
        <w:t xml:space="preserve">Del.Supr.,</w:t>
      </w:r>
      <w:r>
        <w:t xml:space="preserve"> </w:t>
      </w:r>
      <w:r>
        <w:t xml:space="preserve">5 A.2d 503</w:t>
      </w:r>
      <w:r>
        <w:t xml:space="preserve"> </w:t>
      </w:r>
      <w:r>
        <w:t xml:space="preserve">(1939). In that setting, technical matters are brushed aside so that the fairness of the underlying reality may be assessed. The facts alleged in the counterclaim properly invoke this more searching level of review.</w:t>
      </w:r>
    </w:p>
    <w:p>
      <w:pPr>
        <w:pStyle w:val="CaseBody"/>
      </w:pPr>
      <w:r>
        <w:t xml:space="preserve">Here the counterclaim alleges facts which, if true, establish that Mr. Speiser is in control of Health Med and through it, of Chem. By reason of that fact, he is placed under a duty to exercise the power of his various offices only for the benefit of the involved corporation and its shareholders and not for his personal benefit. In my opinion, the counterclaim alleges facts which, if true, constitute a breach of the duty of loyalty that Mr. Speiser owes to the shareholders of Chem. Most pointedly, it is a fair inference from the facts alleged that no corporate purpose of Chem is served by the failure of Chem to cause Medallion to convert its preferred stock in Health Med to common stock. Indeed, it is alleged that:</w:t>
      </w:r>
    </w:p>
    <w:p>
      <w:pPr>
        <w:pStyle w:val="BlockText"/>
      </w:pPr>
      <w:r>
        <w:t xml:space="preserve">Speiser’s ... use of the voting power of Medallion to vest absolute control over Health-Chem in himself is an unlawful manipulation of Health-Chem’s corporate machinery to advance Speiser’s personal interests.</w:t>
      </w:r>
    </w:p>
    <w:p>
      <w:pPr>
        <w:pStyle w:val="CaseBody"/>
      </w:pPr>
      <w:r>
        <w:t xml:space="preserve">It is, of course, elementary that the legal power of Chem and its Medallion subsidiary to convert or fail to convert its Health-Med preferred is subject to an overriding duty, recognized in equity, to act or fail to act only in a way consistent with the fiduciary duty of loyalty that Chem’s board owes to the shareholders of that company.</w:t>
      </w:r>
      <w:r>
        <w:t xml:space="preserve"> </w:t>
      </w:r>
      <w:r>
        <w:rPr>
          <w:iCs/>
          <w:i/>
        </w:rPr>
        <w:t xml:space="preserve">See Weinberger v. UOP,</w:t>
      </w:r>
      <w:r>
        <w:t xml:space="preserve"> </w:t>
      </w:r>
      <w:r>
        <w:t xml:space="preserve">Del.Supr.,</w:t>
      </w:r>
      <w:r>
        <w:t xml:space="preserve"> </w:t>
      </w:r>
      <w:r>
        <w:t xml:space="preserve">457 A.2d 701</w:t>
      </w:r>
      <w:r>
        <w:t xml:space="preserve"> </w:t>
      </w:r>
      <w:r>
        <w:t xml:space="preserve">(1983);</w:t>
      </w:r>
      <w:r>
        <w:t xml:space="preserve"> </w:t>
      </w:r>
      <w:r>
        <w:rPr>
          <w:iCs/>
          <w:i/>
        </w:rPr>
        <w:t xml:space="preserve">Sterling v. Mayflower Hotel Corp.,</w:t>
      </w:r>
      <w:r>
        <w:t xml:space="preserve"> </w:t>
      </w:r>
      <w:r>
        <w:t xml:space="preserve">Del.Supr.,</w:t>
      </w:r>
      <w:r>
        <w:t xml:space="preserve"> </w:t>
      </w:r>
      <w:r>
        <w:t xml:space="preserve">93 A.2d 107</w:t>
      </w:r>
      <w:r>
        <w:t xml:space="preserve"> </w:t>
      </w:r>
      <w:r>
        <w:t xml:space="preserve">(1952).</w:t>
      </w:r>
    </w:p>
    <w:p>
      <w:pPr>
        <w:pStyle w:val="CaseBody"/>
      </w:pPr>
      <w:r>
        <w:t xml:space="preserve">It seems clear that the only function served by permitting the Health Med preferred to remain outstanding, as preferred, is to perpetuate a control mechanism that has the effect of depriving the public shareholders of Chem — the only operating company involved — of the power to elect a board not endorsed by Mr. Speiser (or both Speiser and Baker while they remained in cahoots). That can only be a valid interest of Chem on the supposition that Mr. Speiser knows better than do the other shareholders who should manage the enterprise. That may be reasonable, but it is irrelevant; Chem’s certificate of incorporation distributes voting power equally among holders of its common stock not according to any other theory. Should the shareholders wish freely to confer upon certain holders of its stock dominant power in the election of directors, there are ways in which that may be done.</w:t>
      </w:r>
      <w:r>
        <w:t xml:space="preserve"> </w:t>
      </w:r>
      <w:r>
        <w:rPr>
          <w:iCs/>
          <w:i/>
        </w:rPr>
        <w:t xml:space="preserve">See, e.g., Lacos Land Co. v. Arden Group, Inc.,</w:t>
      </w:r>
      <w:r>
        <w:t xml:space="preserve"> </w:t>
      </w:r>
      <w:r>
        <w:t xml:space="preserve">Del.Ch.,</w:t>
      </w:r>
      <w:r>
        <w:t xml:space="preserve"> </w:t>
      </w:r>
      <w:r>
        <w:t xml:space="preserve">517 A.2d 271</w:t>
      </w:r>
      <w:r>
        <w:t xml:space="preserve"> </w:t>
      </w:r>
      <w:r>
        <w:t xml:space="preserve">(1986). But, unless the shareholders express their will to structure the governance of their enterprise in that fashion, it is hard to imagine that a valid corporate purpose is served by perpetuating a structure that removes from the public shareholders the practical power to elect directors other than those supported by management.</w:t>
      </w:r>
    </w:p>
    <w:p>
      <w:pPr>
        <w:pStyle w:val="CaseBody"/>
      </w:pPr>
      <w:r>
        <w:t xml:space="preserve">Thus, as I read the counterclaim, it alleges a valid claim of breach of fiduciary duty owed by Speiser to the shareholders of Chem. If proven, that claim could result, minimally, in a mandatory injunction requiring Chem to convert the Health Med preferred into common, in which event the terms of Section 160(c) would, even under Speiser’s interpretation of that statute, clearly prohibit the voting by Health Med of its 42% holding in Chem.</w:t>
      </w:r>
    </w:p>
    <w:p>
      <w:pPr>
        <w:pStyle w:val="CaseBody"/>
      </w:pPr>
      <w:r>
        <w:t xml:space="preserve">IV.</w:t>
      </w:r>
    </w:p>
    <w:p>
      <w:pPr>
        <w:pStyle w:val="CaseBody"/>
      </w:pPr>
      <w:r>
        <w:t xml:space="preserve">For the foregoing reasons, plaintiff’s motion for judgment on the pleadings with respect to the Section 211(c) claim will be granted and his motion to dismiss Baker’s counterclaim will be denied.</w:t>
      </w:r>
    </w:p>
    <w:p>
      <w:pPr>
        <w:pStyle w:val="CaseBody"/>
      </w:pPr>
      <w:r>
        <w:t xml:space="preserve">IT IS SO ORDERED.</w:t>
      </w:r>
    </w:p>
    <w:p>
      <w:pPr>
        <w:pStyle w:val="CaseFootnoteText"/>
      </w:pPr>
      <w:r>
        <w:rPr>
          <w:rStyle w:val="FootnoteReference"/>
        </w:rPr>
        <w:t xml:space="preserve">*</w:t>
      </w:r>
      <w:r>
        <w:t xml:space="preserve"> </w:t>
      </w:r>
      <w:r>
        <w:t xml:space="preserve">When Medallion holding is converted.</w:t>
      </w:r>
    </w:p>
    <w:p>
      <w:pPr>
        <w:pStyle w:val="CaseFootnoteText"/>
      </w:pPr>
      <w:r>
        <w:rPr>
          <w:rStyle w:val="FootnoteReference"/>
        </w:rPr>
        <w:t xml:space="preserve">**</w:t>
      </w:r>
      <w:r>
        <w:t xml:space="preserve"> </w:t>
      </w:r>
      <w:r>
        <w:t xml:space="preserve">If Health Med Stock is disqualified.</w:t>
      </w:r>
    </w:p>
    <w:p>
      <w:pPr>
        <w:pStyle w:val="NodeEnd"/>
      </w:pPr>
      <w:r>
        <w:t xml:space="preserve"> </w:t>
      </w:r>
    </w:p>
    <w:p>
      <w:pPr>
        <w:pStyle w:val="NodeStart"/>
      </w:pPr>
      <w:r>
        <w:t xml:space="preserve"> </w:t>
      </w:r>
    </w:p>
    <w:p>
      <w:pPr>
        <w:pStyle w:val="HeadSeparator"/>
      </w:pPr>
      <w:r>
        <w:t xml:space="preserve"> </w:t>
      </w:r>
    </w:p>
    <w:bookmarkStart w:id="109" w:name="_auto_toc_109"/>
    <w:bookmarkEnd w:id="109"/>
    <w:p>
      <w:pPr>
        <w:pStyle w:val="ResourceNumber"/>
      </w:pPr>
      <w:r>
        <w:t xml:space="preserve">9.1.5</w:t>
      </w:r>
    </w:p>
    <w:p>
      <w:pPr>
        <w:pStyle w:val="ResourceTitle"/>
      </w:pPr>
      <w:r>
        <w:t xml:space="preserve">Schreiber v. Carney</w:t>
      </w:r>
    </w:p>
    <w:p>
      <w:pPr>
        <w:pStyle w:val="HeadEnd"/>
      </w:pPr>
      <w:r>
        <w:t xml:space="preserve"> </w:t>
      </w:r>
    </w:p>
    <w:p>
      <w:pPr>
        <w:pStyle w:val="CaseHeader"/>
      </w:pPr>
      <w:r>
        <w:t xml:space="preserve">Delaware Court of Chancery</w:t>
      </w:r>
    </w:p>
    <w:p>
      <w:pPr>
        <w:pStyle w:val="CaseHeader"/>
      </w:pPr>
      <w:r>
        <w:t xml:space="preserve">447 A.2d 17</w:t>
      </w:r>
    </w:p>
    <w:p>
      <w:pPr>
        <w:pStyle w:val="CaseHeader"/>
      </w:pPr>
      <w:r>
        <w:t xml:space="preserve">1982-05-11</w:t>
      </w:r>
    </w:p>
    <w:p>
      <w:pPr>
        <w:pStyle w:val="CaseBody"/>
      </w:pPr>
      <w:r>
        <w:t xml:space="preserve">Submitted Jan. 29, 1982.</w:t>
      </w:r>
    </w:p>
    <w:p>
      <w:pPr>
        <w:pStyle w:val="CaseBody"/>
      </w:pPr>
      <w:r>
        <w:t xml:space="preserve">Victor F. Battaglia, Biggs &amp; Battaglia, Wilmington, and Pincus, Ohrenstein, Bizar, D’Alessandro &amp; Solomon, New York City, for plaintiff.</w:t>
      </w:r>
    </w:p>
    <w:p>
      <w:pPr>
        <w:pStyle w:val="CaseBody"/>
      </w:pPr>
      <w:r>
        <w:t xml:space="preserve">Rodman Ward, Jr., Skadden, Arps, Slate, Meagher &amp; Flom, Wilmington, and Brian Sullivan, Dykema, Gossett, Spencer, Goed-now &amp; Trigg, Detroit, Mich., for defendants-Garrett, Hickey, Pohlad and Swanson.</w:t>
      </w:r>
    </w:p>
    <w:p>
      <w:pPr>
        <w:pStyle w:val="CaseBody"/>
      </w:pPr>
      <w:r>
        <w:t xml:space="preserve">A. Gilchrist Sparks, III, Morris, Nichols, Arsht &amp; Tunnell, Wilmington, and George A. Davidson, and David W. Wiltenburg, Hughes, Hubbard &amp; Reed, New York City, for defendants-Carney, Lorenzo, Wilson and Jet Capital Corp.</w:t>
      </w:r>
    </w:p>
    <w:p>
      <w:pPr>
        <w:pStyle w:val="CaseBody"/>
      </w:pPr>
      <w:r>
        <w:t xml:space="preserve">Jack B. Jacobs, Young, Conaway, Star-gatt &amp; Taylor, Wilmington, for defendant-Texas Intern. Airlines, Inc.</w:t>
      </w:r>
    </w:p>
    <w:p>
      <w:pPr>
        <w:pStyle w:val="CaseBody"/>
      </w:pPr>
      <w:r>
        <w:t xml:space="preserve">HARTNETT, Vice Chancellor.</w:t>
      </w:r>
    </w:p>
    <w:p>
      <w:pPr>
        <w:pStyle w:val="CaseBody"/>
      </w:pPr>
      <w:r>
        <w:t xml:space="preserve">In this stockholder’s derivative action, Leonard I. Schreiber, the plaintiff, brought suit on behalf of defendant — Texas International Airlines, Inc. (“Texas International”), a Delaware corporation, challenging the propriety of a loan from Texas International to defendant — Jet Capital Corporation (“Jet Capital”), the holder of 35% of the shares of stock of Texas International. Also joined as individual defendants were Texas International’s board of directors— several of whom also served on Jet Capital’s board of directors. The matter is presently before the Court on cross-motions for summary judgment. Defendants’ motion is based on their contention that there has been no showing of waste and that plaintiff lacks standing to bring this suit. Plaintiff’s motion is based on his contention that the transaction was tainted by vote-buying and is therefore void. For the reasons set forth below, both motions must be denied.</w:t>
      </w:r>
    </w:p>
    <w:p>
      <w:pPr>
        <w:pStyle w:val="CaseBody"/>
      </w:pPr>
      <w:r>
        <w:t xml:space="preserve">I</w:t>
      </w:r>
    </w:p>
    <w:p>
      <w:pPr>
        <w:pStyle w:val="CaseBody"/>
      </w:pPr>
      <w:r>
        <w:t xml:space="preserve">The essential facts are undisputed. The lawsuit arises out of the corporate restructuring of Texas International which occurred on June 11, 1980. The restructuring was accomplished by way of a share for share merger between Texas International and Texas Air Corporation (“Texas Air”), a holding company formed for the purpose of effectuating the proposed reorganization. Texas Air is also a Delaware corporation. At the annual meeting held on June 11, 1980 the shareholders voted overwhelmingly in favor of the proposal. As a result the shareholders of Texas International were eliminated as such and received in trade for their stock an equal number of shares in Texas Air. Texas International in turn became a wholly-owned subsidiary of Texas Air.</w:t>
      </w:r>
    </w:p>
    <w:p>
      <w:pPr>
        <w:pStyle w:val="CaseBody"/>
      </w:pPr>
      <w:r>
        <w:t xml:space="preserve">Prior to the merger Texas International was engaged in the airline business servicing the cities of Houston and Dallas, Texas. All concede that the purpose of the merger was to enable Texas International — under a new corporate structure — to diversify, to strengthen itself financially and in general to be transformed into a more viable and aggressive enterprise. According to the proxy statement issued in connection with the merger, management indicated that although there were no commitments at that time, it was actively considering the possibility of acquiring other companies engaged in both related as well as unrelated fields.</w:t>
      </w:r>
    </w:p>
    <w:p>
      <w:pPr>
        <w:pStyle w:val="CaseBody"/>
      </w:pPr>
      <w:r>
        <w:t xml:space="preserve">During the formulation of the reorganization plan, management was confronted with an obstacle, the resolution of which forms the basis for this lawsuit, because Jet Capital, the owner of the largest block of Texas International’s stock, threatened to block the merger. Jet Capital’s veto power resulted from a provision in Texas International’s Certificate of Incorporation which required that each of its four classes of stock participate in the approval of a merger. At that time, Texas International’s four classes of outstanding stock consisted of 4,669,182 shares of common stock and three series of convertible preferred stock; 32,318 shares of Series A stock, 66,075 shares of Series B stock and 2,040,000 shares of Series C stock. According to the Certificate of Incorporation a majority vote was required of both the common stockholders and the Series A preferred stockholders voting as separate classes. Similarly, a majority vote was required of the Series B and Series C preferred stockholders, but voting together as a single class. Because Jet Capital owned all of the Series C preferred stock — the larger class — it was in a position to block the merger proposal. Jet Capital indicated that although the proposal was indeed beneficial to Texas International and the other shareholders, it was nevertheless compelled to vote against it because the merger, if approved, would impose an intolerable income tax burden on it. This was so because the merger had an adverse impact on Jet Capital’s position as the holder of certain warrants to purchase Texas International’s common stock which would expire in 1982. There were warrants outstanding for the purchase of 1,029,531 shares of Texas International common stock at $4.18 per share and, of these, Jet Capital owned sufficient warrants to acquire 799,-880 shares of Texas International’s common shares. As the holder of these warrants, Jet Capital was faced with three alternatives.</w:t>
      </w:r>
    </w:p>
    <w:p>
      <w:pPr>
        <w:pStyle w:val="CaseBody"/>
      </w:pPr>
      <w:r>
        <w:t xml:space="preserve">The first alternative for Jet Capital was for it to participate in the merger and exchange its Texas International warrants for Texas Air warrants. However, according to an Internal Revenue Service ruling obtained by management, each holder of an unexercised Texas International warrant would be deemed to have realized taxable income from the merger as if the warrant had been exercised. Thus, it was estimated that Jet Capital would incur an $800,000 federal income tax liability. Because Jet Capital was a publicly held company, its management could not justify the assumption of such a tax liability and, therefore, did not consider this a viable alternative.</w:t>
      </w:r>
    </w:p>
    <w:p>
      <w:pPr>
        <w:pStyle w:val="CaseBody"/>
      </w:pPr>
      <w:r>
        <w:t xml:space="preserve">The second alternative was for Jet Capital to exercise the warrants prematurely. The merger would then be tax free to it as it would be to the other shareholders. This, however, was also not deemed to be feasible because Jet Capital lacked the approximately three million dollars necessary to exercise the warrants. Jet Capital’s assets — other than its Texas International stock — were worth only $200,000. In addition, borrowing money at the prevailing interest rates in order to finance an early exercise of the warrants was deemed prohibitively expensive by the management of Jet Capital. In any event, this alternative was considered to be imprudent because the early exercise of the warrants posed an unnecessary market risk because the market value of Texas International’s stock on the date of the early exercise might prove to be higher than that on the expiration date. As a result, this alternative was also not considered viable.</w:t>
      </w:r>
    </w:p>
    <w:p>
      <w:pPr>
        <w:pStyle w:val="CaseBody"/>
      </w:pPr>
      <w:r>
        <w:t xml:space="preserve">The third and final alternative was for Jet Capital to vote against the merger and thus preclude it. Given these alternatives, Jet Capital obviously chose to oppose the restructuring.</w:t>
      </w:r>
    </w:p>
    <w:p>
      <w:pPr>
        <w:pStyle w:val="CaseBody"/>
      </w:pPr>
      <w:r>
        <w:t xml:space="preserve">In order to overcome this impasse, it was proposed that Texas International and Jet Capital explore the possibility of a loan by Texas International to Jet Capital in order to fund an early exercise of the warrants. Because Texas International and Jet Capital had several common directors, the defendants recognized the conflict of interest and endeavored to find a way to remove any taint or appearance of impropriety. It was, therefore, decided that a special independent committee would be formed to consider and resolve the matter. The three Texas International directors who had no interest in or connection with Jet Capital were chosen to head up the committee. After its formation, the committee’s first act was to hire independent counsel. Next, the committee examined the proposed merger and, based upon advice rendered by an independent investment banker, the merger was again found to be both a prudent and feasible business decision. The committee then confronted the “Jet Capital obstacle” by considering viable options for both Texas International and Jet Capital and, as a result, the committee determined that a loan was the best solution.</w:t>
      </w:r>
    </w:p>
    <w:p>
      <w:pPr>
        <w:pStyle w:val="CaseBody"/>
      </w:pPr>
      <w:r>
        <w:t xml:space="preserve">After negotiating at arm’s length, both Texas International and Jet Capital agreed that Texas International would loan to Jet Capital $3,335,000 at 5% interest per annum for the period up to the scheduled 1982 expiration date for the warrants. After this period, the interest rate would equal the then prevailing prime interest rate. The 5% interest rate was recommended by an independent investment banker as the rate necessary to reimburse Texas International for any dividends paid out during this period. Given this provision for anticipated dividends and the fact that the advanced money would be immediately paid back to Texas International upon the exercise of the warrants, the loan transaction had virtually no impact on Texas International’s cash position.</w:t>
      </w:r>
    </w:p>
    <w:p>
      <w:pPr>
        <w:pStyle w:val="CaseBody"/>
      </w:pPr>
      <w:r>
        <w:t xml:space="preserve">As security Jet Capital was required to pledge all of its Series C preferred stock having a market value of approximately 150% of the amount of the loan. In addition, Jet Capital was expected to apply to the prepayment of the loan any after tax proceeds received from the sale of any stock acquired by Jet Capital as a result of the exercise of the 1982 warrants.</w:t>
      </w:r>
    </w:p>
    <w:p>
      <w:pPr>
        <w:pStyle w:val="CaseBody"/>
      </w:pPr>
      <w:r>
        <w:t xml:space="preserve">The directors of Texas International unanimously approved the proposal as recommended by the committee and submitted it to the stockholders for approval — requiring as a condition of approval that a majority of all outstanding shares</w:t>
      </w:r>
      <w:r>
        <w:t xml:space="preserve"> </w:t>
      </w:r>
      <w:r>
        <w:rPr>
          <w:iCs/>
          <w:i/>
        </w:rPr>
        <w:t xml:space="preserve">and</w:t>
      </w:r>
      <w:r>
        <w:t xml:space="preserve"> </w:t>
      </w:r>
      <w:r>
        <w:t xml:space="preserve">a majority of the shares voted by the stockholders other than Jet Capital or its officers or directors be voted in favor of the proposal. After receiving a detailed proxy statement, the shareholders voted overwhelmingly in favor of the proposal. There is no allegation that the proxy statement did not fully disclose all the germane facts with complete candor.</w:t>
      </w:r>
    </w:p>
    <w:p>
      <w:pPr>
        <w:pStyle w:val="CaseBody"/>
      </w:pPr>
      <w:r>
        <w:t xml:space="preserve">The complaint attacks the loan transaction on two theories. First, it is alleged that the loan transaction constituted vote-buying and was therefore void. Secondly, the complaint asserts that the loan was corporate waste. In essence, plaintiff argues that even if the loan was permissible and even if it was the best available option, it would have been wiser for Texas International to have loaned Jet Capital only $800,-000 — the amount of the increased tax liability — because this would have minimized Texas International’s capital commitment and also would have prevented Jet Capital from increasing its control in Texas International on allegedly discriminatory and wasteful terms. Plaintiff also points out that the 5% interest rate on the loan was only equal to the amount of dividends Texas International would have been expected to pay during the period between the time of the early exercise and the date the warrants expired. Jet Capital, therefore in effect it is urged, received an interest free loan for the nearly two-year period preceding the 1982 warrant expiration date.</w:t>
      </w:r>
    </w:p>
    <w:p>
      <w:pPr>
        <w:pStyle w:val="CaseBody"/>
      </w:pPr>
      <w:r>
        <w:t xml:space="preserve">II</w:t>
      </w:r>
    </w:p>
    <w:p>
      <w:pPr>
        <w:pStyle w:val="CaseBody"/>
      </w:pPr>
      <w:r>
        <w:t xml:space="preserve">In support of their motion for summary judgment, defendants contend that plaintiff lacks standing to maintain a derivative suit on behalf of Texas International because he was not a stockholder at the time this suit was filed. As a result of the reorganization merger plaintiff’s stock holdings in Texas International were converted into shares of Texas Air and the merger occurred prior to the filing of the complaint. Defendants also contend that they are entitled to summary judgment because they assert the record fails to establish any factual basis to support a claim of corporate waste.</w:t>
      </w:r>
    </w:p>
    <w:p>
      <w:pPr>
        <w:pStyle w:val="CaseBody"/>
      </w:pPr>
      <w:r>
        <w:t xml:space="preserve">In reply and in support of his motion for summary judgment, plaintiff contends that the loan constituted vote-buying and therefore the entire merger transaction was void and his standing to maintain a derivative suit on behalf of Texas International is therefore preserved. These contentions regarding standing, vote-buying and corporate waste will be discussed</w:t>
      </w:r>
      <w:r>
        <w:t xml:space="preserve"> </w:t>
      </w:r>
      <w:r>
        <w:rPr>
          <w:iCs/>
          <w:i/>
        </w:rPr>
        <w:t xml:space="preserve">seriatim.</w:t>
      </w:r>
    </w:p>
    <w:p>
      <w:pPr>
        <w:pStyle w:val="CaseBody"/>
      </w:pPr>
      <w:r>
        <w:rPr>
          <w:iCs/>
          <w:i/>
        </w:rPr>
        <w:t xml:space="preserve">III</w:t>
      </w:r>
    </w:p>
    <w:p>
      <w:pPr>
        <w:pStyle w:val="CaseBody"/>
      </w:pPr>
      <w:r>
        <w:t xml:space="preserve">First to be considered is defendants’ assertion that plaintiff does not have standing to bring this suit.</w:t>
      </w:r>
    </w:p>
    <w:p>
      <w:pPr>
        <w:pStyle w:val="CaseBody"/>
      </w:pPr>
      <w:r>
        <w:t xml:space="preserve">As required by 8</w:t>
      </w:r>
      <w:r>
        <w:t xml:space="preserve"> </w:t>
      </w:r>
      <w:r>
        <w:rPr>
          <w:iCs/>
          <w:i/>
        </w:rPr>
        <w:t xml:space="preserve">Del.C.</w:t>
      </w:r>
      <w:r>
        <w:t xml:space="preserve"> </w:t>
      </w:r>
      <w:r>
        <w:t xml:space="preserve">§ 327 a plaintiff who brings a derivative suit on behalf of a corporation must be a stockholder of the corporation at the time he commences the suit.</w:t>
      </w:r>
      <w:r>
        <w:rPr>
          <w:rStyle w:val="FootnoteReference"/>
        </w:rPr>
        <w:footnoteReference w:customMarkFollows="1" w:id="27"/>
        <w:t xml:space="preserve">1</w:t>
      </w:r>
      <w:r>
        <w:t xml:space="preserve"> </w:t>
      </w:r>
      <w:r>
        <w:t xml:space="preserve">This suit was brought after plaintiff’s shares in Texas International were converted into shares in Texas Air by the merger and it is clear that a merger which eliminates a complaining stockholder’s ownership of stock in a corporation also ordinarily eliminates his status to bring or maintain a derivative suit on behalf of the corporation, whether the merger takes place before or after the suit is brought, on the theory that upon the merger the derivative rights pass to the surviving corporation which then has the sole right or standing to prosecute the action.</w:t>
      </w:r>
      <w:r>
        <w:t xml:space="preserve"> </w:t>
      </w:r>
      <w:r>
        <w:rPr>
          <w:iCs/>
          <w:i/>
        </w:rPr>
        <w:t xml:space="preserve">Bokat v. Getty Oil Co.,</w:t>
      </w:r>
      <w:r>
        <w:t xml:space="preserve"> </w:t>
      </w:r>
      <w:r>
        <w:t xml:space="preserve">Del.Supr.,</w:t>
      </w:r>
      <w:r>
        <w:t xml:space="preserve"> </w:t>
      </w:r>
      <w:r>
        <w:t xml:space="preserve">262 A.2d 246</w:t>
      </w:r>
      <w:r>
        <w:t xml:space="preserve"> </w:t>
      </w:r>
      <w:r>
        <w:t xml:space="preserve">(1970);</w:t>
      </w:r>
      <w:r>
        <w:t xml:space="preserve"> </w:t>
      </w:r>
      <w:r>
        <w:rPr>
          <w:iCs/>
          <w:i/>
        </w:rPr>
        <w:t xml:space="preserve">Weinberger v. UOP, Inc.,</w:t>
      </w:r>
      <w:r>
        <w:t xml:space="preserve"> </w:t>
      </w:r>
      <w:r>
        <w:t xml:space="preserve">Del.Ch.,</w:t>
      </w:r>
      <w:r>
        <w:t xml:space="preserve"> </w:t>
      </w:r>
      <w:r>
        <w:t xml:space="preserve">426 A.2d 1333</w:t>
      </w:r>
      <w:r>
        <w:t xml:space="preserve"> </w:t>
      </w:r>
      <w:r>
        <w:t xml:space="preserve">(1981);</w:t>
      </w:r>
      <w:r>
        <w:t xml:space="preserve"> </w:t>
      </w:r>
      <w:r>
        <w:rPr>
          <w:iCs/>
          <w:i/>
        </w:rPr>
        <w:t xml:space="preserve">Hutchison v. Bernhard,</w:t>
      </w:r>
      <w:r>
        <w:t xml:space="preserve"> </w:t>
      </w:r>
      <w:r>
        <w:t xml:space="preserve">Del.Ch.,</w:t>
      </w:r>
      <w:r>
        <w:t xml:space="preserve"> </w:t>
      </w:r>
      <w:r>
        <w:t xml:space="preserve">220 A.2d 782</w:t>
      </w:r>
      <w:r>
        <w:t xml:space="preserve"> </w:t>
      </w:r>
      <w:r>
        <w:t xml:space="preserve">(1965);</w:t>
      </w:r>
      <w:r>
        <w:t xml:space="preserve"> </w:t>
      </w:r>
      <w:r>
        <w:rPr>
          <w:iCs/>
          <w:i/>
        </w:rPr>
        <w:t xml:space="preserve">Braasch v. Goldschmidt,</w:t>
      </w:r>
      <w:r>
        <w:t xml:space="preserve"> </w:t>
      </w:r>
      <w:r>
        <w:t xml:space="preserve">Del.Ch.,</w:t>
      </w:r>
      <w:r>
        <w:t xml:space="preserve"> </w:t>
      </w:r>
      <w:r>
        <w:t xml:space="preserve">199 A.2d 760</w:t>
      </w:r>
      <w:r>
        <w:t xml:space="preserve"> </w:t>
      </w:r>
      <w:r>
        <w:t xml:space="preserve">(1964);</w:t>
      </w:r>
      <w:r>
        <w:t xml:space="preserve"> </w:t>
      </w:r>
      <w:r>
        <w:rPr>
          <w:iCs/>
          <w:i/>
        </w:rPr>
        <w:t xml:space="preserve">Heit v. Tenneco, Inc.,</w:t>
      </w:r>
      <w:r>
        <w:t xml:space="preserve"> </w:t>
      </w:r>
      <w:r>
        <w:t xml:space="preserve">D.Del.,</w:t>
      </w:r>
      <w:r>
        <w:t xml:space="preserve"> </w:t>
      </w:r>
      <w:r>
        <w:t xml:space="preserve">319 F.Supp. 884</w:t>
      </w:r>
      <w:r>
        <w:t xml:space="preserve"> </w:t>
      </w:r>
      <w:r>
        <w:t xml:space="preserve">(1970). This rule, however, is not without exception.</w:t>
      </w:r>
    </w:p>
    <w:p>
      <w:pPr>
        <w:pStyle w:val="CaseBody"/>
      </w:pPr>
      <w:r>
        <w:t xml:space="preserve">In</w:t>
      </w:r>
      <w:r>
        <w:t xml:space="preserve"> </w:t>
      </w:r>
      <w:r>
        <w:rPr>
          <w:iCs/>
          <w:i/>
        </w:rPr>
        <w:t xml:space="preserve">Helfand v. Gambee,</w:t>
      </w:r>
      <w:r>
        <w:t xml:space="preserve"> </w:t>
      </w:r>
      <w:r>
        <w:t xml:space="preserve">Del.Ch.,</w:t>
      </w:r>
      <w:r>
        <w:t xml:space="preserve"> </w:t>
      </w:r>
      <w:r>
        <w:t xml:space="preserve">136 A.2d 558</w:t>
      </w:r>
      <w:r>
        <w:t xml:space="preserve"> </w:t>
      </w:r>
      <w:r>
        <w:t xml:space="preserve">(1957), a corporate reorganization occurred in response to an antitrust consent decree whereby the shareholders of the existing corporation received shares of a newly organized corporation. Vice Chancellor Marvel permitted the plaintiff to maintain his derivative suit on behalf of the new corporation despite the fact that the complaint sought relief for acts which allegedly occurred during the existence of the old corporation and despite the fact that the complaining stockholder voted in favor of the merger. Standing to sue was granted because it was held that the sole purpose of 8</w:t>
      </w:r>
      <w:r>
        <w:t xml:space="preserve"> </w:t>
      </w:r>
      <w:r>
        <w:rPr>
          <w:iCs/>
          <w:i/>
        </w:rPr>
        <w:t xml:space="preserve">Del.C.</w:t>
      </w:r>
      <w:r>
        <w:t xml:space="preserve"> </w:t>
      </w:r>
      <w:r>
        <w:t xml:space="preserve">§ 327 was to prevent the evil of the purchasing of shares for the purpose of bringing a derivative action based on transactions antedating the purchase and because the plaintiff merely held “two pieces of paper rather than one” as evidence of her long investment in the corporation and its new alter ego.</w:t>
      </w:r>
      <w:r>
        <w:t xml:space="preserve"> </w:t>
      </w:r>
      <w:r>
        <w:t xml:space="preserve">136 A.2d 562</w:t>
      </w:r>
      <w:r>
        <w:t xml:space="preserve">. The Court focused on the involuntary nature of the transaction, in that it was pursuant to a consent decree, as well as considering the purpose for the enactment of 8</w:t>
      </w:r>
      <w:r>
        <w:t xml:space="preserve"> </w:t>
      </w:r>
      <w:r>
        <w:rPr>
          <w:iCs/>
          <w:i/>
        </w:rPr>
        <w:t xml:space="preserve">Del.C.</w:t>
      </w:r>
      <w:r>
        <w:t xml:space="preserve"> </w:t>
      </w:r>
      <w:r>
        <w:t xml:space="preserve">§ 327.</w:t>
      </w:r>
    </w:p>
    <w:p>
      <w:pPr>
        <w:pStyle w:val="CaseBody"/>
      </w:pPr>
      <w:r>
        <w:t xml:space="preserve">In considering the statutory intent of section 327, the Court relied upon</w:t>
      </w:r>
      <w:r>
        <w:t xml:space="preserve"> </w:t>
      </w:r>
      <w:r>
        <w:rPr>
          <w:iCs/>
          <w:i/>
        </w:rPr>
        <w:t xml:space="preserve">Rosenthal v. Burry Biscuit Corporation,</w:t>
      </w:r>
      <w:r>
        <w:t xml:space="preserve"> </w:t>
      </w:r>
      <w:r>
        <w:t xml:space="preserve">60 A.2d 106</w:t>
      </w:r>
      <w:r>
        <w:t xml:space="preserve">, 111 (Del.Ch.1948), in which Chancellor Seitz concluded that the sole purpose of section 327 was “to prevent what has been considered an evil, namely, the purchasing of shares in order to maintain a derivative action designed to attack a transaction which occurred prior to the purchase of the stock.” Chancellor Seitz also stated that “rigidity is not needed where the equitable owner of stock is seeking to protect the corporate interests.”</w:t>
      </w:r>
      <w:r>
        <w:t xml:space="preserve"> </w:t>
      </w:r>
      <w:r>
        <w:t xml:space="preserve">60 A.2d 112</w:t>
      </w:r>
      <w:r>
        <w:t xml:space="preserve">. See also</w:t>
      </w:r>
      <w:r>
        <w:t xml:space="preserve"> </w:t>
      </w:r>
      <w:r>
        <w:rPr>
          <w:iCs/>
          <w:i/>
        </w:rPr>
        <w:t xml:space="preserve">Bokat v. Getty Oil Co.,</w:t>
      </w:r>
      <w:r>
        <w:t xml:space="preserve"> </w:t>
      </w:r>
      <w:r>
        <w:t xml:space="preserve">Del.Supr.,</w:t>
      </w:r>
      <w:r>
        <w:t xml:space="preserve"> </w:t>
      </w:r>
      <w:r>
        <w:t xml:space="preserve">262 A.2d 246</w:t>
      </w:r>
      <w:r>
        <w:t xml:space="preserve">, 250 (1970). Thus, it is clear that the provisions of 8</w:t>
      </w:r>
      <w:r>
        <w:t xml:space="preserve"> </w:t>
      </w:r>
      <w:r>
        <w:rPr>
          <w:iCs/>
          <w:i/>
        </w:rPr>
        <w:t xml:space="preserve">Del.C.</w:t>
      </w:r>
      <w:r>
        <w:t xml:space="preserve"> </w:t>
      </w:r>
      <w:r>
        <w:t xml:space="preserve">§ 327 are not inflexible standards and this Court, as a Court of Equity, must examine carefully the particular circumstances of each case.</w:t>
      </w:r>
    </w:p>
    <w:p>
      <w:pPr>
        <w:pStyle w:val="CaseBody"/>
      </w:pPr>
      <w:r>
        <w:t xml:space="preserve">In the present case the merger pursuant to the plan of reorganization is quite similar to the reorganization in</w:t>
      </w:r>
      <w:r>
        <w:t xml:space="preserve"> </w:t>
      </w:r>
      <w:r>
        <w:rPr>
          <w:iCs/>
          <w:i/>
        </w:rPr>
        <w:t xml:space="preserve">Helfand.</w:t>
      </w:r>
      <w:r>
        <w:t xml:space="preserve"> </w:t>
      </w:r>
      <w:r>
        <w:t xml:space="preserve">The reorganization now before the Court is merely a share for share merger with a newly formed holding company, which retained the old company as a wholly-owned subsidiary of the new holding company with the shareholders of the old company owning all the shares of the new holding company. The structure of the old and new companies is virtually identical except for a slight dilution in the overall stock holdings occasioned by Jet Capital’s exercise of its warrants. Just as in</w:t>
      </w:r>
      <w:r>
        <w:t xml:space="preserve"> </w:t>
      </w:r>
      <w:r>
        <w:rPr>
          <w:iCs/>
          <w:i/>
        </w:rPr>
        <w:t xml:space="preserve">Helfand,</w:t>
      </w:r>
      <w:r>
        <w:t xml:space="preserve"> </w:t>
      </w:r>
      <w:r>
        <w:t xml:space="preserve">plaintiff brought this derivative suit after a reorganization, challenging acts which occurred prior to the reorganization when plaintiff was a shareholder. Although in</w:t>
      </w:r>
      <w:r>
        <w:t xml:space="preserve"> </w:t>
      </w:r>
      <w:r>
        <w:rPr>
          <w:iCs/>
          <w:i/>
        </w:rPr>
        <w:t xml:space="preserve">Helfand,</w:t>
      </w:r>
      <w:r>
        <w:t xml:space="preserve"> </w:t>
      </w:r>
      <w:r>
        <w:t xml:space="preserve">unlike here, the old company was dissolved and suit was maintained on behalf of the new company, the analogy between</w:t>
      </w:r>
      <w:r>
        <w:t xml:space="preserve"> </w:t>
      </w:r>
      <w:r>
        <w:rPr>
          <w:iCs/>
          <w:i/>
        </w:rPr>
        <w:t xml:space="preserve">Helfand</w:t>
      </w:r>
      <w:r>
        <w:t xml:space="preserve"> </w:t>
      </w:r>
      <w:r>
        <w:t xml:space="preserve">and this case is still valid because plaintiff in the present case possesses the same equitable derivative standing as did the plaintiff in</w:t>
      </w:r>
      <w:r>
        <w:t xml:space="preserve"> </w:t>
      </w:r>
      <w:r>
        <w:rPr>
          <w:iCs/>
          <w:i/>
        </w:rPr>
        <w:t xml:space="preserve">Helfand.</w:t>
      </w:r>
      <w:r>
        <w:t xml:space="preserve"> </w:t>
      </w:r>
      <w:r>
        <w:t xml:space="preserve">And the instant action is really a double derivative suit. 13 Fletcher,</w:t>
      </w:r>
      <w:r>
        <w:t xml:space="preserve"> </w:t>
      </w:r>
      <w:r>
        <w:rPr>
          <w:iCs/>
          <w:i/>
        </w:rPr>
        <w:t xml:space="preserve">Cyclopedia Corporations</w:t>
      </w:r>
      <w:r>
        <w:t xml:space="preserve"> </w:t>
      </w:r>
      <w:r>
        <w:t xml:space="preserve">(Perm.Ed.) § 5977. Plaintiff’s position is involuntary insofar as he voted against the merger and his equity interest in the business entity is really still the same. To deny standing, therefore, would not serve to advance the stated purpose of section 327 and would open the door to great abuses. Because the merger had no meaningful effect on the plaintiff’s ownership of the business enterprise, he should have standing to maintain a derivative suit to correct an alleged breach of fiduciary duty. This is evident when the structure of the two corporations is examined because they are virtually identical. In essence, plaintiff still possesses an equitable right to sue derivatively for the benefit of Texas International’s interests as they exist after the reorganization.</w:t>
      </w:r>
    </w:p>
    <w:p>
      <w:pPr>
        <w:pStyle w:val="CaseBody"/>
      </w:pPr>
      <w:r>
        <w:t xml:space="preserve">Several Delaware cases have denied standing to maintain a stockholder’s derivative suit after a merger.</w:t>
      </w:r>
      <w:r>
        <w:t xml:space="preserve"> </w:t>
      </w:r>
      <w:r>
        <w:rPr>
          <w:iCs/>
          <w:i/>
        </w:rPr>
        <w:t xml:space="preserve">Bokat v. Getty Oil Co.,</w:t>
      </w:r>
      <w:r>
        <w:t xml:space="preserve"> </w:t>
      </w:r>
      <w:r>
        <w:t xml:space="preserve">supra;</w:t>
      </w:r>
      <w:r>
        <w:t xml:space="preserve"> </w:t>
      </w:r>
      <w:r>
        <w:rPr>
          <w:iCs/>
          <w:i/>
        </w:rPr>
        <w:t xml:space="preserve">Weinberger v. UOP, Inc.,</w:t>
      </w:r>
      <w:r>
        <w:t xml:space="preserve"> </w:t>
      </w:r>
      <w:r>
        <w:t xml:space="preserve">supra;</w:t>
      </w:r>
      <w:r>
        <w:t xml:space="preserve"> </w:t>
      </w:r>
      <w:r>
        <w:rPr>
          <w:iCs/>
          <w:i/>
        </w:rPr>
        <w:t xml:space="preserve">Hutchison v. Bernhard,</w:t>
      </w:r>
      <w:r>
        <w:t xml:space="preserve"> </w:t>
      </w:r>
      <w:r>
        <w:t xml:space="preserve">supra,</w:t>
      </w:r>
      <w:r>
        <w:t xml:space="preserve"> </w:t>
      </w:r>
      <w:r>
        <w:t xml:space="preserve">and</w:t>
      </w:r>
      <w:r>
        <w:t xml:space="preserve"> </w:t>
      </w:r>
      <w:r>
        <w:rPr>
          <w:iCs/>
          <w:i/>
        </w:rPr>
        <w:t xml:space="preserve">Braasch v. Goldschmidt,</w:t>
      </w:r>
      <w:r>
        <w:t xml:space="preserve"> </w:t>
      </w:r>
      <w:r>
        <w:t xml:space="preserve">supra.</w:t>
      </w:r>
      <w:r>
        <w:t xml:space="preserve"> </w:t>
      </w:r>
      <w:r>
        <w:t xml:space="preserve">In those cases, however, the mergers were either cash-out mergers or mergers with outside or pre-ex-isting corporations with substantial assets.</w:t>
      </w:r>
    </w:p>
    <w:p>
      <w:pPr>
        <w:pStyle w:val="CaseBody"/>
      </w:pPr>
      <w:r>
        <w:t xml:space="preserve">In</w:t>
      </w:r>
      <w:r>
        <w:t xml:space="preserve"> </w:t>
      </w:r>
      <w:r>
        <w:rPr>
          <w:iCs/>
          <w:i/>
        </w:rPr>
        <w:t xml:space="preserve">Heit v. Tenneco, Inc.,</w:t>
      </w:r>
      <w:r>
        <w:t xml:space="preserve"> </w:t>
      </w:r>
      <w:r>
        <w:t xml:space="preserve">D.Del.,</w:t>
      </w:r>
      <w:r>
        <w:t xml:space="preserve"> </w:t>
      </w:r>
      <w:r>
        <w:t xml:space="preserve">319 F.Supp. 884</w:t>
      </w:r>
      <w:r>
        <w:t xml:space="preserve"> </w:t>
      </w:r>
      <w:r>
        <w:t xml:space="preserve">(1970), a case which is, of course, not binding on this Court, the facts were quite different from the facts in the present case because a mere facelifting reorganization was not involved and the plaintiff had a remedy: to attempt to enjoin the merger which occurred during the course of the litigation. And the ruling in</w:t>
      </w:r>
      <w:r>
        <w:t xml:space="preserve"> </w:t>
      </w:r>
      <w:r>
        <w:rPr>
          <w:iCs/>
          <w:i/>
        </w:rPr>
        <w:t xml:space="preserve">Helfand</w:t>
      </w:r>
      <w:r>
        <w:t xml:space="preserve"> </w:t>
      </w:r>
      <w:r>
        <w:t xml:space="preserve">was neither cited nor discussed by the District Court. I am therefore not persuaded that the rule as set forth in</w:t>
      </w:r>
      <w:r>
        <w:t xml:space="preserve"> </w:t>
      </w:r>
      <w:r>
        <w:rPr>
          <w:iCs/>
          <w:i/>
        </w:rPr>
        <w:t xml:space="preserve">Heit</w:t>
      </w:r>
      <w:r>
        <w:t xml:space="preserve"> </w:t>
      </w:r>
      <w:r>
        <w:t xml:space="preserve">is controlling in the unusual factual circumstances of the present case and I find that plaintiff does have standing to maintain this suit.</w:t>
      </w:r>
    </w:p>
    <w:p>
      <w:pPr>
        <w:pStyle w:val="CaseBody"/>
      </w:pPr>
      <w:r>
        <w:t xml:space="preserve">IV</w:t>
      </w:r>
    </w:p>
    <w:p>
      <w:pPr>
        <w:pStyle w:val="CaseBody"/>
      </w:pPr>
      <w:r>
        <w:t xml:space="preserve">Next to be considered is plaintiff’s motion for summary judgment on the grounds that vote-buying existed and, therefore, the entire transaction including the merger was void because Jet Capital, in consideration for being extended an extremely advantageous loan, withdrew its opposition to the proposed merger. Thus, it is alleged that in substance and effect, Texas International purchased Jet Capital’s necessary vote in contravention of settled law and public policy. As a consequence, plaintiff urges that the less than unanimous shareholder consent was insufficient to ratify a void act and its illegality permeated the entire transaction rendering the merger itself void. The critical inquiry, therefore, is whether the loan in question was in fact vote-buying and, if so, whether vote-buying is illegal,</w:t>
      </w:r>
      <w:r>
        <w:t xml:space="preserve"> </w:t>
      </w:r>
      <w:r>
        <w:rPr>
          <w:iCs/>
          <w:i/>
        </w:rPr>
        <w:t xml:space="preserve">per se.</w:t>
      </w:r>
    </w:p>
    <w:p>
      <w:pPr>
        <w:pStyle w:val="CaseBody"/>
      </w:pPr>
      <w:r>
        <w:t xml:space="preserve">It is clear that the loan constituted vote-buying as that term has been defined by the courts. Vote-buying, despite its negative connotation, is simply a voting agreement supported by consideration personal to the stockholder, whereby the stockholder divorces his discretionary voting power and votes as directed by the offeror. The record clearly indicates that Texas International purchased or “removed” the obstacle of Jet Capital’s opposition. Indeed, this is tacitly conceded by the defendants. However, defendants contend that the analysis of the transaction should not end here because the legality of vote-buying depends on whether its object or purpose is to defraud or in some manner disenfranchise the other stockholders. Defendants contend that because the loan did not defraud or disenfranchise any group of shareholders, but rather enfranchised the other shareholders by giving them a determinative vote in the proposed merger, it is not illegal</w:t>
      </w:r>
      <w:r>
        <w:t xml:space="preserve"> </w:t>
      </w:r>
      <w:r>
        <w:rPr>
          <w:iCs/>
          <w:i/>
        </w:rPr>
        <w:t xml:space="preserve">per se.</w:t>
      </w:r>
      <w:r>
        <w:t xml:space="preserve"> </w:t>
      </w:r>
      <w:r>
        <w:t xml:space="preserve">Defendants, in effect, contend that vote-buying is not void</w:t>
      </w:r>
      <w:r>
        <w:t xml:space="preserve"> </w:t>
      </w:r>
      <w:r>
        <w:rPr>
          <w:iCs/>
          <w:i/>
        </w:rPr>
        <w:t xml:space="preserve">per se</w:t>
      </w:r>
      <w:r>
        <w:t xml:space="preserve"> </w:t>
      </w:r>
      <w:r>
        <w:t xml:space="preserve">because the end justified the means. Whether this is valid depends upon the status of the law.</w:t>
      </w:r>
    </w:p>
    <w:p>
      <w:pPr>
        <w:pStyle w:val="CaseBody"/>
      </w:pPr>
      <w:r>
        <w:t xml:space="preserve">The Delaware decisions dealing with vote-buying leave the question unanswered. See</w:t>
      </w:r>
      <w:r>
        <w:t xml:space="preserve"> </w:t>
      </w:r>
      <w:r>
        <w:rPr>
          <w:iCs/>
          <w:i/>
        </w:rPr>
        <w:t xml:space="preserve">Macht v. Merchants Mortgage &amp; Credit Co.,</w:t>
      </w:r>
      <w:r>
        <w:t xml:space="preserve"> </w:t>
      </w:r>
      <w:r>
        <w:t xml:space="preserve">Del.Ch.,</w:t>
      </w:r>
      <w:r>
        <w:t xml:space="preserve"> </w:t>
      </w:r>
      <w:r>
        <w:t xml:space="preserve">194 A. 19</w:t>
      </w:r>
      <w:r>
        <w:t xml:space="preserve"> </w:t>
      </w:r>
      <w:r>
        <w:t xml:space="preserve">(1937);</w:t>
      </w:r>
      <w:r>
        <w:t xml:space="preserve"> </w:t>
      </w:r>
      <w:r>
        <w:rPr>
          <w:iCs/>
          <w:i/>
        </w:rPr>
        <w:t xml:space="preserve">Hall v. Isaacs,</w:t>
      </w:r>
      <w:r>
        <w:t xml:space="preserve"> </w:t>
      </w:r>
      <w:r>
        <w:t xml:space="preserve">Del.Ch.,</w:t>
      </w:r>
      <w:r>
        <w:t xml:space="preserve"> </w:t>
      </w:r>
      <w:r>
        <w:t xml:space="preserve">146 A.2d 602</w:t>
      </w:r>
      <w:r>
        <w:t xml:space="preserve"> </w:t>
      </w:r>
      <w:r>
        <w:t xml:space="preserve">(1958),</w:t>
      </w:r>
      <w:r>
        <w:t xml:space="preserve"> </w:t>
      </w:r>
      <w:r>
        <w:rPr>
          <w:iCs/>
          <w:i/>
        </w:rPr>
        <w:t xml:space="preserve">aff’d,</w:t>
      </w:r>
      <w:r>
        <w:t xml:space="preserve"> </w:t>
      </w:r>
      <w:r>
        <w:t xml:space="preserve">Del.Supr.,</w:t>
      </w:r>
      <w:r>
        <w:t xml:space="preserve"> </w:t>
      </w:r>
      <w:r>
        <w:t xml:space="preserve">163 A.2d 288</w:t>
      </w:r>
      <w:r>
        <w:t xml:space="preserve"> </w:t>
      </w:r>
      <w:r>
        <w:t xml:space="preserve">(1960); and</w:t>
      </w:r>
      <w:r>
        <w:t xml:space="preserve"> </w:t>
      </w:r>
      <w:r>
        <w:rPr>
          <w:iCs/>
          <w:i/>
        </w:rPr>
        <w:t xml:space="preserve">Chew v. Inverness Mgt. Corp.,</w:t>
      </w:r>
      <w:r>
        <w:t xml:space="preserve"> </w:t>
      </w:r>
      <w:r>
        <w:t xml:space="preserve">Del.Ch.,</w:t>
      </w:r>
      <w:r>
        <w:t xml:space="preserve"> </w:t>
      </w:r>
      <w:r>
        <w:t xml:space="preserve">352 A.2d 426</w:t>
      </w:r>
      <w:r>
        <w:t xml:space="preserve"> </w:t>
      </w:r>
      <w:r>
        <w:t xml:space="preserve">(1976). In each of these decisions, the Court summarily voided the challenged votes as being purchased and thus contrary to public policy and in fraud of the other stockholders. However, the facts in each case indicated that fraud or disenfranchisement was the obvious purpose of the vote-buying.</w:t>
      </w:r>
    </w:p>
    <w:p>
      <w:pPr>
        <w:pStyle w:val="CaseBody"/>
      </w:pPr>
      <w:r>
        <w:t xml:space="preserve">The seminal Delaware case,</w:t>
      </w:r>
      <w:r>
        <w:t xml:space="preserve"> </w:t>
      </w:r>
      <w:r>
        <w:rPr>
          <w:iCs/>
          <w:i/>
        </w:rPr>
        <w:t xml:space="preserve">Macht v. Merchants Mortgage &amp; Credit Co.,</w:t>
      </w:r>
      <w:r>
        <w:t xml:space="preserve"> </w:t>
      </w:r>
      <w:r>
        <w:t xml:space="preserve">supra, involved a series of criminally manipulative transactions instigated by a designing director in ordér to wrest control of the corporation from the other stockholders for fraudulent motives. In that case the Court stated with respect to vote-buying:</w:t>
      </w:r>
    </w:p>
    <w:p>
      <w:pPr>
        <w:pStyle w:val="BlockText"/>
      </w:pPr>
      <w:r>
        <w:t xml:space="preserve">“As to the 224 shares which Sigmund Ades, Harry Ades and Sylvia Ades Norin-sky hold as a ‘Protective Committee,’ my conclusion is that they should not be permitted to vote. The deposit of these shares with the committee by the various holders was secured by paying out money to the depositing stockholders as an inducement to them to do so. The money was drawn from Home out of the assets formerly belonging to Merchants. It was I believe subsequently repaid to Home by Sigmund Ades, acting as the agent of his father, Harry Ades. In so far as the voting power of these shares is concerned, I think there can be no doubt that it was purchased. To allow voting rights that are bought to be exercised is against public policy, and would be in fraud of the other stockholders.</w:t>
      </w:r>
      <w:r>
        <w:t xml:space="preserve"> </w:t>
      </w:r>
      <w:r>
        <w:rPr>
          <w:iCs/>
          <w:i/>
        </w:rPr>
        <w:t xml:space="preserve">Dieckmann v. Robyn,</w:t>
      </w:r>
      <w:r>
        <w:t xml:space="preserve"> </w:t>
      </w:r>
      <w:r>
        <w:t xml:space="preserve">162 Mo.App. 67</w:t>
      </w:r>
      <w:r>
        <w:t xml:space="preserve">,</w:t>
      </w:r>
      <w:r>
        <w:t xml:space="preserve"> </w:t>
      </w:r>
      <w:r>
        <w:t xml:space="preserve">141 S.W. 717</w:t>
      </w:r>
      <w:r>
        <w:t xml:space="preserve">;</w:t>
      </w:r>
      <w:r>
        <w:t xml:space="preserve"> </w:t>
      </w:r>
      <w:r>
        <w:rPr>
          <w:iCs/>
          <w:i/>
        </w:rPr>
        <w:t xml:space="preserve">Brady v. Bean,</w:t>
      </w:r>
      <w:r>
        <w:t xml:space="preserve"> </w:t>
      </w:r>
      <w:r>
        <w:t xml:space="preserve">221 Ill.App. 279</w:t>
      </w:r>
      <w:r>
        <w:t xml:space="preserve">;</w:t>
      </w:r>
      <w:r>
        <w:t xml:space="preserve"> </w:t>
      </w:r>
      <w:r>
        <w:rPr>
          <w:iCs/>
          <w:i/>
        </w:rPr>
        <w:t xml:space="preserve">Smith v. San Francisco, etc., Co.,</w:t>
      </w:r>
      <w:r>
        <w:t xml:space="preserve"> </w:t>
      </w:r>
      <w:r>
        <w:t xml:space="preserve">115 Cal. 584</w:t>
      </w:r>
      <w:r>
        <w:t xml:space="preserve">,</w:t>
      </w:r>
      <w:r>
        <w:t xml:space="preserve"> </w:t>
      </w:r>
      <w:r>
        <w:t xml:space="preserve">47 P. 582</w:t>
      </w:r>
      <w:r>
        <w:t xml:space="preserve">,</w:t>
      </w:r>
      <w:r>
        <w:t xml:space="preserve"> </w:t>
      </w:r>
      <w:r>
        <w:t xml:space="preserve">35 L.R.A. 309</w:t>
      </w:r>
      <w:r>
        <w:t xml:space="preserve">,</w:t>
      </w:r>
      <w:r>
        <w:t xml:space="preserve"> </w:t>
      </w:r>
      <w:r>
        <w:t xml:space="preserve">56 Am.St.Rep. 119</w:t>
      </w:r>
      <w:r>
        <w:t xml:space="preserve">.”</w:t>
      </w:r>
      <w:r>
        <w:t xml:space="preserve"> </w:t>
      </w:r>
      <w:r>
        <w:t xml:space="preserve">194 A. 22</w:t>
      </w:r>
      <w:r>
        <w:t xml:space="preserve">.</w:t>
      </w:r>
    </w:p>
    <w:p>
      <w:pPr>
        <w:pStyle w:val="CaseBody"/>
      </w:pPr>
      <w:r>
        <w:t xml:space="preserve">Likewise in</w:t>
      </w:r>
      <w:r>
        <w:t xml:space="preserve"> </w:t>
      </w:r>
      <w:r>
        <w:rPr>
          <w:iCs/>
          <w:i/>
        </w:rPr>
        <w:t xml:space="preserve">Hall</w:t>
      </w:r>
      <w:r>
        <w:t xml:space="preserve"> </w:t>
      </w:r>
      <w:r>
        <w:t xml:space="preserve">and</w:t>
      </w:r>
      <w:r>
        <w:t xml:space="preserve"> </w:t>
      </w:r>
      <w:r>
        <w:rPr>
          <w:iCs/>
          <w:i/>
        </w:rPr>
        <w:t xml:space="preserve">Chew</w:t>
      </w:r>
      <w:r>
        <w:t xml:space="preserve"> </w:t>
      </w:r>
      <w:r>
        <w:t xml:space="preserve">the courts emphatically stated that vote-buying was against public policy but failed to discuss the reason why, other than because of the obvious presence of fraud.</w:t>
      </w:r>
    </w:p>
    <w:p>
      <w:pPr>
        <w:pStyle w:val="CaseBody"/>
      </w:pPr>
      <w:r>
        <w:t xml:space="preserve">The present case presents a peculiar factual setting in that the proposed vote-buying consideration was conditional upon the approval of a majority of the disinterested stockholders after a full disclosure to them of all pertinent facts and was purportedly for the best interests of all Texas International stockholders. It is therefore necessary to do more than merely consider the fact that Jet Capital saw fit to vote for the transaction after a loan was made to it by Texas International. As stated in</w:t>
      </w:r>
      <w:r>
        <w:t xml:space="preserve"> </w:t>
      </w:r>
      <w:r>
        <w:rPr>
          <w:iCs/>
          <w:i/>
        </w:rPr>
        <w:t xml:space="preserve">Oceanic Exploration Co. v. Grynberg,</w:t>
      </w:r>
      <w:r>
        <w:t xml:space="preserve"> </w:t>
      </w:r>
      <w:r>
        <w:t xml:space="preserve">Del.Supr.,</w:t>
      </w:r>
      <w:r>
        <w:t xml:space="preserve"> </w:t>
      </w:r>
      <w:r>
        <w:t xml:space="preserve">428 A.2d 1</w:t>
      </w:r>
      <w:r>
        <w:t xml:space="preserve"> </w:t>
      </w:r>
      <w:r>
        <w:t xml:space="preserve">(1981), a case involving an analogous situation, to do otherwise would be tantamount to “[d]eciding the case on ... an abstraction divorced from the facts of the case and the intent of the law.”</w:t>
      </w:r>
      <w:r>
        <w:t xml:space="preserve"> </w:t>
      </w:r>
      <w:r>
        <w:t xml:space="preserve">428 A.2d 5</w:t>
      </w:r>
      <w:r>
        <w:t xml:space="preserve">.</w:t>
      </w:r>
    </w:p>
    <w:p>
      <w:pPr>
        <w:pStyle w:val="CaseBody"/>
      </w:pPr>
      <w:r>
        <w:t xml:space="preserve">A review of the present controversy, therefore, must go beyond a reading of</w:t>
      </w:r>
      <w:r>
        <w:t xml:space="preserve"> </w:t>
      </w:r>
      <w:r>
        <w:rPr>
          <w:iCs/>
          <w:i/>
        </w:rPr>
        <w:t xml:space="preserve">Macht v. Merchants Mortgage &amp; Credit Co.,</w:t>
      </w:r>
      <w:r>
        <w:t xml:space="preserve"> </w:t>
      </w:r>
      <w:r>
        <w:t xml:space="preserve">supra, and consider the cases cited therein:</w:t>
      </w:r>
      <w:r>
        <w:t xml:space="preserve"> </w:t>
      </w:r>
      <w:r>
        <w:rPr>
          <w:iCs/>
          <w:i/>
        </w:rPr>
        <w:t xml:space="preserve">Dieckmann v. Robyn,</w:t>
      </w:r>
      <w:r>
        <w:t xml:space="preserve"> </w:t>
      </w:r>
      <w:r>
        <w:t xml:space="preserve">Mo.App.,</w:t>
      </w:r>
      <w:r>
        <w:t xml:space="preserve"> </w:t>
      </w:r>
      <w:r>
        <w:t xml:space="preserve">162 Mo.App. 67</w:t>
      </w:r>
      <w:r>
        <w:t xml:space="preserve">,</w:t>
      </w:r>
      <w:r>
        <w:t xml:space="preserve"> </w:t>
      </w:r>
      <w:r>
        <w:t xml:space="preserve">141 S.W. 717</w:t>
      </w:r>
      <w:r>
        <w:t xml:space="preserve"> </w:t>
      </w:r>
      <w:r>
        <w:t xml:space="preserve">(1911);</w:t>
      </w:r>
      <w:r>
        <w:t xml:space="preserve"> </w:t>
      </w:r>
      <w:r>
        <w:rPr>
          <w:iCs/>
          <w:i/>
        </w:rPr>
        <w:t xml:space="preserve">Brady v. Bean,</w:t>
      </w:r>
      <w:r>
        <w:t xml:space="preserve"> </w:t>
      </w:r>
      <w:r>
        <w:t xml:space="preserve">221 Ill. 279</w:t>
      </w:r>
      <w:r>
        <w:t xml:space="preserve"> </w:t>
      </w:r>
      <w:r>
        <w:t xml:space="preserve">(1921);</w:t>
      </w:r>
      <w:r>
        <w:t xml:space="preserve"> </w:t>
      </w:r>
      <w:r>
        <w:rPr>
          <w:iCs/>
          <w:i/>
        </w:rPr>
        <w:t xml:space="preserve">Smith v. San Francisco, etc.,</w:t>
      </w:r>
      <w:r>
        <w:t xml:space="preserve"> </w:t>
      </w:r>
      <w:r>
        <w:t xml:space="preserve">115 Cal. 584</w:t>
      </w:r>
      <w:r>
        <w:t xml:space="preserve">,</w:t>
      </w:r>
      <w:r>
        <w:t xml:space="preserve"> </w:t>
      </w:r>
      <w:r>
        <w:t xml:space="preserve">47 P. 582</w:t>
      </w:r>
      <w:r>
        <w:t xml:space="preserve"> </w:t>
      </w:r>
      <w:r>
        <w:t xml:space="preserve">(1897); and</w:t>
      </w:r>
      <w:r>
        <w:t xml:space="preserve"> </w:t>
      </w:r>
      <w:r>
        <w:rPr>
          <w:iCs/>
          <w:i/>
        </w:rPr>
        <w:t xml:space="preserve">Cone v. Russell,</w:t>
      </w:r>
      <w:r>
        <w:t xml:space="preserve"> </w:t>
      </w:r>
      <w:r>
        <w:t xml:space="preserve">48 N.J.Eq. 208</w:t>
      </w:r>
      <w:r>
        <w:t xml:space="preserve">,</w:t>
      </w:r>
      <w:r>
        <w:t xml:space="preserve"> </w:t>
      </w:r>
      <w:r>
        <w:t xml:space="preserve">21 A. 847</w:t>
      </w:r>
      <w:r>
        <w:t xml:space="preserve"> </w:t>
      </w:r>
      <w:r>
        <w:t xml:space="preserve">(1891). There are essentially two principles which appear in these cases. The first is that vote-buying is illegal</w:t>
      </w:r>
      <w:r>
        <w:t xml:space="preserve"> </w:t>
      </w:r>
      <w:r>
        <w:rPr>
          <w:iCs/>
          <w:i/>
        </w:rPr>
        <w:t xml:space="preserve">per se</w:t>
      </w:r>
      <w:r>
        <w:t xml:space="preserve"> </w:t>
      </w:r>
      <w:r>
        <w:t xml:space="preserve">if its object or purpose is to defraud or disenfranchise the other stockholders. A fraudulent purpose is as defined at common law, as a deceit which operates prejudicially upon the property rights of another.</w:t>
      </w:r>
    </w:p>
    <w:p>
      <w:pPr>
        <w:pStyle w:val="CaseBody"/>
      </w:pPr>
      <w:r>
        <w:t xml:space="preserve">The second principle which appears in these old cases is that vote-buying is illegal</w:t>
      </w:r>
      <w:r>
        <w:t xml:space="preserve"> </w:t>
      </w:r>
      <w:r>
        <w:rPr>
          <w:iCs/>
          <w:i/>
        </w:rPr>
        <w:t xml:space="preserve">per se</w:t>
      </w:r>
      <w:r>
        <w:t xml:space="preserve"> </w:t>
      </w:r>
      <w:r>
        <w:t xml:space="preserve">as a matter of public policy, the reason being that each stockholder should be entitled to rely upon the independent judgment of his fellow stockholders. Thus, the underlying basis for this latter principle is again fraud but as viewed from a sense of duty owed by all stockholders to one another. The apparent rationale is that by requiring each stockholder to exercise his individual judgment as to all matters presented, “[t]he security of the small stockholders is found in the natural disposition of each stockholder to promote the best interests of all, in order to promote his individual interests.”</w:t>
      </w:r>
      <w:r>
        <w:t xml:space="preserve"> </w:t>
      </w:r>
      <w:r>
        <w:rPr>
          <w:iCs/>
          <w:i/>
        </w:rPr>
        <w:t xml:space="preserve">Cone v. Russell,</w:t>
      </w:r>
      <w:r>
        <w:t xml:space="preserve"> </w:t>
      </w:r>
      <w:r>
        <w:t xml:space="preserve">48 N.J.Eq. 208</w:t>
      </w:r>
      <w:r>
        <w:t xml:space="preserve">,</w:t>
      </w:r>
      <w:r>
        <w:t xml:space="preserve"> </w:t>
      </w:r>
      <w:r>
        <w:t xml:space="preserve">21 A. 847</w:t>
      </w:r>
      <w:r>
        <w:t xml:space="preserve">, 849 (1891). In essence, while self interest motivates a stockholder’s vote, theoretically, it is also advancing the interests of the other stockholders. Thus, any agreement entered into for personal gain, whereby a stockholder separates his voting right from his property right was considered a fraud upon this community of interests.</w:t>
      </w:r>
    </w:p>
    <w:p>
      <w:pPr>
        <w:pStyle w:val="CaseBody"/>
      </w:pPr>
      <w:r>
        <w:t xml:space="preserve">The often cited case of</w:t>
      </w:r>
      <w:r>
        <w:t xml:space="preserve"> </w:t>
      </w:r>
      <w:r>
        <w:rPr>
          <w:iCs/>
          <w:i/>
        </w:rPr>
        <w:t xml:space="preserve">Brady v. Bean,</w:t>
      </w:r>
      <w:r>
        <w:t xml:space="preserve"> </w:t>
      </w:r>
      <w:r>
        <w:t xml:space="preserve">221 Ill.App. 279</w:t>
      </w:r>
      <w:r>
        <w:t xml:space="preserve"> </w:t>
      </w:r>
      <w:r>
        <w:t xml:space="preserve">(1921), is particularly enlightening. In that ease, the plaintiff — an apparently influential stockholder — voiced his opposition to the corporation’s proposed sale of assets. The plaintiff feared that his investment would be wiped out because the consideration for the sale appeared only sufficient enough to satisfy the corporation’s creditors. As a result and without the knowledge of the other stockholders, the defendant, also a stockholder as well as a director and substantial creditor of the company, offered to the plaintiff in exchange for the withdrawal of his opposition, a sharing in defendant’s claims against the corporation. In an action to enforce this contract against the defendant’s estate, the Court refused relief stating:</w:t>
      </w:r>
    </w:p>
    <w:p>
      <w:pPr>
        <w:pStyle w:val="BlockText"/>
      </w:pPr>
      <w:r>
        <w:t xml:space="preserve">“Appellant being a stockholder in the company, any contract entered into by him whereby he was to receive a personal consideration in return for either his action or his inaction in a matter such as a sale of all the company’s assets, involving, as it did, the interests of all the stockholders, was contrary to public policy and void, it being admitted that such contract was not known by or assented to by the other stockholders.</w:t>
      </w:r>
      <w:r>
        <w:t xml:space="preserve"> </w:t>
      </w:r>
      <w:r>
        <w:rPr>
          <w:iCs/>
          <w:i/>
        </w:rPr>
        <w:t xml:space="preserve">The purpose and effect of the contract was apparently to influence appellant, in his decision of a question affecting the rights and interests of his associate stockholders, by a consideration which was foreign to those rights and interests and would likely to induce him to disregard the consideration he owed them and the contract must, therefore, be regarded as a fraud upon them.</w:t>
      </w:r>
      <w:r>
        <w:t xml:space="preserve"> </w:t>
      </w:r>
      <w:r>
        <w:t xml:space="preserve">Such an agreement will not be enforced, as being against public policy.</w:t>
      </w:r>
      <w:r>
        <w:t xml:space="preserve"> </w:t>
      </w:r>
      <w:r>
        <w:rPr>
          <w:iCs/>
          <w:i/>
        </w:rPr>
        <w:t xml:space="preserve">Teich v. Kaufman,</w:t>
      </w:r>
      <w:r>
        <w:t xml:space="preserve"> </w:t>
      </w:r>
      <w:r>
        <w:t xml:space="preserve">174 Ill.App. 306</w:t>
      </w:r>
      <w:r>
        <w:t xml:space="preserve">;</w:t>
      </w:r>
      <w:r>
        <w:t xml:space="preserve"> </w:t>
      </w:r>
      <w:r>
        <w:rPr>
          <w:iCs/>
          <w:i/>
        </w:rPr>
        <w:t xml:space="preserve">Guernsey v. Cook,</w:t>
      </w:r>
      <w:r>
        <w:t xml:space="preserve"> </w:t>
      </w:r>
      <w:r>
        <w:t xml:space="preserve">120 Mass. 501</w:t>
      </w:r>
      <w:r>
        <w:t xml:space="preserve">;</w:t>
      </w:r>
      <w:r>
        <w:t xml:space="preserve"> </w:t>
      </w:r>
      <w:r>
        <w:rPr>
          <w:iCs/>
          <w:i/>
        </w:rPr>
        <w:t xml:space="preserve">UPalmbaum [Palmbaum] v. Magulsky,</w:t>
      </w:r>
      <w:r>
        <w:t xml:space="preserve"> </w:t>
      </w:r>
      <w:r>
        <w:t xml:space="preserve">217 Mass. 306</w:t>
      </w:r>
      <w:r>
        <w:t xml:space="preserve"> </w:t>
      </w:r>
      <w:r>
        <w:t xml:space="preserve">[</w:t>
      </w:r>
      <w:r>
        <w:t xml:space="preserve">104 N.E. 746</w:t>
      </w:r>
      <w:r>
        <w:t xml:space="preserve">].” (emphasis added)</w:t>
      </w:r>
      <w:r>
        <w:t xml:space="preserve"> </w:t>
      </w:r>
      <w:r>
        <w:t xml:space="preserve">221 Ill.App. at 283</w:t>
      </w:r>
      <w:r>
        <w:t xml:space="preserve">.</w:t>
      </w:r>
    </w:p>
    <w:p>
      <w:pPr>
        <w:pStyle w:val="CaseBody"/>
      </w:pPr>
      <w:r>
        <w:t xml:space="preserve">In addition to the deceit obviously practiced upon the other stockholders, the Court was clearly concerned with the rights and interests of the other stockholders. Thus, the potential injury or prejudicial impact which might flow to other stockholders as a result of such an agreement forms the heart of the rationale underlying the breach of public policy doctrine.</w:t>
      </w:r>
    </w:p>
    <w:p>
      <w:pPr>
        <w:pStyle w:val="CaseBody"/>
      </w:pPr>
      <w:r>
        <w:t xml:space="preserve">An automatic application of this rationale to the facts in the present case, however, would be to ignore an essential element of the transaction. The agreement in question was entered into primarily to further the interests of Texas International’s other shareholders. Indeed, the shareholders, after reviewing a detailed proxy statement, voted overwhelmingly in favor of the loan agreement. Thus, the underlying rationale for the argument that vote-buying is illegal</w:t>
      </w:r>
      <w:r>
        <w:t xml:space="preserve"> </w:t>
      </w:r>
      <w:r>
        <w:rPr>
          <w:iCs/>
          <w:i/>
        </w:rPr>
        <w:t xml:space="preserve">per se,</w:t>
      </w:r>
      <w:r>
        <w:t xml:space="preserve"> </w:t>
      </w:r>
      <w:r>
        <w:t xml:space="preserve">as a matter of public policy, ceases to exist when measured against the undisputed reason for the transaction.</w:t>
      </w:r>
    </w:p>
    <w:p>
      <w:pPr>
        <w:pStyle w:val="CaseBody"/>
      </w:pPr>
      <w:r>
        <w:t xml:space="preserve">Moreover, the rationale that vote-buying is, as a matter of public policy, illegal</w:t>
      </w:r>
      <w:r>
        <w:t xml:space="preserve"> </w:t>
      </w:r>
      <w:r>
        <w:rPr>
          <w:iCs/>
          <w:i/>
        </w:rPr>
        <w:t xml:space="preserve">per se</w:t>
      </w:r>
      <w:r>
        <w:t xml:space="preserve"> </w:t>
      </w:r>
      <w:r>
        <w:t xml:space="preserve">is founded upon considerations of policy which are now outmoded as a necessary result of an evolving corporate environment. According to 5 Fletcher</w:t>
      </w:r>
      <w:r>
        <w:t xml:space="preserve"> </w:t>
      </w:r>
      <w:r>
        <w:rPr>
          <w:iCs/>
          <w:i/>
        </w:rPr>
        <w:t xml:space="preserve">Cyclopedia Corporation</w:t>
      </w:r>
      <w:r>
        <w:t xml:space="preserve"> </w:t>
      </w:r>
      <w:r>
        <w:t xml:space="preserve">(Perm.Ed.) § 2066:</w:t>
      </w:r>
    </w:p>
    <w:p>
      <w:pPr>
        <w:pStyle w:val="BlockText"/>
      </w:pPr>
      <w:r>
        <w:t xml:space="preserve">“The theory that each stockholder is entitled to the personal judgment of each other stockholder expressed in his vote, and that any agreement among stockholders frustrating it was invalid, is obsolete because it is both impracticable and impossible of application to modern corporations with many widely scattered stockholders, and the courts have gradually abandoned it.”</w:t>
      </w:r>
    </w:p>
    <w:p>
      <w:pPr>
        <w:pStyle w:val="CaseBody"/>
      </w:pPr>
      <w:r>
        <w:t xml:space="preserve">In addition, Delaware law has for quite some time permitted stockholders wide latitude in decisions affecting the restriction or transfer of voting rights. In</w:t>
      </w:r>
      <w:r>
        <w:t xml:space="preserve"> </w:t>
      </w:r>
      <w:r>
        <w:rPr>
          <w:iCs/>
          <w:i/>
        </w:rPr>
        <w:t xml:space="preserve">Ringling Bros., Etc., Shows, Inc. v. Ringling,</w:t>
      </w:r>
      <w:r>
        <w:t xml:space="preserve"> </w:t>
      </w:r>
      <w:r>
        <w:t xml:space="preserve">Del. Supr.,</w:t>
      </w:r>
      <w:r>
        <w:t xml:space="preserve"> </w:t>
      </w:r>
      <w:r>
        <w:t xml:space="preserve">53 A.2d 441</w:t>
      </w:r>
      <w:r>
        <w:t xml:space="preserve"> </w:t>
      </w:r>
      <w:r>
        <w:t xml:space="preserve">(1947), the Delaware Supreme Court adopted a liberal approach to voting agreements which, prior to that time, were viewed with disfavor and were often considered void as a matter of public policy. In upholding a voting agreement the Court stated:</w:t>
      </w:r>
    </w:p>
    <w:p>
      <w:pPr>
        <w:pStyle w:val="BlockText"/>
      </w:pPr>
      <w:r>
        <w:t xml:space="preserve">“Generally speaking, a shareholder may exercise wide liberality of judgment in the matter of voting, and it is not objectionable that his motives may be for personal profit, or determined by whims or caprice, so long as he violates no duty owed his fellow stockholders.” (citation omitted)</w:t>
      </w:r>
    </w:p>
    <w:p>
      <w:pPr>
        <w:pStyle w:val="CaseBody"/>
      </w:pPr>
      <w:r>
        <w:t xml:space="preserve">The Court’s rationale was later codified in 8</w:t>
      </w:r>
      <w:r>
        <w:t xml:space="preserve"> </w:t>
      </w:r>
      <w:r>
        <w:rPr>
          <w:iCs/>
          <w:i/>
        </w:rPr>
        <w:t xml:space="preserve">Del.C.</w:t>
      </w:r>
      <w:r>
        <w:t xml:space="preserve"> </w:t>
      </w:r>
      <w:r>
        <w:t xml:space="preserve">§ 218(c), which states:</w:t>
      </w:r>
    </w:p>
    <w:p>
      <w:pPr>
        <w:pStyle w:val="BlockText"/>
      </w:pPr>
      <w:r>
        <w:t xml:space="preserve">“(c) An agreement between 2 or more stockholders, if in writing and signed by the parties thereto, may provide that in exercising any voting rights, the shares held by them shall be voted as provided by the agreement, or as the parties may agree, or as determined in accordance with a procedure agreed upon by them. No such agreement shall be effective for a term of more than 10 years, but, at any time within 2 years prior to the time of the expiration of such agreement, the parties may extend its duration for as many additional periods, each not to exceed 10 years, as they may desire.”</w:t>
      </w:r>
    </w:p>
    <w:p>
      <w:pPr>
        <w:pStyle w:val="CaseBody"/>
      </w:pPr>
      <w:r>
        <w:t xml:space="preserve">Recently, in</w:t>
      </w:r>
      <w:r>
        <w:t xml:space="preserve"> </w:t>
      </w:r>
      <w:r>
        <w:rPr>
          <w:iCs/>
          <w:i/>
        </w:rPr>
        <w:t xml:space="preserve">Oceanic Exploration Co. v. Grynberg,</w:t>
      </w:r>
      <w:r>
        <w:t xml:space="preserve"> </w:t>
      </w:r>
      <w:r>
        <w:t xml:space="preserve">Del.Supr.,</w:t>
      </w:r>
      <w:r>
        <w:t xml:space="preserve"> </w:t>
      </w:r>
      <w:r>
        <w:t xml:space="preserve">428 A.2d 1</w:t>
      </w:r>
      <w:r>
        <w:t xml:space="preserve"> </w:t>
      </w:r>
      <w:r>
        <w:t xml:space="preserve">(1981), the Delaware Supreme Court applied this approach to voting trusts. The Court also indicated, with approval, the liberal approach to all contractual arrangements limiting the incidents of stock ownership. Significantly,</w:t>
      </w:r>
      <w:r>
        <w:t xml:space="preserve"> </w:t>
      </w:r>
      <w:r>
        <w:rPr>
          <w:iCs/>
          <w:i/>
        </w:rPr>
        <w:t xml:space="preserve">Oceanic</w:t>
      </w:r>
      <w:r>
        <w:t xml:space="preserve"> </w:t>
      </w:r>
      <w:r>
        <w:t xml:space="preserve">involved the giving up of voting rights in exchange for personal gain. There, the stockholder, by way of a voting trust, gave up his right to vote on all corporate matters over a period of years in return for “valuable benefits including indemnity for large liabilities.” 428 A.2d at 5.</w:t>
      </w:r>
    </w:p>
    <w:p>
      <w:pPr>
        <w:pStyle w:val="CaseBody"/>
      </w:pPr>
      <w:r>
        <w:t xml:space="preserve">Given the holdings in</w:t>
      </w:r>
      <w:r>
        <w:t xml:space="preserve"> </w:t>
      </w:r>
      <w:r>
        <w:rPr>
          <w:iCs/>
          <w:i/>
        </w:rPr>
        <w:t xml:space="preserve">Ringling</w:t>
      </w:r>
      <w:r>
        <w:t xml:space="preserve"> </w:t>
      </w:r>
      <w:r>
        <w:t xml:space="preserve">and</w:t>
      </w:r>
      <w:r>
        <w:t xml:space="preserve"> </w:t>
      </w:r>
      <w:r>
        <w:rPr>
          <w:iCs/>
          <w:i/>
        </w:rPr>
        <w:t xml:space="preserve">Oceanic</w:t>
      </w:r>
      <w:r>
        <w:t xml:space="preserve"> </w:t>
      </w:r>
      <w:r>
        <w:t xml:space="preserve">it is clear that Delaware has discarded the presumptions against voting agreements. Thus, under our present law, an agreement involving the transfer of stock voting rights without the transfer of ownership is not necessarily illegal and each arrangement must be examined in light of its object or purpose. To hold otherwise would be to exalt form over substance. As indicated in</w:t>
      </w:r>
      <w:r>
        <w:t xml:space="preserve"> </w:t>
      </w:r>
      <w:r>
        <w:rPr>
          <w:iCs/>
          <w:i/>
        </w:rPr>
        <w:t xml:space="preserve">Oceanic</w:t>
      </w:r>
      <w:r>
        <w:t xml:space="preserve"> </w:t>
      </w:r>
      <w:r>
        <w:t xml:space="preserve">more than the mere form of an agreement relating to voting must be considered and voting agreements in whatever form, therefore, should not be considered to be illegal</w:t>
      </w:r>
      <w:r>
        <w:t xml:space="preserve"> </w:t>
      </w:r>
      <w:r>
        <w:rPr>
          <w:iCs/>
          <w:i/>
        </w:rPr>
        <w:t xml:space="preserve">per se</w:t>
      </w:r>
      <w:r>
        <w:t xml:space="preserve"> </w:t>
      </w:r>
      <w:r>
        <w:t xml:space="preserve">unless the object or purpose is to defraud or in some way disenfranchise the other stockholders. This is not to say, however, that vote-buying accomplished for some laudible purpose is automatically free from challenge. Because vote-buying is so easily susceptible of abuse it must be viewed as a voidable transaction subject to a test for intrinsic fairness.</w:t>
      </w:r>
    </w:p>
    <w:p>
      <w:pPr>
        <w:pStyle w:val="CaseBody"/>
      </w:pPr>
      <w:r>
        <w:t xml:space="preserve">V</w:t>
      </w:r>
    </w:p>
    <w:p>
      <w:pPr>
        <w:pStyle w:val="CaseBody"/>
      </w:pPr>
      <w:r>
        <w:t xml:space="preserve">Apparently anticipating this finding, plaintiff also attempts to cast the loan agreement as one seeking to accomplish a fraudulent purpose. As indicative of fraud, plaintiff points to the fact that no other warrant holder was given a similar loan to enable an early exercise of the warrants. However, despite this contention, I am satisfied that, based on the record, there is no evidence from which an inference of a fraudulent object or purpose can be drawn.</w:t>
      </w:r>
    </w:p>
    <w:p>
      <w:pPr>
        <w:pStyle w:val="CaseBody"/>
      </w:pPr>
      <w:r>
        <w:t xml:space="preserve">As to the other warrant holders who did not get a loan, they were merely the holders of an expectant and contingent interest and, as such, were owed no duty by Texas International except as set forth in the warrant certificates. FOLK,</w:t>
      </w:r>
      <w:r>
        <w:t xml:space="preserve"> </w:t>
      </w:r>
      <w:r>
        <w:rPr>
          <w:iCs/>
          <w:i/>
        </w:rPr>
        <w:t xml:space="preserve">The Delaware General Corporation Law,</w:t>
      </w:r>
      <w:r>
        <w:t xml:space="preserve"> </w:t>
      </w:r>
      <w:r>
        <w:t xml:space="preserve">Little, Brown (1972) § 155, p. 126. In any event, the record fails to show any evidence that Texas International’s ultimate decision to fund Jet Capital’s early exercise of the warrants was motivated and accomplished except with the best interests of all Texas International stockholders in mind.</w:t>
      </w:r>
    </w:p>
    <w:p>
      <w:pPr>
        <w:pStyle w:val="CaseBody"/>
      </w:pPr>
      <w:r>
        <w:t xml:space="preserve">VI</w:t>
      </w:r>
    </w:p>
    <w:p>
      <w:pPr>
        <w:pStyle w:val="CaseBody"/>
      </w:pPr>
      <w:r>
        <w:t xml:space="preserve">I therefore hold that the agreement, whereby Jet Capital withdrew its opposition to the proposed merger in exchange for a loan to fund the early exercise of its warrants was not void</w:t>
      </w:r>
      <w:r>
        <w:t xml:space="preserve"> </w:t>
      </w:r>
      <w:r>
        <w:rPr>
          <w:iCs/>
          <w:i/>
        </w:rPr>
        <w:t xml:space="preserve">per se</w:t>
      </w:r>
      <w:r>
        <w:t xml:space="preserve"> </w:t>
      </w:r>
      <w:r>
        <w:t xml:space="preserve">because the object and purpose of the agreement was not to defraud or disenfranchise the other stockholders but rather was for the purpose of furthering the interest of all Texas International stockholders. The agreement, however, was a voidable act. Because the loan agreement was voidable it was susceptible to cure by shareholder approval.</w:t>
      </w:r>
      <w:r>
        <w:t xml:space="preserve"> </w:t>
      </w:r>
      <w:r>
        <w:rPr>
          <w:iCs/>
          <w:i/>
        </w:rPr>
        <w:t xml:space="preserve">Michelson v. Duncan,</w:t>
      </w:r>
      <w:r>
        <w:t xml:space="preserve"> </w:t>
      </w:r>
      <w:r>
        <w:t xml:space="preserve">Del.Supr.,</w:t>
      </w:r>
      <w:r>
        <w:t xml:space="preserve"> </w:t>
      </w:r>
      <w:r>
        <w:t xml:space="preserve">407 A.2d 211</w:t>
      </w:r>
      <w:r>
        <w:t xml:space="preserve"> </w:t>
      </w:r>
      <w:r>
        <w:t xml:space="preserve">(1979). Consequently, the subsequent ratification of the transaction by a majority of the independent stockholders, after a full disclosure of all germane facts with complete candor precludes any further judicial inquiry of it.</w:t>
      </w:r>
    </w:p>
    <w:p>
      <w:pPr>
        <w:pStyle w:val="CaseBody"/>
      </w:pPr>
      <w:r>
        <w:t xml:space="preserve">VII</w:t>
      </w:r>
    </w:p>
    <w:p>
      <w:pPr>
        <w:pStyle w:val="CaseBody"/>
      </w:pPr>
      <w:r>
        <w:t xml:space="preserve">Lastly, I consider defendants’ motion for summary judgment based on the allegation that the record fails to show any factual basis to support an allegation of corporate waste.</w:t>
      </w:r>
    </w:p>
    <w:p>
      <w:pPr>
        <w:pStyle w:val="CaseBody"/>
      </w:pPr>
      <w:r>
        <w:t xml:space="preserve">It is well settled in this state that waste of corporate assets is incapable of ratification without unanimous stockholder consent.</w:t>
      </w:r>
      <w:r>
        <w:t xml:space="preserve"> </w:t>
      </w:r>
      <w:r>
        <w:rPr>
          <w:iCs/>
          <w:i/>
        </w:rPr>
        <w:t xml:space="preserve">Beard v. Elster,</w:t>
      </w:r>
      <w:r>
        <w:t xml:space="preserve"> </w:t>
      </w:r>
      <w:r>
        <w:t xml:space="preserve">Del.Supr.,</w:t>
      </w:r>
      <w:r>
        <w:t xml:space="preserve"> </w:t>
      </w:r>
      <w:r>
        <w:t xml:space="preserve">160 A.2d 731</w:t>
      </w:r>
      <w:r>
        <w:t xml:space="preserve"> </w:t>
      </w:r>
      <w:r>
        <w:t xml:space="preserve">(1960);</w:t>
      </w:r>
      <w:r>
        <w:t xml:space="preserve"> </w:t>
      </w:r>
      <w:r>
        <w:rPr>
          <w:iCs/>
          <w:i/>
        </w:rPr>
        <w:t xml:space="preserve">Kerbs v. California Eastern Airways,</w:t>
      </w:r>
      <w:r>
        <w:t xml:space="preserve"> </w:t>
      </w:r>
      <w:r>
        <w:t xml:space="preserve">Del.Supr.,</w:t>
      </w:r>
      <w:r>
        <w:t xml:space="preserve"> </w:t>
      </w:r>
      <w:r>
        <w:t xml:space="preserve">90 A.2d 652</w:t>
      </w:r>
      <w:r>
        <w:t xml:space="preserve"> </w:t>
      </w:r>
      <w:r>
        <w:t xml:space="preserve">(1952);</w:t>
      </w:r>
      <w:r>
        <w:t xml:space="preserve"> </w:t>
      </w:r>
      <w:r>
        <w:rPr>
          <w:iCs/>
          <w:i/>
        </w:rPr>
        <w:t xml:space="preserve">Gottlieb v. Heyden Chemical Corp.,</w:t>
      </w:r>
      <w:r>
        <w:t xml:space="preserve"> </w:t>
      </w:r>
      <w:r>
        <w:t xml:space="preserve">Del.Supr.,</w:t>
      </w:r>
      <w:r>
        <w:t xml:space="preserve"> </w:t>
      </w:r>
      <w:r>
        <w:t xml:space="preserve">91 A.2d 57</w:t>
      </w:r>
      <w:r>
        <w:t xml:space="preserve"> </w:t>
      </w:r>
      <w:r>
        <w:t xml:space="preserve">(1952);</w:t>
      </w:r>
      <w:r>
        <w:t xml:space="preserve"> </w:t>
      </w:r>
      <w:r>
        <w:rPr>
          <w:iCs/>
          <w:i/>
        </w:rPr>
        <w:t xml:space="preserve">Saxe v. Brady,</w:t>
      </w:r>
      <w:r>
        <w:t xml:space="preserve"> </w:t>
      </w:r>
      <w:r>
        <w:t xml:space="preserve">Del.Ch.,</w:t>
      </w:r>
      <w:r>
        <w:t xml:space="preserve"> </w:t>
      </w:r>
      <w:r>
        <w:t xml:space="preserve">184 A.2d 602</w:t>
      </w:r>
      <w:r>
        <w:t xml:space="preserve"> </w:t>
      </w:r>
      <w:r>
        <w:t xml:space="preserve">(1962); and</w:t>
      </w:r>
      <w:r>
        <w:t xml:space="preserve"> </w:t>
      </w:r>
      <w:r>
        <w:rPr>
          <w:iCs/>
          <w:i/>
        </w:rPr>
        <w:t xml:space="preserve">Michelson v. Duncan,</w:t>
      </w:r>
      <w:r>
        <w:t xml:space="preserve"> </w:t>
      </w:r>
      <w:r>
        <w:t xml:space="preserve">Del.Supr.,</w:t>
      </w:r>
      <w:r>
        <w:t xml:space="preserve"> </w:t>
      </w:r>
      <w:r>
        <w:t xml:space="preserve">407 A.2d 211</w:t>
      </w:r>
      <w:r>
        <w:t xml:space="preserve"> </w:t>
      </w:r>
      <w:r>
        <w:t xml:space="preserve">(1979). These decisions, however, also hold that in an action challenging a transaction on grounds of corporate waste which is subsequently ratified by the stockholders, the burden of persuasion falls on the objecting stockholder “to convince the Court that no person of ordinary, sound business judgment would be expected to entertain the view that the consideration was a fair exchange for the value which was given” (citations omitted).</w:t>
      </w:r>
      <w:r>
        <w:t xml:space="preserve"> </w:t>
      </w:r>
      <w:r>
        <w:rPr>
          <w:iCs/>
          <w:i/>
        </w:rPr>
        <w:t xml:space="preserve">Saxe v. Brady,</w:t>
      </w:r>
      <w:r>
        <w:t xml:space="preserve"> </w:t>
      </w:r>
      <w:r>
        <w:t xml:space="preserve">184 A.2d at 610</w:t>
      </w:r>
      <w:r>
        <w:t xml:space="preserve">. Because the present transaction was both approved by a disinterested committee of directors and ratified by a majority of the stockholders including a majority of the disinterested stockholders, plaintiff clearly carries the burden of persuasion as to this issue.</w:t>
      </w:r>
      <w:r>
        <w:t xml:space="preserve"> </w:t>
      </w:r>
      <w:r>
        <w:rPr>
          <w:iCs/>
          <w:i/>
        </w:rPr>
        <w:t xml:space="preserve">Michelson v. Duncan,</w:t>
      </w:r>
      <w:r>
        <w:t xml:space="preserve"> </w:t>
      </w:r>
      <w:r>
        <w:t xml:space="preserve">supra.</w:t>
      </w:r>
    </w:p>
    <w:p>
      <w:pPr>
        <w:pStyle w:val="CaseBody"/>
      </w:pPr>
      <w:r>
        <w:t xml:space="preserve">While defendants have compiled a strong record negating a claim of waste, plaintiff has only relied on his contention that the 5% interest rate on the loan from Texas International to Jet Capital constituted waste. Specifically, plaintiff claims that, because the 5% interest rate was merely equal to the dividends anticipated to be paid on the stock during the time period the warrants would have been outstanding if the early exercise of the warrants had not occurred, Jet Capital received a virtually interest free loan from the time of the exercise of the warrants until the original expiration date. Moreover, plaintiff contends that the loan was given to a controlling stockholder whose net worth precluded it from securing such financing elsewhere. As a result, this controlling stockholder was able to increase its holdings in Texas International at the expense of that company.</w:t>
      </w:r>
    </w:p>
    <w:p>
      <w:pPr>
        <w:pStyle w:val="CaseBody"/>
      </w:pPr>
      <w:r>
        <w:t xml:space="preserve">On the other hand, defendants contend that the terms of the loan were properly within the realm of business judgment and .the consideration which flowed to Texas International from the merger was invaluable. In essence, defendants contend that the merger permitted: expansion, diversification, increased efficiency, reductions in costs and minimized governmental regulation. In addition, as earlier indicated, the loan is claimed to have had a minimal impact on Texas International’s cash position because the money was immediately paid back into the company upon the exercise of the warrants. Moreover, it is urged that because the</w:t>
      </w:r>
      <w:r>
        <w:t xml:space="preserve"> </w:t>
      </w:r>
      <w:r>
        <w:rPr>
          <w:iCs/>
          <w:i/>
        </w:rPr>
        <w:t xml:space="preserve">5%</w:t>
      </w:r>
      <w:r>
        <w:t xml:space="preserve"> </w:t>
      </w:r>
      <w:r>
        <w:t xml:space="preserve">interest rate was equal to the dividends which would have been paid, this further reduced the impact on Texas International’s cash position and is therefore viewed by defendants as a positive factor.</w:t>
      </w:r>
    </w:p>
    <w:p>
      <w:pPr>
        <w:pStyle w:val="CaseBody"/>
      </w:pPr>
      <w:r>
        <w:t xml:space="preserve">Nevertheless, although plaintiff’s claim of waste is barely supported by the record, I am reluctant to grant summary judgment on a question of corporate waste without giving plaintiff an opportunity to further develop his claim. In</w:t>
      </w:r>
      <w:r>
        <w:t xml:space="preserve"> </w:t>
      </w:r>
      <w:r>
        <w:rPr>
          <w:iCs/>
          <w:i/>
        </w:rPr>
        <w:t xml:space="preserve">Michelson v. Duncan,</w:t>
      </w:r>
      <w:r>
        <w:t xml:space="preserve"> </w:t>
      </w:r>
      <w:r>
        <w:t xml:space="preserve">supra,</w:t>
      </w:r>
      <w:r>
        <w:t xml:space="preserve"> </w:t>
      </w:r>
      <w:r>
        <w:t xml:space="preserve">a decision in which the plaintiffs did nothing more than put the defendants on notice of a challenge based on corporate waste, the Delaware Supreme Court held:</w:t>
      </w:r>
    </w:p>
    <w:p>
      <w:pPr>
        <w:pStyle w:val="BlockText"/>
      </w:pPr>
      <w:r>
        <w:t xml:space="preserve">“Claims of gift or waste of corporate assets are seldom subject to disposition by summary judgment; and when there are genuine issues of fact as to the existence of consideration, a full hearing is required regardless of shareholder ratification. See</w:t>
      </w:r>
      <w:r>
        <w:t xml:space="preserve"> </w:t>
      </w:r>
      <w:r>
        <w:rPr>
          <w:iCs/>
          <w:i/>
        </w:rPr>
        <w:t xml:space="preserve">Kerbs v. California Eastern Airways,</w:t>
      </w:r>
      <w:r>
        <w:t xml:space="preserve"> </w:t>
      </w:r>
      <w:r>
        <w:t xml:space="preserve">supra;</w:t>
      </w:r>
      <w:r>
        <w:t xml:space="preserve"> </w:t>
      </w:r>
      <w:r>
        <w:rPr>
          <w:iCs/>
          <w:i/>
        </w:rPr>
        <w:t xml:space="preserve">Gottlieb v. Heyden Chemical Corp.,</w:t>
      </w:r>
      <w:r>
        <w:t xml:space="preserve"> </w:t>
      </w:r>
      <w:r>
        <w:t xml:space="preserve">supra. ‘The determination of whether or not there has been in any given situation a gift of corporate assets does not rest upon any hard and fast rule. It is largely a question of fact.’</w:t>
      </w:r>
      <w:r>
        <w:t xml:space="preserve"> </w:t>
      </w:r>
      <w:r>
        <w:rPr>
          <w:iCs/>
          <w:i/>
        </w:rPr>
        <w:t xml:space="preserve">Gottlieb v. McKee,</w:t>
      </w:r>
      <w:r>
        <w:t xml:space="preserve"> </w:t>
      </w:r>
      <w:r>
        <w:t xml:space="preserve">Del.Ch.,</w:t>
      </w:r>
      <w:r>
        <w:t xml:space="preserve"> </w:t>
      </w:r>
      <w:r>
        <w:t xml:space="preserve">34 Del.Ch. 537</w:t>
      </w:r>
      <w:r>
        <w:t xml:space="preserve">,</w:t>
      </w:r>
      <w:r>
        <w:t xml:space="preserve"> </w:t>
      </w:r>
      <w:r>
        <w:t xml:space="preserve">107 A.2d 240</w:t>
      </w:r>
      <w:r>
        <w:t xml:space="preserve"> </w:t>
      </w:r>
      <w:r>
        <w:t xml:space="preserve">at 243 (1954). In</w:t>
      </w:r>
      <w:r>
        <w:t xml:space="preserve"> </w:t>
      </w:r>
      <w:r>
        <w:rPr>
          <w:iCs/>
          <w:i/>
        </w:rPr>
        <w:t xml:space="preserve">Saxe v. Brady,</w:t>
      </w:r>
      <w:r>
        <w:t xml:space="preserve"> </w:t>
      </w:r>
      <w:r>
        <w:t xml:space="preserve">Del.Ch.,</w:t>
      </w:r>
      <w:r>
        <w:t xml:space="preserve"> </w:t>
      </w:r>
      <w:r>
        <w:t xml:space="preserve">40 Del.Ch. 474</w:t>
      </w:r>
      <w:r>
        <w:t xml:space="preserve">,</w:t>
      </w:r>
      <w:r>
        <w:t xml:space="preserve"> </w:t>
      </w:r>
      <w:r>
        <w:t xml:space="preserve">184 A.2d 602</w:t>
      </w:r>
      <w:r>
        <w:t xml:space="preserve"> </w:t>
      </w:r>
      <w:r>
        <w:t xml:space="preserve">(1962), Chancellor Seitz stated ‘Where waste of corporate assets is alleged, the court, notwithstanding independent stockholder ratification, must examine the facts of the situation.’ (</w:t>
      </w:r>
      <w:r>
        <w:t xml:space="preserve">184 A.2d at 610</w:t>
      </w:r>
      <w:r>
        <w:t xml:space="preserve">). In</w:t>
      </w:r>
      <w:r>
        <w:t xml:space="preserve"> </w:t>
      </w:r>
      <w:r>
        <w:rPr>
          <w:iCs/>
          <w:i/>
        </w:rPr>
        <w:t xml:space="preserve">Heyden</w:t>
      </w:r>
      <w:r>
        <w:t xml:space="preserve"> </w:t>
      </w:r>
      <w:r>
        <w:t xml:space="preserve">this Court stated:</w:t>
      </w:r>
    </w:p>
    <w:p>
      <w:pPr>
        <w:pStyle w:val="BlockText"/>
      </w:pPr>
      <w:r>
        <w:t xml:space="preserve">“An important question, which is not yet answered, is whether these services and these options can sensibly be deemed to be the subject of a fair exchange. This is obviously not a mere question of law. An issue of fact is raised, as to which, as yet, no evidence has been taken.”</w:t>
      </w:r>
      <w:r>
        <w:t xml:space="preserve"> </w:t>
      </w:r>
      <w:r>
        <w:t xml:space="preserve">33 Del.Ch. 177</w:t>
      </w:r>
      <w:r>
        <w:t xml:space="preserve">,</w:t>
      </w:r>
      <w:r>
        <w:t xml:space="preserve"> </w:t>
      </w:r>
      <w:r>
        <w:t xml:space="preserve">91 A.2d 57</w:t>
      </w:r>
      <w:r>
        <w:t xml:space="preserve"> </w:t>
      </w:r>
      <w:r>
        <w:t xml:space="preserve">at 59’.”</w:t>
      </w:r>
    </w:p>
    <w:p>
      <w:pPr>
        <w:pStyle w:val="CaseBody"/>
      </w:pPr>
      <w:r>
        <w:t xml:space="preserve">In view of this holding, I cannot conclude, at this time, that as a matter of law there was no waste of corporate assets.</w:t>
      </w:r>
    </w:p>
    <w:p>
      <w:pPr>
        <w:pStyle w:val="CaseBody"/>
      </w:pPr>
      <w:r>
        <w:t xml:space="preserve">VIII</w:t>
      </w:r>
    </w:p>
    <w:p>
      <w:pPr>
        <w:pStyle w:val="CaseBody"/>
      </w:pPr>
      <w:r>
        <w:t xml:space="preserve">In summary plaintiff’s motion for summary judgment on the grounds that the transaction before the Court was permeated by vote-buying and was therefore void or voidable is denied. Defendants’ motion for summary judgment on the grounds that plaintiff lacks standing to bring this suit or on the grounds that there is no factual basis for a claim of waste is denied.</w:t>
      </w:r>
    </w:p>
    <w:p>
      <w:pPr>
        <w:pStyle w:val="CaseBody"/>
      </w:pPr>
      <w:r>
        <w:t xml:space="preserve">IT IS SO ORDERED.</w:t>
      </w:r>
    </w:p>
    <w:bookmarkStart w:id="110" w:name="_auto_toc_110"/>
    <w:bookmarkEnd w:id="110"/>
    <w:p>
      <w:pPr>
        <w:pStyle w:val="SectionNumber"/>
      </w:pPr>
      <w:r>
        <w:t xml:space="preserve">9.2</w:t>
      </w:r>
    </w:p>
    <w:p>
      <w:pPr>
        <w:pStyle w:val="SectionTitle"/>
      </w:pPr>
      <w:r>
        <w:t xml:space="preserve">Reference 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111" w:name="_auto_toc_111"/>
    <w:bookmarkEnd w:id="111"/>
    <w:p>
      <w:pPr>
        <w:pStyle w:val="ResourceNumber"/>
      </w:pPr>
      <w:r>
        <w:t xml:space="preserve">9.2.1</w:t>
      </w:r>
    </w:p>
    <w:p>
      <w:pPr>
        <w:pStyle w:val="ResourceTitle"/>
      </w:pPr>
      <w:r>
        <w:t xml:space="preserve">Brecher v. Gregg</w:t>
      </w:r>
    </w:p>
    <w:p>
      <w:pPr>
        <w:pStyle w:val="HeadEnd"/>
      </w:pPr>
      <w:r>
        <w:t xml:space="preserve"> </w:t>
      </w:r>
    </w:p>
    <w:p>
      <w:pPr>
        <w:pStyle w:val="CaseHeader"/>
      </w:pPr>
      <w:r>
        <w:t xml:space="preserve">New York Supreme Court</w:t>
      </w:r>
    </w:p>
    <w:p>
      <w:pPr>
        <w:pStyle w:val="CaseHeader"/>
      </w:pPr>
      <w:r>
        <w:t xml:space="preserve">89 Misc. 2d 457</w:t>
      </w:r>
    </w:p>
    <w:p>
      <w:pPr>
        <w:pStyle w:val="CaseHeader"/>
      </w:pPr>
      <w:r>
        <w:t xml:space="preserve">1975-09-13</w:t>
      </w:r>
    </w:p>
    <w:p>
      <w:pPr>
        <w:pStyle w:val="CaseBody"/>
      </w:pPr>
      <w:r>
        <w:rPr>
          <w:iCs/>
          <w:i/>
        </w:rPr>
        <w:t xml:space="preserve">Cowan, Liebowitz &amp; Latman (Alan Latman</w:t>
      </w:r>
      <w:r>
        <w:t xml:space="preserve"> </w:t>
      </w:r>
      <w:r>
        <w:t xml:space="preserve">of counsel), for plaintiff.</w:t>
      </w:r>
      <w:r>
        <w:t xml:space="preserve"> </w:t>
      </w:r>
      <w:r>
        <w:rPr>
          <w:iCs/>
          <w:i/>
        </w:rPr>
        <w:t xml:space="preserve">Bernard J. Coven</w:t>
      </w:r>
      <w:r>
        <w:t xml:space="preserve"> </w:t>
      </w:r>
      <w:r>
        <w:t xml:space="preserve">for Frederic Gregg, Jr., defendant.</w:t>
      </w:r>
      <w:r>
        <w:t xml:space="preserve"> </w:t>
      </w:r>
      <w:r>
        <w:rPr>
          <w:iCs/>
          <w:i/>
        </w:rPr>
        <w:t xml:space="preserve">Cravath, Swaine &amp; Moore (Robert S. Rifkind</w:t>
      </w:r>
      <w:r>
        <w:t xml:space="preserve"> </w:t>
      </w:r>
      <w:r>
        <w:t xml:space="preserve">and</w:t>
      </w:r>
      <w:r>
        <w:t xml:space="preserve"> </w:t>
      </w:r>
      <w:r>
        <w:rPr>
          <w:iCs/>
          <w:i/>
        </w:rPr>
        <w:t xml:space="preserve">Sidney Davis</w:t>
      </w:r>
      <w:r>
        <w:t xml:space="preserve"> </w:t>
      </w:r>
      <w:r>
        <w:t xml:space="preserve">of counsel), for Clyde W. Clifford and others, defendants.</w:t>
      </w:r>
      <w:r>
        <w:t xml:space="preserve"> </w:t>
      </w:r>
      <w:r>
        <w:rPr>
          <w:iCs/>
          <w:i/>
        </w:rPr>
        <w:t xml:space="preserve">Fried, Frank, Harris, Shriver &amp; Jacobson (Lawrence Rosenthal</w:t>
      </w:r>
      <w:r>
        <w:t xml:space="preserve"> </w:t>
      </w:r>
      <w:r>
        <w:t xml:space="preserve">of counsel), for Lin Broadcasting Corporation, defendant.</w:t>
      </w:r>
    </w:p>
    <w:p>
      <w:pPr>
        <w:pStyle w:val="CaseBody"/>
      </w:pPr>
      <w:r>
        <w:t xml:space="preserve">Norman L. Harvey, J.</w:t>
      </w:r>
    </w:p>
    <w:p>
      <w:pPr>
        <w:pStyle w:val="CaseBody"/>
      </w:pPr>
      <w:r>
        <w:t xml:space="preserve">This is a shareholder’s derivative action brought on behalf of Lin Broadcasting Corporation (LIN) by Louis J. Brecher who, at the time this action was commenced, owned 200 shares of LIN common stock. No party challenges his right to bring the action.</w:t>
      </w:r>
    </w:p>
    <w:p>
      <w:pPr>
        <w:pStyle w:val="CaseBody"/>
      </w:pPr>
      <w:r>
        <w:t xml:space="preserve">LIN was incorporated in Delaware in 1961. By December, 1968 it had become a publicly-held corporation with assets of approximately $55,000,000. Currently it holds licenses issued by the Federal Communications Commission (FCC) to operate 10 radio and 2 television stations. Defendant Frederic Gregg was the principal founder of LIN and served as LIN’s president from the time of incorporation until his resignation oh January 10, 1969. In addition, Gregg was a member of the board of directors from October, 1961 to March, 1969 and chairman from February, 1967 to March, 1969. As of January 10, 1969 Gregg owned approximately 82,000 shares of LIN common stock — the largest block beneficially owned by any single person or entity.</w:t>
      </w:r>
    </w:p>
    <w:p>
      <w:pPr>
        <w:pStyle w:val="CaseBody"/>
      </w:pPr>
      <w:r>
        <w:t xml:space="preserve">The defendants Clyde W. Clifford, Peter J. Solomon, David Steine, Joel M. Thrope, Thomas I. Unterberg and Lind Carl Voth were directors of LIN at all times relevant herein. Defendant Alan J. Patricof was a director of LIN from February 19, 1967 until January 10, 1969 at which time an earlier tendered resignation was accepted by the LIN directors. He did not participate in any of the activities complained of by the plaintiff.</w:t>
      </w:r>
    </w:p>
    <w:p>
      <w:pPr>
        <w:pStyle w:val="CaseBody"/>
      </w:pPr>
      <w:r>
        <w:t xml:space="preserve">The controversy centers upon a transaction between the defendant Gregg and the Saturday Evening Post Company (SEPCO) in which the latter bought Gregg’s 82,000 shares of LIN stock. The purchase price of the stock was $3,500,000, said amount being approximately $1,260,000 more than the market price on the date of sale. Plaintiff contends that SEPCO paid Gregg a premium for Gregg’s promise to resign immediately as president of LIN; bring about the election of SEPCO’s nominee as his successor to the presidency; bring about the immediate election of three SEPCO nominees as directors; and ultimately bring about an absolute numerical majority of SEPCO nominees to the board. Plaintiff contends that the acceptance of this premium amounted to a sale of corporate office, and therefore, was illegal.</w:t>
      </w:r>
    </w:p>
    <w:p>
      <w:pPr>
        <w:pStyle w:val="CaseBody"/>
      </w:pPr>
      <w:r>
        <w:t xml:space="preserve">Two specific contentions of the plaintiff are:</w:t>
      </w:r>
    </w:p>
    <w:p>
      <w:pPr>
        <w:pStyle w:val="CaseBody"/>
      </w:pPr>
      <w:r>
        <w:t xml:space="preserve">(1) That the corporation is entitled to receive $1,260,000 of the sale price paid to the defendant Gregg as a premium; and</w:t>
      </w:r>
    </w:p>
    <w:p>
      <w:pPr>
        <w:pStyle w:val="CaseBody"/>
      </w:pPr>
      <w:r>
        <w:t xml:space="preserve">(2) That because the remaining directors acquiesced in Gregg’s promise and actually did vote to elect nominees of SEPCO as president and as three of its directors they are liable, jointly with Gregg and severally, for the premium resulting from the sale.</w:t>
      </w:r>
    </w:p>
    <w:p>
      <w:pPr>
        <w:pStyle w:val="CaseBody"/>
      </w:pPr>
      <w:r>
        <w:t xml:space="preserve">A third contention will be stated and considered later in the decision.</w:t>
      </w:r>
    </w:p>
    <w:p>
      <w:pPr>
        <w:pStyle w:val="CaseBody"/>
      </w:pPr>
      <w:r>
        <w:t xml:space="preserve">Trial of the action was accomplished by the submission of certain exhibits which were agreed upon by all parties, the depositions of numerous witnesses, and answers to interrogatories. The court did not personally see or hear any of the witnesses when they gave their testimony.</w:t>
      </w:r>
    </w:p>
    <w:p>
      <w:pPr>
        <w:pStyle w:val="CaseBody"/>
      </w:pPr>
      <w:r>
        <w:t xml:space="preserve">Certain of the facts are undisputed. Sometime during the latter part of 1968 the defendant Frederic Gregg, Jr. and Martin Ackerman, then president of SEPCO, entered into negotiations for the purchase of the LIN stock owned by Gregg. Ultimately, an agreement was reached for the purchase of the stock by SEPCO for the total consideration of $3,500,000. In addition to that, Gregg agreed to relinquish certain rights that he had under an employment contract with LIN which included, among other things, stock options. The price of $3,500,000 was approximately $1,260,000 more than the then current price on the over-the-counter securities exchange in New York City.</w:t>
      </w:r>
    </w:p>
    <w:p>
      <w:pPr>
        <w:pStyle w:val="CaseBody"/>
      </w:pPr>
      <w:r>
        <w:t xml:space="preserve">Shortly after the agreement, defendant Gregg called a meeting of the LIN board of directors at which: defendant Alan Patricof s previously submitted resignation was accepted, thus creating a vacancy; the board voted to expand its size from 8 to 10 seats; the SEPCO nominees, Martin Ackerman, Alfred Driscoll and Milton Gould, were elected to fill the three vacancies; Gregg’s resignation as president was tendered and accepted; and Ackerman was elected as his successor.</w:t>
      </w:r>
    </w:p>
    <w:p>
      <w:pPr>
        <w:pStyle w:val="CaseBody"/>
      </w:pPr>
      <w:r>
        <w:t xml:space="preserve">Within a few weeks thereafter, LIN’s board of directors terminated Ackerman’s tenure as president and all SEPCO directors resigned. SEPCO then sued Gregg, LIN and others for a refund of the premium alleging that, as conditions of its purchase, it was promised that SEPCO’s nominee would be hired as president of LIN and be given a fair opportunity to supervise the management of its affairs; that SEPCO be given immediate minority representation on the board of directors and that best efforts be made to cause SEPCO to have majority representation on the board at an early date by seeking required approval from FCC. The complaint further alleged that the defendants breached the agreement by not permitting SEPCO’s nominee to the presidency an ample opportunity to manage the corporation. The complaint was dismissed at Special Term because of the illegality of the agreement. Mr. Justice Saypol’s opinion will be referred to later herein.</w:t>
      </w:r>
    </w:p>
    <w:p>
      <w:pPr>
        <w:pStyle w:val="CaseBody"/>
      </w:pPr>
      <w:r>
        <w:t xml:space="preserve">No evidence was introduced to establish that any of the director defendants, other than Gregg, was involved in the negotiations for the sale of Gregg’s stock nor that they received any benefit therefrom.</w:t>
      </w:r>
    </w:p>
    <w:p>
      <w:pPr>
        <w:pStyle w:val="CaseBody"/>
      </w:pPr>
      <w:r>
        <w:t xml:space="preserve">The bulk of the evidence introduced concerned the negotiations between Martin S. Ackerman, president of SEPCO, and the defendant Gregg for the purchase of Gregg’s stock. That evidence was conflicting as to the issue of the inducement for the payment of a premium. But, from all the evidence before it, the court concludes that the defendant Gregg and SEPCO agreed upon the purchase price of $3,500,000 for Gregg’s stock (which also would result in his forfeiture of substantial stock option rights) and that the inducement for payment of a price more than $1,200,000 above the price quoted in the over-the-counter market was Gregg’s promise to deliver effective control of LIN to SEPCO. Control was to be delivered by Gregg’s resignation of the presidency and the election of SEPCO’s nominees to the presidency and three directorships.</w:t>
      </w:r>
    </w:p>
    <w:p>
      <w:pPr>
        <w:pStyle w:val="CaseBody"/>
      </w:pPr>
      <w:r>
        <w:t xml:space="preserve">The court concludes as a matter of law that the agreement insofar as it provided for a premium in exchange for a promise of control, with only 4% of the outstanding shares actually being transferred, was contrary to public policy and illegal. The law as it pertains to these facts was succinctly stated by Mr. Justice Saypol in his determination of the motion previously referred to.</w:t>
      </w:r>
      <w:r>
        <w:t xml:space="preserve"> </w:t>
      </w:r>
      <w:r>
        <w:rPr>
          <w:iCs/>
          <w:i/>
        </w:rPr>
        <w:t xml:space="preserve">(Brecher v Gregg,</w:t>
      </w:r>
      <w:r>
        <w:t xml:space="preserve"> </w:t>
      </w:r>
      <w:r>
        <w:t xml:space="preserve">NYLJ, June 15,1970, p 16, col 1.)</w:t>
      </w:r>
    </w:p>
    <w:p>
      <w:pPr>
        <w:pStyle w:val="CaseBody"/>
      </w:pPr>
      <w:r>
        <w:t xml:space="preserve">"The subject agreement to purchase an office is against public policy and unenforceable in this State. The employment contract cannot be saved by severance since it is an integral portion of the agreement having an illegal purpose.</w:t>
      </w:r>
    </w:p>
    <w:p>
      <w:pPr>
        <w:pStyle w:val="CaseBody"/>
      </w:pPr>
      <w:r>
        <w:t xml:space="preserve">"It is not alleged that by virtue of the stock purchase plaintiff acquired control with which it could then install officers and directors of its own selection. It appears on the face of the complaint that the transaction had no semblance of actual or practical control; rather, the designation of president and minority board representation remained in the actual control of the defendants but was bargained away to plaintiff.</w:t>
      </w:r>
    </w:p>
    <w:p>
      <w:pPr>
        <w:pStyle w:val="CaseBody"/>
      </w:pPr>
      <w:r>
        <w:t xml:space="preserve">"As stated in</w:t>
      </w:r>
      <w:r>
        <w:t xml:space="preserve"> </w:t>
      </w:r>
      <w:r>
        <w:rPr>
          <w:iCs/>
          <w:i/>
        </w:rPr>
        <w:t xml:space="preserve">Matter of Lionel Corp.</w:t>
      </w:r>
      <w:r>
        <w:t xml:space="preserve"> </w:t>
      </w:r>
      <w:r>
        <w:t xml:space="preserve">(NYLJ, Feb. 4, 1964, Schweitzer, J, Sup Ct NY County): 'As early as</w:t>
      </w:r>
      <w:r>
        <w:t xml:space="preserve"> </w:t>
      </w:r>
      <w:r>
        <w:rPr>
          <w:iCs/>
          <w:i/>
        </w:rPr>
        <w:t xml:space="preserve">McClure v</w:t>
      </w:r>
      <w:r>
        <w:t xml:space="preserve"> </w:t>
      </w:r>
      <w:r>
        <w:rPr>
          <w:iCs/>
          <w:i/>
        </w:rPr>
        <w:t xml:space="preserve">Law</w:t>
      </w:r>
      <w:r>
        <w:t xml:space="preserve"> </w:t>
      </w:r>
      <w:r>
        <w:t xml:space="preserve">(</w:t>
      </w:r>
      <w:r>
        <w:t xml:space="preserve">161 NY 78</w:t>
      </w:r>
      <w:r>
        <w:t xml:space="preserve">), and as late as</w:t>
      </w:r>
      <w:r>
        <w:t xml:space="preserve"> </w:t>
      </w:r>
      <w:r>
        <w:rPr>
          <w:iCs/>
          <w:i/>
        </w:rPr>
        <w:t xml:space="preserve">Essex Universal Corp v Yates</w:t>
      </w:r>
      <w:r>
        <w:t xml:space="preserve"> </w:t>
      </w:r>
      <w:r>
        <w:t xml:space="preserve">(</w:t>
      </w:r>
      <w:r>
        <w:t xml:space="preserve">305 F2d 572</w:t>
      </w:r>
      <w:r>
        <w:t xml:space="preserve">), it is the law of this State that it is illegal to sell corporate office or management control by itself (that is, accompanied by no stock or insufficient stock to carry voting control).’ (Affd</w:t>
      </w:r>
      <w:r>
        <w:t xml:space="preserve"> </w:t>
      </w:r>
      <w:r>
        <w:rPr>
          <w:iCs/>
          <w:i/>
        </w:rPr>
        <w:t xml:space="preserve">sub nom Matter of Caplan v Lionel Corp.,</w:t>
      </w:r>
      <w:r>
        <w:t xml:space="preserve"> </w:t>
      </w:r>
      <w:r>
        <w:t xml:space="preserve">20 AD2d 301</w:t>
      </w:r>
      <w:r>
        <w:t xml:space="preserve">, affd</w:t>
      </w:r>
      <w:r>
        <w:t xml:space="preserve"> </w:t>
      </w:r>
      <w:r>
        <w:t xml:space="preserve">14 NY2d 679</w:t>
      </w:r>
      <w:r>
        <w:t xml:space="preserve">.) Indeed, the illegal profit belongs to the corporation</w:t>
      </w:r>
      <w:r>
        <w:t xml:space="preserve"> </w:t>
      </w:r>
      <w:r>
        <w:rPr>
          <w:iCs/>
          <w:i/>
        </w:rPr>
        <w:t xml:space="preserve">(Gabriel Ind. v Defiance Ind.,</w:t>
      </w:r>
      <w:r>
        <w:t xml:space="preserve"> </w:t>
      </w:r>
      <w:r>
        <w:t xml:space="preserve">NYLJ, June 17, 1964, p 13, col 8; Sarafite, J., affd</w:t>
      </w:r>
      <w:r>
        <w:t xml:space="preserve"> </w:t>
      </w:r>
      <w:r>
        <w:t xml:space="preserve">23 AD2d 630</w:t>
      </w:r>
      <w:r>
        <w:t xml:space="preserve">).”</w:t>
      </w:r>
    </w:p>
    <w:p>
      <w:pPr>
        <w:pStyle w:val="CaseBody"/>
      </w:pPr>
      <w:r>
        <w:t xml:space="preserve">Clearly, the defendant Gregg must forfeit to the corporation any illegal profit derived from his sale of stock.</w:t>
      </w:r>
    </w:p>
    <w:p>
      <w:pPr>
        <w:pStyle w:val="CaseBody"/>
      </w:pPr>
      <w:r>
        <w:t xml:space="preserve">But, a much more difficult question to be resolved is the determination of the issue created by the contention of the plaintiff that the directors who voted for the election of SEPCO’s nominees are jointly and severally liable to account to the corporation for the illegal profits of Gregg. No specific precedent for this contention has been offered.</w:t>
      </w:r>
    </w:p>
    <w:p>
      <w:pPr>
        <w:pStyle w:val="CaseBody"/>
      </w:pPr>
      <w:r>
        <w:t xml:space="preserve">To determine this issue, it is necessary to fully understand the nature of the liability to his corporation incurred by a director or officer who sells his stock at a premium. It is a liability that arises because the director or officer is considered to be in the position of a fiduciary to the corporation.</w:t>
      </w:r>
    </w:p>
    <w:p>
      <w:pPr>
        <w:pStyle w:val="CaseBody"/>
      </w:pPr>
      <w:r>
        <w:t xml:space="preserve">"In a broad sense, the directors and officers of a corporation are its agents, and they occupy a fiduciary, or more exactly a quasi-fiduciary, relation to the corporation and its stockholders.</w:t>
      </w:r>
      <w:r>
        <w:t xml:space="preserve"> </w:t>
      </w:r>
      <w:r>
        <w:rPr>
          <w:iCs/>
          <w:i/>
        </w:rPr>
        <w:t xml:space="preserve">[Equity Corp. v Groves,</w:t>
      </w:r>
      <w:r>
        <w:t xml:space="preserve"> </w:t>
      </w:r>
      <w:r>
        <w:t xml:space="preserve">294 NY 8</w:t>
      </w:r>
      <w:r>
        <w:t xml:space="preserve">,</w:t>
      </w:r>
      <w:r>
        <w:t xml:space="preserve"> </w:t>
      </w:r>
      <w:r>
        <w:t xml:space="preserve">60 NE2d 19</w:t>
      </w:r>
      <w:r>
        <w:t xml:space="preserve">;</w:t>
      </w:r>
      <w:r>
        <w:t xml:space="preserve"> </w:t>
      </w:r>
      <w:r>
        <w:rPr>
          <w:iCs/>
          <w:i/>
        </w:rPr>
        <w:t xml:space="preserve">Pink v Title Guarantee &amp; Trust Co.,</w:t>
      </w:r>
      <w:r>
        <w:t xml:space="preserve"> </w:t>
      </w:r>
      <w:r>
        <w:t xml:space="preserve">274 NY 167</w:t>
      </w:r>
      <w:r>
        <w:t xml:space="preserve">,</w:t>
      </w:r>
      <w:r>
        <w:t xml:space="preserve"> </w:t>
      </w:r>
      <w:r>
        <w:t xml:space="preserve">8 NE2d 321</w:t>
      </w:r>
      <w:r>
        <w:t xml:space="preserve">;</w:t>
      </w:r>
      <w:r>
        <w:t xml:space="preserve"> </w:t>
      </w:r>
      <w:r>
        <w:rPr>
          <w:iCs/>
          <w:i/>
        </w:rPr>
        <w:t xml:space="preserve">Manson v Curtis,</w:t>
      </w:r>
      <w:r>
        <w:t xml:space="preserve"> </w:t>
      </w:r>
      <w:r>
        <w:t xml:space="preserve">223 NY 313</w:t>
      </w:r>
      <w:r>
        <w:t xml:space="preserve">,</w:t>
      </w:r>
      <w:r>
        <w:t xml:space="preserve"> </w:t>
      </w:r>
      <w:r>
        <w:t xml:space="preserve">119 NE 559</w:t>
      </w:r>
      <w:r>
        <w:t xml:space="preserve">;</w:t>
      </w:r>
      <w:r>
        <w:t xml:space="preserve"> </w:t>
      </w:r>
      <w:r>
        <w:rPr>
          <w:iCs/>
          <w:i/>
        </w:rPr>
        <w:t xml:space="preserve">Godley v Crandall &amp; G. Co.,</w:t>
      </w:r>
      <w:r>
        <w:t xml:space="preserve"> </w:t>
      </w:r>
      <w:r>
        <w:t xml:space="preserve">212 NY 121</w:t>
      </w:r>
      <w:r>
        <w:t xml:space="preserve">,</w:t>
      </w:r>
      <w:r>
        <w:t xml:space="preserve"> </w:t>
      </w:r>
      <w:r>
        <w:t xml:space="preserve">105 NE 818</w:t>
      </w:r>
      <w:r>
        <w:t xml:space="preserve">;</w:t>
      </w:r>
      <w:r>
        <w:t xml:space="preserve"> </w:t>
      </w:r>
      <w:r>
        <w:rPr>
          <w:iCs/>
          <w:i/>
        </w:rPr>
        <w:t xml:space="preserve">Bosworth v Allen,</w:t>
      </w:r>
      <w:r>
        <w:t xml:space="preserve"> </w:t>
      </w:r>
      <w:r>
        <w:t xml:space="preserve">168 NY 157</w:t>
      </w:r>
      <w:r>
        <w:t xml:space="preserve">,</w:t>
      </w:r>
      <w:r>
        <w:t xml:space="preserve"> </w:t>
      </w:r>
      <w:r>
        <w:t xml:space="preserve">61 NE 163</w:t>
      </w:r>
      <w:r>
        <w:t xml:space="preserve">;</w:t>
      </w:r>
      <w:r>
        <w:t xml:space="preserve"> </w:t>
      </w:r>
      <w:r>
        <w:rPr>
          <w:iCs/>
          <w:i/>
        </w:rPr>
        <w:t xml:space="preserve">Seymour v Spring Forest Cemetery Assn.,</w:t>
      </w:r>
      <w:r>
        <w:t xml:space="preserve"> </w:t>
      </w:r>
      <w:r>
        <w:t xml:space="preserve">144 NY 333</w:t>
      </w:r>
      <w:r>
        <w:t xml:space="preserve">,</w:t>
      </w:r>
      <w:r>
        <w:t xml:space="preserve"> </w:t>
      </w:r>
      <w:r>
        <w:t xml:space="preserve">39 NE 365</w:t>
      </w:r>
      <w:r>
        <w:t xml:space="preserve">.] They are bound by all those rules of conscientious fairness, morality, and honesty in purpose, which the law imposes as guides for those who are under the fiduciary obligations and responsibilities, and they are held, in official action, to the extreme measure of candor, unselfishness, and good faith. They are bound to exercise the utmost good faith and loyalty in the performance of their duties, to be scrupulous in such performance, and to act at all times in the interests of the corporation and the stockholders, and not for personal benefit or advantage. Directors must always be free from fraud in their relations with their shareholders; fair dealing is imperative. Indeed, it is the view frequently and broadly taken that the officers and directors of a corporation are, in substance and in effect, trustees for the corporation and for its stockholders, it has been said that at least they occupy a position of partial trust. * * *</w:t>
      </w:r>
    </w:p>
    <w:p>
      <w:pPr>
        <w:pStyle w:val="CaseBody"/>
      </w:pPr>
      <w:r>
        <w:t xml:space="preserve">"For violation of their duty resulting in the waste of corporate assets, injury to its property, or unlawful gain to themselves, directors and officers are in fact liable to account in equity the same as ordinary trustees” (12 NY Jur, Corporations, § 717).</w:t>
      </w:r>
    </w:p>
    <w:p>
      <w:pPr>
        <w:pStyle w:val="CaseBody"/>
      </w:pPr>
      <w:r>
        <w:t xml:space="preserve">"It is a cardinal principle that a director or an officer of a corporation will not be permitted to make a private profit out of his official position; he must give to the corporation the benefit of any advantage which he has thereby obtained. The rule applies irrespective of the motive or good faith of the director or officer. * * * Where the president and director of a corporation was paid money by outside parties upon the condition that he procure their election as directors of the corporation with powers of control and management, such money was received by virtue of his office and from official acts and he must account to the corporation for it.” (12 NY Jur, Corporations, § 724.)</w:t>
      </w:r>
    </w:p>
    <w:p>
      <w:pPr>
        <w:pStyle w:val="CaseBody"/>
      </w:pPr>
      <w:r>
        <w:t xml:space="preserve">The sale of a director’s or officer’s shares can lead to a violation of such fiduciary duty in certain circumstances.</w:t>
      </w:r>
    </w:p>
    <w:p>
      <w:pPr>
        <w:pStyle w:val="CaseBody"/>
      </w:pPr>
      <w:r>
        <w:t xml:space="preserve">"Ordinarily, a director possesses the same right as any other stockholder to deal freely with his shares of stock and to dispose of them at such a price as he may be able to obtain, so long as he does not commit a fraud or violate his duty to the corporation. Apart from circumstances of bad faith or proof of injury to the corporation, a director who sells his stock above the current market quotations is not accountable to the corporation for any profit made on such sale.</w:t>
      </w:r>
    </w:p>
    <w:p>
      <w:pPr>
        <w:pStyle w:val="CaseBody"/>
      </w:pPr>
      <w:r>
        <w:t xml:space="preserve">"The sale of control of the corporation through a sale of his stock by a director or officer is not necessarily objectionable, so long as there is no fraud in the transaction or receipt of a special bonus or premium.” (12 NY Jur, Corporations, § 755.)</w:t>
      </w:r>
    </w:p>
    <w:p>
      <w:pPr>
        <w:pStyle w:val="CaseBody"/>
      </w:pPr>
      <w:r>
        <w:t xml:space="preserve">"A transaction in which directors or officers who own a majority of the stock of a corporation sell the stock and agree to, or resign so as to facilitate, the taking over of control by the purchasers may be legal, but such a transaction will be closely scrutinized for fraud. A director or officer can be compelled to account to the corporation for an improper sale of his stock: (1) where, in addition to the purchase price, he receives a bonus for relinquishing either his control or his office; (2) where, by a sale of his stock at a premium, he conspires fraudulently to turn over control to purchasers who mismanage the corporation; and (3) where, without adequate investigation, he negligently turns over control to purchasers who pay him a bonus for the sale of his stock, and the purchasers then proceed to loot the corporate assets.” (12 NY Jur, Corporations, § 756.)</w:t>
      </w:r>
    </w:p>
    <w:p>
      <w:pPr>
        <w:pStyle w:val="CaseBody"/>
      </w:pPr>
      <w:r>
        <w:t xml:space="preserve">The policy underlying these principles, as stated by Chief Judge Fuld, in affirming the liability of corporate officers who had traded in their own corporation’s stock at a substantial profit on the basis of inside information, and holding that such profits could be made the basis of an accounting due the corporation is that: "[D]amages * * * [have] never been considered to be an essential requirement for a cause of action founded on a breach of fiduciary duty * * * because the function of such an action, unlike an ordinary tort or contract case, is not merely to</w:t>
      </w:r>
      <w:r>
        <w:t xml:space="preserve"> </w:t>
      </w:r>
      <w:r>
        <w:rPr>
          <w:iCs/>
          <w:i/>
        </w:rPr>
        <w:t xml:space="preserve">compensate</w:t>
      </w:r>
      <w:r>
        <w:t xml:space="preserve"> </w:t>
      </w:r>
      <w:r>
        <w:t xml:space="preserve">the plaintiff for wrongs committed by the defendant but * * * 'to</w:t>
      </w:r>
      <w:r>
        <w:t xml:space="preserve"> </w:t>
      </w:r>
      <w:r>
        <w:rPr>
          <w:iCs/>
          <w:i/>
        </w:rPr>
        <w:t xml:space="preserve">prevent</w:t>
      </w:r>
      <w:r>
        <w:t xml:space="preserve"> </w:t>
      </w:r>
      <w:r>
        <w:t xml:space="preserve">them, by removing from agents and trustees all inducement to attempt dealing for their own benefit in matters which they have undertaken for others, or to which their agency or trust relates.’</w:t>
      </w:r>
    </w:p>
    <w:p>
      <w:pPr>
        <w:pStyle w:val="CaseBody"/>
      </w:pPr>
      <w:r>
        <w:t xml:space="preserve">"Just as a trustee has no right to retain for himself the profits yielded by property placed in his possession but must account to his beneficiaries, a corporate fiduciary, who is entrusted with potentially valuable information, may not appropriate that asset for his own use even though, in so doing, he causes no injury to the corporation. The primary concern, in a case such as this, is not to determine whether the corporation has been damaged but to decide, as between the corporation and the defendants, who has a higher claim to the proceeds derived from the exploitation of the information. In our opinion, there can be no justification for permitting officers and directors, such as the defendants, to retain for themselves profits which, it is alleged, they derived solely from exploiting information gained by virtue of their inside position as corporate officials. * * *</w:t>
      </w:r>
    </w:p>
    <w:p>
      <w:pPr>
        <w:pStyle w:val="CaseBody"/>
      </w:pPr>
      <w:r>
        <w:t xml:space="preserve">"Sitting as we are in this case as a court of equity, we should not hesitate to permit an action to prevent any unjust enrichment realized by the defendants from their allegedly wrongful act.”</w:t>
      </w:r>
      <w:r>
        <w:t xml:space="preserve"> </w:t>
      </w:r>
      <w:r>
        <w:rPr>
          <w:iCs/>
          <w:i/>
        </w:rPr>
        <w:t xml:space="preserve">(Diamond v Oreamuno,</w:t>
      </w:r>
      <w:r>
        <w:t xml:space="preserve"> </w:t>
      </w:r>
      <w:r>
        <w:t xml:space="preserve">24 NY2d 494</w:t>
      </w:r>
      <w:r>
        <w:t xml:space="preserve">, 498-501.) (See, also,</w:t>
      </w:r>
      <w:r>
        <w:t xml:space="preserve"> </w:t>
      </w:r>
      <w:r>
        <w:rPr>
          <w:iCs/>
          <w:i/>
        </w:rPr>
        <w:t xml:space="preserve">Bosworth v Allen,</w:t>
      </w:r>
      <w:r>
        <w:t xml:space="preserve"> </w:t>
      </w:r>
      <w:r>
        <w:t xml:space="preserve">168 NY 157</w:t>
      </w:r>
      <w:r>
        <w:t xml:space="preserve">.)</w:t>
      </w:r>
    </w:p>
    <w:p>
      <w:pPr>
        <w:pStyle w:val="CaseBody"/>
      </w:pPr>
      <w:r>
        <w:t xml:space="preserve">The remedy is an equitable one</w:t>
      </w:r>
      <w:r>
        <w:t xml:space="preserve"> </w:t>
      </w:r>
      <w:r>
        <w:rPr>
          <w:iCs/>
          <w:i/>
        </w:rPr>
        <w:t xml:space="preserve">(Equity Corp. v Groves,</w:t>
      </w:r>
      <w:r>
        <w:t xml:space="preserve"> </w:t>
      </w:r>
      <w:r>
        <w:t xml:space="preserve">294 NY 8</w:t>
      </w:r>
      <w:r>
        <w:t xml:space="preserve">) and only available to the extent of actual profits realized by the defendant</w:t>
      </w:r>
      <w:r>
        <w:t xml:space="preserve"> </w:t>
      </w:r>
      <w:r>
        <w:rPr>
          <w:iCs/>
          <w:i/>
        </w:rPr>
        <w:t xml:space="preserve">(Gabriel Ind. v Defiance Ind.,</w:t>
      </w:r>
      <w:r>
        <w:t xml:space="preserve"> </w:t>
      </w:r>
      <w:r>
        <w:t xml:space="preserve">22 NY2d 405</w:t>
      </w:r>
      <w:r>
        <w:t xml:space="preserve">).</w:t>
      </w:r>
    </w:p>
    <w:p>
      <w:pPr>
        <w:pStyle w:val="CaseBody"/>
      </w:pPr>
      <w:r>
        <w:t xml:space="preserve">In summary, an officer’s transfer of fewer than a majority of his corporation’s shares, at a price in excess of that prevailing in the market, accompanied by his promise to effect the transfer of offices and control in the corporation to the vendee, is a transaction which breaches the fiduciary duty owed the corporation and upon application to a court of equity: the officer will be made to forfeit that portion of his profit ascribable to the unlawful promise as he has been unjustly enriched; and an accounting made on behalf of the corporation, since it is, of the two, the party more entitled to the proceeds.</w:t>
      </w:r>
    </w:p>
    <w:p>
      <w:pPr>
        <w:pStyle w:val="CaseBody"/>
      </w:pPr>
      <w:r>
        <w:t xml:space="preserve">Since there has been no showing that the actions of any directors other than Gregg either led to any pecuniary loss to the corporation or to the realization of any personal profit or gain to themselves, it follows that they cannot be held liable jointly, or severally, with Gregg for the payment of the premium over to the corporation.</w:t>
      </w:r>
    </w:p>
    <w:p>
      <w:pPr>
        <w:pStyle w:val="CaseBody"/>
      </w:pPr>
      <w:r>
        <w:t xml:space="preserve">In view of the fact that the court is charged with the duty to determine both the law and the facts, it must render a factual decision. There was no malfeasance or misfeasance demonstrated in the directors having voted to elect Messrs. Ackerman, Driscoll and Gould. That decision was as consistent with the future well-being and success of the corporation as the later vote to remove Ackerman. On the mere basis of hindsight, the court cannot inculpate these directors for what may or may not have been an unfortunate decision.</w:t>
      </w:r>
    </w:p>
    <w:p>
      <w:pPr>
        <w:pStyle w:val="CaseBody"/>
      </w:pPr>
      <w:r>
        <w:t xml:space="preserve">The third cause of action concerns itself with the following facts:</w:t>
      </w:r>
    </w:p>
    <w:p>
      <w:pPr>
        <w:pStyle w:val="CaseBody"/>
      </w:pPr>
      <w:r>
        <w:t xml:space="preserve">In March, 1968 LIN entered into a contract with Communications Industries Corporation (CIC) whereby LIN agreed to acquire radio station WJRZ from CIC. It was agreed that, should the FCC not approve the acquisition on or before February 14, 1969, either party could withdraw from the undertaking. In connection with the proposed acquisition, LIN deposited $250,000 in escrow to be paid to CIC if the transaction was consummated.</w:t>
      </w:r>
    </w:p>
    <w:p>
      <w:pPr>
        <w:pStyle w:val="CaseBody"/>
      </w:pPr>
      <w:r>
        <w:t xml:space="preserve">LIN’s original application for approval of its acquisition from CIC of radio station WJRZ was filed with the FCC on May 27, 1968. During the seven and one-half months prior to January 10, 1969, the FCC required both LIN and CIC to submit numerous addenda, including specific information with respect to the background of, and LIN’s arrangement with, an officer and major stockholder of WJRZ. LIN and CIC had responded to such FCC inquiries as late as January 10, 1969, the day the LIN board elected SEPCO’s nominees to office.</w:t>
      </w:r>
    </w:p>
    <w:p>
      <w:pPr>
        <w:pStyle w:val="CaseBody"/>
      </w:pPr>
      <w:r>
        <w:t xml:space="preserve">On January 15, 1969, the FCC requested an explanation with respect to rumors appearing in trade publications that SEPCO was "in the process of acquiring” control of LIN. By letter dated February 10, 1969, the FCC was informed that, while SEPCO "and related interests” did desire to obtain control of LIN "at some future time”, no change of control had resulted from the election of the SEPCO nominees or SEPCO’s purchase of Gregg’s stock, and no change in control would take place without prior FCC approval.</w:t>
      </w:r>
    </w:p>
    <w:p>
      <w:pPr>
        <w:pStyle w:val="CaseBody"/>
      </w:pPr>
      <w:r>
        <w:t xml:space="preserve">On February 17, 1969, CIC informed LIN that, since the FCC had failed to approve the transfer to LIN of the WJRZ license on or before February 14, 1969, it was exercising the option to cancel the contract. Litigation ensued over LIN’s right to return of its good faith deposit of $250,000. The litigation was ultimately settled with CIC receiving $45,000 and the remaining $205,000 being returned to LIN. The radio station was sold to a third party for substantially more than the price offered to LIN.</w:t>
      </w:r>
    </w:p>
    <w:p>
      <w:pPr>
        <w:pStyle w:val="CaseBody"/>
      </w:pPr>
      <w:r>
        <w:t xml:space="preserve">Plaintiff’s third contention is that the defendants are liable to the corporation because of a loss of bargain. He claims that the Gregg-SEPCO transaction blocked FCC approval of the purchase of radio station WJRZ.</w:t>
      </w:r>
    </w:p>
    <w:p>
      <w:pPr>
        <w:pStyle w:val="CaseBody"/>
      </w:pPr>
      <w:r>
        <w:t xml:space="preserve">The actionability of this "lost bargain” theory necessarily hinges on a showing of eventual success in the contractual endeavor; concomitant with a showing that the Gregg-SEPCO transaction, including the actions of the board of directors, was actionable as the proximate cause of the FCC’s failure to approve before its termination.</w:t>
      </w:r>
      <w:r>
        <w:t xml:space="preserve"> </w:t>
      </w:r>
      <w:r>
        <w:rPr>
          <w:iCs/>
          <w:i/>
        </w:rPr>
        <w:t xml:space="preserve">(Union Car Adv. Co. v Collier,</w:t>
      </w:r>
      <w:r>
        <w:t xml:space="preserve"> </w:t>
      </w:r>
      <w:r>
        <w:t xml:space="preserve">263 NY 386</w:t>
      </w:r>
      <w:r>
        <w:t xml:space="preserve">; see, also,</w:t>
      </w:r>
      <w:r>
        <w:t xml:space="preserve"> </w:t>
      </w:r>
      <w:r>
        <w:rPr>
          <w:iCs/>
          <w:i/>
        </w:rPr>
        <w:t xml:space="preserve">A. S. Rampell, Inc. v Hyster Co.,</w:t>
      </w:r>
      <w:r>
        <w:t xml:space="preserve"> </w:t>
      </w:r>
      <w:r>
        <w:t xml:space="preserve">3 NY2d 369</w:t>
      </w:r>
      <w:r>
        <w:t xml:space="preserve">;</w:t>
      </w:r>
      <w:r>
        <w:t xml:space="preserve"> </w:t>
      </w:r>
      <w:r>
        <w:rPr>
          <w:iCs/>
          <w:i/>
        </w:rPr>
        <w:t xml:space="preserve">Egan Real Estate v McGraw,</w:t>
      </w:r>
      <w:r>
        <w:t xml:space="preserve"> </w:t>
      </w:r>
      <w:r>
        <w:t xml:space="preserve">40 AD2d 299</w:t>
      </w:r>
      <w:r>
        <w:t xml:space="preserve">.) There was practically no proof offered to support plaintiff’s contention. The court is completely unaware of the reason LIN officers or lawyers took 26 days to answer the January 15, 1969 inquiry of FCC. Neither does it have any knowledge of what transpired during the seven and one-half months from the time of the application until the Gregg-SEPCO deal. No violation of FCC regulations or policy has been brought to the court’s attention. To hold that the FCC would have approved LIN’s application on or before the February 14, 1969 deadline had it not been for the SEPCO transaction would be gross speculation. The third cause of action must be dismissed for failure of proof.</w:t>
      </w:r>
    </w:p>
    <w:p>
      <w:pPr>
        <w:pStyle w:val="CaseBody"/>
      </w:pPr>
      <w:r>
        <w:t xml:space="preserve">It is the decision of the court that the complaint be dismissed as to all defendants other than Gregg. It is the further decision of the court that the defendant account to the corporation for any profits made in his sale to SEPCO over and above that which he would have realized, had the sale been consummated in an arm’s length, over-the-counter transaction.</w:t>
      </w:r>
    </w:p>
    <w:p>
      <w:pPr>
        <w:pStyle w:val="NodeEnd"/>
      </w:pPr>
      <w:r>
        <w:t xml:space="preserve"> </w:t>
      </w:r>
    </w:p>
    <w:p>
      <w:pPr>
        <w:pStyle w:val="NodeStart"/>
      </w:pPr>
      <w:r>
        <w:t xml:space="preserve"> </w:t>
      </w:r>
    </w:p>
    <w:p>
      <w:pPr>
        <w:pStyle w:val="HeadSeparator"/>
      </w:pPr>
      <w:r>
        <w:t xml:space="preserve"> </w:t>
      </w:r>
    </w:p>
    <w:bookmarkStart w:id="112" w:name="_auto_toc_112"/>
    <w:bookmarkEnd w:id="112"/>
    <w:p>
      <w:pPr>
        <w:pStyle w:val="ResourceNumber"/>
      </w:pPr>
      <w:r>
        <w:t xml:space="preserve">9.2.2</w:t>
      </w:r>
    </w:p>
    <w:p>
      <w:pPr>
        <w:pStyle w:val="ResourceTitle"/>
      </w:pPr>
      <w:r>
        <w:t xml:space="preserve">Carter v. Muscat</w:t>
      </w:r>
    </w:p>
    <w:p>
      <w:pPr>
        <w:pStyle w:val="HeadEnd"/>
      </w:pPr>
      <w:r>
        <w:t xml:space="preserve"> </w:t>
      </w:r>
    </w:p>
    <w:p>
      <w:pPr>
        <w:pStyle w:val="CaseHeader"/>
      </w:pPr>
      <w:r>
        <w:t xml:space="preserve">New York Supreme Court, Appellate Division</w:t>
      </w:r>
    </w:p>
    <w:p>
      <w:pPr>
        <w:pStyle w:val="CaseHeader"/>
      </w:pPr>
      <w:r>
        <w:t xml:space="preserve">21 A.D.2d 543</w:t>
      </w:r>
    </w:p>
    <w:p>
      <w:pPr>
        <w:pStyle w:val="CaseHeader"/>
      </w:pPr>
      <w:r>
        <w:t xml:space="preserve">1964-07-09</w:t>
      </w:r>
    </w:p>
    <w:p>
      <w:pPr>
        <w:pStyle w:val="CaseBody"/>
      </w:pPr>
      <w:r>
        <w:rPr>
          <w:iCs/>
          <w:i/>
        </w:rPr>
        <w:t xml:space="preserve">Ben Eerzberg</w:t>
      </w:r>
      <w:r>
        <w:t xml:space="preserve"> </w:t>
      </w:r>
      <w:r>
        <w:t xml:space="preserve">of counsel</w:t>
      </w:r>
      <w:r>
        <w:t xml:space="preserve"> </w:t>
      </w:r>
      <w:r>
        <w:rPr>
          <w:iCs/>
          <w:i/>
        </w:rPr>
        <w:t xml:space="preserve">(Eoivard A. Eeffron</w:t>
      </w:r>
      <w:r>
        <w:t xml:space="preserve"> </w:t>
      </w:r>
      <w:r>
        <w:t xml:space="preserve">and</w:t>
      </w:r>
      <w:r>
        <w:t xml:space="preserve"> </w:t>
      </w:r>
      <w:r>
        <w:rPr>
          <w:iCs/>
          <w:i/>
        </w:rPr>
        <w:t xml:space="preserve">Frederick F. Oreenman, Jr.,</w:t>
      </w:r>
      <w:r>
        <w:t xml:space="preserve"> </w:t>
      </w:r>
      <w:r>
        <w:t xml:space="preserve">with him on the brief;</w:t>
      </w:r>
      <w:r>
        <w:t xml:space="preserve"> </w:t>
      </w:r>
      <w:r>
        <w:rPr>
          <w:iCs/>
          <w:i/>
        </w:rPr>
        <w:t xml:space="preserve">Eays, Sklar &amp; Eerzberg,</w:t>
      </w:r>
      <w:r>
        <w:t xml:space="preserve"> </w:t>
      </w:r>
      <w:r>
        <w:t xml:space="preserve">attorneys), for petitioners-appellants.</w:t>
      </w:r>
    </w:p>
    <w:p>
      <w:pPr>
        <w:pStyle w:val="CaseBody"/>
      </w:pPr>
      <w:r>
        <w:rPr>
          <w:iCs/>
          <w:i/>
        </w:rPr>
        <w:t xml:space="preserve">Boy M. Cohn</w:t>
      </w:r>
      <w:r>
        <w:t xml:space="preserve"> </w:t>
      </w:r>
      <w:r>
        <w:t xml:space="preserve">of counsel (Boyall,</w:t>
      </w:r>
      <w:r>
        <w:t xml:space="preserve"> </w:t>
      </w:r>
      <w:r>
        <w:rPr>
          <w:iCs/>
          <w:i/>
        </w:rPr>
        <w:t xml:space="preserve">Koegal &amp; Bogers,</w:t>
      </w:r>
      <w:r>
        <w:t xml:space="preserve"> </w:t>
      </w:r>
      <w:r>
        <w:t xml:space="preserve">attorneys for R. L. Huffines, Jr., and Alex Shuford, Jr.;</w:t>
      </w:r>
      <w:r>
        <w:t xml:space="preserve"> </w:t>
      </w:r>
      <w:r>
        <w:rPr>
          <w:iCs/>
          <w:i/>
        </w:rPr>
        <w:t xml:space="preserve">Saxe, Bacon S O’Shea,</w:t>
      </w:r>
      <w:r>
        <w:t xml:space="preserve"> </w:t>
      </w:r>
      <w:r>
        <w:t xml:space="preserve">attorneys for Victor Muscat and Edward Krock), for respondents-respondents.</w:t>
      </w:r>
    </w:p>
    <w:p>
      <w:pPr>
        <w:pStyle w:val="CaseBody"/>
      </w:pPr>
      <w:r>
        <w:rPr>
          <w:iCs/>
          <w:i/>
        </w:rPr>
        <w:t xml:space="preserve">Arthur B. Kramer</w:t>
      </w:r>
      <w:r>
        <w:t xml:space="preserve"> </w:t>
      </w:r>
      <w:r>
        <w:t xml:space="preserve">of counsel</w:t>
      </w:r>
      <w:r>
        <w:t xml:space="preserve"> </w:t>
      </w:r>
      <w:r>
        <w:rPr>
          <w:iCs/>
          <w:i/>
        </w:rPr>
        <w:t xml:space="preserve">(Feldman, Kramer, Bam &lt;&amp; Nessen,</w:t>
      </w:r>
      <w:r>
        <w:t xml:space="preserve"> </w:t>
      </w:r>
      <w:r>
        <w:t xml:space="preserve">attorneys), for respondent.</w:t>
      </w:r>
    </w:p>
    <w:p>
      <w:pPr>
        <w:pStyle w:val="CaseBody"/>
      </w:pPr>
      <w:r>
        <w:t xml:space="preserve">Staley, Jr., J.</w:t>
      </w:r>
    </w:p>
    <w:p>
      <w:pPr>
        <w:pStyle w:val="CaseBody"/>
      </w:pPr>
      <w:r>
        <w:t xml:space="preserve">Petitioners, as stockholders of Republic Corporation, have instituted a proceeding pursuant to the provisions of section 619 of the Business Corporation Law to invalidate the election of certain named directors of the corporation on the ground that their election on July 11,1963 was illegal. This is an appeal from an order entered May 21, 1964 dismissing the petition as legally insufficient.</w:t>
      </w:r>
    </w:p>
    <w:p>
      <w:pPr>
        <w:pStyle w:val="CaseBody"/>
      </w:pPr>
      <w:r>
        <w:t xml:space="preserve">Prior to July 11,1963 the Board of Directors of Republic Corporation was controlled by William Zeckendorf, Sr., and interests identified with him, who owned 237,698 shares of the common stock of Republic Corporation, which was approximately 9.7% of the total outstanding stock. The board, of directors consisted of 11 members and the Zeckendorf interests controlled 6 out of the 11. On July 11, 1963 the Zeckendorf interests entered into a written agreement for the sale of their stock to B. S. P. Company which provided for the delivery and payment for the stock on July 12, 1963. The corporation held a meeting of the board of directors on July 11,1963 and the six Zeckendorf directors resigned seriatim and, as each director resigned,- the remaining members of the board unanimously elected a B. S. F. Company nominee as substitute director in the place of the resigned director.</w:t>
      </w:r>
    </w:p>
    <w:p>
      <w:pPr>
        <w:pStyle w:val="CaseBody"/>
      </w:pPr>
      <w:r>
        <w:t xml:space="preserve">On July 12, 1964 B. S. F. Company paid for and received delivery of the 237,698 shares of stock at a purchase price of $11 per share, which price was substantially the market price although slightly higher. On July 27,1963 the petitioner Carter, as president of the corporation, made an interim report to the stockholders of the company disclosing the facts concerning purchase of stock by the B. S. F. Company and reported the election of the six new directors, naming them and referring to them as “ all men of outstanding executive ability in a wide range of industrial fields ”.</w:t>
      </w:r>
    </w:p>
    <w:p>
      <w:pPr>
        <w:pStyle w:val="CaseBody"/>
      </w:pPr>
      <w:r>
        <w:t xml:space="preserve">In the 1963 annual report of the corporation issued in the early part of 1964 the petitioner Carter again referred to the election of the six new directors in July of 1963. The annual meeting of the stockholders of the corporation was held on April 8, 1964 and, pursuant to the provisions of the by-laws which provide for staggered terms for directors elected to the board, three vacancies for directorships were to be filled at the annual meeting. In connection with the annual meeting to be held on April 8,1964, the corporation issued a notice of meeting with a proxy statement dated March 6, 1964 which set forth the stock ownership of B. S. F. Company totaling 290,045 shares or 11.82% of the total outstanding stock and further detailing the election of the six new directors on July 11, 1963 and stated that they</w:t>
      </w:r>
      <w:r>
        <w:t xml:space="preserve"> </w:t>
      </w:r>
      <w:r>
        <w:rPr>
          <w:iCs/>
          <w:i/>
        </w:rPr>
        <w:t xml:space="preserve">u</w:t>
      </w:r>
      <w:r>
        <w:t xml:space="preserve"> </w:t>
      </w:r>
      <w:r>
        <w:t xml:space="preserve">constitute a majority of the Board of Directors and represent a material change in the management and control of the corporation.” The proxy statement further named the nominees for election as directors at the annual meeting to be held on April 8,1964, two of whom were the nominees of B. S. F. Company elected on July 11, 1963. At the annual meeting all of the directors nominated for election were unanimously elected by the stockholders.</w:t>
      </w:r>
    </w:p>
    <w:p>
      <w:pPr>
        <w:pStyle w:val="CaseBody"/>
      </w:pPr>
      <w:r>
        <w:t xml:space="preserve">The appellants contend that the sale of stock to B. S. F. Company on July 11,1963 did not vest in B. S. F. Company a working control of the corporation and, therefore, the substitution of directors by nominees of B. S. F. Company and the transfer of control of the board of directors to such nominees was illegal and their election should be invalidated.</w:t>
      </w:r>
    </w:p>
    <w:p>
      <w:pPr>
        <w:pStyle w:val="CaseBody"/>
      </w:pPr>
      <w:r>
        <w:t xml:space="preserve">■Since 1961 the block of stock acquired by B. S. F. Company on July 11,1963 had represented working control of the corporation. The total outstanding shares of common stock of the corporation was 2,453,483. Even though for a period of years ownership of approximately 10% of the stock was sufficient to effect control of the board of directors, it cannot be said as a matter of law that such percentage would continuously be sufficient to maintain control. In</w:t>
      </w:r>
      <w:r>
        <w:t xml:space="preserve"> </w:t>
      </w:r>
      <w:r>
        <w:rPr>
          <w:iCs/>
          <w:i/>
        </w:rPr>
        <w:t xml:space="preserve">Matter of Caplan</w:t>
      </w:r>
      <w:r>
        <w:t xml:space="preserve"> </w:t>
      </w:r>
      <w:r>
        <w:t xml:space="preserve">v.</w:t>
      </w:r>
      <w:r>
        <w:t xml:space="preserve"> </w:t>
      </w:r>
      <w:r>
        <w:rPr>
          <w:iCs/>
          <w:i/>
        </w:rPr>
        <w:t xml:space="preserve">Lionel Corp.</w:t>
      </w:r>
      <w:r>
        <w:t xml:space="preserve"> </w:t>
      </w:r>
      <w:r>
        <w:t xml:space="preserve">(</w:t>
      </w:r>
      <w:r>
        <w:t xml:space="preserve">20 A D 2d 301</w:t>
      </w:r>
      <w:r>
        <w:t xml:space="preserve">, 303) this court held that the transfer of 3% of the outstanding stock of Lionel Corporation was insufficient to constitute a transfer of working control of the corporation and stated: ‘ ‘ The underlying principle is that the management of a corporation is not the subject of trade and cannot be bought apart from actual stock control</w:t>
      </w:r>
      <w:r>
        <w:t xml:space="preserve"> </w:t>
      </w:r>
      <w:r>
        <w:rPr>
          <w:iCs/>
          <w:i/>
        </w:rPr>
        <w:t xml:space="preserve">(McClure</w:t>
      </w:r>
      <w:r>
        <w:t xml:space="preserve"> </w:t>
      </w:r>
      <w:r>
        <w:t xml:space="preserve">v.</w:t>
      </w:r>
      <w:r>
        <w:t xml:space="preserve"> </w:t>
      </w:r>
      <w:r>
        <w:rPr>
          <w:iCs/>
          <w:i/>
        </w:rPr>
        <w:t xml:space="preserve">Law,</w:t>
      </w:r>
      <w:r>
        <w:t xml:space="preserve"> </w:t>
      </w:r>
      <w:r>
        <w:t xml:space="preserve">161 N. Y. 78</w:t>
      </w:r>
      <w:r>
        <w:t xml:space="preserve">). Where there has been a transfer of the majority of the stock, or even such a percentage as gives working control, a change of directors by resignation and filling of vacancies is proper ”.</w:t>
      </w:r>
    </w:p>
    <w:p>
      <w:pPr>
        <w:pStyle w:val="CaseBody"/>
      </w:pPr>
      <w:r>
        <w:t xml:space="preserve">When a situation involving less than 50% of the ownership of stock exists, the question of what percentage of ownership of stock is sufficient to constitute working control is likely to be a matter of fact, at least in most circumstances. Section 619 of the Business Corporation Law provides for hearing the proofs and allegations of the parties in a proceeding brought pursuant to that section and, if the instant proceeding had been timely brought, the proper procedure to determine the issues would be to hold a hearing to determine if ownership of stock represented by the respondents constituted a working control of the corporation.</w:t>
      </w:r>
    </w:p>
    <w:p>
      <w:pPr>
        <w:pStyle w:val="CaseBody"/>
      </w:pPr>
      <w:r>
        <w:t xml:space="preserve">The conduct of the corporation in apprising its stockholders of the transfer of control of the board of directors on July 11, 1963 by means of the interim report of July 27,1963; the annual report distributed in early 1964; and the notice of meeting and detailed proxy statement dated March 6, 1964, adequately and fairly brought to their attention the manner in which control had been transferred and the fact that such control would be continued by the election of Rynberk and Corrington, the nominees of B. S. F. Company at the annual meeting on April 8, 1964. There was no fraud or concealment and those two directors were elected at that meeting without protest.</w:t>
      </w:r>
    </w:p>
    <w:p>
      <w:pPr>
        <w:pStyle w:val="CaseBody"/>
      </w:pPr>
      <w:r>
        <w:t xml:space="preserve">Under these circumstances no stockholder can claim to have been deceived or misled by the change of control of the board of directors which took place on July 11, 1963 and the failure of the petitioners to act within a reasonable period of time and subsequent to the annual stockholders’ meeting is sufficient to support a dismissal of their petition.</w:t>
      </w:r>
    </w:p>
    <w:p>
      <w:pPr>
        <w:pStyle w:val="CaseBody"/>
      </w:pPr>
      <w:r>
        <w:t xml:space="preserve">Section 619 of the Business Corporation Law endows the court with broad equitable powers to direct a new election of directors where the election under review is “so clouded with doubt or tainted with questionable circumstances that the standards of fair dealing require the court to order a new, clear and adequate expression of the security holders’ will.”</w:t>
      </w:r>
      <w:r>
        <w:t xml:space="preserve"> </w:t>
      </w:r>
      <w:r>
        <w:rPr>
          <w:iCs/>
          <w:i/>
        </w:rPr>
        <w:t xml:space="preserve">(Matter of Wyatt</w:t>
      </w:r>
      <w:r>
        <w:t xml:space="preserve"> </w:t>
      </w:r>
      <w:r>
        <w:t xml:space="preserve">v.</w:t>
      </w:r>
      <w:r>
        <w:t xml:space="preserve"> </w:t>
      </w:r>
      <w:r>
        <w:rPr>
          <w:iCs/>
          <w:i/>
        </w:rPr>
        <w:t xml:space="preserve">Armstrong,</w:t>
      </w:r>
      <w:r>
        <w:t xml:space="preserve"> </w:t>
      </w:r>
      <w:r>
        <w:t xml:space="preserve">186 Misc. 216</w:t>
      </w:r>
      <w:r>
        <w:t xml:space="preserve">, 220.)</w:t>
      </w:r>
    </w:p>
    <w:p>
      <w:pPr>
        <w:pStyle w:val="CaseBody"/>
      </w:pPr>
      <w:r>
        <w:t xml:space="preserve">The stockholders’ indorsements of the B. S. F. Company’s nominees at the annual meeting with full knowledge of all the facts attending their original election establish a clear and adequate expression of the stockholders’ wishes.</w:t>
      </w:r>
    </w:p>
    <w:p>
      <w:pPr>
        <w:pStyle w:val="CaseBody"/>
      </w:pPr>
      <w:r>
        <w:t xml:space="preserve">Accordingly the order appealed from dismissing the petition and denying the temporary relief sought by the petitioners should be affirmed, on the law and the facts, with costs to the respondents-respondents.</w:t>
      </w:r>
    </w:p>
    <w:p>
      <w:pPr>
        <w:pStyle w:val="CaseBody"/>
      </w:pPr>
      <w:r>
        <w:t xml:space="preserve">Bkeitel, J. P., Eager and Steuer, JJ., concur.</w:t>
      </w:r>
    </w:p>
    <w:p>
      <w:pPr>
        <w:pStyle w:val="CaseBody"/>
      </w:pPr>
      <w:r>
        <w:t xml:space="preserve">Order, entered on May 21, 1964, dismissing the petition and denying the temporary relief sought by petitioners, unanimously affirmed, on the law and on the facts, with $20 costs to respondents-respondents.</w:t>
      </w:r>
    </w:p>
    <w:p>
      <w:pPr>
        <w:pStyle w:val="NodeEnd"/>
      </w:pPr>
      <w:r>
        <w:t xml:space="preserve"> </w:t>
      </w:r>
    </w:p>
    <w:p>
      <w:pPr>
        <w:pStyle w:val="NodeStart"/>
      </w:pPr>
      <w:r>
        <w:t xml:space="preserve"> </w:t>
      </w:r>
    </w:p>
    <w:p>
      <w:pPr>
        <w:pStyle w:val="HeadSeparator"/>
      </w:pPr>
      <w:r>
        <w:t xml:space="preserve"> </w:t>
      </w:r>
    </w:p>
    <w:bookmarkStart w:id="113" w:name="_auto_toc_113"/>
    <w:bookmarkEnd w:id="113"/>
    <w:p>
      <w:pPr>
        <w:pStyle w:val="ResourceNumber"/>
      </w:pPr>
      <w:r>
        <w:t xml:space="preserve">9.2.3</w:t>
      </w:r>
    </w:p>
    <w:p>
      <w:pPr>
        <w:pStyle w:val="ResourceTitle"/>
      </w:pPr>
      <w:r>
        <w:t xml:space="preserve">Brascan Ltd. v. Edper Equities Ltd.</w:t>
      </w:r>
    </w:p>
    <w:p>
      <w:pPr>
        <w:pStyle w:val="HeadEnd"/>
      </w:pPr>
      <w:r>
        <w:t xml:space="preserve"> </w:t>
      </w:r>
    </w:p>
    <w:p>
      <w:pPr>
        <w:pStyle w:val="CaseHeader"/>
      </w:pPr>
      <w:r>
        <w:t xml:space="preserve">United States District Court for the Southern District of New York</w:t>
      </w:r>
    </w:p>
    <w:p>
      <w:pPr>
        <w:pStyle w:val="CaseHeader"/>
      </w:pPr>
      <w:r>
        <w:t xml:space="preserve">477 F. Supp. 773</w:t>
      </w:r>
    </w:p>
    <w:p>
      <w:pPr>
        <w:pStyle w:val="CaseHeader"/>
      </w:pPr>
      <w:r>
        <w:t xml:space="preserve">No. 79 Civ. 2288 (PNL)</w:t>
      </w:r>
    </w:p>
    <w:p>
      <w:pPr>
        <w:pStyle w:val="CaseHeader"/>
      </w:pPr>
      <w:r>
        <w:t xml:space="preserve">1979-05-25</w:t>
      </w:r>
    </w:p>
    <w:p>
      <w:pPr>
        <w:pStyle w:val="CaseBody"/>
      </w:pPr>
      <w:r>
        <w:t xml:space="preserve">Revised June 7, 1979.</w:t>
      </w:r>
    </w:p>
    <w:p>
      <w:pPr>
        <w:pStyle w:val="CaseBody"/>
      </w:pPr>
      <w:r>
        <w:t xml:space="preserve">Simpson, Thacher &amp; Bartlett, New York City, for plaintiffs; Roy L. Reardon, New York City, of counsel.</w:t>
      </w:r>
    </w:p>
    <w:p>
      <w:pPr>
        <w:pStyle w:val="CaseBody"/>
      </w:pPr>
      <w:r>
        <w:t xml:space="preserve">Cahill, Gordon &amp; Reindel, New York City, for defendants Edper Equities Ltd., Peter Bronfman, J. Trevor Eyton and Edper Investments Ltd.; Raymond L. Falls, Jr., New York City, of counsel.</w:t>
      </w:r>
    </w:p>
    <w:p>
      <w:pPr>
        <w:pStyle w:val="CaseBody"/>
      </w:pPr>
      <w:r>
        <w:t xml:space="preserve">Chadbourne, Parke, Whiteside &amp; Wolff, New York City, for defendant Patino; Donald I. Strauber, New York City, of counsel.</w:t>
      </w:r>
    </w:p>
    <w:p>
      <w:pPr>
        <w:pStyle w:val="CaseBody"/>
      </w:pPr>
      <w:r>
        <w:t xml:space="preserve">Securities and Exchange Commission as Amicus Curiae, John Huber, Washington, D. C.</w:t>
      </w:r>
    </w:p>
    <w:p>
      <w:pPr>
        <w:pStyle w:val="CaseBody"/>
      </w:pPr>
      <w:r>
        <w:t xml:space="preserve">GENERAL NARRATIVE</w:t>
      </w:r>
    </w:p>
    <w:p>
      <w:pPr>
        <w:pStyle w:val="CaseBody"/>
      </w:pPr>
      <w:r>
        <w:t xml:space="preserve">LEVAL, District Judge.</w:t>
      </w:r>
    </w:p>
    <w:p>
      <w:pPr>
        <w:pStyle w:val="CaseBody"/>
      </w:pPr>
      <w:r>
        <w:t xml:space="preserve">Brascan Ltd. (“Brascan”) is a Canadian publicly held company whose 26,100,000 common shares are held by some 50,000 stockholders and are traded on the Toronto, Montreal, London and American Stock Exchanges.</w:t>
      </w:r>
    </w:p>
    <w:p>
      <w:pPr>
        <w:pStyle w:val="CaseBody"/>
      </w:pPr>
      <w:r>
        <w:t xml:space="preserve">In late 1978 Brascan announced the sale of its principal subsidiary, an electric utility in Brazil, for $380 million (U.S.) cash. Shortly thereafter Edper Investments Ltd. (“Edper Investments”), a privately held Canadian venture capital company, became interested in acquiring Brascan shares. Ed-per Investments made some purchases in late 1978 and early 1979. In March, 1979 Edper Investments joined with Patino, N.V. (“Patino”), a privately held Netherlands company, to create Edper Equities Ltd. (“Edper”), a corporate entity formed for the purpose of attempting to obtain either control, or a major portion, of Brascan shares. Edper is the principal defendant in this action. At the end of March, 1979 Edper owned approximately 5% of the outstanding Brascan shares.</w:t>
      </w:r>
    </w:p>
    <w:p>
      <w:pPr>
        <w:pStyle w:val="CaseBody"/>
      </w:pPr>
      <w:r>
        <w:t xml:space="preserve">Edper approached Brascan on April 5 with a proposal for a friendly acquisition. The next day the Brascan board resolved to make a tender offer for all the outstanding shares of F. W. Woolworth Co. (“Woolworth”). Edper’s overtures were rebuffed.</w:t>
      </w:r>
    </w:p>
    <w:p>
      <w:pPr>
        <w:pStyle w:val="CaseBody"/>
      </w:pPr>
      <w:r>
        <w:t xml:space="preserve">In the days which followed, Edper embarked on an intensive examination of Brascan’s position. Edper concluded that an acquisition of Woolworth by Brascan would be detrimental to Brascan’s interests. Several courses of action were considered by Edper with a view to acquiring a dominant stake in Brascan. Among these were an offer on the Toronto Stock Exchange for a controlling interest in Brascan shares, conditioned on Brascan’s abandoning its offer for Woolworth stock and purchases of Brascan’s shares on the American Stock Exchange (the “AMEX”). Edper also considered disposing of its interest in Brascan in view of the Woolworth offer. Edper’s Toronto conditional offer was abandoned April 20 when the Ontario Securities Commission (“O.S.C.”) denied permission to proceed. A few days after the O.S.C.’s decision, Edper began to give more serious consideration to purchases over the AMEX. At a meeting on April 29 a tentative decision was made to proceed in this fashion. Edper’s initial objective was to increase its holding to 10%, for three reasons. First, a 10% holder is entitled under Section 103(1) of the Canada Corporations Act to cause a stockholders meeting to be summoned. Second, Edper believed that with a position of this size it might induce Brascan’s management to take its opposition seriously and drop the Woolworth offer. Third, Edper thought it needed more stock in order to carry more weight in expressing its views at a hearing.which the New York Attorney General had set for May 10 on the Brascan Woolworth offering. However, no firm decision to purchase Brascan shares on the AMEX was made until the early morning of April 30.</w:t>
      </w:r>
    </w:p>
    <w:p>
      <w:pPr>
        <w:pStyle w:val="CaseBody"/>
      </w:pPr>
      <w:r>
        <w:t xml:space="preserve">During the period already discussed, nothing which Edper had stated or done was false, misleading, manipulative or violative of any law.</w:t>
      </w:r>
    </w:p>
    <w:p>
      <w:pPr>
        <w:pStyle w:val="CaseBody"/>
      </w:pPr>
      <w:r>
        <w:t xml:space="preserve">On April 30, Edper, through, Balfour Securities Co. (“Balfour” or “Balfour Securities”), a New York broker, purchased in excess of three million Brascan shares on the AMEX. That evening, in response to requests from the O.S.C. and the Toronto Stock Exchange, Edper issued a press release identifying itself as the purchaser. Answering a press inquiry on that release, an Edper representative said that Edper did not then plan to buy more Brascan shares. The statement was accurate when made and reflected a decision made by Edper’s management after trading closed on April 30. This statement was published the morning of May 1 in the Wall Street Journal.</w:t>
      </w:r>
    </w:p>
    <w:p>
      <w:pPr>
        <w:pStyle w:val="CaseBody"/>
      </w:pPr>
      <w:r>
        <w:t xml:space="preserve">On the morning of May 1 Edper’s management reconsidered their decision, recognizing that additional purchases of Brascan stock were necessary to protect their investment. Observing that Brascan’s management was undeterred by Edper’s April 30 acquisitions and hearing that more stock was available at prices comparable to those of the prior day, Edper decided to resume purchasing. Without issuing a further public statement, Edper reentered the market and on May 1 again acquired more than three million shares of Brascan on the AMEX.</w:t>
      </w:r>
    </w:p>
    <w:p>
      <w:pPr>
        <w:pStyle w:val="CaseBody"/>
      </w:pPr>
      <w:r>
        <w:t xml:space="preserve">During April, Edper had occasionally consulted with James Connacher, a Canadian broker who was knowledgeable about Bras-can shares, about the possibility of Edper’s acquiring a major position in Brascan shares. On April 29 at Edper’s request, Connacher accompanied Price, an Edper man who was sent to New York to execute Edper’s purchasing strategy, and gave Price help and advice concerning the selection of a broker, negotiating commissions and the hedging of foreign exchange in order to make payment.</w:t>
      </w:r>
    </w:p>
    <w:p>
      <w:pPr>
        <w:pStyle w:val="CaseBody"/>
      </w:pPr>
      <w:r>
        <w:t xml:space="preserve">During April 30 and May 1, Connacher and his firm, Gordon Securities, acting independently of Edper, contacted between 30 and 50 large (mostly institutional) shareholders of Brascan and, as broker for these holders, brought to the market a large percentage of the stock purchased by Edper on those two days. Gordon Securities also purchased Brascan shares for its own account in Canada and resold them to Edper on the floor of the AMEX.</w:t>
      </w:r>
    </w:p>
    <w:p>
      <w:pPr>
        <w:pStyle w:val="CaseBody"/>
      </w:pPr>
      <w:r>
        <w:t xml:space="preserve">On the evening of May 1 Brascan obtained an</w:t>
      </w:r>
      <w:r>
        <w:t xml:space="preserve"> </w:t>
      </w:r>
      <w:r>
        <w:rPr>
          <w:iCs/>
          <w:i/>
        </w:rPr>
        <w:t xml:space="preserve">ex parte</w:t>
      </w:r>
      <w:r>
        <w:t xml:space="preserve"> </w:t>
      </w:r>
      <w:r>
        <w:t xml:space="preserve">temporary restraining order in Part I of this court, barring Edper,</w:t>
      </w:r>
      <w:r>
        <w:t xml:space="preserve"> </w:t>
      </w:r>
      <w:r>
        <w:rPr>
          <w:iCs/>
          <w:i/>
        </w:rPr>
        <w:t xml:space="preserve">inter alia,</w:t>
      </w:r>
      <w:r>
        <w:t xml:space="preserve"> </w:t>
      </w:r>
      <w:r>
        <w:t xml:space="preserve">from exercising stockholders’ rights with respect to any of its shares and from making any further purchases. A hearing was held on May 16,17 and 18 on Brascan’s motion for a preliminary injunction. Briefs were filed on May 21 and argument was held May 22.</w:t>
      </w:r>
    </w:p>
    <w:p>
      <w:pPr>
        <w:pStyle w:val="CaseBody"/>
      </w:pPr>
      <w:r>
        <w:rPr>
          <w:iCs/>
          <w:i/>
        </w:rPr>
        <w:t xml:space="preserve">Jurisdiction, Venue and Relief Sought.</w:t>
      </w:r>
    </w:p>
    <w:p>
      <w:pPr>
        <w:pStyle w:val="CaseBody"/>
      </w:pPr>
      <w:r>
        <w:t xml:space="preserve">Brascan alleges violations of Sections 10(b), 13(d), 14(d), and 14(e) of the Securities Exchange Act of 1934 (the “Exchange Act”), 15 U.S.C. §§ 78j(b), 78m(d), 78n(d), and 78n(e), and moves for a preliminary injunction barring all defendants, other than Balfour Securities, Gordon Securities Inc., Gordon Securities Limited and James Connacher, from acquiring any further Brascan shares; soliciting any proxy or other authorization or agreement to vote Bras-can shares; voting any Brascan stock which, they now own; or exercising any incidents of ownership with respect to the Brascan stock they own as a means of affecting Brascan’s management. Brascan also seeks an order directing Edper to divest itself of all Brascan stock which it has purchased on April 30 and May 1, 1979.</w:t>
      </w:r>
    </w:p>
    <w:p>
      <w:pPr>
        <w:pStyle w:val="CaseBody"/>
      </w:pPr>
      <w:r>
        <w:t xml:space="preserve">Jurisdiction of this action and venue in this District lie under Section 27 of the Exchange Act, 15 U.S.C. § 78aa.</w:t>
      </w:r>
    </w:p>
    <w:p>
      <w:pPr>
        <w:pStyle w:val="CaseBody"/>
      </w:pPr>
      <w:r>
        <w:rPr>
          <w:iCs/>
          <w:i/>
        </w:rPr>
        <w:t xml:space="preserve">The Parties and Others Involved.</w:t>
      </w:r>
    </w:p>
    <w:p>
      <w:pPr>
        <w:pStyle w:val="CaseBody"/>
      </w:pPr>
      <w:r>
        <w:t xml:space="preserve">Plaintiff Brascan is a publicly held corporation organized and existing under the laws of Canada with its principal place of business located in Toronto, Province of Ontario, Canada. Plaintiffs Brascan Holdings Inc. (“Brascan Holdings”) and Brascan U.S.A. Inc. (“Brascan U.S.A.”) are organized and existing under the laws of Delaware, with their principal places of business located in New York, New York. Brascan Holdings is a wholly-owned subsidiary of Brascan and Brascan U.S.A. is a wholly-owned subsidiary of Brascan Holdings. Both were formed for the purpose of facilitating the making of a tender offer by. Brascan for all the outstanding shares of common stock of Wool worth.</w:t>
      </w:r>
    </w:p>
    <w:p>
      <w:pPr>
        <w:pStyle w:val="CaseBody"/>
      </w:pPr>
      <w:r>
        <w:t xml:space="preserve">Defendant Edper is a Canadian corporation with its principal place of business in Toronto, Canada. Edper was formed in late March, 1979, for the purpose of acquiring effective control of Brascan. Defendant Edper Investments Ltd. and defendant Patino, N.Y. are privately held venture capital companies, and are the sole shareholders of Edper. Defendants Peter and Edward Bronfman are directors and shareholders of Edper Investments. Defendant J. Trevor Eyton is a director of and legal counsel to Edper. Jack Cockwell is treasurer of Edper Equities and executive vice president of Edper Investments. Timothy Price is vice president of both Edper Equities and Edper Investments. Jaime OrtizPatino is a director of Edper Equities. He is also a director of Patino. Patrick Keenan is president of Edper. He is also president, chief executive and a director of a Patino company. Frederick McCutcheon is a Toronto stockbroker. He is also a director of both Patino and Edper.</w:t>
      </w:r>
    </w:p>
    <w:p>
      <w:pPr>
        <w:pStyle w:val="CaseBody"/>
      </w:pPr>
      <w:r>
        <w:t xml:space="preserve">Defendant Balfour Securities is a securities dealer which transacts business on the American Stock Exchange. Jay Goldsmith is the president of Balfour. A. G. Becker &amp; Co. (“Becker”) is a clearing broker for Balfour.</w:t>
      </w:r>
    </w:p>
    <w:p>
      <w:pPr>
        <w:pStyle w:val="CaseBody"/>
      </w:pPr>
      <w:r>
        <w:t xml:space="preserve">Defendant Gordon Securities Ltd. (“Gordon Securities” or “Gordon”) is a brokerage firm with its main office in Toronto, Canada. It also maintains branch offices in Montreal and Calgary. Its wholly-owned subsidiary, defendant Gordon Securities, Inc., has an office in New York City and transacts business on the AMEX. Defendant James Connacher is President of Gordon Securities Ltd.</w:t>
      </w:r>
    </w:p>
    <w:p>
      <w:pPr>
        <w:pStyle w:val="CaseBody"/>
      </w:pPr>
      <w:r>
        <w:rPr>
          <w:iCs/>
          <w:i/>
        </w:rPr>
        <w:t xml:space="preserve">Detailed Findings of Fact.</w:t>
      </w:r>
    </w:p>
    <w:p>
      <w:pPr>
        <w:pStyle w:val="CaseBody"/>
      </w:pPr>
      <w:r>
        <w:t xml:space="preserve">Edper Investment’s initial purchase of 50,000 Brascan shares was made in late December, 1978, after Brascan had announced the sale of its principal subsidiary, an electric utility in Brazil (“Light”), to the Government of Brazil for $380 million (U.S.). The purchases were made for investment and in anticipation of either a cash distribution by Brascan of the proceeds of the sale of Light or an offer by a third party, attracted by the cash, to purchase Brascan shares at a premium over the market.</w:t>
      </w:r>
    </w:p>
    <w:p>
      <w:pPr>
        <w:pStyle w:val="CaseBody"/>
      </w:pPr>
      <w:r>
        <w:t xml:space="preserve">In early January, Price of Edper Investments indicated to Connacher of Gordon Securities that Edper Investments was seriously looking at Brascan as a possible acquisition candidate. On or about January 15, 1979, Gordon purchased 100,000 shares of Brascan stock for an Edper company. On or about February 15, 1979, Connacher and a research analyst from Gordon Securities, David Dorian, met with Cockwell and Price of Edper Investments. The principal focus of the meeting was a discussion between Cockwell and Dorian concerning their respective analyses of the value of Brascan shares. Connacher also told Cockwell who were some of the large Brascan shareholders. Toward the end of February, Connacher’s firm purchased 650,000 Brascan shares for Edper Investments.</w:t>
      </w:r>
    </w:p>
    <w:p>
      <w:pPr>
        <w:pStyle w:val="CaseBody"/>
      </w:pPr>
      <w:r>
        <w:t xml:space="preserve">In January, 1979, Eyton and Keenan had brief discussions relating to the possibility of Edper Investments and Patino investing jointly in Brascan shares. These initial contacts resulted in a meeting between representatives of Edper Investments and Patino on February 20, 1979, at which time Edper Investments proposed that the two groups participate together in a bid for control of Brascan. Another meeting at which this subject was discussed was held on February 27, 1979. On that date Patino also commenced purchasing Brascan shares. On March 26, 1979, an arrangement between Edper Investments and Patino was formalized and Edper was created as a jointly owned vehicle, owned % by Edper Investments and Vs by Patino, for carrying out acquisitions. By that date, Edper Investments owned 800,000, and Patino 460,000 Brascan shares. This amounted to approximately 5% of Brascan’s outstanding common stock, which was contributed to Edper.</w:t>
      </w:r>
    </w:p>
    <w:p>
      <w:pPr>
        <w:pStyle w:val="CaseBody"/>
      </w:pPr>
      <w:r>
        <w:t xml:space="preserve">On March 30, 1979, at Eyton’s request, Brascan’s investment banker in Canada arranged for Edper representatives to meet with Moore, Chairman of the Brascan Board, on April 5, 1979.</w:t>
      </w:r>
    </w:p>
    <w:p>
      <w:pPr>
        <w:pStyle w:val="CaseBody"/>
      </w:pPr>
      <w:r>
        <w:t xml:space="preserve">At the April 5 secret meeting, the Edper representatives informed Moore of Edper’s holdings in Brascan and that Edper was considering making a bid for effective control of Brascan. At that time, Edper was contemplating making a bid through the facilities of the Toronto Stock Exchange, and was hoping for Brascan’s endorsement.</w:t>
      </w:r>
      <w:r>
        <w:rPr>
          <w:rStyle w:val="FootnoteReference"/>
        </w:rPr>
        <w:footnoteReference w:customMarkFollows="1" w:id="28"/>
        <w:t xml:space="preserve">1</w:t>
      </w:r>
      <w:r>
        <w:t xml:space="preserve"> </w:t>
      </w:r>
      <w:r>
        <w:t xml:space="preserve">Edper offered Brascan assurances with respect to managerial continuity and the like. Moore noted that it was not the board’s policy to recommend to shareholders offers for less than all of the outstanding shares, but stated that his Board was to meet the next day. Edper requested a response after the Board meeting and was told it might expect response in the afternoon of April 6.</w:t>
      </w:r>
    </w:p>
    <w:p>
      <w:pPr>
        <w:pStyle w:val="CaseBody"/>
      </w:pPr>
      <w:r>
        <w:t xml:space="preserve">The Brascan Board convened on April 6. At that meeting, it resolved to make a tender offer for all the outstanding shares of Wool worth’s common stock.</w:t>
      </w:r>
      <w:r>
        <w:rPr>
          <w:rStyle w:val="FootnoteReference"/>
        </w:rPr>
        <w:footnoteReference w:customMarkFollows="1" w:id="57"/>
        <w:t xml:space="preserve">2</w:t>
      </w:r>
      <w:r>
        <w:t xml:space="preserve"> </w:t>
      </w:r>
      <w:r>
        <w:t xml:space="preserve">That afternoon, Eyton delivered a letter on behalf of Edper to the Brascan Board Meeting (Exhibit 5). The letter confirmed Edper’s interest in Brascan, stating that Edper was considering making a bid for 45% of the outstanding Brascan shares at $27 Cdn. per share.</w:t>
      </w:r>
    </w:p>
    <w:p>
      <w:pPr>
        <w:pStyle w:val="CaseBody"/>
      </w:pPr>
      <w:r>
        <w:t xml:space="preserve">On April 9, 1979, having received no response from Brascan, Eyton contacted Bras-can’s Canadian counsel at 7:45 a. m. to read him the text of a release which Edper proposed to issue concerning its contemplated offer to purchase in Canada 11.7 million shares of Brascan stock. Immediately thereafter, the press release was made available to the financial press. The press release, in part, stated:</w:t>
      </w:r>
    </w:p>
    <w:p>
      <w:pPr>
        <w:pStyle w:val="BlockText"/>
      </w:pPr>
      <w:r>
        <w:t xml:space="preserve">“Edper Equities Ltd. . . . announced today it is considering making an offer to purchase 11.7 million Class A common shares of Brascan Limited at the price of Cdn. $28 per share. Edper noted that it presently holds approximately 1.3 million Class A common shares so that, on completion of a successful offer, the aggregate holding would amount to approximately 13 million Class A common shares representing approximately 50% of the outstanding voting shares.” (Exhibit 6A).</w:t>
      </w:r>
    </w:p>
    <w:p>
      <w:pPr>
        <w:pStyle w:val="CaseBody"/>
      </w:pPr>
      <w:r>
        <w:t xml:space="preserve">It further announced that any bid by Edper would be conditioned upon no action being taken by Brascan management which would effect a material change in the affairs of Brascan.</w:t>
      </w:r>
    </w:p>
    <w:p>
      <w:pPr>
        <w:pStyle w:val="CaseBody"/>
      </w:pPr>
      <w:r>
        <w:t xml:space="preserve">Later that morning, Brascan publicly announced its proposed tender offer for all the outstanding common stock of Woolworth. At about noon that day, Brascan’s Canadian counsel called Eyton to advise that Bras-can’s management did not consider Edper’s offer to be in the best interests of Brascan or its shareholders.</w:t>
      </w:r>
    </w:p>
    <w:p>
      <w:pPr>
        <w:pStyle w:val="CaseBody"/>
      </w:pPr>
      <w:r>
        <w:t xml:space="preserve">Edper then proceeded to obtain as much information as it could secure in an effort to evaluate the Woolworth offer. Keenan was knowledgeable about Woolworth, and was in a position to give immediate advice about what the Woolworth acquisition would mean to Brascan. By April 10, Ed-per had in its possession a report on Woolworth prepared by The Wertheim Group, as well as information found in financial publications and other sources available from the financial community concerning Woolworth. In addition, Edper discussed Woolworth with individuals who were knowledgeable about the retail industry. Cock-well of Edper prepared a cash flow analysis in order to establish the effect of the proposed Woolworth transaction on the cash flow of the combined enterprises. Edper concluded that the Woolworth acquisition would reduce the intrinsic value of Brascan shares by an amount in excess of $10.00 per share and produce a negative combined cash flow.</w:t>
      </w:r>
    </w:p>
    <w:p>
      <w:pPr>
        <w:pStyle w:val="CaseBody"/>
      </w:pPr>
      <w:r>
        <w:t xml:space="preserve">On April 10, 1979, Edper published two press releases. The first, issued at noon (Exhibit 7) stated that Edper was considering whether or not to proceed with its contemplated offer to purchase 11.7 million shares in view of Brascan’s announcement of the proposed Woolworth tender offer. The release stated that such an acquisition involving borrowings of $800 million would effect a “material change” in the affairs of Brascan, “particularly so when the Brascan offer for Woolworth was apparently going to be vigorously resisted.” The release concluded that a decision whether to proceed would be made later that day.</w:t>
      </w:r>
    </w:p>
    <w:p>
      <w:pPr>
        <w:pStyle w:val="CaseBody"/>
      </w:pPr>
      <w:r>
        <w:t xml:space="preserve">At 9:00 p. m. Edper issued a second press release announcing that it would not be proceeding with its offer in view of the Woolworth offer (Exhibit 8). The release stated that Edper was “now assessing its position as one of Brascan’s major shareholders holding something over 5% of its outstanding common shares”, that a successful Woolworth bid “would convert Bras-can from a highly liquid company . to a debt-burdened company” and that “the acquisition of Woolworth by Brascan would have an immediate negative impact on Brascan’s consolidated cash flows. . On this basis, Edper considered that the Woolworth transaction was not in the best interest of Brascan or its shareholders.” The release also indicated that a number of major Brascan shareholders had expressed their concerns and that Brascan’s management was giving little consideration to the interests of its shareholders. Edper noted that Brascan management had not sought shareholder approval of either the sale of Light or the Woolworth acquisition. Edper commented that Brascan shareholders felt that the Woolworth transaction “would have the effect of precluding Edper or any other person from making a bid for the outstanding Brascan shares at a premium over their market price.” This release also concluded by stating Edper’s view that the Brascan offer for Woolworth would be vigorously resisted.</w:t>
      </w:r>
      <w:r>
        <w:rPr>
          <w:rStyle w:val="FootnoteReference"/>
        </w:rPr>
        <w:footnoteReference w:customMarkFollows="1" w:id="107"/>
        <w:t xml:space="preserve">4</w:t>
      </w:r>
    </w:p>
    <w:p>
      <w:pPr>
        <w:pStyle w:val="CaseBody"/>
      </w:pPr>
      <w:r>
        <w:t xml:space="preserve">During the week of April 9, following Brascan’s announcement of its offer for Woolworth stock, the Edper group held several meetings to discuss the various alternatives available to them.</w:t>
      </w:r>
    </w:p>
    <w:p>
      <w:pPr>
        <w:pStyle w:val="CaseBody"/>
      </w:pPr>
      <w:r>
        <w:t xml:space="preserve">The agendas for the meetings held by the Edper group the weeks of April 9 and 16 listed, as topics of discussion and as tasks to be allocated, contact with Brascan shareholders. Edper’s contacts with the shareholders of Brascan was confined in large part to an exchange of views on the advisability of the Woolworth offer. There is no evidence that at any point prior to April 30 Edper discussed with Brascan shareholders the availability of their Brascan stock for possible sale.</w:t>
      </w:r>
    </w:p>
    <w:p>
      <w:pPr>
        <w:pStyle w:val="CaseBody"/>
      </w:pPr>
      <w:r>
        <w:t xml:space="preserve">During the week of April 16, Edper began to consider seriously, from among the alternatives available to it, the making of a “conditional” offer for 11.7 million shares of Brascan stock over the facilities of the Toronto Stock Exchange, such an offer to be conditioned upon the abandonment or failure of the Woolworth offer. Under Ontario law, the making of such an offer, required specific approval of the Ontario Securities Commission, to which Edper applied on April 17.</w:t>
      </w:r>
    </w:p>
    <w:p>
      <w:pPr>
        <w:pStyle w:val="CaseBody"/>
      </w:pPr>
      <w:r>
        <w:t xml:space="preserve">On April 19, a hearing was held before the Ontario Securities Commission. Edper’s application was opposed by Brascan management and one other Brascan shareholder. The following day, April 20, the Commission denied Edper’s application because of its conditional nature, and Edper issued a press release announcing that fact. In the release Edper “stressed it would continue to pursue other avenues to have the Woolworth acquisition abandoned” (Exhibit 17).</w:t>
      </w:r>
    </w:p>
    <w:p>
      <w:pPr>
        <w:pStyle w:val="CaseBody"/>
      </w:pPr>
      <w:r>
        <w:t xml:space="preserve">On April 20 and 23, key members of the Edper group met to consider what course of action Edper should then take. Numerous alternatives were discussed, including: the making of an unconditional offer; the making of a conditional offer in the United States, Great Britain or in the provinces of Canada (where regulatory approval was not required); the making of an unconditional offer with paper or other securities (that would have the same effect as a “Woolworth condition”); a stock exchange block offer in Canada, and private arrangements with Brascan shareholders. Purchases over the AMEX were briefly discussed but this alternative was not given prominence at that time. The group discussed the number and price of shares that would be involved in the possible courses of action open to it, various opinions were expressed, but no conclusions were reached. Also considered (though not listed on the agenda) was the possibility of Edper selling its Brascan shares. The Edper group considered whether it should prepare a press release explaining its present posture, and decided not to do so.</w:t>
      </w:r>
    </w:p>
    <w:p>
      <w:pPr>
        <w:pStyle w:val="CaseBody"/>
      </w:pPr>
      <w:r>
        <w:t xml:space="preserve">On April 23, Edper contacted Connacher to arrange a meeting the next morning. On April 24, and again on April 25, Connacher met with Price, McCutcheon and Cockwell. At these meetings, the Edper group discussed the various alternatives that were being considered, and told Connacher that they thought he might be able to provide assistance in connection with two alternatives — purchases on the American Stock Exchange and the making of a conditional offer for Brascan shares in the United States. In connection with possible purchases on the floor of the AMEX, Edper sought Connacher’s advice on the selection of an American broker; the appropriate commission; dollar conversion; and currency hedging problems. The group discussed how many Brascan shares might be bought at various times and what the prices might 'be. Connacher was asked if he would be available to go with Price to New York on April 29 to assist in either setting up the mechanics of purchasing over the AMEX if Edper decided to do so or to introduce Price to investment bankers in New York if Ed-per decided to make a conditional offer in the United States. There was no talk of compensation to Connacher. He was to perform these advisory services on a friendly unpaid basis. Edper informed Connacher that it was considering utilizing the firm of Balfour Securities in the event that it decided to purchase shares over the AMEX and asked Connacher to contact Jay Goldsmith, the President of Balfour, to see whether he would be available in New York the following week. An employee of Gordon Securities contacted Goldsmith for that limited purpose later that week.</w:t>
      </w:r>
    </w:p>
    <w:p>
      <w:pPr>
        <w:pStyle w:val="CaseBody"/>
      </w:pPr>
      <w:r>
        <w:t xml:space="preserve">Also on April 24, Edper investigated further the possibility of purchasing Brascan stock over the London Stock Exchange. On April 26 and 27, McCutcheon met with Ackroyd &amp; Smithers, jobbers on the London Stock Exchange, to discuss the mechanics of purchasing over the London Stock Exchange and the availability of Brascan stock on that exchange.</w:t>
      </w:r>
    </w:p>
    <w:p>
      <w:pPr>
        <w:pStyle w:val="CaseBody"/>
      </w:pPr>
      <w:r>
        <w:t xml:space="preserve">Since the week of April 9, Edper had been pressuring Brascan’s management, to no avail, to either meet with Edper to discuss the Woolworth offer or to call a shareholders’ meeting. On April 24, Brascan’s management informed its stockholders that the Brascan annual meeting, previously scheduled for May 23, 1979, would be deferred to June 26, 1979 or to an even later date. On the evening of April 29, 1979, after Connacher and Price had already left for New York, Messrs. Keenan, MeCutcheon, Eyton, Cockwell and Bronfman met. Prior to the convening of the meeting, Ed-per had still not resolved which of the several available alternatives it was going to pursue and work had been continuing on a number of fronts up to that time. McCutcheon had been looking into purchases in London; Greenshields, a Canadian investment banker, had been talking on Edper’s behalf to lawyers about a paper-type offer in'Canada free from tax problems; Edper’s counsel was working on an unconditional offer; Edper’s printers were printing an unconditional offer; Edper was talking to National Trust about getting a shareholders list in order to be able to send out a circular offer in Canada; and Edper was working with a mailing house to facilitate the mailing of a circular offer in Canada.</w:t>
      </w:r>
    </w:p>
    <w:p>
      <w:pPr>
        <w:pStyle w:val="CaseBody"/>
      </w:pPr>
      <w:r>
        <w:t xml:space="preserve">The initial purpose behind the meeting on April 29 was to provide an update for the group. However, various reports were made at the meeting which lent a sense of urgency to the situation. The Patino group reported rumors circulating in Europe about competing bids for Brascan. Noranda Mines was mentioned as a possible suitor through a defensive stock swap. The Patino board of directors had met on April 26 and 27, at the Hague and had resolved that more Brascan shares should be purchased.</w:t>
      </w:r>
    </w:p>
    <w:p>
      <w:pPr>
        <w:pStyle w:val="CaseBody"/>
      </w:pPr>
      <w:r>
        <w:t xml:space="preserve">In addition, Brascan had announced it was postponing its annual meeting and Moore had said that, if the Wool worth deal was aborted, he would pursue alternative proposals, which Edper construed to be further defensive measures.</w:t>
      </w:r>
    </w:p>
    <w:p>
      <w:pPr>
        <w:pStyle w:val="CaseBody"/>
      </w:pPr>
      <w:r>
        <w:t xml:space="preserve">The conclusion of the April 29 evening meeting was that Edper should acquire more shares in order to secure the 10% necessary under Canadian law to compel a shareholders’ meeting, to have a greater impact upon Brascan management, and to obtain a better reception at the hearing of the New York Attorney General which was scheduled for May 10 to investigate Bras-can’s offer for Wool worth. The group discussed paying as high as $25 (Cdn.), per share. It was provisionally decided to buy shares the next day on the American Stock Exchange, subject to sleeping on it and reviewing the decision in the morning. No firm decision was made as to the amount of stock to be purchased. The group discussed issuing a press release, but decided that it would not do so unless required by a regulatory body.</w:t>
      </w:r>
    </w:p>
    <w:p>
      <w:pPr>
        <w:pStyle w:val="CaseBody"/>
      </w:pPr>
      <w:r>
        <w:t xml:space="preserve">At that meeting, McCutcheon was authorized to initiate purchases of up to 200,000 shares on the London Stock Exchange the next morning in line with the previous close on the American Stock Exchange. He did not think that a great number of shares would be available there. His instructions were to “go gently” and to “check back” if a great number of shares became available. Due to the difference in time zones, a decision to buy on the London Exchange could not wait until the morning of the following day. McCutcheon had to place his orders in the very early morning hours of April 30— Toronto time.</w:t>
      </w:r>
    </w:p>
    <w:p>
      <w:pPr>
        <w:pStyle w:val="CaseBody"/>
      </w:pPr>
      <w:r>
        <w:t xml:space="preserve">Price and Connacher flew to New York on April 29. Although nominally a vice-president of Edper, Price did not have decision making authority. Furthermore he had not been extensively involved in Ed-per’s planning of its Brascan acquisitions. Price had some experience in stock market activity and was friendly with Connacher. Price was sent to New York to carry out Coekwell’s instructions in negotiating terms with a broker, placing orders as directed, and setting up the mechanics of the transactions.</w:t>
      </w:r>
    </w:p>
    <w:p>
      <w:pPr>
        <w:pStyle w:val="CaseBody"/>
      </w:pPr>
      <w:r>
        <w:t xml:space="preserve">After checking in at the Waldorf, Price telephoned Goldsmith of Balfour Securities and arranged to meet with him the next morning for breakfast.</w:t>
      </w:r>
    </w:p>
    <w:p>
      <w:pPr>
        <w:pStyle w:val="CaseBody"/>
      </w:pPr>
      <w:r>
        <w:t xml:space="preserve">Shortly after the tentative decision to purchase on the American Stock Exchange was reached in Toronto, on April 29, Cock-well telephoned Price to inform him of the tentative decision and to tell him that a final decision would be made the next day. Price told this to Connacher.</w:t>
      </w:r>
    </w:p>
    <w:p>
      <w:pPr>
        <w:pStyle w:val="CaseBody"/>
      </w:pPr>
      <w:r>
        <w:rPr>
          <w:iCs/>
          <w:i/>
        </w:rPr>
        <w:t xml:space="preserve">April 30</w:t>
      </w:r>
    </w:p>
    <w:p>
      <w:pPr>
        <w:pStyle w:val="CaseBody"/>
      </w:pPr>
      <w:r>
        <w:t xml:space="preserve">At about 4:30 a. m. on April 30, McCutcheon placed an order with Ackroyd &amp; Smithers to purchase 100,000 Brascan shares on The London Stock Exchange at up to $21 (U.S.), a price approximately equivalent to the closing price of Brascan stock on the American Stock Exchange the preceding Friday. By 9:00 a. m., 15,000 shares had been purchased. No further purchases were made that day on the London Exchange, pursuant to McCutcheon’s instructions that purchasing cease at 9:00 a. m. New York time.</w:t>
      </w:r>
      <w:r>
        <w:rPr>
          <w:rStyle w:val="FootnoteReference"/>
        </w:rPr>
        <w:footnoteReference w:customMarkFollows="1" w:id="130"/>
        <w:t xml:space="preserve">5</w:t>
      </w:r>
    </w:p>
    <w:p>
      <w:pPr>
        <w:pStyle w:val="CaseBody"/>
      </w:pPr>
      <w:r>
        <w:t xml:space="preserve">At 7:30 a. m. Cockwell instructed Price to proceed with the planned breakfast meeting with Goldsmith. Goldsmith met with Connacher and Price, and agreed, subject to confirmation with his clearing broker Becker, to handle purchases for Edper on the AMEX for a commission of five cents per share. Price informed Goldsmith that Ed-per was considering purchasing one million Brascan shares. Goldsmith told this to Becker and reported back approval to broker the deal at the agreed upon rate of commission.</w:t>
      </w:r>
    </w:p>
    <w:p>
      <w:pPr>
        <w:pStyle w:val="CaseBody"/>
      </w:pPr>
      <w:r>
        <w:t xml:space="preserve">After the breakfast meeting, Connacher and Price went to Gordon’s offices in New York. At some time prior to the opening of the market, Connacher called Gordon’s offices in Toronto to indicate that Balfour would be buying Brascan stock on the floor of the AMEX on behalf of Edper, but informed the personnel of Gordon not to discuss that with anyone.</w:t>
      </w:r>
    </w:p>
    <w:p>
      <w:pPr>
        <w:pStyle w:val="CaseBody"/>
      </w:pPr>
      <w:r>
        <w:t xml:space="preserve">Sometime after 9:00 a. m. Price was authorized by Cockwell to place an order with Balfour for one million shares of Brascan at the best price up to $25 (Cdn.) (21</w:t>
      </w:r>
      <w:r>
        <w:rPr>
          <w:rStyle w:val="FootnoteReference"/>
        </w:rPr>
        <w:footnoteReference w:customMarkFollows="1" w:id="171"/>
        <w:t xml:space="preserve">7</w:t>
      </w:r>
      <w:r>
        <w:t xml:space="preserve">/s U.S.). Between 9:30 and 9:45 a. m., Price informed Connacher that he had a mandate to purchase up to one million shares. As the market opened, Price instructed Goldsmith to purchase Brascan stock at $2lV4 (U.S.), and soon raised the bid to 21V2. Balfour was able to purchase only approximately 28,000 shares at these prices. Price held his bid at 21V2, and no more stock was available that morning.</w:t>
      </w:r>
    </w:p>
    <w:p>
      <w:pPr>
        <w:pStyle w:val="CaseBody"/>
      </w:pPr>
      <w:r>
        <w:t xml:space="preserve">Between 10:15 a. m. and 10:30 a. m. Price said to Connacher that if three million shares were available, he believed Edper might be willing to buy them at a premium. Connacher contacted large shareholders of Brascan who were clients of Gordon Securities and instructed Gordon personnel to do the same. Connacher and his salesmen contacted between 30 to 50 institutional shareholders and 10-15 individual shareholders of large blocks of Brascan shares. Total Brascan shareholders numbered more than 50,000.</w:t>
      </w:r>
    </w:p>
    <w:p>
      <w:pPr>
        <w:pStyle w:val="CaseBody"/>
      </w:pPr>
      <w:r>
        <w:t xml:space="preserve">The message conveyed by Connacher and the Gordon' people to the large Brascan shareholders was a uniform one: that if 3 to 4 million shares were offered at $26 (Cdn.) ($22% U.S.), Edper might purchase them. Throughout April 30 and May 1, the Gordon people were careful to state that there was no assurance that the transaction would occur. There is no evidence that the shareholders contacted were told any time at which such a transaction would take place or any time limit within which they must reply. The shareholders contacted by Gordon were highly professional investors. A few large shareholders and investment bankers contacted Gordon on their own and were given the same message conveyed to other shareholders.</w:t>
      </w:r>
    </w:p>
    <w:p>
      <w:pPr>
        <w:pStyle w:val="CaseBody"/>
      </w:pPr>
      <w:r>
        <w:t xml:space="preserve">These findings concerning Connacher and Gordon Securities are applicable to both April 30 and May 1. In contacting shareholders on those days, Connacher and Gordon did not act at the instructions of, or as a representative of, Edper. To the contrary, Connacher and Gordon acted independently as a sellers’ broker because it was in their financial interest to do so. It is true there was a good deal of communication between Connacher and Price, often in the nature of Connacher informing Price of the volume that was shaping up on the sell side. Such communication between buyers’ and sellers’ representatives is normal since it serves the mutual interest of all the parties in seeking to bring about a mutually advantageous transaction. Edper’s managers and decision makers in Toronto, on the other hand, unlike Price, were quite unaware of Connacher’s activities. While they no doubt assumed he would be doing a stockbroker’s business and participating in this opportunity to earn lucrative commissions by soliciting sellers of Brascan shares, they had no communication with him and no awareness of his activities beyond the advice as to mechanics he had volunteered to furnish to Price.</w:t>
      </w:r>
    </w:p>
    <w:p>
      <w:pPr>
        <w:pStyle w:val="CaseBody"/>
      </w:pPr>
      <w:r>
        <w:t xml:space="preserve">Shortly after noon on April 30 in Toronto, Cockwell heard further confirmation that Noranda Mines Ltd. and Brascan were planning to swap substantial shares of stock in a joint defensive move and that Noranda would go into the market to buy substantial shares of Brascan.</w:t>
      </w:r>
    </w:p>
    <w:p>
      <w:pPr>
        <w:pStyle w:val="CaseBody"/>
      </w:pPr>
      <w:r>
        <w:t xml:space="preserve">Edper decided to increase the size and price of Edper’s bid to three million shares at $26 Cdn. (22% U.S.) or better. Price was so instructed.</w:t>
      </w:r>
    </w:p>
    <w:p>
      <w:pPr>
        <w:pStyle w:val="CaseBody"/>
      </w:pPr>
      <w:r>
        <w:t xml:space="preserve">Connacher told Price he believed approximately 1.5 million shares might be available if Edper placed an order at 22%. At approximately 2:45 p. m. Price placed an order with Balfour for 2V2 million Brascan shares at 22%. Price told Connacher he had placed this order.</w:t>
      </w:r>
    </w:p>
    <w:p>
      <w:pPr>
        <w:pStyle w:val="CaseBody"/>
      </w:pPr>
      <w:r>
        <w:t xml:space="preserve">Balfour’s floor representative found very little stock available below a price of 22%. He bought what there was at lower prices and increased the bid to 22% for over 2 million shares. Shortly after Balfour received Edper’s buy order, Gordon, which by then had accumulated some two million shares for sale, approximately 1.7 million of which was available from its clients, placed an order to sell 2 million shares at 22%.</w:t>
      </w:r>
    </w:p>
    <w:p>
      <w:pPr>
        <w:pStyle w:val="CaseBody"/>
      </w:pPr>
      <w:r>
        <w:t xml:space="preserve">At 3:08 Edper’s broker Balfour purchased 2.4 million shares in one print at 22%, of which 1.8 million came from Gordon, the rest from other brokers. Later that afternoon, Price instructed Balfour to buy 500,-000 more Brascan shares at 22% and Balfour did so.</w:t>
      </w:r>
    </w:p>
    <w:p>
      <w:pPr>
        <w:pStyle w:val="CaseBody"/>
      </w:pPr>
      <w:r>
        <w:t xml:space="preserve">By the close of the day on April 30, Edper had purchased a total of 3,104,800 Brascan shares on the AMEX. Of these shares, approximately 2,100,000 were sold by Gordon, for its own account or on behalf of its customers.</w:t>
      </w:r>
    </w:p>
    <w:p>
      <w:pPr>
        <w:pStyle w:val="CaseBody"/>
      </w:pPr>
      <w:r>
        <w:t xml:space="preserve">In the late afternoon, Edper representatives in Toronto received calls from the Ontario Securities Commission and the Toronto Stock Exchange requesting that Ed-per issue a press release and announce the amount of its purchases of Brascan shares. When the Edper group met later that afternoon, the consensus reached was that Edper had purchased more than enough shares to reach its immediate objectives of calling a shareholders’ meeting, influencing Bras-can’s management and giving weight to its presentation at the New York Attorney General’s hearing. The Edper group decided not to purchase any additional Brascan shares. Price was authorized to return to Toronto.</w:t>
      </w:r>
    </w:p>
    <w:p>
      <w:pPr>
        <w:pStyle w:val="CaseBody"/>
      </w:pPr>
      <w:r>
        <w:t xml:space="preserve">At 5:00 p. m. Edper issued a press release (Exhibit 31), announcing its purchases, its total holdings in Brascan shares and reiterating its determination to oppose Brascan’s plan to acquire Wool worth. The release itself contained no reference to Edper’s intention not to purchase additional Brascan shares.</w:t>
      </w:r>
    </w:p>
    <w:p>
      <w:pPr>
        <w:pStyle w:val="CaseBody"/>
      </w:pPr>
      <w:r>
        <w:t xml:space="preserve">Following issuance of this release, Eyton spoke to representatives of the Ontario Securities Commission and the Toronto Stock Exchange and told them Edper would not be making further purchases. Eyton also made the same comment in response to one or more inquiries from the press. On May 1 the Wall Street Journal reported:</w:t>
      </w:r>
    </w:p>
    <w:p>
      <w:pPr>
        <w:pStyle w:val="BlockText"/>
      </w:pPr>
      <w:r>
        <w:t xml:space="preserve">“Edper said it doesn’t currently plan to buy more Brascan shares.” (Court Ex. 1).</w:t>
      </w:r>
    </w:p>
    <w:p>
      <w:pPr>
        <w:pStyle w:val="CaseBody"/>
      </w:pPr>
      <w:r>
        <w:rPr>
          <w:iCs/>
          <w:i/>
        </w:rPr>
        <w:t xml:space="preserve">May 1</w:t>
      </w:r>
    </w:p>
    <w:p>
      <w:pPr>
        <w:pStyle w:val="CaseBody"/>
      </w:pPr>
      <w:r>
        <w:t xml:space="preserve">McCutcheon had participated on April 30 in Edper’s decision to raise the bidding price to 22%. He left Edper’s offices at 3:30 P.M. to go home and was unaware of the later decision to stop buying. Accordingly he rose once again shortly after 3:00 a. m. on Tuesday, May 1, and put in his order to London to buy up to 200,000 shares, this time at a price of $22% (U.S.) or better. His London brokers purchased and confirmed 132,200 at this price by 9:00 A.M. New York time, when his London buying ceased. McCutcheon did not learn of the previous evening’s decision to stop buying until he arrived at Edper’s offices around 9:30 a. m.</w:t>
      </w:r>
    </w:p>
    <w:p>
      <w:pPr>
        <w:pStyle w:val="CaseBody"/>
      </w:pPr>
      <w:r>
        <w:t xml:space="preserve">Edper’s strategists met at 9:30 in Toronto to assess their position. Moore of Brascan had announced earlier that morning that Edper’s April 30 purchases would not dissuade Brascan from proceeding to acquire Woolworth. Patino was extremely unhappy with Edper’s position. He expressed the view that Edper had incurred a tremendous risk without accomplishing anything. He urged additional buying. Price, who had returned to Toronto that morning, was advised by Connacher’s call, that Connacher had additional customers interested in selling sizeable blocks at 22%.</w:t>
      </w:r>
    </w:p>
    <w:p>
      <w:pPr>
        <w:pStyle w:val="CaseBody"/>
      </w:pPr>
      <w:r>
        <w:t xml:space="preserve">Edper decided to resume purchasing and to seek 1 million shares if they could be had at the previous day’s prices. Price told Connacher Edper was interested in 1 million shares without exceeding 22%.</w:t>
      </w:r>
    </w:p>
    <w:p>
      <w:pPr>
        <w:pStyle w:val="CaseBody"/>
      </w:pPr>
      <w:r>
        <w:t xml:space="preserve">Price gave Goldsmith an order to purchase Brascan shares at 22JA or better. Very little was available. Price then put in a bid at 22V2. By 11:45 Goldsmith had purchased approximately 110,000 shares of Brascan.</w:t>
      </w:r>
    </w:p>
    <w:p>
      <w:pPr>
        <w:pStyle w:val="CaseBody"/>
      </w:pPr>
      <w:r>
        <w:t xml:space="preserve">Connacher and members of his firm contacted their customers in the manner previously described and made purchases for Gordon’s account on the floor of the Toronto Stock Exchange in an effort to accumulate more shares which Connacher hoped Edper would buy. Connacher advised Price that there was a lot of stock available. As the morning went on, the Edper group in Toronto decided to bid for as much as 3 million shares. Price placed an order with Balfour for two million shares at 22% or better. A few minutes later Goldsmith of Balfour advised Connacher by telephone that he had received an order to bid for two million shares.</w:t>
      </w:r>
    </w:p>
    <w:p>
      <w:pPr>
        <w:pStyle w:val="CaseBody"/>
      </w:pPr>
      <w:r>
        <w:t xml:space="preserve">By 12:15 p. m. Balfour had bought 2 million shares (900,000 of which were sold by Gordon). Soon thereafter, Edper gave Balfour an order to purchase an additional one million shares at 22% or better and later for another 250,000 shares.</w:t>
      </w:r>
    </w:p>
    <w:p>
      <w:pPr>
        <w:pStyle w:val="CaseBody"/>
      </w:pPr>
      <w:r>
        <w:t xml:space="preserve">Around 1:00 p. m. Goldsmith told Price that he would like to tell his floor trader to stop buying so he could get an accurate count of what he had purchased. Price agreed. After that time Edper made no further purchases. During the course of the trading that day Balfour purchased for Edper approximately 3,200,000 Brascan shares. Of this number approximately 1,550,000 were purchased from Gordon Securities or its customers.</w:t>
      </w:r>
    </w:p>
    <w:p>
      <w:pPr>
        <w:pStyle w:val="CaseBody"/>
      </w:pPr>
      <w:r>
        <w:t xml:space="preserve">Since 5:00 p. m. on the afternoon of May I, Edper has been under a restraining order of this court prohibiting it from exercising stockholder’s rights on any of its stock and prohibiting further purchases.</w:t>
      </w:r>
    </w:p>
    <w:p>
      <w:pPr>
        <w:pStyle w:val="CaseBody"/>
      </w:pPr>
      <w:r>
        <w:t xml:space="preserve">CONCLUSIONS OF LAW</w:t>
      </w:r>
    </w:p>
    <w:p>
      <w:pPr>
        <w:pStyle w:val="CaseBody"/>
      </w:pPr>
      <w:r>
        <w:t xml:space="preserve">I.</w:t>
      </w:r>
      <w:r>
        <w:t xml:space="preserve"> </w:t>
      </w:r>
      <w:r>
        <w:rPr>
          <w:iCs/>
          <w:i/>
        </w:rPr>
        <w:t xml:space="preserve">Liability under Rule 10b-5.</w:t>
      </w:r>
    </w:p>
    <w:p>
      <w:pPr>
        <w:pStyle w:val="CaseBody"/>
      </w:pPr>
      <w:r>
        <w:t xml:space="preserve">Rule 10b-5,</w:t>
      </w:r>
      <w:r>
        <w:t xml:space="preserve"> </w:t>
      </w:r>
      <w:r>
        <w:t xml:space="preserve">17 C.F.R. § 240</w:t>
      </w:r>
      <w:r>
        <w:t xml:space="preserve">.10b-5, provides in relevant part, that it shall be unlawful “for any person, directly or indirectly. by the use of . any facility of any national securities exchange, . (b) To make any untrue statement of a material fact or to omit to state a material fact necessary in order to make the statements made, in the light of the circumstances under which they were made, not misleading ... in connection with the purchase or sale of any security.” Bras-can argues that beginning in early April and in any event as early as April 20, 1979, Edper issued a series of confusing and misleading public statements, and failed to correct misleading impressions created by such public statements, with the result that the acquisitions of April 30 and May 1 on the American Stock Exchange were in violation of Rule 10b-5.</w:t>
      </w:r>
    </w:p>
    <w:p>
      <w:pPr>
        <w:pStyle w:val="CaseBody"/>
      </w:pPr>
      <w:r>
        <w:t xml:space="preserve">I find no basis for the charge with respect to Edper’s conduct occurring prior to May 1, 1979. Edper’s releases in early April correctly stated its position with respect to Brascan. On April 9 it announced an intention to consider making an offer for II. 7 million shares of Brascan at $28 a share. Hard on the heels of Edper’s announcement, Brascan publicly announced on April 9 its intention to make a tender offer for all of the shares of Woolworth. Accordingly, the next day Edper issued a new release to the effect that it would have to reconsider its plans announced the prior day by reason of Brascan’s aspirations to acquire Woolworth. Subsequently Edper announced its application to the Ontario Securities Commission to permit a conditional offer for Brascan’s shares which would be conditioned upon Brascan’s not proceeding with the Woolworth acquisition. When the Ontario Securities Commission refused to permit such an offer to proceed because of its conditional nature, Edper announced the fact that the plan had not been approved and stated that it had “no specific plans at [that] moment to proceed further with an offering for Brascan shares.” Edper went on to state that “it would continue to pursue other avenues to have the Woolworth acquisition abandoned” by Brascan, and in the April 20th as well as in earlier press releases made arguments to the effect that Brascan’s acquisition of Woolworth was not in the best interests of Brascan’s shareholders. Edper made no further public statements until the evening of April 30, 1979.</w:t>
      </w:r>
    </w:p>
    <w:p>
      <w:pPr>
        <w:pStyle w:val="CaseBody"/>
      </w:pPr>
      <w:r>
        <w:t xml:space="preserve">I find that none of the aforementioned statements made by Edper were in any way false, misleading or otherwise within the scope of Rule 10b-5. While they may have reflected changing positions, this was because they accurately documented Edper’s changes of position in response to Brascan’s offer for Woolworth and the actions of the Ontario Securities Commission. They were not confusing or misleading within the meaning of Rule 10b-5.</w:t>
      </w:r>
    </w:p>
    <w:p>
      <w:pPr>
        <w:pStyle w:val="CaseBody"/>
      </w:pPr>
      <w:r>
        <w:t xml:space="preserve">Brascan seeks to draw support from a memorandum apparently prepared on April 11, 1979. This memorandum captioned “Timing” was apparently prepared by an attorney associated with Eyton’s law firm. The opening paragraph contains the following words “Press Release — April 10, 1979— desired reaction, market down”. Brascan contends that these words document an intention on Edper’s part to drive down the market in Brascan shares by its April 10 press release. Eyton, who was questioned about the document, testified that it meant something quite different. He said that the words “desired reaction” were words used in several instances in Edper’s memoranda or publications and that they referred to the hope that Brasean’s dissatisfied shareholders would pressure the management to abandon the Woolworth plan. The words “market down” simply referred to the fact that the market for Brascan shares was down and did not indicate any causal relationship between Edper’s press release and the latter phenomenon. The item is somewhat confusing. Its author was not called as a witness. Brascan through this document has not sustained any burden of showing fraudulent or manipulative activity or intent.</w:t>
      </w:r>
    </w:p>
    <w:p>
      <w:pPr>
        <w:pStyle w:val="CaseBody"/>
      </w:pPr>
      <w:r>
        <w:t xml:space="preserve">Brascan also alleges that the agendas of several Edper meetings during April, showing as items for discussion the maintaining of periodic contact with representatives of Woolworth, showed that Edper was operating in an illicit and manipulative relationship with Woolworth. The proof showed the contrary. There were a few brief and innocuous contacts with Woolworth. These were rapidly terminated on advice of counsel. These items continued to appear on the meeting agendas apparently only because the preparer of the agendas made a practice of incorporating all items which had appeared on the previous agenda.</w:t>
      </w:r>
    </w:p>
    <w:p>
      <w:pPr>
        <w:pStyle w:val="CaseBody"/>
      </w:pPr>
      <w:r>
        <w:t xml:space="preserve">Brascan argues that the public statement made on April 20 to the effect that Edper had no specific plans at that time to proceed with an offering for Bras-can shares was either fraudulent and deceptive when made, or at least became so very soon when a specific plan was developed to acquire shares on the American Stock Exchange. This contention is unconvincing. It is my finding that those words on April 20 correctly represented Edper’s position. Edper went on during the next ten days considering the possibility of a variety of alternative courses of action which were discussed at several successive meetings. The options being discussed included an unconditional offer in the event that the Woolworth plan should be abandoned, an offer including the Woolworth condition in the United States and the United Kingdom (this being the offer which had been prohibited in Toronto), an unconditional offer without the Woolworth condition “but providing paper or other securities with the same effect as the Woolworth condition”, a Toronto stock exchange block offer, an offer on the American Stock Exchange, and private arrangements with shareholders. It was not until April 29 that Edper’s managers resolved a strong preference for an American Stock Exchange acquisition although this had been emerging as the preferred course during explorations of the various alternatives during the week. And it was not until the morning of April 30 that a firm intention was developed to plunge into large scale acquisitions over the American Stock Exchange. (In these, as in other findings, I rely in part on the testimony of Jack Cockwell, who I found to be a thoroughly credible witness and completely honest and forthright in his business dealings). I find no basis for the suggestion that any of the prior activity constituted a violation of Rule 10b-5.</w:t>
      </w:r>
      <w:r>
        <w:rPr>
          <w:rStyle w:val="FootnoteReference"/>
        </w:rPr>
        <w:footnoteReference w:customMarkFollows="1" w:id="152"/>
        <w:t xml:space="preserve">6</w:t>
      </w:r>
    </w:p>
    <w:p>
      <w:pPr>
        <w:pStyle w:val="CaseBody"/>
      </w:pPr>
      <w:r>
        <w:t xml:space="preserve">This brings us up to the events after the close of business on April 30 and during the day on May 1. During the trading day on April 30 Edper acquired more than 3 million shares of Brasean stock, mostly at a price of 22% $U.S. Edper’s managers met together after the close on April 30 and decided that for the time being they had accomplished their near range objectives as explained above, and would purchase no more stock.</w:t>
      </w:r>
    </w:p>
    <w:p>
      <w:pPr>
        <w:pStyle w:val="CaseBody"/>
      </w:pPr>
      <w:r>
        <w:t xml:space="preserve">At that time Edper, at the request of the Ontario Securities Commission and the Toronto Stock Exchange, issued a press release (Exh. 31) concerning the day’s acquisitions, breaking its silence of ten days. Later that evening Eyton received a telephone call from the Toronto Dow Jones representative and, in response to the journalist’s questions, said that Edper had no intention to make further purchases. This representation was made in good faith and accurately represented Edper’s intentions at that time.</w:t>
      </w:r>
    </w:p>
    <w:p>
      <w:pPr>
        <w:pStyle w:val="CaseBody"/>
      </w:pPr>
      <w:r>
        <w:t xml:space="preserve">Brasean argues that Edper’s resumed purchases on the London Exchange which were ordered by McCutcheon at 4:30 A.M. Toronto time, together with Edper’s resumed large scale buying on the American Stock Exchange on the following day, demonstrate that the late April 30 statement denying intention to acquire more stock was false and fraudulently designed to soften the market. The evidence does not support this contention. McCutcheon who was handling the London buying had been present in the Toronto offices during the afternoon of the 30th at the time when continued buying was authorized at stated prices. He left the office and went home around 3:30 and was not present or privy to the 5:00 P.M. decision to stop buying. He was also unaware until 9:30 the next morning of Eyton’s public statement that no further buying would take place. McCutcheon arose at 3:00 a. m. to resume his purchases on the London Exchange in accordance with the strategy established the previous day which he did not know had been later countermanded.</w:t>
      </w:r>
    </w:p>
    <w:p>
      <w:pPr>
        <w:pStyle w:val="CaseBody"/>
      </w:pPr>
      <w:r>
        <w:t xml:space="preserve">Nor is there any justification for Bras-can’s attempt to attribute sinister and deceptive motives to the manner in which the London buying was carried out. McCutcheon’s instructions, which he followed, were to “go easy” in London and not to bid aggressively, so as not to raise the price. He was also instructed to cease buying at 9:00 A.M. Brasean contends that the latter instruction was given so that the New York market would be unaware of the London buying. The argument is fanciful. For quite some time now communications technology has been sufficient to permit New Yorkers at the time of the opening of the market to be well aware of what happened in the London market during the previous six hours. .The reason McCutcheon was to stop buying at 9:00 New York time is simple and logical. Edper did not want to be bidding against itself.</w:t>
      </w:r>
    </w:p>
    <w:p>
      <w:pPr>
        <w:pStyle w:val="CaseBody"/>
      </w:pPr>
      <w:r>
        <w:t xml:space="preserve">The instructions to “go easy” in London do not have any of the sinister or manipulative character which Brascan seeks to attribute to them. They are the product of a normal, intelligent buying strategy. The London market was a thin market, meaning that there was not a large amount of Brascan stock to be acquired there. Aggressive buying or attempts to acquire large quantities in London would have driven the price of Brascan stock quite high without acquiring any significant amount of stock. Potential New York sellers on seeing the high London prices would then have been inclined to demand higher prices for their stock. There is as yet no law governing the securities markets which requires a buyer to handle his bids in a manner which will insure that he has to pay the highest possible price for what he wants to buy.</w:t>
      </w:r>
      <w:r>
        <w:t xml:space="preserve"> </w:t>
      </w:r>
      <w:r>
        <w:rPr>
          <w:iCs/>
          <w:i/>
        </w:rPr>
        <w:t xml:space="preserve">See General Time Gorp. v. Talley Industries, Inc., supra,</w:t>
      </w:r>
      <w:r>
        <w:t xml:space="preserve"> </w:t>
      </w:r>
      <w:r>
        <w:t xml:space="preserve">at 164.</w:t>
      </w:r>
    </w:p>
    <w:p>
      <w:pPr>
        <w:pStyle w:val="CaseBody"/>
      </w:pPr>
      <w:r>
        <w:t xml:space="preserve">Nor does the large scale resumed purchasing on the American Stock Exchange on Tuesday, May 1, demonstrate falsity in the April 30 statement. Edper changed its mind on May 1 for three reasons. First, Moore, the Chairman of Brascan, made known that Brascan had every intention to pursue the Woolworth acquisition. Apparently Edper’s April 30th buying had not been of sufficient size to deter the Brascan management. Second, Edper learned that there may be a substantial volume of additional stock available at the same price of $26 Cdn. ($22% U.S.) Third, Jaime OrtizPatino, a principal director of the Patino interests, upon his arrival in Toronto from Europe that morning, expressed great dissatisfaction with Edper’s position because in his estimation Edper had exposed itself to tremendous risk by sinking a large amount of capital into the Brascan investment without having acquired a sufficiently substantial position to effectuate its policies. Patino urged resumption of large scale buying and, particularly in view of the apparent availability of additional stock, and Bras-can’s intransigence, his partners agreed with him. Accordingly, Edper changed its mind and undertook another big day’s buying. No consideration was given to issuing any further press release.</w:t>
      </w:r>
    </w:p>
    <w:p>
      <w:pPr>
        <w:pStyle w:val="CaseBody"/>
      </w:pPr>
      <w:r>
        <w:t xml:space="preserve">Edper then proceeded on May 1 to buy another three million shares mostly at 22%, which had been the prevailing price of the day before.</w:t>
      </w:r>
    </w:p>
    <w:p>
      <w:pPr>
        <w:pStyle w:val="CaseBody"/>
      </w:pPr>
      <w:r>
        <w:t xml:space="preserve">Having undertaken to announce publicly its massive acquisition of April 30, and its intention to make no further purchases, I believe that Edper’s resumption of large scale acquisitions on May 1 without announcing to the public a change from its so recently announced intentions could constitute an omission “to state a material fact necessary in order to make the statements made, in light of the circumstances under which they were made, not misleading . .” under Rule 10b-5. The April 30 statement denying further acquisition intentions could have the effect of making Brascan shareholders feel that they had missed their chance to sell at the best prices and make them eager to dispose of their stock before the price fell any further. Given the circumstances, the April 30 statement became “misleading” on May 1 when Edper’s intentions changed and a further statement was “necessary in order to make the statements made . . . not misleading.” Edper omitted to make such further statements. Given the importance of the volume of Edper’s buying, the issue of its intentions was “a material fact”.</w:t>
      </w:r>
      <w:r>
        <w:t xml:space="preserve"> </w:t>
      </w:r>
      <w:r>
        <w:rPr>
          <w:iCs/>
          <w:i/>
        </w:rPr>
        <w:t xml:space="preserve">See TSC Industries v. Northway Industries, Inc.,</w:t>
      </w:r>
      <w:r>
        <w:t xml:space="preserve"> </w:t>
      </w:r>
      <w:r>
        <w:t xml:space="preserve">426 U.S. 438</w:t>
      </w:r>
      <w:r>
        <w:t xml:space="preserve">, 449,</w:t>
      </w:r>
      <w:r>
        <w:t xml:space="preserve"> </w:t>
      </w:r>
      <w:r>
        <w:t xml:space="preserve">96 S.Ct. 2126</w:t>
      </w:r>
      <w:r>
        <w:t xml:space="preserve">,</w:t>
      </w:r>
      <w:r>
        <w:t xml:space="preserve"> </w:t>
      </w:r>
      <w:r>
        <w:t xml:space="preserve">48 L.Ed.2d 757</w:t>
      </w:r>
      <w:r>
        <w:t xml:space="preserve"> </w:t>
      </w:r>
      <w:r>
        <w:t xml:space="preserve">(1976);</w:t>
      </w:r>
      <w:r>
        <w:t xml:space="preserve"> </w:t>
      </w:r>
      <w:r>
        <w:rPr>
          <w:iCs/>
          <w:i/>
        </w:rPr>
        <w:t xml:space="preserve">Joyce v. Joyce Beverages, Inc.,</w:t>
      </w:r>
      <w:r>
        <w:t xml:space="preserve"> </w:t>
      </w:r>
      <w:r>
        <w:t xml:space="preserve">571 F.2d 703</w:t>
      </w:r>
      <w:r>
        <w:t xml:space="preserve">, 707 n. 6 (2 Cir. 1978). Accordingly, the elements which appear on the face of Rule 10b-5 have been made out.</w:t>
      </w:r>
    </w:p>
    <w:p>
      <w:pPr>
        <w:pStyle w:val="CaseBody"/>
      </w:pPr>
      <w:r>
        <w:t xml:space="preserve">This leads to the question of scienter. I find that Edper’s omission occurred with knowledge, but not with any intention to defraud or deceive. Edper was of course aware that it had made the April 30 statement. It was also aware that it undertook to buy on May 1. Had its managers thought about the question they would have been aware that the actions of May 1 were in conflict with the statement of April 30 and that these circumstances might result in making the Brascan stock cheaper. I note in passing that with respect to the May 1 London purchases there was not even awareness on McCutcheon’s part of the pri- or statement or its conflict with his May 1 actions.</w:t>
      </w:r>
    </w:p>
    <w:p>
      <w:pPr>
        <w:pStyle w:val="CaseBody"/>
      </w:pPr>
      <w:r>
        <w:t xml:space="preserve">Despite the knowledge that Edper did have or should have had concerning this misleading statement, I do not find that the omission on May 1 was motivated by any desire to deceive the public or to manipulate the condition of the stock market. How Edper would have dealt with the problem, had it confronted it specifically, is difficult to guess. It was eager to avoid making public statements of any kind during its program of stock exchange acquisitions, and it made the April 30 statement only because requested to do so by the officials of the Ontario Securities Commission and the Toronto Stock Exchange. In the statement of intentions informally given to a Dow Jones reporter, Eyton had gone beyond the authorized press release which had been discussed ¿t the late afternoon meeting. I do find that throughout the events which were the subject of the hearing Edper’s managers conducted themselves scrupulously, fairly and with good faith efforts to observe the requirements of law. I believe these observations are applicable to Edper’s state of mind in its omission to correct the April 30 statement.</w:t>
      </w:r>
    </w:p>
    <w:p>
      <w:pPr>
        <w:pStyle w:val="CaseBody"/>
      </w:pPr>
      <w:r>
        <w:t xml:space="preserve">This raises the troublesome issue, what degree of scienter is necessary to justify an action for an injunction under Rule 10b-5 where the effect of the injunction would be to protect the stockholding public from the further effect of a misleading statement. There is clear law to the effect that a damage action under Rule 10b-5 will not lie in the absence of proof of scienter — which the Supreme Court defined in</w:t>
      </w:r>
      <w:r>
        <w:t xml:space="preserve"> </w:t>
      </w:r>
      <w:r>
        <w:rPr>
          <w:iCs/>
          <w:i/>
        </w:rPr>
        <w:t xml:space="preserve">Ernst &amp; Ernst v. Hochfelder,</w:t>
      </w:r>
      <w:r>
        <w:t xml:space="preserve"> </w:t>
      </w:r>
      <w:r>
        <w:t xml:space="preserve">425 U.S. 185</w:t>
      </w:r>
      <w:r>
        <w:t xml:space="preserve">,</w:t>
      </w:r>
      <w:r>
        <w:t xml:space="preserve"> </w:t>
      </w:r>
      <w:r>
        <w:t xml:space="preserve">96 S.Ct. 1375</w:t>
      </w:r>
      <w:r>
        <w:t xml:space="preserve">,</w:t>
      </w:r>
      <w:r>
        <w:t xml:space="preserve"> </w:t>
      </w:r>
      <w:r>
        <w:t xml:space="preserve">47 L.Ed.2d 668</w:t>
      </w:r>
      <w:r>
        <w:t xml:space="preserve"> </w:t>
      </w:r>
      <w:r>
        <w:t xml:space="preserve">(1976), as a “mental state embracing intent to deceive, manipulate or defraud,”</w:t>
      </w:r>
      <w:r>
        <w:t xml:space="preserve"> </w:t>
      </w:r>
      <w:r>
        <w:rPr>
          <w:iCs/>
          <w:i/>
        </w:rPr>
        <w:t xml:space="preserve">id.</w:t>
      </w:r>
      <w:r>
        <w:rPr>
          <w:iCs/>
          <w:i/>
        </w:rPr>
        <w:t xml:space="preserve"> </w:t>
      </w:r>
      <w:r>
        <w:t xml:space="preserve">at 193, n. 12</w:t>
      </w:r>
      <w:r>
        <w:t xml:space="preserve">,</w:t>
      </w:r>
      <w:r>
        <w:t xml:space="preserve"> </w:t>
      </w:r>
      <w:r>
        <w:t xml:space="preserve">96 S.Ct. 1381</w:t>
      </w:r>
      <w:r>
        <w:t xml:space="preserve">, n. 12, and as “knowing or intentional misconduct,”</w:t>
      </w:r>
      <w:r>
        <w:t xml:space="preserve"> </w:t>
      </w:r>
      <w:r>
        <w:rPr>
          <w:iCs/>
          <w:i/>
        </w:rPr>
        <w:t xml:space="preserve">id.</w:t>
      </w:r>
      <w:r>
        <w:t xml:space="preserve"> </w:t>
      </w:r>
      <w:r>
        <w:t xml:space="preserve">at 197,</w:t>
      </w:r>
      <w:r>
        <w:t xml:space="preserve"> </w:t>
      </w:r>
      <w:r>
        <w:t xml:space="preserve">96 S.Ct. 1375</w:t>
      </w:r>
      <w:r>
        <w:t xml:space="preserve">.</w:t>
      </w:r>
      <w:r>
        <w:rPr>
          <w:rStyle w:val="FootnoteReference"/>
        </w:rPr>
        <w:footnoteReference w:customMarkFollows="1" w:id="172"/>
        <w:t xml:space="preserve">7</w:t>
      </w:r>
      <w:r>
        <w:t xml:space="preserve"> </w:t>
      </w:r>
      <w:r>
        <w:t xml:space="preserve">It has also been held recently in this Circuit that fraudulent intent is not necessary where injunctive relief is sought by the Securities Exchange Commission.</w:t>
      </w:r>
      <w:r>
        <w:rPr>
          <w:rStyle w:val="FootnoteReference"/>
        </w:rPr>
        <w:footnoteReference w:customMarkFollows="1" w:id="191"/>
        <w:t xml:space="preserve">8</w:t>
      </w:r>
      <w:r>
        <w:t xml:space="preserve"> </w:t>
      </w:r>
      <w:r>
        <w:t xml:space="preserve">What is not clear is the question whether and to what extent scienter is required when injunctive relief is sought by a private party to prevent future harm from the misleading statement.</w:t>
      </w:r>
    </w:p>
    <w:p>
      <w:pPr>
        <w:pStyle w:val="CaseBody"/>
      </w:pPr>
      <w:r>
        <w:t xml:space="preserve">I need not reach definitive resolution of that issue at this stage of a motion for a preliminary injunction. For under the second branch of the</w:t>
      </w:r>
      <w:r>
        <w:t xml:space="preserve"> </w:t>
      </w:r>
      <w:r>
        <w:rPr>
          <w:iCs/>
          <w:i/>
        </w:rPr>
        <w:t xml:space="preserve">Sonesta International Hotel’s</w:t>
      </w:r>
      <w:r>
        <w:t xml:space="preserve"> </w:t>
      </w:r>
      <w:r>
        <w:t xml:space="preserve">test,</w:t>
      </w:r>
      <w:r>
        <w:rPr>
          <w:rStyle w:val="FootnoteReference"/>
        </w:rPr>
        <w:footnoteReference w:customMarkFollows="1" w:id="210"/>
        <w:t xml:space="preserve">9</w:t>
      </w:r>
      <w:r>
        <w:t xml:space="preserve"> </w:t>
      </w:r>
      <w:r>
        <w:t xml:space="preserve">all that is needed, together with other factors discussed below, is a “sufficiently serious questions going to the merits” to make it a fair ground for litigation and a “balance of hardships tipping decidedly toward the party requesting the preliminary relief” together with irreparable harm. I find that that test is narrowly met under these circumstances and that a tipping of the equities may well justify some form of injunctive relief designed to protect Brascan shareholders from the possibility of being misled by the continuing effect of the April 30 statement.</w:t>
      </w:r>
    </w:p>
    <w:p>
      <w:pPr>
        <w:pStyle w:val="CaseBody"/>
      </w:pPr>
      <w:r>
        <w:t xml:space="preserve">II.</w:t>
      </w:r>
      <w:r>
        <w:t xml:space="preserve"> </w:t>
      </w:r>
      <w:r>
        <w:rPr>
          <w:iCs/>
          <w:i/>
        </w:rPr>
        <w:t xml:space="preserve">Liability under the Williams Act.</w:t>
      </w:r>
    </w:p>
    <w:p>
      <w:pPr>
        <w:pStyle w:val="CaseBody"/>
      </w:pPr>
      <w:r>
        <w:t xml:space="preserve">A. The filing requirements of Section 13(d) and 14(d).</w:t>
      </w:r>
    </w:p>
    <w:p>
      <w:pPr>
        <w:pStyle w:val="CaseBody"/>
      </w:pPr>
      <w:r>
        <w:t xml:space="preserve">Brascan’s first contention with respect to the Williams Act is that Edper, from the time it had acquired more than 5% of the stock of Brascan in the early part of 1979, was in violation of § 13(d) of the Exchange Act by virtue of its failure to file statements required therein, and that this violation was compounded by Edper’s failure to file the statements required by § 14(d) before making its purchases on April 30 and May 1. This contention requires little discussion. Sections 13(d) and 14(d) are not applicable to all securities but apply only to the equity securities of companies which are registered pursuant to § 12 of the Exchange Act. Brascan’s shares are not registered pursuant to § 12. Bras-can is a foreign issuer whose securities are not listed on any national securities exchange in the United States. Its shares are admitted to unlisted trading privileges on the American Stock Exchange, and are exempt from Section 12(g) under the provisions of Rule 12g3-2. The SEC appearing as amicus at the preliminary injunction hearing confirmed that the provisions of §§ 13(d) and 14(d) were not applicable to Brascan’s shares., Rule 12f~4 does not, as plaintiffs argue, mandate a different conclusion.</w:t>
      </w:r>
    </w:p>
    <w:p>
      <w:pPr>
        <w:pStyle w:val="CaseBody"/>
      </w:pPr>
      <w:r>
        <w:t xml:space="preserve">B. The anti-fraud provisions of Section 14(e) of the Exchange Act.</w:t>
      </w:r>
    </w:p>
    <w:p>
      <w:pPr>
        <w:pStyle w:val="CaseBody"/>
      </w:pPr>
      <w:r>
        <w:t xml:space="preserve">The anti-fraud provisions of Section 14(e) are drawn in terms virtually identical to those of Rule 10b-5, but the two rules operate in different contexts. Rule 10b-5 applies if the prohibited conduct occurs “in connection with the purchase or sale of any security”; Section 14(e) applies if the conduct occurs “in connection with any tender offer . . . .”</w:t>
      </w:r>
    </w:p>
    <w:p>
      <w:pPr>
        <w:pStyle w:val="CaseBody"/>
      </w:pPr>
      <w:r>
        <w:t xml:space="preserve">Accordingly, the omission on May 1 to correct the misleading impression created by the April 30 announcement which was found arguably violative of Rule 10b-5 might also have violated Section 14(e) if Edper’s buying on April 30 and May 1 constituted a tender offer. Since the purposes of the Williams Act differ from those of Rule 10b-5, it is possible that upon a finding of a violation of Section 14(e), a different scope of remedial relief might be available than that appropriate under Rule 10b-5. Accordingly, the question must be considered.</w:t>
      </w:r>
    </w:p>
    <w:p>
      <w:pPr>
        <w:pStyle w:val="CaseBody"/>
      </w:pPr>
      <w:r>
        <w:t xml:space="preserve">I find that Edper’s conduct did not constitute a tender offer within the meaning of the Williams Act.</w:t>
      </w:r>
    </w:p>
    <w:p>
      <w:pPr>
        <w:pStyle w:val="CaseBody"/>
      </w:pPr>
      <w:r>
        <w:t xml:space="preserve">In fact, Edper’s conduct had very little similarity to what is commonly understood as a tender offer and what was described as a tender offer in the context of the hearings leading to the passage of the Williams Act. Edper did not engage in widespread solicitation of stockholders. Indeed, it scrupulously avoided any solicitation upon the advice of its lawyers. Its purchasing was not contingent on a minimum fixed number of shares being offered, it did not put out an offer at a fixed price and the form of the transaction did not provide for tenders by the selling shareholders to be held for some period of time by the purchaser or a depositary, as is customary in tender offers. What Edper did was to acquire a large amount of stock in open market purchases, bidding cautiously so as to avoid bidding up the price of the stock to excessive levels unless there was large volume available at such prices. This is not a tender offer, even if a large volume of stock is accumulated in such fashion.</w:t>
      </w:r>
      <w:r>
        <w:t xml:space="preserve"> </w:t>
      </w:r>
      <w:r>
        <w:rPr>
          <w:iCs/>
          <w:i/>
        </w:rPr>
        <w:t xml:space="preserve">See Kennecott Copper Corp. v. Curtiss Wright Corp.,</w:t>
      </w:r>
      <w:r>
        <w:t xml:space="preserve"> </w:t>
      </w:r>
      <w:r>
        <w:t xml:space="preserve">584 F.2d 1195</w:t>
      </w:r>
      <w:r>
        <w:t xml:space="preserve">, 1206 (2d Cir. 1978).</w:t>
      </w:r>
    </w:p>
    <w:p>
      <w:pPr>
        <w:pStyle w:val="CaseBody"/>
      </w:pPr>
      <w:r>
        <w:t xml:space="preserve">Brascan argues that Edper made Connacher its agent so that all of Connacher’s and his firm’s activity in lining up potential sellers is attributable'to Edper in determining whether or not Edper engaged in a tender offer. I do not find this contention supported by the evidénce. It is true without question that Connacher had some connection with Edper and assisted Edper in certain respects. A week prior to Edper’s large market acquisitions, it had consulted Connacher (because he was known to be well informed concerning Brascan stock), as to his opinion of the feasibility of acquiring a large number of Brascan shares. Indeed, earlier in January and February it had employed Connacher as a broker in acquiring blocks of Brascan stock. On April 29 and 30, Edper obtained Connacher’s assistance in setting up the mechanics for American Stock Exchange transactions. He helped Price negotiate a brokerage commission with Balfour, and he advised Price as to how to handle questions of foreign currency exchange, hedging and mechanisms for making payment in connection with large purchases. He was prepared to introduce Price to New York investmént bankers in the event that Edper chose a route other than open market purchases. But in his solicitation of customers who might be interested in selling, he was simply not acting at the instructions of, or in any way as agent for, Edper.</w:t>
      </w:r>
    </w:p>
    <w:p>
      <w:pPr>
        <w:pStyle w:val="CaseBody"/>
      </w:pPr>
      <w:r>
        <w:t xml:space="preserve">Of course Connacher and Edper necessarily had interests in common. A seller’s broker always has interests in common with the buyer. If the buyer does not buy, the seller’s broker will not earn his commission. Thus, if Connacher as a seller’s broker were capable of rounding up a large volume of shares for sale at a price that Edper was willing to pay, Edper’s objectives would be satisfied and Connacher would make money. That did not make Connacher Edper’s agent for the solicitation of sellers’ shares.</w:t>
      </w:r>
    </w:p>
    <w:p>
      <w:pPr>
        <w:pStyle w:val="CaseBody"/>
      </w:pPr>
      <w:r>
        <w:t xml:space="preserve">Even if Connacher were deemed to have been Edper’s agent in the solicitation of shares for sale, still the transaction would not constitute a tender offer within the meaning of the Williams Act. All that Connacher and his firm did was to scout between 30 and 50 large institutional holders of Brascan stock, plus about a dozen large individual investors, to collect a large block for Edper to purchase at a price agreeable to both sides of the transaction. He and his firm did this in the conventional methods of privately negotiated block trades. Such privately negotiated block trading is done on a daily basis in the U.S. securities markets without anyone’s ever suspecting that what is being practiced might be a tender offer. In the recent</w:t>
      </w:r>
      <w:r>
        <w:t xml:space="preserve"> </w:t>
      </w:r>
      <w:r>
        <w:rPr>
          <w:iCs/>
          <w:i/>
        </w:rPr>
        <w:t xml:space="preserve">Kennecott</w:t>
      </w:r>
      <w:r>
        <w:t xml:space="preserve"> </w:t>
      </w:r>
      <w:r>
        <w:t xml:space="preserve">case,</w:t>
      </w:r>
      <w:r>
        <w:t xml:space="preserve"> </w:t>
      </w:r>
      <w:r>
        <w:rPr>
          <w:iCs/>
          <w:i/>
        </w:rPr>
        <w:t xml:space="preserve">supra,</w:t>
      </w:r>
      <w:r>
        <w:t xml:space="preserve"> </w:t>
      </w:r>
      <w:r>
        <w:t xml:space="preserve">this Circuit refused to construe tender offers under the Williams Act as covering this sort of conduct.</w:t>
      </w:r>
    </w:p>
    <w:p>
      <w:pPr>
        <w:pStyle w:val="CaseBody"/>
      </w:pPr>
      <w:r>
        <w:t xml:space="preserve">A small number of District Court cases</w:t>
      </w:r>
      <w:r>
        <w:rPr>
          <w:rStyle w:val="FootnoteReference"/>
        </w:rPr>
        <w:footnoteReference w:customMarkFollows="1" w:id="245"/>
        <w:t xml:space="preserve">11</w:t>
      </w:r>
      <w:r>
        <w:t xml:space="preserve"> </w:t>
      </w:r>
      <w:r>
        <w:t xml:space="preserve">have held that the Williams Act should be deemed applicable to such large scale accumulations. The general thrust of the reasoning is that since the Williams Act was designed to remedy certain problems often found in tender offers, and since similar problems are to be found in other forms of stock accumulation, the Williams Act should be deemed to cover such other forms of stock accumulation even though they are not what is conventionally understood as a tender offer.</w:t>
      </w:r>
    </w:p>
    <w:p>
      <w:pPr>
        <w:pStyle w:val="CaseBody"/>
      </w:pPr>
      <w:r>
        <w:t xml:space="preserve">There are serious problems with this form of statutory interpretation. First of all the legislative history of the Williams Act shows that it was passed with full awareness of the difference between tender offers and other forms of large scale stock accumulations. Statements by Senator Williams, the proponent of the bill and by SEC Chairman Manuel Cohen at the legislative hearings specifically advert to the fact that tender offers are distinguishable from other forms of large scale stock accumulation including privately negotiated transactions.</w:t>
      </w:r>
      <w:r>
        <w:rPr>
          <w:rStyle w:val="FootnoteReference"/>
        </w:rPr>
        <w:footnoteReference w:customMarkFollows="1" w:id="261"/>
        <w:t xml:space="preserve">12</w:t>
      </w:r>
      <w:r>
        <w:t xml:space="preserve"> </w:t>
      </w:r>
      <w:r>
        <w:t xml:space="preserve">Indeed, the provisions of the Williams Act itself acknowledge those distinctions since it provides for different consequences where an initial accumulation is acquired by tender offer as opposed to where it is acquired by other methods. There can be no question that Congress regulated what it wished to regulate and chose not to regulate what it did not wish to regulate.</w:t>
      </w:r>
    </w:p>
    <w:p>
      <w:pPr>
        <w:pStyle w:val="CaseBody"/>
      </w:pPr>
      <w:r>
        <w:t xml:space="preserve">Further the regulatory scheme established by Congress in the Williams Act is incompatible with its application to a program of market purchasing. As the Court of Appeals pointed out in the</w:t>
      </w:r>
      <w:r>
        <w:t xml:space="preserve"> </w:t>
      </w:r>
      <w:r>
        <w:rPr>
          <w:iCs/>
          <w:i/>
        </w:rPr>
        <w:t xml:space="preserve">Kennecott</w:t>
      </w:r>
      <w:r>
        <w:t xml:space="preserve"> </w:t>
      </w:r>
      <w:r>
        <w:t xml:space="preserve">case, the provisions of Sections 14(d)(5), 14(d)(6) and 14(d)(7) are unworkable when applied to a program of acquisition which includes stock market purchases. (See also Rule 10b-13.) The consequence of bringing such large scale open market and privately negotiated purchases within the scope of the Williams Act would be to rule, in effect, that no large scale acquisition program may be lawfully accomplished except in the manner of a conventional tender offer. While this may be a sensible legislative provision (and may be implicit in the 35 offerees formulation set forth in the ALI’s proposed Federal Securities Code,</w:t>
      </w:r>
      <w:r>
        <w:t xml:space="preserve"> </w:t>
      </w:r>
      <w:r>
        <w:rPr>
          <w:iCs/>
          <w:i/>
        </w:rPr>
        <w:t xml:space="preserve">see</w:t>
      </w:r>
      <w:r>
        <w:t xml:space="preserve"> </w:t>
      </w:r>
      <w:r>
        <w:t xml:space="preserve">Section 299.68) there is nothing in the legislative history or the text of the Williams Act which suggests that it intended to bring about such consequences.</w:t>
      </w:r>
    </w:p>
    <w:p>
      <w:pPr>
        <w:pStyle w:val="CaseBody"/>
      </w:pPr>
      <w:r>
        <w:t xml:space="preserve">The Securities Exchange Commission, at this Court’s request, submitted a brief</w:t>
      </w:r>
      <w:r>
        <w:t xml:space="preserve"> </w:t>
      </w:r>
      <w:r>
        <w:rPr>
          <w:iCs/>
          <w:i/>
        </w:rPr>
        <w:t xml:space="preserve">amicus curiae.</w:t>
      </w:r>
      <w:r>
        <w:t xml:space="preserve"> </w:t>
      </w:r>
      <w:r>
        <w:t xml:space="preserve">The Commission takes no position as to whether the acts of Edper constituted a tender offer, but lists eight factors which authorities have considered in determining whether acquisitions constitute a tender offer under the Williams Act.</w:t>
      </w:r>
      <w:r>
        <w:rPr>
          <w:rStyle w:val="FootnoteReference"/>
        </w:rPr>
        <w:footnoteReference w:customMarkFollows="1" w:id="277"/>
        <w:t xml:space="preserve">13</w:t>
      </w:r>
      <w:r>
        <w:t xml:space="preserve"> </w:t>
      </w:r>
      <w:r>
        <w:t xml:space="preserve">The SEC refrains from specifying which of the eight factors or how many must be met or how clearly before an acquisition will be considered a tender offer. I have doubts as to whether this view constitutes either a permissible or a desirable interpretation of the statute. As to permissibility, I have some question whether it expands the scope of the statute beyond what Congress can reasonably be understood to have intended, depending how many and which factors are deemed necessary. I believe it is not desirable because the application of so vague a test would introduce a crippling uncertainty in an area in which practitioners should be entitled to be guided by reasonably clear rules of the road. The consequences of having purchased on the open market where a court would later determine on the basis of so unpredictable a test that the provisions of Section 14(d) should have been respected could well be catastrophic beyond reason. Since purchasers could not reasonably assume such open-ended risks, the practical consequence of adopting such an interpretation would be that large scale acquisitions can only be accomplished by the method of conventional tender offers and, as noted above, this is not a permissible reading of the Williams Act.</w:t>
      </w:r>
    </w:p>
    <w:p>
      <w:pPr>
        <w:pStyle w:val="CaseBody"/>
      </w:pPr>
      <w:r>
        <w:t xml:space="preserve">But more important for purposes of this decision, I find that even if the Commission’s eight criteria represented the authorized interpretation of the Williams Act, Edper’s actions, even as supplemented by Connacher’s, do not sufficiently meet these criteria to come within the definition of a tender offer.</w:t>
      </w:r>
    </w:p>
    <w:p>
      <w:pPr>
        <w:pStyle w:val="CaseBody"/>
      </w:pPr>
      <w:r>
        <w:t xml:space="preserve">The first criterion calling for “active and widespread solicitation of public shareholders” is clearly not met. The solicitations were directed to only approximately 50 of Brascan’s 50,000 shareholders, each of the 50 being either an institution or a sophisticated individual holder of large blocks of Brascan shares.</w:t>
      </w:r>
    </w:p>
    <w:p>
      <w:pPr>
        <w:pStyle w:val="CaseBody"/>
      </w:pPr>
      <w:r>
        <w:t xml:space="preserve">The third criterion calling for “a premium over the prevailing market price” is met, but only to a slight degree. Edper was unable to purchase large amounts at 2IV2. Its broker, Balfour, did not encounter sizeable blocks until it went as high as 22%. The price at which it accomplished its major volume, 22%, was only % of a point above what any purchaser would have had to pay for any significant volume.</w:t>
      </w:r>
    </w:p>
    <w:p>
      <w:pPr>
        <w:pStyle w:val="CaseBody"/>
      </w:pPr>
      <w:r>
        <w:t xml:space="preserve">Criterion number four that “the terms of the offer are firm rather than negotiable” was not met. Edper, Gordon, and the sellers were feeling their way to find a level at which large volume purchasing could be done. The fact that Gordon spoke to potential sellers during the morning of the likelihood of a price of $26 Cdn. (22% U.S.) did not represent a firm bid. I find that it represented Connacher’s well educated guess as to where a deal might be put together based on his knowledge of the market and of the buyer’s and sellers’ desires. He and his traders repeatedly denied to their customers the existence of any firm bid.</w:t>
      </w:r>
    </w:p>
    <w:p>
      <w:pPr>
        <w:pStyle w:val="CaseBody"/>
      </w:pPr>
      <w:r>
        <w:t xml:space="preserve">The fifth criterion, “whether the offer is contingent on the tender of a fixed minimum number of shares” is met only to a slight degree. It is true that Edper was not interested in bidding up the price too high without acquiring a large number of shares in doing so. And it is true that Connacher advised his customers that he didn’t believe a transaction would go through unless sufficient volume were achieved. But these conditions were general, fluid and negotiable. They were not fixed as part of the terms of any offer to purchase shares.</w:t>
      </w:r>
    </w:p>
    <w:p>
      <w:pPr>
        <w:pStyle w:val="CaseBody"/>
      </w:pPr>
      <w:r>
        <w:t xml:space="preserve">The sixth condition, “whether the offer is open only for a limited period of time” is not met. Since there was no open offer, there was certainly no assurance that any offer would remain open for any period of time. Nor was there any statement to the effect that an offer temporarily available would soon disappear. What was said to the potential sellers by Gordon was that a buyer was interested in accumulating a large volume. Thus the situation did not carry with it the kind of potential pressure which, coupling a high premium with the threat that the offer will disappear as of a certain time, places an offeree under pressure to decide. That is the kind of pressure which the Williams Act was designed to alleviate, by providing information on which to base a decision. That was not present here.</w:t>
      </w:r>
    </w:p>
    <w:p>
      <w:pPr>
        <w:pStyle w:val="CaseBody"/>
      </w:pPr>
      <w:r>
        <w:t xml:space="preserve">I find that the seventh criterion, “whether the offerees are subjected to pressure to sell their stock” was not met. The offerees were experienced professionals, in most cases institutional portfolio managers. Even assuming that such professional investors can be susceptible to “pressure” in the sense in which the Williams Act is concerned, no such pressures were applied.</w:t>
      </w:r>
    </w:p>
    <w:p>
      <w:pPr>
        <w:pStyle w:val="CaseBody"/>
      </w:pPr>
      <w:r>
        <w:t xml:space="preserve">Finally, the eighth criterion, “whether public announcements of a purchasing program . . . precede or accompany a rapid accumulation” was not met. Edper had made some public announcements in early April when it was contemplating differently structured programs of acquisition. It announced its application on April 18 to the Ontario Securities Commission for permission to make a conditional circular offering. When permission was refused on April 20, Edper announced the refusal to the public and indicated that it had no specific further plans at that time. No further public statement was made by Edper until the close of business on April 30.</w:t>
      </w:r>
    </w:p>
    <w:p>
      <w:pPr>
        <w:pStyle w:val="CaseBody"/>
      </w:pPr>
      <w:r>
        <w:t xml:space="preserve">In short, the only one of the SEC’s eight criteria which is clearly and solidly met is number two, that “the solicitation is made for a substantial percentage of the issuer’s stock.” While one might have no disagreement with legislation which imposed pre-acquisition disclosure requirements, comparable to those required by § 13(d), whenever a purchaser intended to acquire by any means a large specified percentage of any publicly held stock, that is not what the Williams Act now requires. It is not in my view within the power of a court to so rewrite its provisions.</w:t>
      </w:r>
    </w:p>
    <w:p>
      <w:pPr>
        <w:pStyle w:val="CaseBody"/>
      </w:pPr>
      <w:r>
        <w:t xml:space="preserve">III.</w:t>
      </w:r>
      <w:r>
        <w:t xml:space="preserve"> </w:t>
      </w:r>
      <w:r>
        <w:rPr>
          <w:iCs/>
          <w:i/>
        </w:rPr>
        <w:t xml:space="preserve">The Scope of Relief.</w:t>
      </w:r>
    </w:p>
    <w:p>
      <w:pPr>
        <w:pStyle w:val="CaseBody"/>
      </w:pPr>
      <w:r>
        <w:t xml:space="preserve">Having found a single instance of unintentional misleading of shareholders, resulting from a failure to correct a prior statement which changed intentions could have rendered deceptive, it remains to consider the appropriate scope of relief under Rule 10b-5.</w:t>
      </w:r>
    </w:p>
    <w:p>
      <w:pPr>
        <w:pStyle w:val="CaseBody"/>
      </w:pPr>
      <w:r>
        <w:t xml:space="preserve">Brascan has shown no injury to itself and no entitlement to injunctive relief for its protection (as opposed to the protection of its shareholders). The justification for permitting Brascan, the issuer, to maintain this action is that the issuer was in the best position to protect the interests of its shareholders from further deception. It is the interest of the shareholders which the injunctive relief may properly protect, at least in the absence of a showing that the issuer has been harmed by the violation of Rule 10b-5.</w:t>
      </w:r>
      <w:r>
        <w:t xml:space="preserve"> </w:t>
      </w:r>
      <w:r>
        <w:rPr>
          <w:iCs/>
          <w:i/>
        </w:rPr>
        <w:t xml:space="preserve">See Electronic Specialty Co. v. International Controls Corp.,</w:t>
      </w:r>
      <w:r>
        <w:t xml:space="preserve"> </w:t>
      </w:r>
      <w:r>
        <w:t xml:space="preserve">409 F.2d 937</w:t>
      </w:r>
      <w:r>
        <w:t xml:space="preserve"> </w:t>
      </w:r>
      <w:r>
        <w:t xml:space="preserve">at 947-48 (2d Cir. 1969).</w:t>
      </w:r>
    </w:p>
    <w:p>
      <w:pPr>
        <w:pStyle w:val="CaseBody"/>
      </w:pPr>
      <w:r>
        <w:t xml:space="preserve">As to the shareholders, no violation or injury of any kind has been shown with respect to sellers of stock acquired by Edper prior to the close of business on April 30. Accordingly, there is no warrant for the grant of any injunctive relief against Edper concerning its exercise of full shareholders’ rights as to those shares. As to stock acquired on May 1, the omission to correct the statement of April 30 might have resulted in bringing a lower price to the selling shareholders of May 1. If so, their only injury is monetary. The continuation of an injunction against Edper prohibiting its exercise of ownership rights over those shares acquired on May 1 would in no way cure any harm which might have been suffered by the May 1 selling stockholders. A correction of the misleading aspect of the statement, would not have induced selling shareholders to hold on to their stock so as to preserve their voting rights. And, in any event, since May 1, Brasean stock has actively traded well below the May 1 market price. From this, it can be inferred that there are no Brasean shareholders who were prevented by higher market prices from reconstituting the position they had before they sold on May 1. The open market has. offered them better relief than rescission. Accordingly, I can find no basis in Edper’s May 1 omission for the grant of injunctive relief which would restrict Ed-per’s rights of ownership as to the May 1 stock. If May 1 sellers were injured in the price they received, they can seek compensation by a damage action, see</w:t>
      </w:r>
      <w:r>
        <w:t xml:space="preserve"> </w:t>
      </w:r>
      <w:r>
        <w:rPr>
          <w:iCs/>
          <w:i/>
        </w:rPr>
        <w:t xml:space="preserve">Rondeau v. Mosinee Paper Corp.,</w:t>
      </w:r>
      <w:r>
        <w:t xml:space="preserve"> </w:t>
      </w:r>
      <w:r>
        <w:t xml:space="preserve">422 U.S. 49</w:t>
      </w:r>
      <w:r>
        <w:t xml:space="preserve">,</w:t>
      </w:r>
      <w:r>
        <w:t xml:space="preserve"> </w:t>
      </w:r>
      <w:r>
        <w:t xml:space="preserve">95 S.Ct. 2069</w:t>
      </w:r>
      <w:r>
        <w:t xml:space="preserve">,</w:t>
      </w:r>
      <w:r>
        <w:t xml:space="preserve"> </w:t>
      </w:r>
      <w:r>
        <w:t xml:space="preserve">45 L.Ed.2d 12</w:t>
      </w:r>
      <w:r>
        <w:t xml:space="preserve"> </w:t>
      </w:r>
      <w:r>
        <w:t xml:space="preserve">(1975), assuming they would be able to prevail in showing the necessary scienter (which I have not found). Whether or not they can prevail in such a damage action, their position would in no way be improved by the grant of injunctive relief against Edper.</w:t>
      </w:r>
    </w:p>
    <w:p>
      <w:pPr>
        <w:pStyle w:val="CaseBody"/>
      </w:pPr>
      <w:r>
        <w:t xml:space="preserve">The next class to be considered is the remaining shareholders of Brasean (the potential offerees of any further bidding), and the general investing public. In retrospect it is in their interest alone that the injunctive relief granted on May 1 was justified. The proper purpose of injunctive relief in this situation is only to protect the marketplace and the holders of Brasean stock from further deception as a result of the failure to correct the April 30 statement. Holders of Brasean stock after May 1 might well have been deceived as to the value of their stock by reason of their incorrect belief that Edper had withdrawn from the market. Their protection does not require that Edper be barred from making further acquisition of Brasean stock. The balance of the equities requires only thát Edper set the record straight and disabuse the shareholders of the misleading effects of the April 30 statement before doing so.</w:t>
      </w:r>
      <w:r>
        <w:t xml:space="preserve"> </w:t>
      </w:r>
      <w:r>
        <w:rPr>
          <w:iCs/>
          <w:i/>
        </w:rPr>
        <w:t xml:space="preserve">See Sonesta Hotels, supra.</w:t>
      </w:r>
    </w:p>
    <w:p>
      <w:pPr>
        <w:pStyle w:val="CaseBody"/>
      </w:pPr>
      <w:r>
        <w:t xml:space="preserve">Given the innocent nature of the misleading, Edper’s undoubted willingness to make the appropriate corrections and the ease and speed with which this can be accomplished, I find no basis for granting any injunctive relief.</w:t>
      </w:r>
      <w:r>
        <w:rPr>
          <w:rStyle w:val="FootnoteReference"/>
        </w:rPr>
        <w:footnoteReference w:customMarkFollows="1" w:id="293"/>
        <w:t xml:space="preserve">14</w:t>
      </w:r>
      <w:r>
        <w:t xml:space="preserve"> </w:t>
      </w:r>
      <w:r>
        <w:t xml:space="preserve">The preliminary injunction is therefore denied. And the temporary restraining order of May 1 is hereby dissolved, with exception of the provision forbidding further purchases, which shall be dissolved promptly upon Edper’s application demonstrating that it has made a public statement, correcting any misleading impression which may remain from the statement of April 30.</w:t>
      </w:r>
    </w:p>
    <w:p>
      <w:pPr>
        <w:pStyle w:val="CaseBody"/>
      </w:pPr>
      <w:r>
        <w:t xml:space="preserve">One final observation is appropriate. In</w:t>
      </w:r>
      <w:r>
        <w:t xml:space="preserve"> </w:t>
      </w:r>
      <w:r>
        <w:rPr>
          <w:iCs/>
          <w:i/>
        </w:rPr>
        <w:t xml:space="preserve">Talley Industries,</w:t>
      </w:r>
      <w:r>
        <w:rPr>
          <w:iCs/>
          <w:i/>
        </w:rPr>
        <w:t xml:space="preserve"> </w:t>
      </w:r>
      <w:r>
        <w:rPr>
          <w:iCs/>
          <w:i/>
        </w:rPr>
        <w:t xml:space="preserve">supra,</w:t>
      </w:r>
      <w:r>
        <w:t xml:space="preserve"> </w:t>
      </w:r>
      <w:r>
        <w:t xml:space="preserve">Judge Friendly noted that in allowing a corporation to enjoin “manipulation of its stock, . '. courts must act both with speed and with caution lest such actions become vehicles for management to thwart” events which may be in the true interests of the stockholders. In this case Brascan’s management obtained an</w:t>
      </w:r>
      <w:r>
        <w:t xml:space="preserve"> </w:t>
      </w:r>
      <w:r>
        <w:rPr>
          <w:iCs/>
          <w:i/>
        </w:rPr>
        <w:t xml:space="preserve">ex parte</w:t>
      </w:r>
      <w:r>
        <w:t xml:space="preserve"> </w:t>
      </w:r>
      <w:r>
        <w:t xml:space="preserve">temporary restraining order which deprived its 30% shareholder of the exercise of shareholders’ rights. The order has remained in effect for nearly a month by reason of Brascan’s allegations of pervasive fraud which it now appears were without foundation. A principal purpose in Edper’s increasing its shareholdings on April 30 was to be able to oblige Brascan’s management to call a stockholders’ meeting at which holders of Brascan stock would be able to vote on the desirability of the Woolworth acquisition. Management had not only refused Edper’s earlier request for a shareholders’ meeting, but had gone further and postponed the previously scheduled annual meeting.</w:t>
      </w:r>
    </w:p>
    <w:p>
      <w:pPr>
        <w:pStyle w:val="CaseBody"/>
      </w:pPr>
      <w:r>
        <w:t xml:space="preserve">Edper, furthermore, contends that it may have been irreparably harmed by the duration of its disfranchisement. It has made an enormous investment in Brascan. It contends that the value of its investment will be seriously diminished if Brascan proceeds with the Woolworth acquisition, and that it has been unjustifiably prevented from exercising its stockholder’s right to vote on the matter. Without expressing any opinion of any kind on the desirability of the Woolworth acquisition for Brascan, I am strongly of the view that Brascan’s shareholders should not be precluded by management from expressing themselves on so important a question. If, after the lifting of this restraining order, Edper, as a 10% holder, proceeds to make its demand for a shareholders’ meeting, I would think it incumbent on management not to oppose, obstruct or delay the convening of such a meeting.</w:t>
      </w:r>
    </w:p>
    <w:p>
      <w:pPr>
        <w:pStyle w:val="CaseBody"/>
      </w:pPr>
      <w:r>
        <w:t xml:space="preserve">SO ORDERED:</w:t>
      </w:r>
    </w:p>
    <w:bookmarkStart w:id="114" w:name="_auto_toc_114"/>
    <w:bookmarkEnd w:id="114"/>
    <w:p>
      <w:pPr>
        <w:pStyle w:val="ResourceNumber"/>
      </w:pPr>
      <w:r>
        <w:t xml:space="preserve">9.2.4</w:t>
      </w:r>
    </w:p>
    <w:p>
      <w:pPr>
        <w:pStyle w:val="ResourceTitle"/>
      </w:pPr>
      <w:r>
        <w:t xml:space="preserve">In re Digex, Inc. Shareholders Litigation</w:t>
      </w:r>
    </w:p>
    <w:p>
      <w:pPr>
        <w:pStyle w:val="HeadEnd"/>
      </w:pPr>
      <w:r>
        <w:t xml:space="preserve"> </w:t>
      </w:r>
    </w:p>
    <w:p>
      <w:pPr>
        <w:pStyle w:val="CaseHeader"/>
      </w:pPr>
      <w:r>
        <w:t xml:space="preserve">Delaware Court of Chancery</w:t>
      </w:r>
    </w:p>
    <w:p>
      <w:pPr>
        <w:pStyle w:val="CaseHeader"/>
      </w:pPr>
      <w:r>
        <w:t xml:space="preserve">789 A.2d 1176</w:t>
      </w:r>
    </w:p>
    <w:p>
      <w:pPr>
        <w:pStyle w:val="CaseHeader"/>
      </w:pPr>
      <w:r>
        <w:t xml:space="preserve">Civ. A. No. 18336</w:t>
      </w:r>
    </w:p>
    <w:p>
      <w:pPr>
        <w:pStyle w:val="CaseHeader"/>
      </w:pPr>
      <w:r>
        <w:t xml:space="preserve">2000-12-13</w:t>
      </w:r>
    </w:p>
    <w:p>
      <w:pPr>
        <w:pStyle w:val="CaseBody"/>
      </w:pPr>
      <w:r>
        <w:t xml:space="preserve">Submitted: Dec. 4, 2000.</w:t>
      </w:r>
    </w:p>
    <w:p>
      <w:pPr>
        <w:pStyle w:val="CaseBody"/>
      </w:pPr>
      <w:r>
        <w:t xml:space="preserve">Stuart M. Grant, Megan D. McIntyre, and Jeffrey D. Hofferman, of Grant &amp; Eisenhofer, P.A., Joseph A. Rosenthal, of Rosenthal Monhait Gross &amp; Goddess, P.A., and Pamela S. Tikelfis, of Chimicles &amp; Tikelfis, Wilmington; Daniel C. Girard, of Girard</w:t>
      </w:r>
      <w:r>
        <w:t xml:space="preserve"> </w:t>
      </w:r>
      <w:r>
        <w:rPr>
          <w:iCs/>
          <w:i/>
        </w:rPr>
        <w:t xml:space="preserve">&amp;</w:t>
      </w:r>
      <w:r>
        <w:t xml:space="preserve"> </w:t>
      </w:r>
      <w:r>
        <w:t xml:space="preserve">Green, LLP, San Francisco, California; and James S. Notis, of Abbey, Gardy &amp; Squitieri, LLP, New York, New York, of counsel, for Plaintiffs.</w:t>
      </w:r>
    </w:p>
    <w:p>
      <w:pPr>
        <w:pStyle w:val="CaseBody"/>
      </w:pPr>
      <w:r>
        <w:t xml:space="preserve">Robert K. Payson and Stephen C. Norman, of Potter Anderson &amp; Corroon LLP, Wilmington; Brian J. Gallagher and John A. Morris, of Kronish Lieb Weiner</w:t>
      </w:r>
      <w:r>
        <w:t xml:space="preserve"> </w:t>
      </w:r>
      <w:r>
        <w:rPr>
          <w:iCs/>
          <w:i/>
        </w:rPr>
        <w:t xml:space="preserve">&amp;</w:t>
      </w:r>
      <w:r>
        <w:t xml:space="preserve"> </w:t>
      </w:r>
      <w:r>
        <w:t xml:space="preserve">Hellman LLP, New York, New York, of counsel, for Defendants Intermedia Communications Inc., John C. Baker, Philip A. Campbell, George F. Knapp, Robert M. Manning, and David C. Ruberg.</w:t>
      </w:r>
    </w:p>
    <w:p>
      <w:pPr>
        <w:pStyle w:val="CaseBody"/>
      </w:pPr>
      <w:r>
        <w:t xml:space="preserve">Henry E. Gallagher, Jr. and Collins J. Seitz, of Connolly Bove Lodge &amp; Hutz LLP, Wilmington; Brian J. McMahon and Stephen R. Reynolds, of Gibbons, Del Deo, Dolan, Griffinger &amp; Vecchione, Newark, New Jersey, of counsel, for Defendant WorldCom, Inc.</w:t>
      </w:r>
    </w:p>
    <w:p>
      <w:pPr>
        <w:pStyle w:val="CaseBody"/>
      </w:pPr>
      <w:r>
        <w:t xml:space="preserve">William O. LaMotte, III, of Morris Nichols Arsht &amp; Tunnell, Wilmington; Kevin M. McGinty, of Mintz Levin Cohn Ferris Glovsky and Popeo, Boston, MA, of counsel, for Digex, Inc.</w:t>
      </w:r>
    </w:p>
    <w:p>
      <w:pPr>
        <w:pStyle w:val="CaseBody"/>
      </w:pPr>
      <w:r>
        <w:rPr>
          <w:iCs/>
          <w:i/>
        </w:rPr>
        <w:t xml:space="preserve">OPINION</w:t>
      </w:r>
    </w:p>
    <w:p>
      <w:pPr>
        <w:pStyle w:val="CaseBody"/>
      </w:pPr>
      <w:r>
        <w:t xml:space="preserve">CHANDLER, Chancellor.</w:t>
      </w:r>
    </w:p>
    <w:p>
      <w:pPr>
        <w:pStyle w:val="CaseBody"/>
      </w:pPr>
      <w:r>
        <w:t xml:space="preserve">TABLE OF CONTENTS</w:t>
      </w:r>
    </w:p>
    <w:p>
      <w:pPr>
        <w:pStyle w:val="BlockText"/>
      </w:pPr>
      <w:r>
        <w:t xml:space="preserve">I. FACTUAL &amp; PROCEDURAL HISTORY.1181</w:t>
      </w:r>
    </w:p>
    <w:p>
      <w:pPr>
        <w:pStyle w:val="BlockText"/>
      </w:pPr>
      <w:r>
        <w:t xml:space="preserve">A.</w:t>
      </w:r>
      <w:r>
        <w:t xml:space="preserve"> </w:t>
      </w:r>
      <w:r>
        <w:rPr>
          <w:iCs/>
          <w:i/>
        </w:rPr>
        <w:t xml:space="preserve">Intermedia investigates strategic alternatives.</w:t>
      </w:r>
      <w:r>
        <w:t xml:space="preserve"> </w:t>
      </w:r>
      <w:r>
        <w:t xml:space="preserve">.1181</w:t>
      </w:r>
    </w:p>
    <w:p>
      <w:pPr>
        <w:pStyle w:val="BlockText"/>
      </w:pPr>
      <w:r>
        <w:t xml:space="preserve">B.</w:t>
      </w:r>
      <w:r>
        <w:t xml:space="preserve"> </w:t>
      </w:r>
      <w:r>
        <w:rPr>
          <w:iCs/>
          <w:i/>
        </w:rPr>
        <w:t xml:space="preserve">Digex appoints a Special</w:t>
      </w:r>
      <w:r>
        <w:t xml:space="preserve"> </w:t>
      </w:r>
      <w:r>
        <w:t xml:space="preserve">Committee. .1183</w:t>
      </w:r>
    </w:p>
    <w:p>
      <w:pPr>
        <w:pStyle w:val="BlockText"/>
      </w:pPr>
      <w:r>
        <w:t xml:space="preserve">C.</w:t>
      </w:r>
      <w:r>
        <w:t xml:space="preserve"> </w:t>
      </w:r>
      <w:r>
        <w:rPr>
          <w:iCs/>
          <w:i/>
        </w:rPr>
        <w:t xml:space="preserve">WorldCom enters the</w:t>
      </w:r>
      <w:r>
        <w:t xml:space="preserve"> </w:t>
      </w:r>
      <w:r>
        <w:t xml:space="preserve">fray. .1184</w:t>
      </w:r>
    </w:p>
    <w:p>
      <w:pPr>
        <w:pStyle w:val="BlockText"/>
      </w:pPr>
      <w:r>
        <w:t xml:space="preserve">D.</w:t>
      </w:r>
      <w:r>
        <w:t xml:space="preserve"> </w:t>
      </w:r>
      <w:r>
        <w:rPr>
          <w:iCs/>
          <w:i/>
        </w:rPr>
        <w:t xml:space="preserve">The deal</w:t>
      </w:r>
      <w:r>
        <w:t xml:space="preserve"> </w:t>
      </w:r>
      <w:r>
        <w:t xml:space="preserve">changes. .1184</w:t>
      </w:r>
    </w:p>
    <w:p>
      <w:pPr>
        <w:pStyle w:val="BlockText"/>
      </w:pPr>
      <w:r>
        <w:t xml:space="preserve">E.</w:t>
      </w:r>
      <w:r>
        <w:t xml:space="preserve"> </w:t>
      </w:r>
      <w:r>
        <w:rPr>
          <w:iCs/>
          <w:i/>
        </w:rPr>
        <w:t xml:space="preserve">The Special Committee’s morning caucuses ..</w:t>
      </w:r>
      <w:r>
        <w:t xml:space="preserve"> </w:t>
      </w:r>
      <w:r>
        <w:t xml:space="preserve">.1185</w:t>
      </w:r>
    </w:p>
    <w:p>
      <w:pPr>
        <w:pStyle w:val="BlockText"/>
      </w:pPr>
      <w:r>
        <w:t xml:space="preserve">F.</w:t>
      </w:r>
      <w:r>
        <w:t xml:space="preserve"> </w:t>
      </w:r>
      <w:r>
        <w:rPr>
          <w:iCs/>
          <w:i/>
        </w:rPr>
        <w:t xml:space="preserve">The Intermedia hoard</w:t>
      </w:r>
      <w:r>
        <w:t xml:space="preserve"> </w:t>
      </w:r>
      <w:r>
        <w:t xml:space="preserve">meeting. .1186</w:t>
      </w:r>
    </w:p>
    <w:p>
      <w:pPr>
        <w:pStyle w:val="BlockText"/>
      </w:pPr>
      <w:r>
        <w:rPr>
          <w:iCs/>
          <w:i/>
        </w:rPr>
        <w:t xml:space="preserve">The Digex hoard</w:t>
      </w:r>
      <w:r>
        <w:t xml:space="preserve"> </w:t>
      </w:r>
      <w:r>
        <w:t xml:space="preserve">meeting. .1186</w:t>
      </w:r>
    </w:p>
    <w:p>
      <w:pPr>
        <w:pStyle w:val="BlockText"/>
      </w:pPr>
      <w:r>
        <w:rPr>
          <w:iCs/>
          <w:i/>
        </w:rPr>
        <w:t xml:space="preserve">Procedural</w:t>
      </w:r>
      <w:r>
        <w:t xml:space="preserve"> </w:t>
      </w:r>
      <w:r>
        <w:t xml:space="preserve">History.1187</w:t>
      </w:r>
    </w:p>
    <w:p>
      <w:pPr>
        <w:pStyle w:val="BlockText"/>
      </w:pPr>
      <w:r>
        <w:t xml:space="preserve">II. STANDARD FOR A PRELIMINARY INJUNCTION .1187</w:t>
      </w:r>
    </w:p>
    <w:p>
      <w:pPr>
        <w:pStyle w:val="BlockText"/>
      </w:pPr>
      <w:r>
        <w:t xml:space="preserve">1188 III. THE CORPORATE OPPORTUNITY CLAIM.</w:t>
      </w:r>
    </w:p>
    <w:p>
      <w:pPr>
        <w:pStyle w:val="BlockText"/>
      </w:pPr>
      <w:r>
        <w:t xml:space="preserve">1188 A.</w:t>
      </w:r>
      <w:r>
        <w:t xml:space="preserve"> </w:t>
      </w:r>
      <w:r>
        <w:rPr>
          <w:iCs/>
          <w:i/>
        </w:rPr>
        <w:t xml:space="preserve">Summary of the</w:t>
      </w:r>
      <w:r>
        <w:t xml:space="preserve"> </w:t>
      </w:r>
      <w:r>
        <w:t xml:space="preserve">Arguments.</w:t>
      </w:r>
    </w:p>
    <w:p>
      <w:pPr>
        <w:pStyle w:val="BlockText"/>
      </w:pPr>
      <w:r>
        <w:t xml:space="preserve">1189 B.</w:t>
      </w:r>
      <w:r>
        <w:t xml:space="preserve"> </w:t>
      </w:r>
      <w:r>
        <w:rPr>
          <w:iCs/>
          <w:i/>
        </w:rPr>
        <w:t xml:space="preserve">Legal Analysis</w:t>
      </w:r>
      <w:r>
        <w:t xml:space="preserve"> </w:t>
      </w:r>
      <w:r>
        <w:t xml:space="preserve">.</w:t>
      </w:r>
    </w:p>
    <w:p>
      <w:pPr>
        <w:pStyle w:val="BlockText"/>
      </w:pPr>
      <w:r>
        <w:t xml:space="preserve">1189 1. Why Digex had no “interest or expectancy” in a WorldCom-Digex deal.</w:t>
      </w:r>
    </w:p>
    <w:p>
      <w:pPr>
        <w:pStyle w:val="BlockText"/>
      </w:pPr>
      <w:r>
        <w:t xml:space="preserve">1192 2. Did defendants breach their duty of loyalty in negotiating the World-Com-Intermedia deal? .</w:t>
      </w:r>
    </w:p>
    <w:p>
      <w:pPr>
        <w:pStyle w:val="BlockText"/>
      </w:pPr>
      <w:r>
        <w:t xml:space="preserve">8. Are the defendants estopped from completing a WorldCom-Interme-dia deal?. ^ 05 t — 1 7 — 1</w:t>
      </w:r>
    </w:p>
    <w:p>
      <w:pPr>
        <w:pStyle w:val="BlockText"/>
      </w:pPr>
      <w:r>
        <w:t xml:space="preserve">4. Is this a</w:t>
      </w:r>
      <w:r>
        <w:t xml:space="preserve"> </w:t>
      </w:r>
      <w:r>
        <w:rPr>
          <w:iCs/>
          <w:i/>
        </w:rPr>
        <w:t xml:space="preserve">Revlon</w:t>
      </w:r>
      <w:r>
        <w:t xml:space="preserve"> </w:t>
      </w:r>
      <w:r>
        <w:t xml:space="preserve">ease?. lO 05 t — t 7 — t</w:t>
      </w:r>
    </w:p>
    <w:p>
      <w:pPr>
        <w:pStyle w:val="BlockText"/>
      </w:pPr>
      <w:r>
        <w:t xml:space="preserve">IV. SECTION 208 CLAIM. Oi i-H 7 — 1</w:t>
      </w:r>
    </w:p>
    <w:p>
      <w:pPr>
        <w:pStyle w:val="BlockText"/>
      </w:pPr>
      <w:r>
        <w:t xml:space="preserve">A.</w:t>
      </w:r>
      <w:r>
        <w:t xml:space="preserve"> </w:t>
      </w:r>
      <w:r>
        <w:rPr>
          <w:iCs/>
          <w:i/>
        </w:rPr>
        <w:t xml:space="preserve">Does the 85% exemption apply to WorldCom?</w:t>
      </w:r>
      <w:r>
        <w:t xml:space="preserve"> </w:t>
      </w:r>
      <w:r>
        <w:t xml:space="preserve">. 05 7 — I 7 — i</w:t>
      </w:r>
    </w:p>
    <w:p>
      <w:pPr>
        <w:pStyle w:val="BlockText"/>
      </w:pPr>
      <w:r>
        <w:t xml:space="preserve">B.</w:t>
      </w:r>
      <w:r>
        <w:t xml:space="preserve"> </w:t>
      </w:r>
      <w:r>
        <w:rPr>
          <w:iCs/>
          <w:i/>
        </w:rPr>
        <w:t xml:space="preserve">Is this Claim</w:t>
      </w:r>
      <w:r>
        <w:t xml:space="preserve"> </w:t>
      </w:r>
      <w:r>
        <w:t xml:space="preserve">CJ 7 — 1</w:t>
      </w:r>
    </w:p>
    <w:p>
      <w:pPr>
        <w:pStyle w:val="BlockText"/>
      </w:pPr>
      <w:r>
        <w:t xml:space="preserve">C. Was</w:t>
      </w:r>
      <w:r>
        <w:t xml:space="preserve"> </w:t>
      </w:r>
      <w:r>
        <w:rPr>
          <w:iCs/>
          <w:i/>
        </w:rPr>
        <w:t xml:space="preserve">the § 203 Waiver Entirely Fair to the Digex Shareholders?</w:t>
      </w:r>
      <w:r>
        <w:t xml:space="preserve"> </w:t>
      </w:r>
      <w:r>
        <w:t xml:space="preserve">O C'J 7 — (</w:t>
      </w:r>
    </w:p>
    <w:p>
      <w:pPr>
        <w:pStyle w:val="BlockText"/>
      </w:pPr>
      <w:r>
        <w:t xml:space="preserve">1. Fair Dealing. C* C'J 7 — t</w:t>
      </w:r>
    </w:p>
    <w:p>
      <w:pPr>
        <w:pStyle w:val="BlockText"/>
      </w:pPr>
      <w:r>
        <w:t xml:space="preserve">2. Fair Price. t — 1 C'J 7 — 1</w:t>
      </w:r>
    </w:p>
    <w:p>
      <w:pPr>
        <w:pStyle w:val="BlockText"/>
      </w:pPr>
      <w:r>
        <w:t xml:space="preserve">V. THREAT OF IRREPARABLE HARM AND BALANCING OF THE POTENTIAL HARM.1214</w:t>
      </w:r>
    </w:p>
    <w:p>
      <w:pPr>
        <w:pStyle w:val="BlockText"/>
      </w:pPr>
      <w:r>
        <w:t xml:space="preserve">VI. CONCLUSION.1216</w:t>
      </w:r>
    </w:p>
    <w:p>
      <w:pPr>
        <w:pStyle w:val="CaseBody"/>
      </w:pPr>
      <w:r>
        <w:t xml:space="preserve">This is my decision on plaintiffs’ motion to preliminarily enjoin the proposed merger between defendants WorldCom, Inc. (“WorldCom”) and Intermedia Communications, Inc. (“Intermedia”), the controlling shareholder of Digex, Inc. (“Digex”).</w:t>
      </w:r>
      <w:r>
        <w:rPr>
          <w:rStyle w:val="FootnoteReference"/>
        </w:rPr>
        <w:footnoteReference w:customMarkFollows="1" w:id="29"/>
        <w:t xml:space="preserve">1</w:t>
      </w:r>
      <w:r>
        <w:t xml:space="preserve"> </w:t>
      </w:r>
      <w:r>
        <w:t xml:space="preserve">Plaintiffs, minority shareholders of Digex, seek either of two alternative forms of relief: (1) an order enjoining the defendants from consummating the Agreement and Plan of Merger dated September 1, 2000, (the “merger”), or (2) an order enjoining the Digex board’s waiver of 8</w:t>
      </w:r>
      <w:r>
        <w:t xml:space="preserve"> </w:t>
      </w:r>
      <w:r>
        <w:rPr>
          <w:iCs/>
          <w:i/>
        </w:rPr>
        <w:t xml:space="preserve">Del. C.</w:t>
      </w:r>
      <w:r>
        <w:t xml:space="preserve"> </w:t>
      </w:r>
      <w:r>
        <w:t xml:space="preserve">§ 203. Intermedia’s shareholders are tentatively scheduled to vote on the proposed merger on December 18, 2000.</w:t>
      </w:r>
    </w:p>
    <w:p>
      <w:pPr>
        <w:pStyle w:val="CaseBody"/>
      </w:pPr>
      <w:r>
        <w:t xml:space="preserve">The allegations in plaintiffs’ consolidated complaint are founded on two distinct legal theories. Plaintiffs’ first theory is that defendants usurped a corporate opportunity that (allegedly) fairly belonged to Digex by preventing Digex’s sale to the highest bidder. Plaintiffs’ second theory is that the Digex board, more specifically the four interested Digex directors, breached a fiduciary duty when they voted to waive the protections afforded Digex by § 203 of the Delaware General Corporate Law (“DGCL”).</w:t>
      </w:r>
    </w:p>
    <w:p>
      <w:pPr>
        <w:pStyle w:val="CaseBody"/>
      </w:pPr>
      <w:r>
        <w:t xml:space="preserve">At the outset it is important to recognize the highly unusual circumstances surrounding the pending request for injunc-tive relief. The plaintiffs have asked, in the context of a preliminary injunction, for relief that is</w:t>
      </w:r>
      <w:r>
        <w:t xml:space="preserve"> </w:t>
      </w:r>
      <w:r>
        <w:rPr>
          <w:iCs/>
          <w:i/>
        </w:rPr>
        <w:t xml:space="preserve">both</w:t>
      </w:r>
      <w:r>
        <w:t xml:space="preserve"> </w:t>
      </w:r>
      <w:r>
        <w:t xml:space="preserve">prospective and retrospective. Specifically, the plaintiffs seek either a preliminary</w:t>
      </w:r>
      <w:r>
        <w:t xml:space="preserve"> </w:t>
      </w:r>
      <w:r>
        <w:rPr>
          <w:iCs/>
          <w:i/>
        </w:rPr>
        <w:t xml:space="preserve">injunction</w:t>
      </w:r>
      <w:r>
        <w:t xml:space="preserve"> </w:t>
      </w:r>
      <w:r>
        <w:t xml:space="preserve">against the future consummation of a merger (via a claim of usurpation of corporate opportunity) or, alternatively, a preliminary</w:t>
      </w:r>
      <w:r>
        <w:t xml:space="preserve"> </w:t>
      </w:r>
      <w:r>
        <w:rPr>
          <w:iCs/>
          <w:i/>
        </w:rPr>
        <w:t xml:space="preserve">decision</w:t>
      </w:r>
      <w:r>
        <w:t xml:space="preserve"> </w:t>
      </w:r>
      <w:r>
        <w:t xml:space="preserve">that declares invalid or ineffective a past act of the Digex board to waive the protections afforded under 8</w:t>
      </w:r>
      <w:r>
        <w:t xml:space="preserve"> </w:t>
      </w:r>
      <w:r>
        <w:rPr>
          <w:iCs/>
          <w:i/>
        </w:rPr>
        <w:t xml:space="preserve">Del. C.</w:t>
      </w:r>
      <w:r>
        <w:t xml:space="preserve"> </w:t>
      </w:r>
      <w:r>
        <w:t xml:space="preserve">§ 203.</w:t>
      </w:r>
    </w:p>
    <w:p>
      <w:pPr>
        <w:pStyle w:val="CaseBody"/>
      </w:pPr>
      <w:r>
        <w:t xml:space="preserve">For the reasons discussed more fully below, the plaintiffs have not persuaded me that they have a likelihood of success on the merits of their corporate opportunity claim. On the other hand, they have shown a likelihood of success on the merits</w:t>
      </w:r>
      <w:r>
        <w:t xml:space="preserve"> </w:t>
      </w:r>
      <w:r>
        <w:rPr>
          <w:iCs/>
          <w:i/>
        </w:rPr>
        <w:t xml:space="preserve">of</w:t>
      </w:r>
      <w:r>
        <w:t xml:space="preserve"> </w:t>
      </w:r>
      <w:r>
        <w:t xml:space="preserve">their § 203</w:t>
      </w:r>
      <w:r>
        <w:t xml:space="preserve"> </w:t>
      </w:r>
      <w:r>
        <w:rPr>
          <w:iCs/>
          <w:i/>
        </w:rPr>
        <w:t xml:space="preserve">claim. In</w:t>
      </w:r>
      <w:r>
        <w:t xml:space="preserve"> </w:t>
      </w:r>
      <w:r>
        <w:t xml:space="preserve">the course of analyzing the merits of the § 203 claim, however, it becomes abundantly clear that no injunctive order is necessary to protect plaintiffs from a future act or decision that threatens immediate irreparable harm. That is because the § 203 claim is based on a past decision or action from which the harm has already occurred. Any injury based on the § 203 claim has resulted not from pending action, but from action</w:t>
      </w:r>
      <w:r>
        <w:t xml:space="preserve"> </w:t>
      </w:r>
      <w:r>
        <w:rPr>
          <w:iCs/>
          <w:i/>
        </w:rPr>
        <w:t xml:space="preserve">past</w:t>
      </w:r>
      <w:r>
        <w:t xml:space="preserve"> </w:t>
      </w:r>
      <w:r>
        <w:t xml:space="preserve">— by the faithless acts of the four In-termedia directors who voted to waive § 203’s protections. There is no prospective harm that could be avoided by the application of a preliminary injunction. Thus, any relief must be remedial, rather than injunctive. The Court’s determination that plaintiffs have a likelihood of success on their § 203 claim means that the parties to the merger — Intermedia and WorldCom — must decide whether to proceed with that transaction knowing that this Court has preliminarily determined that Digex’s § 203 waiver will not likely be effective in the circumstances of this case. For this reason as well, no basis exists for injunctive relief based on the § 203 claim, because the plaintiffs’ ultimate success on the merits of that claim will have the practical effect of restoring to the Digex minority shareholders the protection to which they were entitled under § 203.</w:t>
      </w:r>
    </w:p>
    <w:p>
      <w:pPr>
        <w:pStyle w:val="CaseBody"/>
      </w:pPr>
      <w:r>
        <w:t xml:space="preserve">Notwithstanding the unusual posture in which the request for injunctive relief is presented to the Court, I will address the application in the typical fashion of a motion for a preliminary injunction. In Part I of this Opinion I set forth the factual and procedural history relevant to the resolution of plaintiffs’ motion. Part II describes the applicable standard for preliminary injunctive relief. In Part III, I address plaintiffs’ corporate opportunity claim, while Part IV considers plaintiffs’ alternative § 203 claim. Part V considers the irreparable harm and balance of the equity prongs of the preliminary injunction standard. Finally, Part VI sets forth my conclusions.</w:t>
      </w:r>
    </w:p>
    <w:p>
      <w:pPr>
        <w:pStyle w:val="CaseBody"/>
      </w:pPr>
      <w:r>
        <w:t xml:space="preserve">I. FACTUAL AND PROCEDURAL HISTORY</w:t>
      </w:r>
      <w:r>
        <w:rPr>
          <w:rStyle w:val="FootnoteReference"/>
        </w:rPr>
        <w:footnoteReference w:customMarkFollows="1" w:id="58"/>
        <w:t xml:space="preserve">2</w:t>
      </w:r>
    </w:p>
    <w:p>
      <w:pPr>
        <w:pStyle w:val="CaseBody"/>
      </w:pPr>
      <w:r>
        <w:t xml:space="preserve">A</w:t>
      </w:r>
      <w:r>
        <w:t xml:space="preserve"> </w:t>
      </w:r>
      <w:r>
        <w:rPr>
          <w:iCs/>
          <w:i/>
        </w:rPr>
        <w:t xml:space="preserve">Intermedia investigates strategic alternatives</w:t>
      </w:r>
    </w:p>
    <w:p>
      <w:pPr>
        <w:pStyle w:val="CaseBody"/>
      </w:pPr>
      <w:r>
        <w:t xml:space="preserve">Intermedia and Digex are both Delaware corporations. Intermedia is an integrated communications provider delivering local, long distance, and enhanced data services, principally to business and governments. Digex provides managed web hosting and application hosting services primarily to large corporate clients. In-termedia has held a controlling interest in Digex since July 1997. Following public offerings in August 1999 and February 2000, Intermedia now owns 52% of Digex’s outstanding stock which represents approximately 94% of the voting power of all of Digex’s outstanding stock.</w:t>
      </w:r>
      <w:r>
        <w:rPr>
          <w:rStyle w:val="FootnoteReference"/>
        </w:rPr>
        <w:footnoteReference w:customMarkFollows="1" w:id="84"/>
        <w:t xml:space="preserve">3</w:t>
      </w:r>
    </w:p>
    <w:p>
      <w:pPr>
        <w:pStyle w:val="CaseBody"/>
      </w:pPr>
      <w:r>
        <w:t xml:space="preserve">During the time periods relevant to this case, Digex’s board of directors had eight members, five of which — David C. Ruberg, Robert M. Manning, Philip A. Campbell, John C. Baker, and George F. Knapp— were also officers or directors of Interme-dia.</w:t>
      </w:r>
      <w:r>
        <w:rPr>
          <w:rStyle w:val="FootnoteReference"/>
        </w:rPr>
        <w:footnoteReference w:customMarkFollows="1" w:id="108"/>
        <w:t xml:space="preserve">4</w:t>
      </w:r>
      <w:r>
        <w:t xml:space="preserve"> </w:t>
      </w:r>
      <w:r>
        <w:t xml:space="preserve">The interested directors stood to personally profit tremendously upon a sale of Intermedia, but to profit very little, or not at all, upon a sale of Digex.</w:t>
      </w:r>
      <w:r>
        <w:rPr>
          <w:rStyle w:val="FootnoteReference"/>
        </w:rPr>
        <w:footnoteReference w:customMarkFollows="1" w:id="131"/>
        <w:t xml:space="preserve">5</w:t>
      </w:r>
      <w:r>
        <w:t xml:space="preserve"> </w:t>
      </w:r>
      <w:r>
        <w:t xml:space="preserve">The remaining three directors — Jack E. Reich, Richard A. Jalkut, and Mark K. Shull— were not affiliated with Intermedia.</w:t>
      </w:r>
    </w:p>
    <w:p>
      <w:pPr>
        <w:pStyle w:val="CaseBody"/>
      </w:pPr>
      <w:r>
        <w:t xml:space="preserve">Digex is well positioned in one of the hottest segments of the technology sector — web hosting. Intermedia, however, is in poor financial condition.</w:t>
      </w:r>
      <w:r>
        <w:rPr>
          <w:rStyle w:val="FootnoteReference"/>
        </w:rPr>
        <w:footnoteReference w:customMarkFollows="1" w:id="153"/>
        <w:t xml:space="preserve">6</w:t>
      </w:r>
      <w:r>
        <w:t xml:space="preserve"> </w:t>
      </w:r>
      <w:r>
        <w:t xml:space="preserve">Since early 1999, Intermedia has been considering strategic options to maximize the value of both itself and Digex, including the possible sale of itself or its various holdings. This effort continued in earnest in June 2000, following the NASDAQ downturn. At this time, it was apparent to Intermedia that it would be difficult to arrange financing to fund Digex and Intermedia on a long-term basis, a prospect that threatened the survival of both corporations. Thus, on June 29, Intermedia hired Bear Stearns &amp; Co. (“Bear Stearns”) to explore all possible strategic alternatives.</w:t>
      </w:r>
      <w:r>
        <w:rPr>
          <w:rStyle w:val="FootnoteReference"/>
        </w:rPr>
        <w:footnoteReference w:customMarkFollows="1" w:id="173"/>
        <w:t xml:space="preserve">7</w:t>
      </w:r>
      <w:r>
        <w:t xml:space="preserve"> </w:t>
      </w:r>
      <w:r>
        <w:t xml:space="preserve">On this same day, Intermedia informed the Digex board that it planned to explore the feasibility of a sale of its equity interest in Digex. On July 11, Intermedia issued a press release announcing that they had retained Bear Stearns to explore Interme-dia’s strategic alternatives with regard to Digex, including the possible sale of In-termedia’s ownership position in Digex to another company.</w:t>
      </w:r>
    </w:p>
    <w:p>
      <w:pPr>
        <w:pStyle w:val="CaseBody"/>
      </w:pPr>
      <w:r>
        <w:t xml:space="preserve">In July, Bear Steams approached WorldCom about potential strategic alternatives concerning Intermedia and Digex. A deal involving Intermedia presented an opportunity for WorldCom on two fronts. First, Intermedia has a presence in the Competitive Local Exchange Carrier (CLEC) market and WorldCom could acquire these CLEC assets. Second, through Digex, WorldCom could expand its presence in the critical web-hosting arena.</w:t>
      </w:r>
    </w:p>
    <w:p>
      <w:pPr>
        <w:pStyle w:val="CaseBody"/>
      </w:pPr>
      <w:r>
        <w:t xml:space="preserve">WorldCom was not the only potential suitor for Intermedia approached by Bear Stearns. During July and August, Bear Stearns contacted thirty likely suitors for Intermedia or Digex, received expressions of interest from thirteen, sent confidentiality agreements to ten, and received executed non-disclosure agreements from, and sent materials to, six.</w:t>
      </w:r>
      <w:r>
        <w:rPr>
          <w:rStyle w:val="FootnoteReference"/>
        </w:rPr>
        <w:footnoteReference w:customMarkFollows="1" w:id="192"/>
        <w:t xml:space="preserve">8</w:t>
      </w:r>
      <w:r>
        <w:t xml:space="preserve"> </w:t>
      </w:r>
      <w:r>
        <w:t xml:space="preserve">Ultimately, three suitors emerged: Exodus Communications Inc. (“Exodus”), Global Crossing, Ltd. (“Global Crossing”), and WorldCom.</w:t>
      </w:r>
    </w:p>
    <w:p>
      <w:pPr>
        <w:pStyle w:val="CaseBody"/>
      </w:pPr>
      <w:r>
        <w:t xml:space="preserve">Though Global Crossing was involved up until the end,</w:t>
      </w:r>
      <w:r>
        <w:rPr>
          <w:rStyle w:val="FootnoteReference"/>
        </w:rPr>
        <w:footnoteReference w:customMarkFollows="1" w:id="211"/>
        <w:t xml:space="preserve">9</w:t>
      </w:r>
      <w:r>
        <w:t xml:space="preserve"> </w:t>
      </w:r>
      <w:r>
        <w:t xml:space="preserve">WorldCom would prove to be the successful suitor.</w:t>
      </w:r>
      <w:r>
        <w:rPr>
          <w:rStyle w:val="FootnoteReference"/>
        </w:rPr>
        <w:footnoteReference w:customMarkFollows="1" w:id="229"/>
        <w:t xml:space="preserve">10</w:t>
      </w:r>
      <w:r>
        <w:t xml:space="preserve"> </w:t>
      </w:r>
      <w:r>
        <w:t xml:space="preserve">As early as July 17, a junior member of WorldCom’s corporate development team prepared a presentation analyzing four possible alternative transactions among WorldCom, Digex, and Intermedia. On or about August 2, the corporate development department put together a formal presentation package concerning opportunities in the web hosting field, including a detailed discussion of In-termedia and Digex — together and individually — as potential acquisition targets for WorldCom. During this same period, WorldCom was also negotiating a possible joint venture in the web hosting arena with Global Crossing, but these talks ended when WorldCom discovered that Global Crossing had simultaneously been negotiating a three-way merger with Intermedia and Digex. By the end of August, World-Com had focused on Intermedia and Digex.</w:t>
      </w:r>
    </w:p>
    <w:p>
      <w:pPr>
        <w:pStyle w:val="CaseBody"/>
      </w:pPr>
      <w:r>
        <w:rPr>
          <w:iCs/>
          <w:i/>
        </w:rPr>
        <w:t xml:space="preserve">B. Digex appoints a Special Committee</w:t>
      </w:r>
    </w:p>
    <w:p>
      <w:pPr>
        <w:pStyle w:val="CaseBody"/>
      </w:pPr>
      <w:r>
        <w:t xml:space="preserve">The directors of Intermedia and Digex understood from the beginning of this process undertaken by Bear Stearns that conflicts of interest might arise between the two companies. Put simply, Digex was a rapidly growing company that was extremely attractive to potential suitors. As stated above, Intermedia had severe financial problems. In fact, as of August, Intermedia’s equity holdings in Digex exceeded Intermedia’s total market capitalization. Intermedia and its banker, Bear Stearns, had three possible avenues before it. Intermedia could sell itself, could sell its holdings in Digex, or could sell part or all of both companies.</w:t>
      </w:r>
    </w:p>
    <w:p>
      <w:pPr>
        <w:pStyle w:val="CaseBody"/>
      </w:pPr>
      <w:r>
        <w:t xml:space="preserve">If Intermedia sold itself (which, of course, would include its majority stake in Digex), Intermedia’s shareholders stood in a position to reap a substantial premium on their shares, largely due to the acquirer’s presumable desire to obtain control over Intermedia’s “crown jewel,” Digex. This was especially true with regard to Intermedia’s officers and directors, who, as discussed above, stood to profit tremendously from a sale of Intermedia. In contrast, Digex’s shareholders stood to gain comparatively little under this possibility, at least in the short term, other than a new controlling shareholder.</w:t>
      </w:r>
    </w:p>
    <w:p>
      <w:pPr>
        <w:pStyle w:val="CaseBody"/>
      </w:pPr>
      <w:r>
        <w:t xml:space="preserve">If Intermedia sold part or all of its Digex holdings, Intermedia could expect a significant payoff to fund its own operations, but Intermedia’s shareholders, and especially its officers and directors, would not personally benefit to the extent they would if Intermedia itself were sold. Under this possibility, Digex shareholders could expect to reap a significant premium if Intermedia sold its holdings to an acquirer who decided to then tender for all outstanding Digex shares.</w:t>
      </w:r>
    </w:p>
    <w:p>
      <w:pPr>
        <w:pStyle w:val="CaseBody"/>
      </w:pPr>
      <w:r>
        <w:t xml:space="preserve">These various options and possibilities clearly presented the potential for conflicts of interest for the interested Digex directors, both due to their dual directorships and their direct, personal financial interests in any potential transaction. Thus, on July 26, 2000, the Digex board of directors appointed a special committee (the “Special Committee”) comprised of two of the three independent Digex directors — Jalkut and Reich. Their role was “to participate in the transaction process and make recommendations to the full board of directors on matters where there could be a perceived conflict of interest between Intermedia and Digex.”</w:t>
      </w:r>
      <w:r>
        <w:rPr>
          <w:rStyle w:val="FootnoteReference"/>
        </w:rPr>
        <w:footnoteReference w:customMarkFollows="1" w:id="246"/>
        <w:t xml:space="preserve">11</w:t>
      </w:r>
      <w:r>
        <w:t xml:space="preserve"> </w:t>
      </w:r>
      <w:r>
        <w:t xml:space="preserve">The Special Committee had its own legal counsel, James Clark of Cahill Gordon</w:t>
      </w:r>
      <w:r>
        <w:t xml:space="preserve"> </w:t>
      </w:r>
      <w:r>
        <w:rPr>
          <w:iCs/>
          <w:i/>
        </w:rPr>
        <w:t xml:space="preserve">&amp;</w:t>
      </w:r>
      <w:r>
        <w:t xml:space="preserve"> </w:t>
      </w:r>
      <w:r>
        <w:t xml:space="preserve">Rein-del (“Cahill”), and its own financial advis-ors, Credit Suisse First Boston (“CSFB”). The Special Committee appeared to have authority. In the end, however, the Special Committee could not stop Intermedia’s decision to sign an agreement on September 1 to merge with WorldCom, even though the Committee believed other potential transactions were better for Digex.</w:t>
      </w:r>
    </w:p>
    <w:p>
      <w:pPr>
        <w:pStyle w:val="CaseBody"/>
      </w:pPr>
      <w:r>
        <w:t xml:space="preserve">The true extent of the Special Committee’s authority was evident as early as August, before WorldCom came on the scene. The Special Committee was involved primarily with the Exodus transaction during July and August. On August 21 the Special Committee arrived at the Digex board meeting prepared to vote on an Exodus transaction, but learned when it arrived that such a transaction would not be presented for a vote.</w:t>
      </w:r>
      <w:r>
        <w:rPr>
          <w:rStyle w:val="FootnoteReference"/>
        </w:rPr>
        <w:footnoteReference w:customMarkFollows="1" w:id="262"/>
        <w:t xml:space="preserve">12</w:t>
      </w:r>
      <w:r>
        <w:t xml:space="preserve"> </w:t>
      </w:r>
      <w:r>
        <w:t xml:space="preserve">Instead, the Special Committee learned that negotiations were underway with Global Crossing.</w:t>
      </w:r>
    </w:p>
    <w:p>
      <w:pPr>
        <w:pStyle w:val="CaseBody"/>
      </w:pPr>
      <w:r>
        <w:rPr>
          <w:iCs/>
          <w:i/>
        </w:rPr>
        <w:t xml:space="preserve">C. WorldCom enters the fray</w:t>
      </w:r>
    </w:p>
    <w:p>
      <w:pPr>
        <w:pStyle w:val="CaseBody"/>
      </w:pPr>
      <w:r>
        <w:t xml:space="preserve">Although WorldCom had conducted internal evaluations regarding a possible transaction with either Intermedia or Digex as early as July, these evaluations did not result in any action until August 30. On that day, WorldCom began to seriously consider a bid for control of Digex. Almost exactly forty-eight hours would elapse between WorldCom’s first contact, a call from its banker to Bear Stearns late on August 30, and the Intermedia board’s approval of the WorldCom-Intermedia merger late in the afternoon on September 1.</w:t>
      </w:r>
    </w:p>
    <w:p>
      <w:pPr>
        <w:pStyle w:val="CaseBody"/>
      </w:pPr>
      <w:r>
        <w:t xml:space="preserve">Those forty-eight hours began on August 30 between 6:00 and 7:00 p.m. when Scott Miller of Salomon Smith Barney &amp; Co. (“Salomon”), WorldCom’s bankers, called Andrew Decker of Bear Stearns with an expression of interest to acquire Digex at $120 a share or more. Miller told Decker that WorldCom would outbid anyone for Digex. After speaking with In-termedia’s negotiators, Decker informed Miller that WorldCom would have to move quickly. WorldCom did just that. Through various phone calls that evening, WorldCom decided to send a due diligence team to New York the following day in order to negotiate a transaction. Sutcliffe sent a draft merger agreement, which was only for a direct acquisition of Digex, to WorldCom’s counsel, Cravath, Swaine &amp; Moore (“Cravath”).</w:t>
      </w:r>
      <w:r>
        <w:rPr>
          <w:rStyle w:val="FootnoteReference"/>
        </w:rPr>
        <w:footnoteReference w:customMarkFollows="1" w:id="278"/>
        <w:t xml:space="preserve">13</w:t>
      </w:r>
      <w:r>
        <w:t xml:space="preserve"> </w:t>
      </w:r>
      <w:r>
        <w:t xml:space="preserve">Late in the evening of August 30, around 11:00 p.m., Ruberg telephoned each of the Special Committee members and informed them that World-Com had offered $120 per share for Digex.</w:t>
      </w:r>
    </w:p>
    <w:p>
      <w:pPr>
        <w:pStyle w:val="CaseBody"/>
      </w:pPr>
      <w:r>
        <w:t xml:space="preserve">Global Crossing still had an outstanding offer at this point and was working toward a September 1 signing. On the morning of August 31, Sutcliffe and Decker told Global Crossing that there was another suitor for Digex — WorldCom. Global Crossing decided not to bid against WorldCom but continued working toward its September 1 target.</w:t>
      </w:r>
    </w:p>
    <w:p>
      <w:pPr>
        <w:pStyle w:val="CaseBody"/>
      </w:pPr>
      <w:r>
        <w:t xml:space="preserve">The WorldCom due diligence team arrived at Sutcliffe’s office in New York on August 31, sometime shortly after noon. There, they met with various senior executives from Digex and discussed numerous operational issues regarding Digex. At one point, William Grothe, Vice President of Corporate Development for WorldCom, Sutcliffe, Ruberg, Decker, and another Bear Stearns representative met separately to discuss Intermedia’s concern that the transaction was not moving quickly enough. These men testified that both before and during this private meeting, the only deal that was being discussed was WorldCom’s direct acquisition of Digex.</w:t>
      </w:r>
      <w:r>
        <w:rPr>
          <w:rStyle w:val="FootnoteReference"/>
        </w:rPr>
        <w:footnoteReference w:customMarkFollows="1" w:id="294"/>
        <w:t xml:space="preserve">14</w:t>
      </w:r>
    </w:p>
    <w:p>
      <w:pPr>
        <w:pStyle w:val="CaseBody"/>
      </w:pPr>
      <w:r>
        <w:rPr>
          <w:iCs/>
          <w:i/>
        </w:rPr>
        <w:t xml:space="preserve">D. The deal changes</w:t>
      </w:r>
    </w:p>
    <w:p>
      <w:pPr>
        <w:pStyle w:val="CaseBody"/>
      </w:pPr>
      <w:r>
        <w:t xml:space="preserve">After this private meeting, Bernard Eb-bers, WorldCom’s President, and Grothe had several phone conversations. Grothe testified that at about 5:00 p.m. on August 31, Ebbers told him that WorldCom was going to purchase all of Intermedia rather than Digex.</w:t>
      </w:r>
      <w:r>
        <w:rPr>
          <w:rStyle w:val="FootnoteReference"/>
        </w:rPr>
        <w:footnoteReference w:customMarkFollows="1" w:id="309"/>
        <w:t xml:space="preserve">15</w:t>
      </w:r>
      <w:r>
        <w:t xml:space="preserve"> </w:t>
      </w:r>
      <w:r>
        <w:t xml:space="preserve">In the late afternoon of August 31, Ebbers called and left a message for Decker, who returned the call at about 6:00 p.m. A series of calls ensued. First, Decker spoke with Ebbers and Scott Sullivan, WorldCom’s CFO. During this call, Ebbers asked Decker if it were possible for WorldCom to leave Digex outstanding as a public company and buy Interme-dia.</w:t>
      </w:r>
      <w:r>
        <w:rPr>
          <w:rStyle w:val="FootnoteReference"/>
        </w:rPr>
        <w:footnoteReference w:customMarkFollows="1" w:id="323"/>
        <w:t xml:space="preserve">16</w:t>
      </w:r>
      <w:r>
        <w:t xml:space="preserve"> </w:t>
      </w:r>
      <w:r>
        <w:t xml:space="preserve">Decker consulted with Intermedia and then called Ebbers to inform him that Intermedia would entertain an offer at $89 a share in WorldCom stock. Ebbers conditionally approved an acquisition of In-termedia at $39 a share in WorldCom stock.</w:t>
      </w:r>
      <w:r>
        <w:rPr>
          <w:rStyle w:val="FootnoteReference"/>
        </w:rPr>
        <w:footnoteReference w:customMarkFollows="1" w:id="337"/>
        <w:t xml:space="preserve">17</w:t>
      </w:r>
      <w:r>
        <w:t xml:space="preserve"> </w:t>
      </w:r>
      <w:r>
        <w:t xml:space="preserve">Sutcliffe notified Clark, legal counsel to the Special Committee, of the change, and Clark informed the Special Committee. Ruberg informed Shull, Digex’s President and CEO, and Timothy Adams, Digex’s CFO. Clark and Sutcliffe had several phone conversations that evening regarding the Special Committee’s “belief or fear” that Intermedia had manipulated WorldCom’s interest from Digex to Intermedia.</w:t>
      </w:r>
      <w:r>
        <w:rPr>
          <w:rStyle w:val="FootnoteReference"/>
        </w:rPr>
        <w:footnoteReference w:customMarkFollows="1" w:id="350"/>
        <w:t xml:space="preserve">18</w:t>
      </w:r>
      <w:r>
        <w:t xml:space="preserve"> </w:t>
      </w:r>
      <w:r>
        <w:t xml:space="preserve">Sutcliffe denies such manipulation.</w:t>
      </w:r>
      <w:r>
        <w:rPr>
          <w:rStyle w:val="FootnoteReference"/>
        </w:rPr>
        <w:footnoteReference w:customMarkFollows="1" w:id="363"/>
        <w:t xml:space="preserve">19</w:t>
      </w:r>
    </w:p>
    <w:p>
      <w:pPr>
        <w:pStyle w:val="CaseBody"/>
      </w:pPr>
      <w:r>
        <w:t xml:space="preserve">During the night and morning of August 31-September 1, Intermedia and World-Com negotiated the merger and World-Com conducted abbreviated due diligence of Intermedia. Sutcliffe suggested that WorldCom should make a tender offer for the Digex public shares, but WorldCom refused.</w:t>
      </w:r>
      <w:r>
        <w:rPr>
          <w:rStyle w:val="FootnoteReference"/>
        </w:rPr>
        <w:footnoteReference w:customMarkFollows="1" w:id="376"/>
        <w:t xml:space="preserve">20</w:t>
      </w:r>
      <w:r>
        <w:t xml:space="preserve"> </w:t>
      </w:r>
      <w:r>
        <w:t xml:space="preserve">Also during these negotiations, WorldCom first expressed its interest in receiving the waiver of § 203 from the Digex board. Intermedia agreed to seek this waiver, but requested, and received in return, an agreement to amend the Digex certifícate of incorporation to require independent director approval of any material transaction between WorldCom or its affiliates.</w:t>
      </w:r>
      <w:r>
        <w:rPr>
          <w:rStyle w:val="FootnoteReference"/>
        </w:rPr>
        <w:footnoteReference w:customMarkFollows="1" w:id="389"/>
        <w:t xml:space="preserve">21</w:t>
      </w:r>
      <w:r>
        <w:t xml:space="preserve"> </w:t>
      </w:r>
      <w:r>
        <w:t xml:space="preserve">On September 1, Sutcliffe asked Grothe to be sure to address the Special Committee’s possible fear that Intermedia had caused WorldCom to shift its interest from Digex to Intermedia.</w:t>
      </w:r>
      <w:r>
        <w:rPr>
          <w:rStyle w:val="FootnoteReference"/>
        </w:rPr>
        <w:footnoteReference w:customMarkFollows="1" w:id="402"/>
        <w:t xml:space="preserve">22</w:t>
      </w:r>
    </w:p>
    <w:p>
      <w:pPr>
        <w:pStyle w:val="CaseBody"/>
      </w:pPr>
      <w:r>
        <w:rPr>
          <w:iCs/>
          <w:i/>
        </w:rPr>
        <w:t xml:space="preserve">E. The Special Committee’s morning caucuses</w:t>
      </w:r>
    </w:p>
    <w:p>
      <w:pPr>
        <w:pStyle w:val="CaseBody"/>
      </w:pPr>
      <w:r>
        <w:t xml:space="preserve">Up until this point, the Special Committee had not been intimately involved with the proposed WorldCom-Digex transaction. Until the late evening of August 31, the Special Committee had been led to believe WorldCom was buying Digex. Now, the Committee members knew the deal had changed and, once again, it had changed without their consultation. This had happened just the morning before at the August 31 Digex board meeting, when the Special Committee members were informed, much to their surprise, that the Global Crossing-Digex transaction had been changed to a WorldCom-Digex transaction.</w:t>
      </w:r>
    </w:p>
    <w:p>
      <w:pPr>
        <w:pStyle w:val="CaseBody"/>
      </w:pPr>
      <w:r>
        <w:t xml:space="preserve">Thus, on the morning of September 1, the Special Committee, Jalkut and Reich, met with their lawyer, Clark, and Shull and Adams, for a breakfast meeting around 7:00 a.m. to discuss their options. Specifically, they asked Clark for his legal opinion regarding the validity of the switch to the WorldCom-Intermedia merger that was currently being negotiated from the Digex sale they preferred. Clark responded that they could not force WorldCom to make a bid for Digex itself.</w:t>
      </w:r>
      <w:r>
        <w:rPr>
          <w:rStyle w:val="FootnoteReference"/>
        </w:rPr>
        <w:footnoteReference w:customMarkFollows="1" w:id="414"/>
        <w:t xml:space="preserve">23</w:t>
      </w:r>
      <w:r>
        <w:t xml:space="preserve"> </w:t>
      </w:r>
      <w:r>
        <w:t xml:space="preserve">Clark also stated that he believed that legal opinion was divided on the applicability of § 208.</w:t>
      </w:r>
      <w:r>
        <w:rPr>
          <w:rStyle w:val="FootnoteReference"/>
        </w:rPr>
        <w:footnoteReference w:customMarkFollows="1" w:id="426"/>
        <w:t xml:space="preserve">24</w:t>
      </w:r>
      <w:r>
        <w:t xml:space="preserve"> </w:t>
      </w:r>
      <w:r>
        <w:t xml:space="preserve">Clark had concerns both about the process, especially the circumstances surrounding the mid-stream switch from a Digex to an Intermedia deal, and about whether the Special Committee had been kept fully informed.</w:t>
      </w:r>
      <w:r>
        <w:rPr>
          <w:rStyle w:val="FootnoteReference"/>
        </w:rPr>
        <w:footnoteReference w:customMarkFollows="1" w:id="437"/>
        <w:t xml:space="preserve">25</w:t>
      </w:r>
    </w:p>
    <w:p>
      <w:pPr>
        <w:pStyle w:val="CaseBody"/>
      </w:pPr>
      <w:r>
        <w:t xml:space="preserve">Shull, Jalkut, and Reich devised a strategy of proposing a mini-auction at the Digex board meeting later that day because they all believed the proposed WorldCom-Intermedia transaction was the worst of the three possible deals for Digex.</w:t>
      </w:r>
      <w:r>
        <w:rPr>
          <w:rStyle w:val="FootnoteReference"/>
        </w:rPr>
        <w:footnoteReference w:customMarkFollows="1" w:id="448"/>
        <w:t xml:space="preserve">26</w:t>
      </w:r>
      <w:r>
        <w:t xml:space="preserve"> </w:t>
      </w:r>
      <w:r>
        <w:t xml:space="preserve">Shull admits, however, that he saw some concrete benefits to Digex of a WorldCom-Intermedia merger, including the availability of WorldCom’s global network and facilities.</w:t>
      </w:r>
      <w:r>
        <w:rPr>
          <w:rStyle w:val="FootnoteReference"/>
        </w:rPr>
        <w:footnoteReference w:customMarkFollows="1" w:id="459"/>
        <w:t xml:space="preserve">27</w:t>
      </w:r>
    </w:p>
    <w:p>
      <w:pPr>
        <w:pStyle w:val="CaseBody"/>
      </w:pPr>
      <w:r>
        <w:t xml:space="preserve">Next, the Special Committee met with Ruberg who reported the sequence of events culminating in WorldCom’s offer for Intermedia. According to Jalkut, Ru-berg assured the Special Committee that the deal was in the best interests of both Intermedia and Digex.</w:t>
      </w:r>
      <w:r>
        <w:rPr>
          <w:rStyle w:val="FootnoteReference"/>
        </w:rPr>
        <w:footnoteReference w:customMarkFollows="1" w:id="469"/>
        <w:t xml:space="preserve">28</w:t>
      </w:r>
      <w:r>
        <w:t xml:space="preserve"> </w:t>
      </w:r>
      <w:r>
        <w:t xml:space="preserve">No mention was made during this meeting of the § 203 waiver issue.</w:t>
      </w:r>
    </w:p>
    <w:p>
      <w:pPr>
        <w:pStyle w:val="CaseBody"/>
      </w:pPr>
      <w:r>
        <w:t xml:space="preserve">Finally, the Special Committee met with its financial advisors, CSFB, in order to prepare for the Digex board meeting later that day. During the time when the Special Committee was meeting with their financial advisors at CSFB’s New York offices, Ebbers of WorldCom had a 45-minute telephone conversation with Jalkut and Reich, as Clark had requested.</w:t>
      </w:r>
      <w:r>
        <w:rPr>
          <w:rStyle w:val="FootnoteReference"/>
        </w:rPr>
        <w:footnoteReference w:customMarkFollows="1" w:id="478"/>
        <w:t xml:space="preserve">29</w:t>
      </w:r>
      <w:r>
        <w:t xml:space="preserve"> </w:t>
      </w:r>
      <w:r>
        <w:t xml:space="preserve">Ebbers explained the reasons why WorldCom had changed the deal. Ebbers also explained that WorldCom intended to keep Digex public. Grothe spoke to Shull and Adams in a separate call, also arranged by Clark. Grothe reiterated WorldCom’s intention to keep Digex public. Around 1 p.m. Jalkut and Reich left CSFB’s offices to go to Bear Stearns, where the Intermedia meeting was in progress. Immediately following the Intermedia meeting, the Digex board met.</w:t>
      </w:r>
      <w:r>
        <w:rPr>
          <w:rStyle w:val="FootnoteReference"/>
        </w:rPr>
        <w:footnoteReference w:customMarkFollows="1" w:id="486"/>
        <w:t xml:space="preserve">30</w:t>
      </w:r>
    </w:p>
    <w:p>
      <w:pPr>
        <w:pStyle w:val="CaseBody"/>
      </w:pPr>
      <w:r>
        <w:rPr>
          <w:iCs/>
          <w:i/>
        </w:rPr>
        <w:t xml:space="preserve">F. The Intermedia board meeting</w:t>
      </w:r>
    </w:p>
    <w:p>
      <w:pPr>
        <w:pStyle w:val="CaseBody"/>
      </w:pPr>
      <w:r>
        <w:t xml:space="preserve">The Intermedia board also met on the morning of September 1 to discuss the proposed WorldCom transaction. Following their discussion of the need for a § 203 waiver by Digex, the Intermedia board meeting was adjourned and Reich, Jalkut, and Shull, as well as the Special Committee’s advisors, were invited into the room for a meeting of the full Digex board. The interested directors of Digex, who had been in the room for the Intermedia meeting, remained, as did Bear Stearns, for the Digex meeting.</w:t>
      </w:r>
    </w:p>
    <w:p>
      <w:pPr>
        <w:pStyle w:val="CaseBody"/>
      </w:pPr>
      <w:r>
        <w:rPr>
          <w:iCs/>
          <w:i/>
        </w:rPr>
        <w:t xml:space="preserve">G. The Digex board meeting</w:t>
      </w:r>
    </w:p>
    <w:p>
      <w:pPr>
        <w:pStyle w:val="CaseBody"/>
      </w:pPr>
      <w:r>
        <w:t xml:space="preserve">Sutcliffe informed the Digex board that Intermedia had considered the WorldCom and Global Crossing proposals and determined that the WorldCom proposal was better for Intermedia. CSFB presented its findings to the entire board. CSFB concluded that the WorldCom deal was the worst for Digex.</w:t>
      </w:r>
      <w:r>
        <w:rPr>
          <w:rStyle w:val="FootnoteReference"/>
        </w:rPr>
        <w:footnoteReference w:customMarkFollows="1" w:id="494"/>
        <w:t xml:space="preserve">31</w:t>
      </w:r>
      <w:r>
        <w:t xml:space="preserve"> </w:t>
      </w:r>
      <w:r>
        <w:t xml:space="preserve">None of the directors asked any questions regarding CSFB’s conclusions.</w:t>
      </w:r>
    </w:p>
    <w:p>
      <w:pPr>
        <w:pStyle w:val="CaseBody"/>
      </w:pPr>
      <w:r>
        <w:t xml:space="preserve">As had been planned at the breakfast meeting, Jalkut proposed a mini-auction of Digex,</w:t>
      </w:r>
      <w:r>
        <w:t xml:space="preserve"> </w:t>
      </w:r>
      <w:r>
        <w:rPr>
          <w:iCs/>
          <w:i/>
        </w:rPr>
        <w:t xml:space="preserve">ie.,</w:t>
      </w:r>
      <w:r>
        <w:t xml:space="preserve"> </w:t>
      </w:r>
      <w:r>
        <w:t xml:space="preserve">that a decision on the World-Com transaction be deferred for approximately three days to allow CSFB to solicit best and final offers from WorldCom, Exodus, and Global Crossing, as well as to determine whether any other potential bidders existed. After some discussion, the proposal was defeated by a vote of four to three. The three disinterested directors voted in favor of the auction and the four interested directors voted against any step that would delay the WorldCom transaction.</w:t>
      </w:r>
    </w:p>
    <w:p>
      <w:pPr>
        <w:pStyle w:val="CaseBody"/>
      </w:pPr>
      <w:r>
        <w:t xml:space="preserve">The Digex board then turned its attention to the § 203 waiver. The debate, however, was brief and truncated, with discussion limited to the issue of who should vote on the waiver. Clark argued that due to the clear conflicts of interest faced by the interested directors, they should abstain from the vote. Sutcliffe asserted that he saw no reason to prevent the interested directors from participating. Sutcliffe would later testify that, “I discussed with [the interested directors] or reminded them that in voting on anything as a Digex director, they had to disregard entirely their relationship with Intermedia and had a fiduciary obligation to act only in the best interest of Digex and all of its shareholders.”</w:t>
      </w:r>
      <w:r>
        <w:rPr>
          <w:rStyle w:val="FootnoteReference"/>
        </w:rPr>
        <w:footnoteReference w:customMarkFollows="1" w:id="502"/>
        <w:t xml:space="preserve">32</w:t>
      </w:r>
      <w:r>
        <w:t xml:space="preserve"> </w:t>
      </w:r>
      <w:r>
        <w:t xml:space="preserve">The Special Committee was never asked for a recommendation on this conflict. After some discussion regarding whether or not the interested directors should vote, it was decided that all board members should vote. As noted above, it appears from the record that Clark and Sutcliffe disagreed about whether it was appropriate for the interested Digex directors to vote on the § 208 waiver. It is far less clear whether the Digex directors themselves engaged in any discussions along these lines.</w:t>
      </w:r>
      <w:r>
        <w:rPr>
          <w:rStyle w:val="FootnoteReference"/>
        </w:rPr>
        <w:footnoteReference w:customMarkFollows="1" w:id="510"/>
        <w:t xml:space="preserve">33</w:t>
      </w:r>
      <w:r>
        <w:t xml:space="preserve"> </w:t>
      </w:r>
      <w:r>
        <w:t xml:space="preserve">The vote, once again, was four to three, with only the interested directors — Ruberg, Manning, Campbell, and Baker — voting in favor of the § 203 waiver. After the Digex board members voted on the § 203 waiver, the Intermedia board reconvened, received Bear Stearns’ oral fairness opinion, and approved the Intermedia merger with WorldCom.</w:t>
      </w:r>
    </w:p>
    <w:p>
      <w:pPr>
        <w:pStyle w:val="CaseBody"/>
      </w:pPr>
      <w:r>
        <w:rPr>
          <w:iCs/>
          <w:i/>
        </w:rPr>
        <w:t xml:space="preserve">H. Procedural History</w:t>
      </w:r>
    </w:p>
    <w:p>
      <w:pPr>
        <w:pStyle w:val="CaseBody"/>
      </w:pPr>
      <w:r>
        <w:t xml:space="preserve">Following the public announcement on September 5, 2000, of the proposed merger between Intermedia and WorldCom, Digex stockholders filed a series of class and derivative stockholder suits. Ultimately, all of the actions were consolidated into this single action and WorldCom was joined as a party defendant. On October 2, 2000, this Court granted plaintiffs’ motion for expedited proceedings. Thereafter, the parties engaged in expedited discovery, including the production of documents, numerous depositions, and the filing of legal memoranda. Plaintiffs’ motion for a preliminary injunction was argued before the Court on November 29. At the Court’s request, the parties filed supplemental memoranda regarding the § 203 issue on December 4.</w:t>
      </w:r>
    </w:p>
    <w:p>
      <w:pPr>
        <w:pStyle w:val="CaseBody"/>
      </w:pPr>
      <w:r>
        <w:t xml:space="preserve">II. STANDARD FOR A PRELIMINARY INJUNCTION</w:t>
      </w:r>
    </w:p>
    <w:p>
      <w:pPr>
        <w:pStyle w:val="CaseBody"/>
      </w:pPr>
      <w:r>
        <w:t xml:space="preserve">This matter is presently before the Court on plaintiffs’ motion for a preliminary injunction. When seeking a preliminary injunction, a plaintiff must demonstrate a reasonable probability of success on the merits and that some irreparable harm will occur in the absence of the injunction. Furthermore, in evaluating the need for a preliminary injunction, the Court must balance the plaintiffs need for protection against any harm that can reasonably be expected to befall the defendants if the injunction is granted. When the former outweighs the latter, then the injunction should issue.</w:t>
      </w:r>
      <w:r>
        <w:rPr>
          <w:rStyle w:val="FootnoteReference"/>
        </w:rPr>
        <w:footnoteReference w:customMarkFollows="1" w:id="518"/>
        <w:t xml:space="preserve">34</w:t>
      </w:r>
    </w:p>
    <w:p>
      <w:pPr>
        <w:pStyle w:val="CaseBody"/>
      </w:pPr>
      <w:r>
        <w:t xml:space="preserve">As I noted earlier, the plaintiffs assert two different legal theories in this action. First, they argue that the defendants have breached their fiduciary duties and usurped a corporate opportunity that belonged to Digex and its shareholders. Second, the plaintiffs contend that the defendants breached the fiduciary duties they owed to Digex and its shareholders by voting to waive the protections afforded by § 208. I turn first to the corporate opportunity theory.</w:t>
      </w:r>
    </w:p>
    <w:p>
      <w:pPr>
        <w:pStyle w:val="CaseBody"/>
      </w:pPr>
      <w:r>
        <w:t xml:space="preserve">III. THE CORPORATE OPPORTUNITY CLAIM</w:t>
      </w:r>
    </w:p>
    <w:p>
      <w:pPr>
        <w:pStyle w:val="CaseBody"/>
      </w:pPr>
      <w:r>
        <w:t xml:space="preserve">Delaware Courts employ the following test to determine whether a corporate opportunity has been usurped by a fiduciary. The corporate opportunity will be found to have been usurped:</w:t>
      </w:r>
    </w:p>
    <w:p>
      <w:pPr>
        <w:pStyle w:val="BlockText"/>
      </w:pPr>
      <w:r>
        <w:t xml:space="preserve">If there is presented to a corporate officer or director a business opportunity which the corporation is financially able to undertake, [and that opportunity] is ... in the line of the corporation’s business and is of practical advantage to it, is one in which the corporation has an interest or a reasonable expectancy, and, by embracing the opportunity, the self-interest of the officer or director will be brought into conflict with that of his corporation ....</w:t>
      </w:r>
      <w:r>
        <w:t xml:space="preserve"> </w:t>
      </w:r>
      <w:r>
        <w:rPr>
          <w:rStyle w:val="FootnoteReference"/>
        </w:rPr>
        <w:footnoteReference w:customMarkFollows="1" w:id="526"/>
        <w:t xml:space="preserve">35</w:t>
      </w:r>
    </w:p>
    <w:p>
      <w:pPr>
        <w:pStyle w:val="CaseBody"/>
      </w:pPr>
      <w:r>
        <w:t xml:space="preserve">It is with this test in mind that I will evaluate the plaintiffs’ claim that the defendants have usurped a corporate opportunity belonging to Digex.</w:t>
      </w:r>
    </w:p>
    <w:p>
      <w:pPr>
        <w:pStyle w:val="CaseBody"/>
      </w:pPr>
      <w:r>
        <w:rPr>
          <w:iCs/>
          <w:i/>
        </w:rPr>
        <w:t xml:space="preserve">A. Summary of the Arguments</w:t>
      </w:r>
    </w:p>
    <w:p>
      <w:pPr>
        <w:pStyle w:val="CaseBody"/>
      </w:pPr>
      <w:r>
        <w:t xml:space="preserve">The plaintiffs argue that they satisfy all elements of the test for the usurpation of a corporate opportunity and, thus, there is a likelihood that they will succeed on the merits at trial. The opportunity that plaintiffs insist they had was an “expectancy” in selling their Digex shares to a buyer for approximately $120.00 per share.</w:t>
      </w:r>
    </w:p>
    <w:p>
      <w:pPr>
        <w:pStyle w:val="CaseBody"/>
      </w:pPr>
      <w:r>
        <w:t xml:space="preserve">That expectancy, the plaintiffs urge, was created by Intermedia’s alleged promise that any deal Intermedia brokered would include a sale of the Digex minority shareholders’ shares. As the argument goes, the defendants breached their fiduciary duties when the Intermedia-affiliated Digex directors allegedly steered WorldCom away from a Digex deal and towards an Intermedia deal.</w:t>
      </w:r>
      <w:r>
        <w:rPr>
          <w:rStyle w:val="FootnoteReference"/>
        </w:rPr>
        <w:footnoteReference w:customMarkFollows="1" w:id="534"/>
        <w:t xml:space="preserve">36</w:t>
      </w:r>
      <w:r>
        <w:t xml:space="preserve"> </w:t>
      </w:r>
      <w:r>
        <w:t xml:space="preserve">When a WorldCom-Intermedia deal originally arose, plaintiffs argue that the interested directors had several courses of action available that would have avoided such a breach. For instance, “they could have refused to discuss with WorldCom anything other than an acquisition of Digex, or they could have conditioned any acquisition of Intermedia on WorldCom’s agreement to make a tender offer for the minority shares of Digex.”</w:t>
      </w:r>
      <w:r>
        <w:t xml:space="preserve"> </w:t>
      </w:r>
      <w:r>
        <w:rPr>
          <w:rStyle w:val="FootnoteReference"/>
        </w:rPr>
        <w:footnoteReference w:customMarkFollows="1" w:id="541"/>
        <w:t xml:space="preserve">37</w:t>
      </w:r>
      <w:r>
        <w:t xml:space="preserve"> </w:t>
      </w:r>
      <w:r>
        <w:t xml:space="preserve">The import of this, urge plaintiffs, is that “when WorldCom asked Intermedia for a price at which WorldCom could acquire Intermedia, Intermedia was</w:t>
      </w:r>
      <w:r>
        <w:t xml:space="preserve"> </w:t>
      </w:r>
      <w:r>
        <w:rPr>
          <w:iCs/>
          <w:i/>
        </w:rPr>
        <w:t xml:space="preserve">not</w:t>
      </w:r>
      <w:r>
        <w:t xml:space="preserve"> </w:t>
      </w:r>
      <w:r>
        <w:t xml:space="preserve">permitted to name its price and make an agreement with WorldCom without informing Digex’s Special Committee and affording it an opportunity to negotiate with WorldCom on behalf of Digex.”</w:t>
      </w:r>
      <w:r>
        <w:rPr>
          <w:rStyle w:val="FootnoteReference"/>
        </w:rPr>
        <w:footnoteReference w:customMarkFollows="1" w:id="548"/>
        <w:t xml:space="preserve">38</w:t>
      </w:r>
    </w:p>
    <w:p>
      <w:pPr>
        <w:pStyle w:val="CaseBody"/>
      </w:pPr>
      <w:r>
        <w:t xml:space="preserve">The defendants respond to these contentions with three primary arguments. First, they argue that there was no corporate opportunity to usurp because “In-termedia owns an absolute majority of Digex’s voting rights and equity. Intermedia is entitled to sell or refuse to sell its Digex stock solely in its own interest; it is entitled to vote its shares in its own interest; and, neither the Digex board nor its shareholders can sell Digex without Interme-dia’s consent.”</w:t>
      </w:r>
      <w:r>
        <w:rPr>
          <w:rStyle w:val="FootnoteReference"/>
        </w:rPr>
        <w:footnoteReference w:customMarkFollows="1" w:id="555"/>
        <w:t xml:space="preserve">39</w:t>
      </w:r>
      <w:r>
        <w:t xml:space="preserve"> </w:t>
      </w:r>
      <w:r>
        <w:t xml:space="preserve">The second argument the defendants make is that they acted properly and mindful of their fiduciary duties at all relevant times. Thus, because the defendants were entirely candid with the Digex board and because WorldCom approached Intermedia as the controlling shareholder rather than Digex itself, there can be no breach of the duty of loyalty. Finally, and tangentially related to the first argument, defendants contend that the Digex minority shareholders had no power to insist that Intermedia, as controlling shareholder, permit Digex to conduct an “auction” to sell itself to the highest bidder.</w:t>
      </w:r>
    </w:p>
    <w:p>
      <w:pPr>
        <w:pStyle w:val="CaseBody"/>
      </w:pPr>
      <w:r>
        <w:rPr>
          <w:iCs/>
          <w:i/>
        </w:rPr>
        <w:t xml:space="preserve">B. Legal Analysis</w:t>
      </w:r>
    </w:p>
    <w:p>
      <w:pPr>
        <w:pStyle w:val="CaseBody"/>
      </w:pPr>
      <w:r>
        <w:t xml:space="preserve">For the reasons discussed below, I conclude that Digex, as a corporation, had no legally cognizable “interest or expectancy” in a WorldCom-Digex deal. Thus, the plaintiffs will not be able to prove an element of the corporate opportunity doctrine and are unlikely to succeed on the merits. Moreover, while the behavior of certain actors in this corporate drama does not paint a picture of model director behavior, I cannot conclude, on the limited factual record before me, that the defendants’ conduct was undertaken in bad faith. Because I am deeply skeptical that the plaintiffs will be able to produce evidence at trial to prove their currently unsupported suspicions, I am not persuaded that plaintiffs have a reasonable probability of success on the merits of their corporate opportunity claim.</w:t>
      </w:r>
    </w:p>
    <w:p>
      <w:pPr>
        <w:pStyle w:val="CaseBody"/>
      </w:pPr>
      <w:r>
        <w:t xml:space="preserve">1.</w:t>
      </w:r>
      <w:r>
        <w:t xml:space="preserve"> </w:t>
      </w:r>
      <w:r>
        <w:rPr>
          <w:iCs/>
          <w:i/>
        </w:rPr>
        <w:t xml:space="preserve">Why Digex had no “interest or expectancy” in a WorldCom-Digex deal.</w:t>
      </w:r>
    </w:p>
    <w:p>
      <w:pPr>
        <w:pStyle w:val="CaseBody"/>
      </w:pPr>
      <w:r>
        <w:t xml:space="preserve">A claim that a director or officer improperly usurped a corporate opportunity belonging to the corporation is a derivative claim.</w:t>
      </w:r>
      <w:r>
        <w:rPr>
          <w:rStyle w:val="FootnoteReference"/>
        </w:rPr>
        <w:footnoteReference w:customMarkFollows="1" w:id="561"/>
        <w:t xml:space="preserve">40</w:t>
      </w:r>
      <w:r>
        <w:t xml:space="preserve"> </w:t>
      </w:r>
      <w:r>
        <w:t xml:space="preserve">Here, it is helpful to distinguish between a derivative and an individual claim.</w:t>
      </w:r>
    </w:p>
    <w:p>
      <w:pPr>
        <w:pStyle w:val="BlockText"/>
      </w:pPr>
      <w:r>
        <w:t xml:space="preserve">As a general matter, it may be said that, where the substantive nature of the alleged injury is such that it falls directly on the corporation as a whole and collectively, but only secondarily, upon its stockholders as a function of and in proportion to their pro rata investment in the corporation, the claim is derivative in nature and may be maintained only on behalf of the corporation... .Conversely, where the complaint describes a special and distinct injury inflicted directly on rights of individual stockholders traditionally regarded as an incident of their stock ownership, the action is individual (or class) in nature, and any ensuing recovery or other relief runs directly to the stockholders. In other words, derivative actions are those that seek relief for injuries done to the corporation, while individual or class claims are those that seek to rectify harm inflicted directly upon the individual rights of stockholders.</w:t>
      </w:r>
      <w:r>
        <w:rPr>
          <w:rStyle w:val="FootnoteReference"/>
        </w:rPr>
        <w:footnoteReference w:customMarkFollows="1" w:id="567"/>
        <w:t xml:space="preserve">41</w:t>
      </w:r>
    </w:p>
    <w:p>
      <w:pPr>
        <w:pStyle w:val="CaseBody"/>
      </w:pPr>
      <w:r>
        <w:t xml:space="preserve">With this distinction in mind, the claim that the defendants usurped a corporate opportunity must necessarily constitute an “injury” to the corporation and thus be a derivative claim.</w:t>
      </w:r>
      <w:r>
        <w:rPr>
          <w:rStyle w:val="FootnoteReference"/>
        </w:rPr>
        <w:footnoteReference w:customMarkFollows="1" w:id="573"/>
        <w:t xml:space="preserve">42</w:t>
      </w:r>
    </w:p>
    <w:p>
      <w:pPr>
        <w:pStyle w:val="CaseBody"/>
      </w:pPr>
      <w:r>
        <w:t xml:space="preserve">Here, the plaintiffs contend that the defendants, by allegedly steering WorldCom away from a Digex deal and towards an Intermedia deal, appropriated an opportunity that belonged to the plaintiffs. That opportunity was the ability to sell Digex to the highest bidder.</w:t>
      </w:r>
    </w:p>
    <w:p>
      <w:pPr>
        <w:pStyle w:val="CaseBody"/>
      </w:pPr>
      <w:r>
        <w:t xml:space="preserve">The opportunity the plaintiffs identify, however, is not an “interest or expectancy” of Digex the corporation qua corporation. Rather, the purported opportunity is that of the Digex</w:t>
      </w:r>
      <w:r>
        <w:t xml:space="preserve"> </w:t>
      </w:r>
      <w:r>
        <w:rPr>
          <w:iCs/>
          <w:i/>
        </w:rPr>
        <w:t xml:space="preserve">shareholders</w:t>
      </w:r>
      <w:r>
        <w:t xml:space="preserve"> </w:t>
      </w:r>
      <w:r>
        <w:t xml:space="preserve">to sell their Digex shares to the highest bidder. Thus, the perceived corporate opportunity is not really a</w:t>
      </w:r>
      <w:r>
        <w:t xml:space="preserve"> </w:t>
      </w:r>
      <w:r>
        <w:rPr>
          <w:iCs/>
          <w:i/>
        </w:rPr>
        <w:t xml:space="preserve">corporate</w:t>
      </w:r>
      <w:r>
        <w:t xml:space="preserve"> </w:t>
      </w:r>
      <w:r>
        <w:t xml:space="preserve">opportunity at all, but more closely resembles an individual opportunity of the shareholders. Because the opportunity the plaintiffs identify was not one in which Digex as a corporation had an “interest or expectancy,” plaintiffs do not have a reasonable likelihood of success on such a claim.</w:t>
      </w:r>
    </w:p>
    <w:p>
      <w:pPr>
        <w:pStyle w:val="CaseBody"/>
      </w:pPr>
      <w:r>
        <w:t xml:space="preserve">The present case also is strikingly similar to</w:t>
      </w:r>
      <w:r>
        <w:t xml:space="preserve"> </w:t>
      </w:r>
      <w:r>
        <w:rPr>
          <w:iCs/>
          <w:i/>
        </w:rPr>
        <w:t xml:space="preserve">Thorpe v. CERBCO, Inc.,</w:t>
      </w:r>
      <w:r>
        <w:t xml:space="preserve"> </w:t>
      </w:r>
      <w:r>
        <w:t xml:space="preserve"> </w:t>
      </w:r>
      <w:r>
        <w:t xml:space="preserve"> </w:t>
      </w:r>
      <w:r>
        <w:t xml:space="preserve">a case cited by both parties as supporting their respective positions. In</w:t>
      </w:r>
      <w:r>
        <w:t xml:space="preserve"> </w:t>
      </w:r>
      <w:r>
        <w:rPr>
          <w:iCs/>
          <w:i/>
        </w:rPr>
        <w:t xml:space="preserve">CERBCO,</w:t>
      </w:r>
      <w:r>
        <w:t xml:space="preserve"> </w:t>
      </w:r>
      <w:r>
        <w:t xml:space="preserve">the Supreme Court held that where a majority shareholder of a corporation can block any unacceptable transaction, the corporation cannot take advantage of the opportunity to enter into an unsanctioned transaction and, thus, there is no opportunity that fairly belongs to the corporation.</w:t>
      </w:r>
      <w:r>
        <w:rPr>
          <w:rStyle w:val="FootnoteReference"/>
        </w:rPr>
        <w:footnoteReference w:customMarkFollows="1" w:id="585"/>
        <w:t xml:space="preserve">44</w:t>
      </w:r>
    </w:p>
    <w:p>
      <w:pPr>
        <w:pStyle w:val="CaseBody"/>
      </w:pPr>
      <w:r>
        <w:t xml:space="preserve">George and Robert Erikson were directors, officers, and controlling shareholders of CERBCO, Inc. While the Eriksons owned 24% of CERBCO’s total equity, they exercised effective voting control with 56% of the total votes. They were also two of the four directors on CERBCO’s Board.</w:t>
      </w:r>
    </w:p>
    <w:p>
      <w:pPr>
        <w:pStyle w:val="CaseBody"/>
      </w:pPr>
      <w:r>
        <w:t xml:space="preserve">CERBCO, as a holding company, owned voting control of a subsidiary, Insituform East, Inc. (“East”). A third party approached the Eriksons in their capacity as directors and officers</w:t>
      </w:r>
      <w:r>
        <w:rPr>
          <w:rStyle w:val="FootnoteReference"/>
        </w:rPr>
        <w:footnoteReference w:customMarkFollows="1" w:id="591"/>
        <w:t xml:space="preserve">45</w:t>
      </w:r>
      <w:r>
        <w:t xml:space="preserve"> </w:t>
      </w:r>
      <w:r>
        <w:t xml:space="preserve">of CERBCO to discuss the possible purchase of the subsidiary East. The Eriksons, however, steered the third-party towards buying their controlling interest in the parent CERBCO as a way to gain control of the subsidiary East. Thorpe, a CERBCO shareholder, filed a derivative suit claiming that the Eriksons had diverted from CERBCO the opportunity to sell East to the third-party. Thus, as is quite plain, in many respects the facts of</w:t>
      </w:r>
      <w:r>
        <w:t xml:space="preserve"> </w:t>
      </w:r>
      <w:r>
        <w:rPr>
          <w:iCs/>
          <w:i/>
        </w:rPr>
        <w:t xml:space="preserve">CERBCO</w:t>
      </w:r>
      <w:r>
        <w:t xml:space="preserve"> </w:t>
      </w:r>
      <w:r>
        <w:t xml:space="preserve">are similar to those here.</w:t>
      </w:r>
      <w:r>
        <w:rPr>
          <w:rStyle w:val="FootnoteReference"/>
        </w:rPr>
        <w:footnoteReference w:customMarkFollows="1" w:id="597"/>
        <w:t xml:space="preserve">46</w:t>
      </w:r>
    </w:p>
    <w:p>
      <w:pPr>
        <w:pStyle w:val="CaseBody"/>
      </w:pPr>
      <w:r>
        <w:t xml:space="preserve">The Court of Chancery, following a trial, found that the Eriksons violated their duty of loyalty to CERBCO. “Despite finding this breach,” however, “the Chancellor held that the plaintiffs would not be awarded damages since the defendants’ actions were wholly fair.”</w:t>
      </w:r>
      <w:r>
        <w:rPr>
          <w:rStyle w:val="FootnoteReference"/>
        </w:rPr>
        <w:footnoteReference w:customMarkFollows="1" w:id="602"/>
        <w:t xml:space="preserve">47</w:t>
      </w:r>
      <w:r>
        <w:t xml:space="preserve"> </w:t>
      </w:r>
      <w:r>
        <w:t xml:space="preserve">The Chancellor found that the Eriksons could not be penalized for their breach because they could veto any proposed transaction under 8</w:t>
      </w:r>
      <w:r>
        <w:t xml:space="preserve"> </w:t>
      </w:r>
      <w:r>
        <w:rPr>
          <w:iCs/>
          <w:i/>
        </w:rPr>
        <w:t xml:space="preserve">Del. C.</w:t>
      </w:r>
      <w:r>
        <w:t xml:space="preserve"> </w:t>
      </w:r>
      <w:r>
        <w:t xml:space="preserve">§ 271</w:t>
      </w:r>
      <w:r>
        <w:rPr>
          <w:rStyle w:val="FootnoteReference"/>
        </w:rPr>
        <w:footnoteReference w:customMarkFollows="1" w:id="607"/>
        <w:t xml:space="preserve">48</w:t>
      </w:r>
      <w:r>
        <w:t xml:space="preserve"> </w:t>
      </w:r>
      <w:r>
        <w:t xml:space="preserve">and, thus, the plaintiff suffered no damage.</w:t>
      </w:r>
    </w:p>
    <w:p>
      <w:pPr>
        <w:pStyle w:val="CaseBody"/>
      </w:pPr>
      <w:r>
        <w:t xml:space="preserve">The Supreme Court, in addressing the issue of the corporate opportunity, found that:</w:t>
      </w:r>
    </w:p>
    <w:p>
      <w:pPr>
        <w:pStyle w:val="BlockText"/>
      </w:pPr>
      <w:r>
        <w:t xml:space="preserve">In this case, it is clear that the opportunity was one in which the corporation had an interest. Despite this fact, CERBCO would never be able to undertake the opportunity to sell its EAST shares. Every economically viable CERBCO sale of stock could have been blocked by the Eriksons under § 271. Since the corporation was not able to take advantage of the opportunity, the transaction was not one which, considering all the relevant facts, fairly belonged to the corporation.</w:t>
      </w:r>
      <w:r>
        <w:rPr>
          <w:rStyle w:val="FootnoteReference"/>
        </w:rPr>
        <w:footnoteReference w:customMarkFollows="1" w:id="612"/>
        <w:t xml:space="preserve">49</w:t>
      </w:r>
    </w:p>
    <w:p>
      <w:pPr>
        <w:pStyle w:val="CaseBody"/>
      </w:pPr>
      <w:r>
        <w:t xml:space="preserve">The Court went on to find that the “ § 271 rights, not the breach [of the duty of loyalty], were the proximate cause of the nonconsummation of the transaction. Accordingly, transactional damages are inappropriate.”</w:t>
      </w:r>
      <w:r>
        <w:t xml:space="preserve"> </w:t>
      </w:r>
      <w:r>
        <w:rPr>
          <w:rStyle w:val="FootnoteReference"/>
        </w:rPr>
        <w:footnoteReference w:customMarkFollows="1" w:id="617"/>
        <w:t xml:space="preserve">50</w:t>
      </w:r>
    </w:p>
    <w:p>
      <w:pPr>
        <w:pStyle w:val="CaseBody"/>
      </w:pPr>
      <w:r>
        <w:t xml:space="preserve">I understand the Supreme Court’s holding in</w:t>
      </w:r>
      <w:r>
        <w:t xml:space="preserve"> </w:t>
      </w:r>
      <w:r>
        <w:rPr>
          <w:iCs/>
          <w:i/>
        </w:rPr>
        <w:t xml:space="preserve">CERBCO</w:t>
      </w:r>
      <w:r>
        <w:t xml:space="preserve"> </w:t>
      </w:r>
      <w:r>
        <w:t xml:space="preserve">to require a finding that, while majority shareholders may breach their duty of loyalty on similar facts, the powers inherent in the majority status generally preclude a plaintiff from claiming that a corporate opportunity has been usurped where the majority shareholder could have blocked the transaction in any event. This is so because no “interest or expectation” fairly belonged to the corporation since the majority could block the transaction at any time.</w:t>
      </w:r>
    </w:p>
    <w:p>
      <w:pPr>
        <w:pStyle w:val="CaseBody"/>
      </w:pPr>
      <w:r>
        <w:t xml:space="preserve">The same reasoning leads to the same result in this case. Just as the Eriksons could block CERBCO’s efforts to sell the subsidiary East, so Intermedia may block any undesirable transactions involving its subsidiary Digex.</w:t>
      </w:r>
      <w:r>
        <w:rPr>
          <w:rStyle w:val="FootnoteReference"/>
        </w:rPr>
        <w:footnoteReference w:customMarkFollows="1" w:id="622"/>
        <w:t xml:space="preserve">51</w:t>
      </w:r>
      <w:r>
        <w:t xml:space="preserve"> </w:t>
      </w:r>
      <w:r>
        <w:t xml:space="preserve">Of course,</w:t>
      </w:r>
      <w:r>
        <w:t xml:space="preserve"> </w:t>
      </w:r>
      <w:r>
        <w:rPr>
          <w:iCs/>
          <w:i/>
        </w:rPr>
        <w:t xml:space="preserve">CERBCO</w:t>
      </w:r>
      <w:r>
        <w:t xml:space="preserve"> </w:t>
      </w:r>
      <w:r>
        <w:t xml:space="preserve">teaches that this power, held by the controlling shareholder, is not without limit. As is discussed more fully below, the exercise of that power is always constrained by the duty of loyalty.</w:t>
      </w:r>
    </w:p>
    <w:p>
      <w:pPr>
        <w:pStyle w:val="CaseBody"/>
      </w:pPr>
      <w:r>
        <w:t xml:space="preserve">In some respects this case is clearer than</w:t>
      </w:r>
      <w:r>
        <w:t xml:space="preserve"> </w:t>
      </w:r>
      <w:r>
        <w:rPr>
          <w:iCs/>
          <w:i/>
        </w:rPr>
        <w:t xml:space="preserve">CERBCO</w:t>
      </w:r>
      <w:r>
        <w:t xml:space="preserve"> </w:t>
      </w:r>
      <w:r>
        <w:t xml:space="preserve">because here the complaining parties, Digex and its shareholders, are totally removed from the transaction between WorldCom and Intermedia. No Digex shares will change hands and, presumably, Digex’s preexisting relationship with Intermedia will be the same. Intermedia would merely have a new owner.</w:t>
      </w:r>
    </w:p>
    <w:p>
      <w:pPr>
        <w:pStyle w:val="CaseBody"/>
      </w:pPr>
      <w:r>
        <w:t xml:space="preserve">Because the defendants could block proposed transactions involving the sale of Digex, it seems unlikely that Digex and its shareholders could have a legally cognizable interest or expectancy in a WorldCom-Digex deal. In the absence of such a protectable interest, plaintiffs have no reasonable probability of success on the merits of their corporate opportunity claim.</w:t>
      </w:r>
    </w:p>
    <w:p>
      <w:pPr>
        <w:pStyle w:val="CaseBody"/>
      </w:pPr>
      <w:r>
        <w:t xml:space="preserve">2.</w:t>
      </w:r>
      <w:r>
        <w:t xml:space="preserve"> </w:t>
      </w:r>
      <w:r>
        <w:rPr>
          <w:iCs/>
          <w:i/>
        </w:rPr>
        <w:t xml:space="preserve">Did defendants breach their duty of loyalty in negotiating the WorldCom-Intermedia deal?</w:t>
      </w:r>
    </w:p>
    <w:p>
      <w:pPr>
        <w:pStyle w:val="CaseBody"/>
      </w:pPr>
      <w:r>
        <w:t xml:space="preserve">In the context of the corporate opportunity claim, plaintiffs appear to rely upon two distinct theories as to how the defendants breached their fiduciary duties. First, they contend defendants breached the duty of loyalty by usurping a corporate opportunity, a claim which (as already mentioned) stands little chance of success. Second, they argue that the recent decision in</w:t>
      </w:r>
      <w:r>
        <w:t xml:space="preserve"> </w:t>
      </w:r>
      <w:r>
        <w:rPr>
          <w:iCs/>
          <w:i/>
        </w:rPr>
        <w:t xml:space="preserve">McMullin v.</w:t>
      </w:r>
      <w:r>
        <w:t xml:space="preserve"> </w:t>
      </w:r>
      <w:r>
        <w:t xml:space="preserve">Beran</w:t>
      </w:r>
      <w:r>
        <w:rPr>
          <w:rStyle w:val="FootnoteReference"/>
        </w:rPr>
        <w:footnoteReference w:customMarkFollows="1" w:id="627"/>
        <w:t xml:space="preserve">52</w:t>
      </w:r>
      <w:r>
        <w:t xml:space="preserve"> </w:t>
      </w:r>
      <w:r>
        <w:t xml:space="preserve">requires a finding that the defendants breached their fiduciary duties by not conducting “a</w:t>
      </w:r>
      <w:r>
        <w:t xml:space="preserve"> </w:t>
      </w:r>
      <w:r>
        <w:rPr>
          <w:iCs/>
          <w:i/>
        </w:rPr>
        <w:t xml:space="preserve">Revlon</w:t>
      </w:r>
      <w:r>
        <w:t xml:space="preserve"> </w:t>
      </w:r>
      <w:r>
        <w:t xml:space="preserve">auction for Digex.”</w:t>
      </w:r>
    </w:p>
    <w:p>
      <w:pPr>
        <w:pStyle w:val="CaseBody"/>
      </w:pPr>
      <w:r>
        <w:t xml:space="preserve">As to this second theory,</w:t>
      </w:r>
      <w:r>
        <w:t xml:space="preserve"> </w:t>
      </w:r>
      <w:r>
        <w:rPr>
          <w:iCs/>
          <w:i/>
        </w:rPr>
        <w:t xml:space="preserve">Thorpe v. CERBCO</w:t>
      </w:r>
      <w:r>
        <w:t xml:space="preserve"> </w:t>
      </w:r>
      <w:r>
        <w:t xml:space="preserve">again is instructive. There the Supreme Court separated the consideration of whether the defendants usurped a corporate opportunity and whether they breached their duty of loyalty. Since I have already addressed the corporate opportunity aspect of the argument, I now turn to the duty of loyalty aspect.</w:t>
      </w:r>
    </w:p>
    <w:p>
      <w:pPr>
        <w:pStyle w:val="CaseBody"/>
      </w:pPr>
      <w:r>
        <w:t xml:space="preserve">The</w:t>
      </w:r>
      <w:r>
        <w:t xml:space="preserve"> </w:t>
      </w:r>
      <w:r>
        <w:rPr>
          <w:iCs/>
          <w:i/>
        </w:rPr>
        <w:t xml:space="preserve">CERBCO</w:t>
      </w:r>
      <w:r>
        <w:t xml:space="preserve"> </w:t>
      </w:r>
      <w:r>
        <w:t xml:space="preserve">Court found the Eriksons had breached their duty of loyalty to CERBCO. How the</w:t>
      </w:r>
      <w:r>
        <w:t xml:space="preserve"> </w:t>
      </w:r>
      <w:r>
        <w:rPr>
          <w:iCs/>
          <w:i/>
        </w:rPr>
        <w:t xml:space="preserve">CERBCO</w:t>
      </w:r>
      <w:r>
        <w:t xml:space="preserve"> </w:t>
      </w:r>
      <w:r>
        <w:t xml:space="preserve">Court reached that conclusion will guide this Court in determining whether the defendants have breached a duty of loyalty owed to the plaintiffs.</w:t>
      </w:r>
    </w:p>
    <w:p>
      <w:pPr>
        <w:pStyle w:val="CaseBody"/>
      </w:pPr>
      <w:r>
        <w:t xml:space="preserve">In</w:t>
      </w:r>
      <w:r>
        <w:t xml:space="preserve"> </w:t>
      </w:r>
      <w:r>
        <w:rPr>
          <w:iCs/>
          <w:i/>
        </w:rPr>
        <w:t xml:space="preserve">CERBCO,</w:t>
      </w:r>
      <w:r>
        <w:t xml:space="preserve"> </w:t>
      </w:r>
      <w:r>
        <w:t xml:space="preserve">the third party approached the Eriksons, in their capacity as officers and directors, about the potential purchase of the subsidiary, East. The Eriksons, however, immediately steered the third-party towards purchasing their controlling block of CERBCO in order to gain control of East.</w:t>
      </w:r>
      <w:r>
        <w:rPr>
          <w:rStyle w:val="FootnoteReference"/>
        </w:rPr>
        <w:footnoteReference w:customMarkFollows="1" w:id="632"/>
        <w:t xml:space="preserve">53</w:t>
      </w:r>
    </w:p>
    <w:p>
      <w:pPr>
        <w:pStyle w:val="CaseBody"/>
      </w:pPr>
      <w:r>
        <w:t xml:space="preserve">The Eriksons never informed the other CERBCO board members of this interest in the subsidiary East, but did inform them of the proposed sale of the Eriksons’ stock. In fact, a member of the CERBCO board later specifically asked the Eriksons whether there had been any interest in a purchase of East. “The Eriksons denied that [the third-party] had ever made such an offer, and had [they] done so, the Erik-sons indicated that they would likely vote their shares to reject it.”</w:t>
      </w:r>
      <w:r>
        <w:rPr>
          <w:rStyle w:val="FootnoteReference"/>
        </w:rPr>
        <w:footnoteReference w:customMarkFollows="1" w:id="637"/>
        <w:t xml:space="preserve">54</w:t>
      </w:r>
    </w:p>
    <w:p>
      <w:pPr>
        <w:pStyle w:val="CaseBody"/>
      </w:pPr>
      <w:r>
        <w:t xml:space="preserve">Ultimately, it was this lack of candor that led both the Chancellor and the Supreme Court to find that the Eriksons had breached their duty of loyalty.</w:t>
      </w:r>
      <w:r>
        <w:rPr>
          <w:rStyle w:val="FootnoteReference"/>
        </w:rPr>
        <w:footnoteReference w:customMarkFollows="1" w:id="642"/>
        <w:t xml:space="preserve">55</w:t>
      </w:r>
      <w:r>
        <w:t xml:space="preserve"> </w:t>
      </w:r>
      <w:r>
        <w:t xml:space="preserve">To reach this result, the Court applied the following analysis:</w:t>
      </w:r>
    </w:p>
    <w:p>
      <w:pPr>
        <w:pStyle w:val="BlockText"/>
      </w:pPr>
      <w:r>
        <w:t xml:space="preserve">The shareholder vote provided by § 271 does not supercede the duty of loyalty owed by control persons, just as the statutory power to merge does not allow oppressive conduct in the effectuation of a merger. Rather, this statutorily conferred power must be exercised within the constraints of the duty of loyalty. In practice, the reconciliation of these two precepts of corporate law means that the duty of a controlling shareholder/director will vary according to the role being played by that person and the stage of the transaction at which the power is employed.</w:t>
      </w:r>
      <w:r>
        <w:rPr>
          <w:rStyle w:val="FootnoteReference"/>
        </w:rPr>
        <w:footnoteReference w:customMarkFollows="1" w:id="647"/>
        <w:t xml:space="preserve">56</w:t>
      </w:r>
    </w:p>
    <w:p>
      <w:pPr>
        <w:pStyle w:val="CaseBody"/>
      </w:pPr>
      <w:r>
        <w:t xml:space="preserve">In applying this analytical framework, the Court decided that since the Eriksons were approached in their capacities as directors of CERBCO, their loyalties should have been to the company. To satisfy their duty to act in good faith, the Erik-sons should have informed the CERBCO board of the interest in East and CERB-CO should have been able to explore that interest “unhindered by the dominating hand of the Eriksons.”</w:t>
      </w:r>
      <w:r>
        <w:rPr>
          <w:rStyle w:val="FootnoteReference"/>
        </w:rPr>
        <w:footnoteReference w:customMarkFollows="1" w:id="652"/>
        <w:t xml:space="preserve">57</w:t>
      </w:r>
    </w:p>
    <w:p>
      <w:pPr>
        <w:pStyle w:val="CaseBody"/>
      </w:pPr>
      <w:r>
        <w:t xml:space="preserve">The Court recognized that “[t]he Erik-sons were entitled to profit from them control premium and, to that end, compete with CERBCO but only after informing CERBCO of the opportunity. Thereafter, they should have removed themselves from the negotiations and allowed the disinterested directors to act on behalf of CERB-CO.”</w:t>
      </w:r>
      <w:r>
        <w:t xml:space="preserve"> </w:t>
      </w:r>
      <w:r>
        <w:rPr>
          <w:rStyle w:val="FootnoteReference"/>
        </w:rPr>
        <w:footnoteReference w:customMarkFollows="1" w:id="657"/>
        <w:t xml:space="preserve">58</w:t>
      </w:r>
      <w:r>
        <w:t xml:space="preserve"> </w:t>
      </w:r>
      <w:r>
        <w:t xml:space="preserve">Finally, “[w]hile the Eriksons did have a duty to present that opportunity to CERBCO, they had no responsibility to ensure that a transaction was consummated.”</w:t>
      </w:r>
      <w:r>
        <w:t xml:space="preserve"> </w:t>
      </w:r>
      <w:r>
        <w:rPr>
          <w:rStyle w:val="FootnoteReference"/>
        </w:rPr>
        <w:footnoteReference w:customMarkFollows="1" w:id="662"/>
        <w:t xml:space="preserve">59</w:t>
      </w:r>
    </w:p>
    <w:p>
      <w:pPr>
        <w:pStyle w:val="CaseBody"/>
      </w:pPr>
      <w:r>
        <w:t xml:space="preserve">Thus, if one compares the Eriksons’ behavior to that of the defendants here, I must consider whether the defendants adequately disclosed any potential interest or proposal to Digex and provided Digex a reasonable opportunity to act. If the defendants did not act in that manner, it may well suggest that they breached a duty of loyalty to Digex’s minority shareholders.</w:t>
      </w:r>
    </w:p>
    <w:p>
      <w:pPr>
        <w:pStyle w:val="CaseBody"/>
      </w:pPr>
      <w:r>
        <w:t xml:space="preserve">To answer this question, one must focus on the events that occurred between August 30, 2000, and September 1, 2000.</w:t>
      </w:r>
      <w:r>
        <w:rPr>
          <w:rStyle w:val="FootnoteReference"/>
        </w:rPr>
        <w:footnoteReference w:customMarkFollows="1" w:id="667"/>
        <w:t xml:space="preserve">60</w:t>
      </w:r>
      <w:r>
        <w:t xml:space="preserve"> </w:t>
      </w:r>
      <w:r>
        <w:t xml:space="preserve">Viewing those events objectively, it appears that Digex, through its officers and non-interested directors, was apprised of the status of the various proposed transactions at all times. Despite preliminary posturing and expressions of general interest in the preceding months, the time frame at issue was compressed into a matter of a few days. The evidence indicates that WorldCom was interested in Digex and had considered various ways to gain control of it. Among those options was either a purchase of Digex itself or of Intermedia to gain control of Digex.</w:t>
      </w:r>
    </w:p>
    <w:p>
      <w:pPr>
        <w:pStyle w:val="CaseBody"/>
      </w:pPr>
      <w:r>
        <w:t xml:space="preserve">On August 30, WorldCom representatives contacted the bankers that were assisting Intermedia in exploring its options, two of which were either selling itself or selling its “crown jewel,” Digex. World-Com was told that a purchase of Digex would require an offer of upwards of $120.00 per share. WorldCom was not deterred and began due diligence. World-Com was aware that it was working to beat a September 1, 2000 deadline. Digex representatives were immediately notified of this new interest. Thus, at this point, Digex, through its representatives, was aware of WorldCom’s initial interest in the company.</w:t>
      </w:r>
    </w:p>
    <w:p>
      <w:pPr>
        <w:pStyle w:val="CaseBody"/>
      </w:pPr>
      <w:r>
        <w:t xml:space="preserve">Sometime on August 31, however, WorldCom decided that a purchase of In-termedia was more desirable than a purchase of Digex because of the significant cost savings. WorldCom made a preliminary inquiry into what price Intermedia would seek, and was told that it could purchase Intermedia for $39.00 per share. As WorldCom found this initial term agreeable, it decided to shift its due diligence to consider a purchase of Intermedia with consummation of the deal the following day. Shortly after the change in the deal, the Digex officers and non-interested directors were informed of the change. Thus, within a very short time, Digex had notice that it was no longer the focus of a WorldCom deal.</w:t>
      </w:r>
    </w:p>
    <w:p>
      <w:pPr>
        <w:pStyle w:val="CaseBody"/>
      </w:pPr>
      <w:r>
        <w:t xml:space="preserve">These’ facts are not in serious dispute. Viewed in light of</w:t>
      </w:r>
      <w:r>
        <w:t xml:space="preserve"> </w:t>
      </w:r>
      <w:r>
        <w:rPr>
          <w:iCs/>
          <w:i/>
        </w:rPr>
        <w:t xml:space="preserve">CERBCO’s</w:t>
      </w:r>
      <w:r>
        <w:t xml:space="preserve"> </w:t>
      </w:r>
      <w:r>
        <w:t xml:space="preserve">analysis, they lead me to conclude, although provisionally, that the defendants did not breach their duties of loyalty to the plaintiffs at this juncture in the negotiation process. Digex had notice of WorldCom’s interest from the beginning, although it had been assured by Intermedia’s representatives that any negotiated sale of In-termedia’s majority interest in Digex would seek to include an offer for the minority public shareholders. Moreover, Digex apparently was notified of World-Com’s change of heart within a short time of the switch. At this point, I do not find persuasive the plaintiffs’ contention that the deal was a</w:t>
      </w:r>
      <w:r>
        <w:t xml:space="preserve"> </w:t>
      </w:r>
      <w:r>
        <w:rPr>
          <w:iCs/>
          <w:i/>
        </w:rPr>
        <w:t xml:space="preserve">fait accompli</w:t>
      </w:r>
      <w:r>
        <w:t xml:space="preserve"> </w:t>
      </w:r>
      <w:r>
        <w:t xml:space="preserve">merely because there had been a preliminary agreement as to price. Although I recognize that an effort by Digex to revive a World-Com-Digex deal may have been futile considering Intermedia’s stance, the defendants only had to give fair notice of the opportunity to Digex. In these circumstances, I do not think it likely that plaintiffs can show the Intermedia defendants, as a controlling stockholder, had a duty to see that a particular transaction involving Digex was consummated.</w:t>
      </w:r>
    </w:p>
    <w:p>
      <w:pPr>
        <w:pStyle w:val="CaseBody"/>
      </w:pPr>
      <w:r>
        <w:t xml:space="preserve">Nor does the defendants’ behavior approach the egregiousness of the Eriksons. Unlike CERBCO, Digex knew of World-Com’s initial interest from the beginning. Moreover, defendants made no attempt to conceal the fact that the deal had changed. As this Court found in another case with analogous facts:</w:t>
      </w:r>
    </w:p>
    <w:p>
      <w:pPr>
        <w:pStyle w:val="BlockText"/>
      </w:pPr>
      <w:r>
        <w:t xml:space="preserve">Although we encourage directors to aspire to ideal corporate governance practices, directors’ actions need not achieve perfection to avoid liability. Directors must adhere to the minimum legal requirements of the corporation law. Although the defendants failed to act as a model director might have acted, for the above reasons and on the undisputed facts I conclude, as a matter of law, they did not breach a legal duty.</w:t>
      </w:r>
      <w:r>
        <w:rPr>
          <w:rStyle w:val="FootnoteReference"/>
        </w:rPr>
        <w:footnoteReference w:customMarkFollows="1" w:id="672"/>
        <w:t xml:space="preserve">61</w:t>
      </w:r>
    </w:p>
    <w:p>
      <w:pPr>
        <w:pStyle w:val="CaseBody"/>
      </w:pPr>
      <w:r>
        <w:t xml:space="preserve">Based on my review of the mostly undisputed evidence at this juncture, I conclude that plaintiffs have not demonstrated a reasonable likelihood of success on the merits of their breach of the duty of loyalty claims.</w:t>
      </w:r>
    </w:p>
    <w:p>
      <w:pPr>
        <w:pStyle w:val="CaseBody"/>
      </w:pPr>
      <w:r>
        <w:t xml:space="preserve">3.</w:t>
      </w:r>
      <w:r>
        <w:t xml:space="preserve"> </w:t>
      </w:r>
      <w:r>
        <w:rPr>
          <w:iCs/>
          <w:i/>
        </w:rPr>
        <w:t xml:space="preserve">Are the defendants estopped from completing a WorldCom-Intermedia deal?</w:t>
      </w:r>
    </w:p>
    <w:p>
      <w:pPr>
        <w:pStyle w:val="CaseBody"/>
      </w:pPr>
      <w:r>
        <w:t xml:space="preserve">An additional matter I must address is an argument that the plaintiffs raise in their reply brief — that the defendants should be estopped from agreeing to a sale of Intermedia.</w:t>
      </w:r>
      <w:r>
        <w:rPr>
          <w:rStyle w:val="FootnoteReference"/>
        </w:rPr>
        <w:footnoteReference w:customMarkFollows="1" w:id="678"/>
        <w:t xml:space="preserve">62</w:t>
      </w:r>
      <w:r>
        <w:t xml:space="preserve"> </w:t>
      </w:r>
      <w:r>
        <w:t xml:space="preserve">The gist of the argument is that Intermedia promised Digex and its shareholders that any transaction Interme-dia pursued would necessarily involve the concomitant purchase of the minority interest in Digex.</w:t>
      </w:r>
    </w:p>
    <w:p>
      <w:pPr>
        <w:pStyle w:val="CaseBody"/>
      </w:pPr>
      <w:r>
        <w:t xml:space="preserve">This argument takes its genesis from Intermedia’s early expressions that it needed to complete some kind of deal to rectify adverse financial conditions. To that end, Intermedia issued a press release in July, 2000, stating that it had “retained Bear Sterns to</w:t>
      </w:r>
      <w:r>
        <w:t xml:space="preserve"> </w:t>
      </w:r>
      <w:r>
        <w:rPr>
          <w:iCs/>
          <w:i/>
        </w:rPr>
        <w:t xml:space="preserve">explore strategic altema-</w:t>
      </w:r>
      <w:r>
        <w:t xml:space="preserve"> </w:t>
      </w:r>
      <w:r>
        <w:rPr>
          <w:iCs/>
          <w:i/>
        </w:rPr>
        <w:t xml:space="preserve">fives</w:t>
      </w:r>
      <w:r>
        <w:t xml:space="preserve"> </w:t>
      </w:r>
      <w:r>
        <w:t xml:space="preserve">with regard to Digex,</w:t>
      </w:r>
      <w:r>
        <w:t xml:space="preserve"> </w:t>
      </w:r>
      <w:r>
        <w:rPr>
          <w:iCs/>
          <w:i/>
        </w:rPr>
        <w:t xml:space="preserve">including</w:t>
      </w:r>
      <w:r>
        <w:t xml:space="preserve"> </w:t>
      </w:r>
      <w:r>
        <w:t xml:space="preserve">the possible sale of Intermedia’s ownership position in Digex to another company.”</w:t>
      </w:r>
      <w:r>
        <w:rPr>
          <w:rStyle w:val="FootnoteReference"/>
        </w:rPr>
        <w:footnoteReference w:customMarkFollows="1" w:id="683"/>
        <w:t xml:space="preserve">63</w:t>
      </w:r>
      <w:r>
        <w:t xml:space="preserve"> </w:t>
      </w:r>
      <w:r>
        <w:t xml:space="preserve">The plaintiffs also point to the board minutes from a June 29, 2000, board meeting for the proposition that Intermedia promised that any deal it sought would include Digex’s minority shareholders. The passage they highlight states: “Responsive to a question from one of the directors, Mr. Sutcliffe indicated that it was Intermedia’s</w:t>
      </w:r>
      <w:r>
        <w:t xml:space="preserve"> </w:t>
      </w:r>
      <w:r>
        <w:rPr>
          <w:iCs/>
          <w:i/>
        </w:rPr>
        <w:t xml:space="preserve">present intention</w:t>
      </w:r>
      <w:r>
        <w:t xml:space="preserve"> </w:t>
      </w:r>
      <w:r>
        <w:t xml:space="preserve">to require from any proposed purchaser</w:t>
      </w:r>
      <w:r>
        <w:t xml:space="preserve"> </w:t>
      </w:r>
      <w:r>
        <w:rPr>
          <w:iCs/>
          <w:i/>
        </w:rPr>
        <w:t xml:space="preserve">of Intermedia’s equity interest in Digex</w:t>
      </w:r>
      <w:r>
        <w:t xml:space="preserve"> </w:t>
      </w:r>
      <w:r>
        <w:t xml:space="preserve">an undertaking to make a comparable offer available to the public stockholders of [Digex].”</w:t>
      </w:r>
      <w:r>
        <w:rPr>
          <w:rStyle w:val="FootnoteReference"/>
        </w:rPr>
        <w:footnoteReference w:customMarkFollows="1" w:id="688"/>
        <w:t xml:space="preserve">64</w:t>
      </w:r>
    </w:p>
    <w:p>
      <w:pPr>
        <w:pStyle w:val="CaseBody"/>
      </w:pPr>
      <w:r>
        <w:t xml:space="preserve">The plaintiffs’ arguments on this issue, and the supporting evidence they rely upon, demonstrates their fundamental misunderstanding of Intermedia’s intentions. This misunderstanding, perhaps, explains in part the catalyst for this litigation. The record evidence, however, does not fairly support such a broad reading of Intermedia’s intentions. Intermedia clearly expressed its intention that if it sold</w:t>
      </w:r>
      <w:r>
        <w:t xml:space="preserve"> </w:t>
      </w:r>
      <w:r>
        <w:rPr>
          <w:iCs/>
          <w:i/>
        </w:rPr>
        <w:t xml:space="preserve">its majority stake in Digex,</w:t>
      </w:r>
      <w:r>
        <w:t xml:space="preserve"> </w:t>
      </w:r>
      <w:r>
        <w:t xml:space="preserve">it would</w:t>
      </w:r>
      <w:r>
        <w:t xml:space="preserve"> </w:t>
      </w:r>
      <w:r>
        <w:rPr>
          <w:iCs/>
          <w:i/>
        </w:rPr>
        <w:t xml:space="preserve">seek</w:t>
      </w:r>
      <w:r>
        <w:t xml:space="preserve"> </w:t>
      </w:r>
      <w:r>
        <w:t xml:space="preserve">a comparable deal for the minority shareholders. This is the sum and substance of the evidence on this point at this preliminary stage of the proceeding, and it cannot be understood (at least not yet) as promising anything more or anything less. One certainly cannot read the evidence as legally obligating Intermedia to secure a transaction for the Digex minority shareholders when Intermedia sells itself. Moreover, based on the limited available evidence at this juncture, one could not reasonably conclude that Intermedia made a blanket promise that</w:t>
      </w:r>
      <w:r>
        <w:t xml:space="preserve"> </w:t>
      </w:r>
      <w:r>
        <w:rPr>
          <w:iCs/>
          <w:i/>
        </w:rPr>
        <w:t xml:space="preserve">any</w:t>
      </w:r>
      <w:r>
        <w:t xml:space="preserve"> </w:t>
      </w:r>
      <w:r>
        <w:t xml:space="preserve">deal it considered would necessarily involve a deal for the Digex minority. Given the state of the record, plaintiffs’ estoppel theory does not appear reasonably likely to succeed on the merits.</w:t>
      </w:r>
    </w:p>
    <w:p>
      <w:pPr>
        <w:pStyle w:val="CaseBody"/>
      </w:pPr>
      <w:r>
        <w:t xml:space="preserve">4.</w:t>
      </w:r>
      <w:r>
        <w:t xml:space="preserve"> </w:t>
      </w:r>
      <w:r>
        <w:rPr>
          <w:iCs/>
          <w:i/>
        </w:rPr>
        <w:t xml:space="preserve">Is this a Revlon case?</w:t>
      </w:r>
    </w:p>
    <w:p>
      <w:pPr>
        <w:pStyle w:val="CaseBody"/>
      </w:pPr>
      <w:r>
        <w:t xml:space="preserve">Although presented awkwardly and belatedly, I will address plaintiffs’ argument that “[t]he individual defendants breached their fiduciary duties under</w:t>
      </w:r>
      <w:r>
        <w:t xml:space="preserve"> </w:t>
      </w:r>
      <w:r>
        <w:rPr>
          <w:iCs/>
          <w:i/>
        </w:rPr>
        <w:t xml:space="preserve">Revlon.”</w:t>
      </w:r>
      <w:r>
        <w:t xml:space="preserve"> </w:t>
      </w:r>
      <w:r>
        <w:rPr>
          <w:rStyle w:val="FootnoteReference"/>
        </w:rPr>
        <w:footnoteReference w:customMarkFollows="1" w:id="693"/>
        <w:t xml:space="preserve">65</w:t>
      </w:r>
      <w:r>
        <w:t xml:space="preserve"> </w:t>
      </w:r>
      <w:r>
        <w:t xml:space="preserve">It is a well-known principle of Delaware corporate law that the decision in</w:t>
      </w:r>
      <w:r>
        <w:t xml:space="preserve"> </w:t>
      </w:r>
      <w:r>
        <w:rPr>
          <w:iCs/>
          <w:i/>
        </w:rPr>
        <w:t xml:space="preserve">Revlon v. MacAndrews &amp; Forbes Holdings, Inc.</w:t>
      </w:r>
      <w:r>
        <w:t xml:space="preserve"> </w:t>
      </w:r>
      <w:r>
        <w:t xml:space="preserve"> </w:t>
      </w:r>
      <w:r>
        <w:t xml:space="preserve"> </w:t>
      </w:r>
      <w:r>
        <w:t xml:space="preserve">requires a board to maximize the value to all shareholders when a sale of control of the business is inevitable.</w:t>
      </w:r>
      <w:r>
        <w:rPr>
          <w:rStyle w:val="FootnoteReference"/>
        </w:rPr>
        <w:footnoteReference w:customMarkFollows="1" w:id="703"/>
        <w:t xml:space="preserve">67</w:t>
      </w:r>
      <w:r>
        <w:t xml:space="preserve"> </w:t>
      </w:r>
      <w:r>
        <w:t xml:space="preserve">Plaintiffs insist that a sale of Digex was inevitable and that an auction was required to be held to that end, in accordance with</w:t>
      </w:r>
      <w:r>
        <w:t xml:space="preserve"> </w:t>
      </w:r>
      <w:r>
        <w:rPr>
          <w:iCs/>
          <w:i/>
        </w:rPr>
        <w:t xml:space="preserve">Revlon.</w:t>
      </w:r>
      <w:r>
        <w:t xml:space="preserve"> </w:t>
      </w:r>
      <w:r>
        <w:t xml:space="preserve">For several reasons, I also believe this version of the corporate opportunity claim enjoys little likelihood of succeeding on its merits.</w:t>
      </w:r>
    </w:p>
    <w:p>
      <w:pPr>
        <w:pStyle w:val="CaseBody"/>
      </w:pPr>
      <w:r>
        <w:t xml:space="preserve">First, plaintiffs’ so-called</w:t>
      </w:r>
      <w:r>
        <w:t xml:space="preserve"> </w:t>
      </w:r>
      <w:r>
        <w:rPr>
          <w:iCs/>
          <w:i/>
        </w:rPr>
        <w:t xml:space="preserve">Revlon</w:t>
      </w:r>
      <w:r>
        <w:t xml:space="preserve"> </w:t>
      </w:r>
      <w:r>
        <w:t xml:space="preserve">claim is not properly before the Court. Several plaintiffs asserted</w:t>
      </w:r>
      <w:r>
        <w:t xml:space="preserve"> </w:t>
      </w:r>
      <w:r>
        <w:rPr>
          <w:iCs/>
          <w:i/>
        </w:rPr>
        <w:t xml:space="preserve">Revlon</w:t>
      </w:r>
      <w:r>
        <w:t xml:space="preserve"> </w:t>
      </w:r>
      <w:r>
        <w:t xml:space="preserve">claims in their original complaints, but all of these claims were voluntarily dropped when the consolidated class and derivative complaint was filed. Thus, no properly alleged</w:t>
      </w:r>
      <w:r>
        <w:t xml:space="preserve"> </w:t>
      </w:r>
      <w:r>
        <w:rPr>
          <w:iCs/>
          <w:i/>
        </w:rPr>
        <w:t xml:space="preserve">Revlon</w:t>
      </w:r>
      <w:r>
        <w:t xml:space="preserve"> </w:t>
      </w:r>
      <w:r>
        <w:t xml:space="preserve">claim exists for this Court to consider.</w:t>
      </w:r>
    </w:p>
    <w:p>
      <w:pPr>
        <w:pStyle w:val="CaseBody"/>
      </w:pPr>
      <w:r>
        <w:t xml:space="preserve">Second, even if such a claim were properly alleged, it would have little likelihood of success.</w:t>
      </w:r>
      <w:r>
        <w:t xml:space="preserve"> </w:t>
      </w:r>
      <w:r>
        <w:rPr>
          <w:iCs/>
          <w:i/>
        </w:rPr>
        <w:t xml:space="preserve">Revlon</w:t>
      </w:r>
      <w:r>
        <w:t xml:space="preserve"> </w:t>
      </w:r>
      <w:r>
        <w:t xml:space="preserve">and its progeny address the policy concern that minority shareholders are particularly vulnerable when a proposed transaction will result in a change of control in their corporation.</w:t>
      </w:r>
      <w:r>
        <w:rPr>
          <w:rStyle w:val="FootnoteReference"/>
        </w:rPr>
        <w:footnoteReference w:customMarkFollows="1" w:id="708"/>
        <w:t xml:space="preserve">68</w:t>
      </w:r>
      <w:r>
        <w:t xml:space="preserve"> </w:t>
      </w:r>
      <w:r>
        <w:t xml:space="preserve">This concern by the courts stems from the concept that “[w]hen a majority of a corporation’s voting shares are acquired by a single person or entity, or by a cohesive group acting together, there is significant diminution in the voting power of those who thereby become minority stockholders.”</w:t>
      </w:r>
      <w:r>
        <w:t xml:space="preserve"> </w:t>
      </w:r>
      <w:r>
        <w:rPr>
          <w:rStyle w:val="FootnoteReference"/>
        </w:rPr>
        <w:footnoteReference w:customMarkFollows="1" w:id="713"/>
        <w:t xml:space="preserve">69</w:t>
      </w:r>
    </w:p>
    <w:p>
      <w:pPr>
        <w:pStyle w:val="CaseBody"/>
      </w:pPr>
      <w:r>
        <w:t xml:space="preserve">In this case, however, no “change of control” is proposed regarding</w:t>
      </w:r>
      <w:r>
        <w:t xml:space="preserve"> </w:t>
      </w:r>
      <w:r>
        <w:rPr>
          <w:iCs/>
          <w:i/>
        </w:rPr>
        <w:t xml:space="preserve">Digex.</w:t>
      </w:r>
      <w:r>
        <w:t xml:space="preserve"> </w:t>
      </w:r>
      <w:r>
        <w:t xml:space="preserve">The Digex minority existed before the proposed merger and it will not change under the proposed transaction. What will change is the ownership of Digex’s majority shareholder, Intermedia.</w:t>
      </w:r>
      <w:r>
        <w:rPr>
          <w:rStyle w:val="FootnoteReference"/>
        </w:rPr>
        <w:footnoteReference w:customMarkFollows="1" w:id="718"/>
        <w:t xml:space="preserve">70</w:t>
      </w:r>
    </w:p>
    <w:p>
      <w:pPr>
        <w:pStyle w:val="CaseBody"/>
      </w:pPr>
      <w:r>
        <w:t xml:space="preserve">Finally, it is important to recognize that any effort to sell Digex in a Revlon-style auction would appear to be futile.</w:t>
      </w:r>
      <w:r>
        <w:rPr>
          <w:rStyle w:val="FootnoteReference"/>
        </w:rPr>
        <w:footnoteReference w:customMarkFollows="1" w:id="723"/>
        <w:t xml:space="preserve">71</w:t>
      </w:r>
      <w:r>
        <w:t xml:space="preserve"> </w:t>
      </w:r>
      <w:r>
        <w:t xml:space="preserve">As Vice Chancellor Lamb observed in</w:t>
      </w:r>
      <w:r>
        <w:t xml:space="preserve"> </w:t>
      </w:r>
      <w:r>
        <w:rPr>
          <w:iCs/>
          <w:i/>
        </w:rPr>
        <w:t xml:space="preserve">Odyssey Partners, L.P. v. Fleming Co.,</w:t>
      </w:r>
      <w:r>
        <w:t xml:space="preserve"> </w:t>
      </w:r>
      <w:r>
        <w:t xml:space="preserve">Inc.:</w:t>
      </w:r>
      <w:r>
        <w:rPr>
          <w:rStyle w:val="FootnoteReference"/>
        </w:rPr>
        <w:footnoteReference w:customMarkFollows="1" w:id="728"/>
        <w:t xml:space="preserve">72</w:t>
      </w:r>
      <w:r>
        <w:t xml:space="preserve"> </w:t>
      </w:r>
      <w:r>
        <w:rPr>
          <w:iCs/>
          <w:i/>
        </w:rPr>
        <w:t xml:space="preserve">“Revlon</w:t>
      </w:r>
      <w:r>
        <w:t xml:space="preserve"> </w:t>
      </w:r>
      <w:r>
        <w:t xml:space="preserve">duties do not arise where the directors do not have the power to control the terms on which a sale of the company takes place.” Where, as here, a majority shareholder can block proposed transactions involving a sale of control, the courts will not require a board of directors to engage in a futile exercise, even though the board continues to owe requisite fiduciary duties to its shareholders.</w:t>
      </w:r>
      <w:r>
        <w:rPr>
          <w:rStyle w:val="FootnoteReference"/>
        </w:rPr>
        <w:footnoteReference w:customMarkFollows="1" w:id="733"/>
        <w:t xml:space="preserve">73</w:t>
      </w:r>
      <w:r>
        <w:t xml:space="preserve"> </w:t>
      </w:r>
      <w:r>
        <w:t xml:space="preserve">This claim thus has little chance of ultimate success.</w:t>
      </w:r>
    </w:p>
    <w:p>
      <w:pPr>
        <w:pStyle w:val="CaseBody"/>
      </w:pPr>
      <w:r>
        <w:t xml:space="preserve">To summarize, it does not appear that the plaintiffs’ direct and related claims— that the defendants usurped a corporate opportunity allegedly belonging to Digex— have a reasonable probability of success on the merits. First, Digex had no “interest or expectancy” in a WorldCom-Digex transaction that fairly belonged to it. Second, the evidence suggests that Digex was informed of WorldCom’s initial interest in evaluating a purchase of Digex. It does not appear that that matter was concealed from Digex by the defendants. In addition, Digex, through its representatives, was notified that WorldCom’s interest had switched to purchasing Intermedia. Third, it does not appear that the evidence would support a conclusion that the defendants made an enforceable “promise” that in any event the Digex minority shareholders’ interests would be purchased. Nor does the record indicate that the Interme-dia defendants made unequivocal statements that all of Digex would be sold. Finally, Digex had no power to compel its majority stockholder, Intermedia, to sell Digex in a Revlon-style auction.</w:t>
      </w:r>
    </w:p>
    <w:p>
      <w:pPr>
        <w:pStyle w:val="CaseBody"/>
      </w:pPr>
      <w:r>
        <w:t xml:space="preserve">Accordingly, I am not persuaded that plaintiffs have demonstrated a reasonable likelihood of success on the merits of the various claims they have made under the rubric of the corporate opportunity theory.</w:t>
      </w:r>
    </w:p>
    <w:p>
      <w:pPr>
        <w:pStyle w:val="CaseBody"/>
      </w:pPr>
      <w:r>
        <w:t xml:space="preserve">IV. SECTION 203 CLAIM</w:t>
      </w:r>
    </w:p>
    <w:p>
      <w:pPr>
        <w:pStyle w:val="CaseBody"/>
      </w:pPr>
      <w:r>
        <w:t xml:space="preserve">In their second claim, the plaintiffs argue that the interested Digex directors breached their fiduciary duties by causing Digex to improperly waive § 203 of the DGCL. Specifically, the plaintiffs assert that because the waiver was accomplished by the vote of the four Intermedia-affiliat-ed Digex directors, and against the vote and advice of the three independent Digex directors, the vote must be judged under the entire fairness standard. Plaintiffs contend that the defendants have failed to meet this standard.</w:t>
      </w:r>
    </w:p>
    <w:p>
      <w:pPr>
        <w:pStyle w:val="CaseBody"/>
      </w:pPr>
      <w:r>
        <w:t xml:space="preserve">I first turn to the operative statute. The applicable provisions of § 203 read as follows:</w:t>
      </w:r>
    </w:p>
    <w:p>
      <w:pPr>
        <w:pStyle w:val="BlockText"/>
      </w:pPr>
      <w:r>
        <w:t xml:space="preserve">(a) Notwithstanding any other provisions of this chapter, a corporation shall not engage in any business combination with any interested stockholder for a period of 3 years following the time that such stockholder became an interested stockholder, unless:</w:t>
      </w:r>
    </w:p>
    <w:p>
      <w:pPr>
        <w:pStyle w:val="BlockText"/>
      </w:pPr>
      <w:r>
        <w:t xml:space="preserve">(1) prior to such time the board of directors of the corporation approved either the business combination or the transaction which resulted in the stockholder becoming an interested stockholder, or</w:t>
      </w:r>
    </w:p>
    <w:p>
      <w:pPr>
        <w:pStyle w:val="BlockText"/>
      </w:pPr>
      <w:r>
        <w:t xml:space="preserve">(2) upon consummation of the transaction which resulted in the stockholder becoming an interested stockholder, the interested stockholder owned at least 85% of the voting stock of the corporation outstanding at the time the transaction commenced, excluding for purposes of determining the number of shares outstanding those shares owned (i) by persons who are directors and also officers and (ii) employee stock plans in which employee participants do not have the right to determine confidentially whether shares held subject to the plan will be tendered in a tender or exchange offer.</w:t>
      </w:r>
      <w:r>
        <w:rPr>
          <w:rStyle w:val="FootnoteReference"/>
        </w:rPr>
        <w:footnoteReference w:customMarkFollows="1" w:id="738"/>
        <w:t xml:space="preserve">74</w:t>
      </w:r>
    </w:p>
    <w:p>
      <w:pPr>
        <w:pStyle w:val="CaseBody"/>
      </w:pPr>
      <w:r>
        <w:t xml:space="preserve">As is clear on its face, once an entity becomes an “interested stockholder,” § 203, subject to certain exemptions, prohibits business combinations between a Delaware corporation and that shareholder for a period of three years.</w:t>
      </w:r>
      <w:r>
        <w:rPr>
          <w:rStyle w:val="FootnoteReference"/>
        </w:rPr>
        <w:footnoteReference w:customMarkFollows="1" w:id="743"/>
        <w:t xml:space="preserve">75</w:t>
      </w:r>
      <w:r>
        <w:t xml:space="preserve"> </w:t>
      </w:r>
      <w:r>
        <w:t xml:space="preserve">There is no dispute between the parties that World-Com will become an interested shareholder in Digex as a result of the merger and that WorldCom intends to enter into transactions with Digex where the prohibitions of § 203 would apply absent an exemption. As a result, although WorldCom believes that it would come within the statutory exemption provided by § 203(a)(2) for interested stockholders holding 85% or more of the “voting stock” of the corporation, WorldCom also sought the additional certainty that would come with a § 203(a)(1) waiver agreed to by the Digex board of directors. WorldCom was not content to rely merely on the 85% shareholder exemption because it recognized that the application of the § 203(a)(2) exemption in situations involving “super-voting rights” has not been definitively ruled upon by the Delaware courts. There is also no dispute that the Digex board voted to waive the protections afforded by § 203. Instead, the plaintiffs contend that the vote to waive § 208 amounted to a breach of fiduciary duty.</w:t>
      </w:r>
    </w:p>
    <w:p>
      <w:pPr>
        <w:pStyle w:val="CaseBody"/>
      </w:pPr>
      <w:r>
        <w:t xml:space="preserve">The defendants make three arguments that the § 203 waiver did not constitute a breach of fiduciary duty and therefore will not support preliminary injunctive relief. First, defendants contend that § 203 will not prohibit a future business combination between Digex and WorldCom because even if the waiver was invalid, WorldCom still is exempt from § 203 because it will possess over 85% of the Digex voting power. Second, the defendants assert that the plaintiffs are asking for an advisory opinion because no business combination has yet been presented to Digex and, therefore, this dispute is not ripe for adjudication. Third, the defendants argue that the § 203 waiver was, in any case, entirely fair to the Digex shareholders.</w:t>
      </w:r>
    </w:p>
    <w:p>
      <w:pPr>
        <w:pStyle w:val="CaseBody"/>
      </w:pPr>
      <w:r>
        <w:rPr>
          <w:iCs/>
          <w:i/>
        </w:rPr>
        <w:t xml:space="preserve">A. Does the 85% exemption apply to WorldCom?</w:t>
      </w:r>
    </w:p>
    <w:p>
      <w:pPr>
        <w:pStyle w:val="CaseBody"/>
      </w:pPr>
      <w:r>
        <w:t xml:space="preserve">The facts are undisputed by either party that upon the completion of the merger, WorldCom will possess well over 85% of the voting power of Digex but well under 85% of the number of outstanding voting shares of Digex.</w:t>
      </w:r>
      <w:r>
        <w:rPr>
          <w:rStyle w:val="FootnoteReference"/>
        </w:rPr>
        <w:footnoteReference w:customMarkFollows="1" w:id="748"/>
        <w:t xml:space="preserve">76</w:t>
      </w:r>
      <w:r>
        <w:t xml:space="preserve"> </w:t>
      </w:r>
      <w:r>
        <w:t xml:space="preserve">The three year waiting period imposed by § 203, the Delaware anti-takeover statute, does not apply where “upon consummation of the transaction which resulted in the stockholder becoming an interested stockholder, the interested stockholder owned at least</w:t>
      </w:r>
      <w:r>
        <w:t xml:space="preserve"> </w:t>
      </w:r>
      <w:r>
        <w:rPr>
          <w:iCs/>
          <w:i/>
        </w:rPr>
        <w:t xml:space="preserve">85% of the voting stock</w:t>
      </w:r>
      <w:r>
        <w:t xml:space="preserve"> </w:t>
      </w:r>
      <w:r>
        <w:t xml:space="preserve">of the corporation outstanding at the time that the transaction commenced” excluding certain shares for the purposes of determining the number of shares outstanding.</w:t>
      </w:r>
      <w:r>
        <w:rPr>
          <w:rStyle w:val="FootnoteReference"/>
        </w:rPr>
        <w:footnoteReference w:customMarkFollows="1" w:id="752"/>
        <w:t xml:space="preserve">77</w:t>
      </w:r>
      <w:r>
        <w:t xml:space="preserve"> </w:t>
      </w:r>
      <w:r>
        <w:t xml:space="preserve">The interpretation of the term “voting stock,” therefore, lays directly at the center of this dispute whether § 203 limitations would apply to WorldCom absent the waiver.</w:t>
      </w:r>
      <w:r>
        <w:rPr>
          <w:rStyle w:val="FootnoteReference"/>
        </w:rPr>
        <w:footnoteReference w:customMarkFollows="1" w:id="756"/>
        <w:t xml:space="preserve">78</w:t>
      </w:r>
      <w:r>
        <w:t xml:space="preserve"> </w:t>
      </w:r>
      <w:r>
        <w:t xml:space="preserve">Simply put, if “85% of the voting stock” refers to voting power, WorldCom would be exempt from § 203. If “85% of the voting stock” refers to the number of shares held in the corporation as a percentage of its outstanding number of shares, then World-Com would need to rely on the vote of the Digex board to waive its § 203 protections.</w:t>
      </w:r>
    </w:p>
    <w:p>
      <w:pPr>
        <w:pStyle w:val="CaseBody"/>
      </w:pPr>
      <w:r>
        <w:t xml:space="preserve">The primary support for the defendants’ reading of the term “voting stock” is found in § 212(a) of the DGCL. Section 212(a) states in relevant part:</w:t>
      </w:r>
    </w:p>
    <w:p>
      <w:pPr>
        <w:pStyle w:val="BlockText"/>
      </w:pPr>
      <w:r>
        <w:t xml:space="preserve">If the certificate of incorporation provides for more or less than 1 vote for any share, on any matter, every reference in this chapter to a majority or other proportion of stock shall refer to such majority or other proportion of the votes of such stock.</w:t>
      </w:r>
      <w:r>
        <w:rPr>
          <w:rStyle w:val="FootnoteReference"/>
        </w:rPr>
        <w:footnoteReference w:customMarkFollows="1" w:id="760"/>
        <w:t xml:space="preserve">79</w:t>
      </w:r>
    </w:p>
    <w:p>
      <w:pPr>
        <w:pStyle w:val="CaseBody"/>
      </w:pPr>
      <w:r>
        <w:t xml:space="preserve">Based on § 212(a), the defendants assert that ownership of “voting stock” under § 203 must be measured by the voting rights of that stock rather than the number of shares of that stock entitled to vote, where, as here, the certificate of incorporation provides for a class of stock with super-voting rights.</w:t>
      </w:r>
      <w:r>
        <w:rPr>
          <w:rStyle w:val="FootnoteReference"/>
        </w:rPr>
        <w:footnoteReference w:customMarkFollows="1" w:id="764"/>
        <w:t xml:space="preserve">80</w:t>
      </w:r>
    </w:p>
    <w:p>
      <w:pPr>
        <w:pStyle w:val="CaseBody"/>
      </w:pPr>
      <w:r>
        <w:t xml:space="preserve">There are problems, however, with this admittedly straightforward reasoning. First, § 203 includes a definition of the term in question, “voting stock.” Where a statute specifically defines an operative term in a definitional section, a court will be bound by that definition and shall not resort to another statute to interpret that term.</w:t>
      </w:r>
      <w:r>
        <w:rPr>
          <w:rStyle w:val="FootnoteReference"/>
        </w:rPr>
        <w:footnoteReference w:customMarkFollows="1" w:id="768"/>
        <w:t xml:space="preserve">81</w:t>
      </w:r>
      <w:r>
        <w:t xml:space="preserve"> </w:t>
      </w:r>
      <w:r>
        <w:t xml:space="preserve">Second, the interpretation presented by defendants is not at all clear upon analyzing the language and context in which the term “voting stock” is used in § 203(a)(2). Section 203(c) defines “voting stock” and limits that definition strictly to use of that term within § 203 in stating:</w:t>
      </w:r>
    </w:p>
    <w:p>
      <w:pPr>
        <w:pStyle w:val="BlockText"/>
      </w:pPr>
      <w:r>
        <w:t xml:space="preserve">As used in this section only, the term: ... (8) “Voting stock” means, with respect to any corporation, stock of any class or series entitled to vote generally in the election of directors and, with respect to any entity that is not a corporation, any equity interest entitled to vote generally in the election of the governing body of such entity.</w:t>
      </w:r>
      <w:r>
        <w:rPr>
          <w:rStyle w:val="FootnoteReference"/>
        </w:rPr>
        <w:footnoteReference w:customMarkFollows="1" w:id="772"/>
        <w:t xml:space="preserve">82</w:t>
      </w:r>
    </w:p>
    <w:p>
      <w:pPr>
        <w:pStyle w:val="CaseBody"/>
      </w:pPr>
      <w:r>
        <w:t xml:space="preserve">Under this definition, for purposes of determining whether a shareholder has acquired the 85% figure of § 203(a)(2), the Legislature effectively excluded any need for an interested shareholder to acquire outstanding non-voting shares or shares of stock that have a limited right to vote for the election of directors.</w:t>
      </w:r>
      <w:r>
        <w:rPr>
          <w:rStyle w:val="FootnoteReference"/>
        </w:rPr>
        <w:footnoteReference w:customMarkFollows="1" w:id="776"/>
        <w:t xml:space="preserve">83</w:t>
      </w:r>
      <w:r>
        <w:t xml:space="preserve"> </w:t>
      </w:r>
      <w:r>
        <w:t xml:space="preserve">Similarly, voting debt instruments are not included in the</w:t>
      </w:r>
      <w:r>
        <w:t xml:space="preserve"> </w:t>
      </w:r>
      <w:r>
        <w:rPr>
          <w:iCs/>
          <w:i/>
        </w:rPr>
        <w:t xml:space="preserve">85%</w:t>
      </w:r>
      <w:r>
        <w:t xml:space="preserve"> </w:t>
      </w:r>
      <w:r>
        <w:t xml:space="preserve">calculation.</w:t>
      </w:r>
      <w:r>
        <w:rPr>
          <w:rStyle w:val="FootnoteReference"/>
        </w:rPr>
        <w:footnoteReference w:customMarkFollows="1" w:id="780"/>
        <w:t xml:space="preserve">84</w:t>
      </w:r>
      <w:r>
        <w:t xml:space="preserve"> </w:t>
      </w:r>
      <w:r>
        <w:t xml:space="preserve">The Legislature did not signify that “voting shares” referred to the voting interest, not the equity interest, held by those shares.</w:t>
      </w:r>
    </w:p>
    <w:p>
      <w:pPr>
        <w:pStyle w:val="CaseBody"/>
      </w:pPr>
      <w:r>
        <w:t xml:space="preserve">The language of § 203(a)(2) itself can be interpreted to attest to the equity interest, not the voting power, interpretation of “voting shares.” The statute explicitly states that as part of the 85% of voting stock calculation, one must determine “the number of</w:t>
      </w:r>
      <w:r>
        <w:t xml:space="preserve"> </w:t>
      </w:r>
      <w:r>
        <w:rPr>
          <w:iCs/>
          <w:i/>
        </w:rPr>
        <w:t xml:space="preserve">shares</w:t>
      </w:r>
      <w:r>
        <w:t xml:space="preserve"> </w:t>
      </w:r>
      <w:r>
        <w:t xml:space="preserve">outstanding” excluding certain specified shares.</w:t>
      </w:r>
      <w:r>
        <w:rPr>
          <w:rStyle w:val="FootnoteReference"/>
        </w:rPr>
        <w:footnoteReference w:customMarkFollows="1" w:id="784"/>
        <w:t xml:space="preserve">85</w:t>
      </w:r>
      <w:r>
        <w:t xml:space="preserve"> </w:t>
      </w:r>
      <w:r>
        <w:t xml:space="preserve">This is significant. The statute does not contemplate the number of</w:t>
      </w:r>
      <w:r>
        <w:t xml:space="preserve"> </w:t>
      </w:r>
      <w:r>
        <w:rPr>
          <w:iCs/>
          <w:i/>
        </w:rPr>
        <w:t xml:space="preserve">votes</w:t>
      </w:r>
      <w:r>
        <w:t xml:space="preserve"> </w:t>
      </w:r>
      <w:r>
        <w:t xml:space="preserve">outstanding. In calculating whether an interested stockholder has reached the</w:t>
      </w:r>
      <w:r>
        <w:t xml:space="preserve"> </w:t>
      </w:r>
      <w:r>
        <w:rPr>
          <w:iCs/>
          <w:i/>
        </w:rPr>
        <w:t xml:space="preserve">85%</w:t>
      </w:r>
      <w:r>
        <w:t xml:space="preserve"> </w:t>
      </w:r>
      <w:r>
        <w:t xml:space="preserve">threshold, § 203(a)(2) directs the Court to divide a number representing the interest held by the interested shareholder by the number of shares outstanding. The number representing the interest of the interested shareholder must therefore also be expressed in terms of the number of shares, not votes, controlled if this calculation is to make any sense. If, instead, the statute intended for us to divide the number of votes held in shares owned by the interested shareholder by the outstanding number of votes (that is, to calculate the “voting power” of the interested shareholder), the statute would properly direct us to exclude certain shares for the purposes of calculating the outstanding number of</w:t>
      </w:r>
      <w:r>
        <w:t xml:space="preserve"> </w:t>
      </w:r>
      <w:r>
        <w:rPr>
          <w:iCs/>
          <w:i/>
        </w:rPr>
        <w:t xml:space="preserve">votes.</w:t>
      </w:r>
      <w:r>
        <w:t xml:space="preserve"> </w:t>
      </w:r>
      <w:r>
        <w:t xml:space="preserve">The statute therefore seems to place the emphasis in the term “voting stock” on the term “stock” and not the term “voting.”</w:t>
      </w:r>
    </w:p>
    <w:p>
      <w:pPr>
        <w:pStyle w:val="CaseBody"/>
      </w:pPr>
      <w:r>
        <w:t xml:space="preserve">Generally, where a statute is unambiguous, there is no reasonable doubt as to the meaning of the words used and the Court’s role is then limited to an application of the literal meaning of the words.</w:t>
      </w:r>
      <w:r>
        <w:rPr>
          <w:rStyle w:val="FootnoteReference"/>
        </w:rPr>
        <w:footnoteReference w:customMarkFollows="1" w:id="788"/>
        <w:t xml:space="preserve">86</w:t>
      </w:r>
      <w:r>
        <w:t xml:space="preserve"> </w:t>
      </w:r>
      <w:r>
        <w:t xml:space="preserve">Where, however, a statute is ambiguous and its meaning is not clear, the Court must rely upon its methods of statutory interpretation and construction to arrive at a meaning.</w:t>
      </w:r>
      <w:r>
        <w:rPr>
          <w:rStyle w:val="FootnoteReference"/>
        </w:rPr>
        <w:footnoteReference w:customMarkFollows="1" w:id="792"/>
        <w:t xml:space="preserve">87</w:t>
      </w:r>
      <w:r>
        <w:t xml:space="preserve"> </w:t>
      </w:r>
      <w:r>
        <w:t xml:space="preserve">If a statute is reasonably susceptible to different conclusions or interpretations, it is ambiguous.</w:t>
      </w:r>
      <w:r>
        <w:rPr>
          <w:rStyle w:val="FootnoteReference"/>
        </w:rPr>
        <w:footnoteReference w:customMarkFollows="1" w:id="796"/>
        <w:t xml:space="preserve">88</w:t>
      </w:r>
      <w:r>
        <w:t xml:space="preserve"> </w:t>
      </w:r>
      <w:r>
        <w:t xml:space="preserve">The fundamental rule in interpreting an ambiguous statute is to ascertain and give effect to the intent of the Legislature.</w:t>
      </w:r>
      <w:r>
        <w:rPr>
          <w:rStyle w:val="FootnoteReference"/>
        </w:rPr>
        <w:footnoteReference w:customMarkFollows="1" w:id="800"/>
        <w:t xml:space="preserve">89</w:t>
      </w:r>
    </w:p>
    <w:p>
      <w:pPr>
        <w:pStyle w:val="CaseBody"/>
      </w:pPr>
      <w:r>
        <w:t xml:space="preserve">The legislative history of § 203(a)(2), although ultimately unclear, strongly suggests that those contemplating the adoption of the statute believed they were talking about an economic equity percentage, not a voting power percentage. Section 203 received an unprecedented amount of scrutiny before its adoption.</w:t>
      </w:r>
      <w:r>
        <w:rPr>
          <w:rStyle w:val="FootnoteReference"/>
        </w:rPr>
        <w:footnoteReference w:customMarkFollows="1" w:id="804"/>
        <w:t xml:space="preserve">90</w:t>
      </w:r>
      <w:r>
        <w:t xml:space="preserve"> </w:t>
      </w:r>
      <w:r>
        <w:t xml:space="preserve">Beginning on November 19, 1987, the initial discussion draft of the proposed § 208 was distributed throughout the country and widely circulated</w:t>
      </w:r>
      <w:r>
        <w:t xml:space="preserve"> </w:t>
      </w:r>
      <w:r>
        <w:rPr>
          <w:iCs/>
          <w:i/>
        </w:rPr>
        <w:t xml:space="preserve">among</w:t>
      </w:r>
      <w:r>
        <w:t xml:space="preserve"> </w:t>
      </w:r>
      <w:r>
        <w:t xml:space="preserve">attorneys, academics, corporations, pension funds, federal officials, and others interested in developments in Delaware corporate law.</w:t>
      </w:r>
      <w:r>
        <w:rPr>
          <w:rStyle w:val="FootnoteReference"/>
        </w:rPr>
        <w:footnoteReference w:customMarkFollows="1" w:id="808"/>
        <w:t xml:space="preserve">91</w:t>
      </w:r>
      <w:r>
        <w:t xml:space="preserve"> </w:t>
      </w:r>
      <w:r>
        <w:t xml:space="preserve">In all, more than 150 comment letters were received from sources as varied as members of the Securities and Exchange Commission (“SEC”), the Federal Trade Commission, corporate law academic departments, corporate law practitioners, stockholders, as well as other individuals with vested interests in takeover activity.</w:t>
      </w:r>
      <w:r>
        <w:rPr>
          <w:rStyle w:val="FootnoteReference"/>
        </w:rPr>
        <w:footnoteReference w:customMarkFollows="1" w:id="812"/>
        <w:t xml:space="preserve">92</w:t>
      </w:r>
      <w:r>
        <w:t xml:space="preserve"> </w:t>
      </w:r>
      <w:r>
        <w:t xml:space="preserve">In a further attempt to broaden the scrutiny of § 203, the Delaware Bar Association opened its deliberations to the public and sought public comment. These discussions surrounding § 203 received wide national press coverage.</w:t>
      </w:r>
      <w:r>
        <w:rPr>
          <w:rStyle w:val="FootnoteReference"/>
        </w:rPr>
        <w:footnoteReference w:customMarkFollows="1" w:id="816"/>
        <w:t xml:space="preserve">93</w:t>
      </w:r>
      <w:r>
        <w:t xml:space="preserve"> </w:t>
      </w:r>
      <w:r>
        <w:t xml:space="preserve">Upon signing the bill putting § 203 into law, then-Governor Michael Castle stated that § 203 was “the product of the most intense debate that I can remember in 20 years in government.”</w:t>
      </w:r>
      <w:r>
        <w:rPr>
          <w:rStyle w:val="FootnoteReference"/>
        </w:rPr>
        <w:footnoteReference w:customMarkFollows="1" w:id="820"/>
        <w:t xml:space="preserve">94</w:t>
      </w:r>
    </w:p>
    <w:p>
      <w:pPr>
        <w:pStyle w:val="CaseBody"/>
      </w:pPr>
      <w:r>
        <w:t xml:space="preserve">There are several sources to consider in attempting to appraise the true legislative intent and purpose behind § 203.</w:t>
      </w:r>
      <w:r>
        <w:rPr>
          <w:rStyle w:val="FootnoteReference"/>
        </w:rPr>
        <w:footnoteReference w:customMarkFollows="1" w:id="824"/>
        <w:t xml:space="preserve">95</w:t>
      </w:r>
      <w:r>
        <w:t xml:space="preserve"> </w:t>
      </w:r>
      <w:r>
        <w:t xml:space="preserve">The Legislature itself included a basic summary of the intent of § 203 in the Synopsis to House Bill 396, which was eventually adopted as § 203:</w:t>
      </w:r>
    </w:p>
    <w:p>
      <w:pPr>
        <w:pStyle w:val="BlockText"/>
      </w:pPr>
      <w:r>
        <w:t xml:space="preserve">Section 203 is intended to strike a balance between the benefits of an unfettered market for corporate shares and the well documented and judicially recognized need to limit abusive takeover tactics.</w:t>
      </w:r>
      <w:r>
        <w:rPr>
          <w:rStyle w:val="FootnoteReference"/>
        </w:rPr>
        <w:footnoteReference w:customMarkFollows="1" w:id="828"/>
        <w:t xml:space="preserve">96</w:t>
      </w:r>
    </w:p>
    <w:p>
      <w:pPr>
        <w:pStyle w:val="CaseBody"/>
      </w:pPr>
      <w:r>
        <w:t xml:space="preserve">Among the comments and submissions considered by the Legislature before the adoption of § 203, two members of the Council of the Corporation Law Section of the Delaware Bar Association submitted a report to the Delaware General Assembly concerning the proposed § 203. The report lists six principal advantages of the statute. Among these advantages, the authors noted that:</w:t>
      </w:r>
    </w:p>
    <w:p>
      <w:pPr>
        <w:pStyle w:val="BlockText"/>
      </w:pPr>
      <w:r>
        <w:t xml:space="preserve">The statute creates a balance between offeror on one hand and shareholder body on the other. The offeror has the seven outs.</w:t>
      </w:r>
      <w:r>
        <w:t xml:space="preserve"> </w:t>
      </w:r>
      <w:r>
        <w:rPr>
          <w:iCs/>
          <w:i/>
        </w:rPr>
        <w:t xml:space="preserve">The shareholders can insist upon a price which is sufficiently good to take out 85% of their number.</w:t>
      </w:r>
      <w:r>
        <w:t xml:space="preserve"> </w:t>
      </w:r>
      <w:r>
        <w:t xml:space="preserve">The stockholders are given bargaining strength through their board of directors who will negotiate for them in a takeover situation. The only way that stockholders can act effectively as a group to negotiate with an offeror is through their board of directors elected by them. They cannot take effective action independently or even as a group.</w:t>
      </w:r>
      <w:r>
        <w:rPr>
          <w:rStyle w:val="FootnoteReference"/>
        </w:rPr>
        <w:footnoteReference w:customMarkFollows="1" w:id="832"/>
        <w:t xml:space="preserve">97</w:t>
      </w:r>
    </w:p>
    <w:p>
      <w:pPr>
        <w:pStyle w:val="CaseBody"/>
      </w:pPr>
      <w:r>
        <w:t xml:space="preserve">This language strongly suggests that the members of the Corporation Law Section of the Delaware State Bar Association interpreted “85% of the voting stock” to refer to the number of shares, not votes, owned by an interested shareholder. This language also emphasizes the crucial role directors must play in protecting the interests of shareholders during a possible change of control.</w:t>
      </w:r>
    </w:p>
    <w:p>
      <w:pPr>
        <w:pStyle w:val="CaseBody"/>
      </w:pPr>
      <w:r>
        <w:t xml:space="preserve">The intense debate over § 203 in part centered on § 203(a)(2). Specifically, the 85% shareholder exemption was one of the most disputed provisions in the entire statute and received a tremendous amount of scrutiny. Among the most vociferous opponents of the 85% shareholder exemption (originally set at 90%) was then-SEC Commissioner Joseph Grundfest. In a series of letters and testimony before the Delaware Legislature, Commissioner Grundfest objected to the 85% exemption because of the unreasonably onerous burden he believed this requirement would place on</w:t>
      </w:r>
      <w:r>
        <w:t xml:space="preserve"> </w:t>
      </w:r>
      <w:r>
        <w:rPr>
          <w:iCs/>
          <w:i/>
        </w:rPr>
        <w:t xml:space="preserve">tender</w:t>
      </w:r>
      <w:r>
        <w:t xml:space="preserve"> </w:t>
      </w:r>
      <w:r>
        <w:t xml:space="preserve">offers.</w:t>
      </w:r>
      <w:r>
        <w:rPr>
          <w:rStyle w:val="FootnoteReference"/>
        </w:rPr>
        <w:footnoteReference w:customMarkFollows="1" w:id="836"/>
        <w:t xml:space="preserve">98</w:t>
      </w:r>
      <w:r>
        <w:t xml:space="preserve"> </w:t>
      </w:r>
      <w:r>
        <w:t xml:space="preserve">According to Grundfest, after an investigation by the SEC’s Office of the Chief Economist, he was “aware of no case in which a tender offer obtained more than 90% of the target’s shares despite management opposition.”</w:t>
      </w:r>
      <w:r>
        <w:rPr>
          <w:rStyle w:val="FootnoteReference"/>
        </w:rPr>
        <w:footnoteReference w:customMarkFollows="1" w:id="840"/>
        <w:t xml:space="preserve">99</w:t>
      </w:r>
      <w:r>
        <w:t xml:space="preserve"> </w:t>
      </w:r>
      <w:r>
        <w:t xml:space="preserve">In a subsequent letter, Grundfest argued to lower the then 90% threshold based on a table consisting of data showing “the number of shares tendered as a percentage of the shares not already owned by the bidder.”</w:t>
      </w:r>
      <w:r>
        <w:rPr>
          <w:rStyle w:val="FootnoteReference"/>
        </w:rPr>
        <w:footnoteReference w:customMarkFollows="1" w:id="844"/>
        <w:t xml:space="preserve">100</w:t>
      </w:r>
      <w:r>
        <w:t xml:space="preserve"> </w:t>
      </w:r>
      <w:r>
        <w:t xml:space="preserve">On the other side in this debate, Martin Lipton of the firm Wachtell, Lipton, Rosen &amp; Katz, argued that even the 90% exemption level would create a “barn-door size exception” to § 203 and that it would “be a rare situation where a tender offer will not attract 85% of the target’s non-management stock.”</w:t>
      </w:r>
      <w:r>
        <w:rPr>
          <w:rStyle w:val="FootnoteReference"/>
        </w:rPr>
        <w:footnoteReference w:customMarkFollows="1" w:id="848"/>
        <w:t xml:space="preserve">101</w:t>
      </w:r>
      <w:r>
        <w:t xml:space="preserve"> </w:t>
      </w:r>
      <w:r>
        <w:t xml:space="preserve">Apparently in response to the concerns expressed by Grundfest and others, the recommended bill ultimately lowered the percentage exemption from 90% to 85%.</w:t>
      </w:r>
      <w:r>
        <w:rPr>
          <w:rStyle w:val="FootnoteReference"/>
        </w:rPr>
        <w:footnoteReference w:customMarkFollows="1" w:id="852"/>
        <w:t xml:space="preserve">102</w:t>
      </w:r>
    </w:p>
    <w:p>
      <w:pPr>
        <w:pStyle w:val="CaseBody"/>
      </w:pPr>
      <w:r>
        <w:t xml:space="preserve">Goldman and McNally’s report to the Delaware General Assembly directly took on the issue of the proper percentage exemption:</w:t>
      </w:r>
    </w:p>
    <w:p>
      <w:pPr>
        <w:pStyle w:val="BlockText"/>
      </w:pPr>
      <w:r>
        <w:t xml:space="preserve">Question: Should the one transaction acquisition percentage be lowered from 85% to 80%?</w:t>
      </w:r>
    </w:p>
    <w:p>
      <w:pPr>
        <w:pStyle w:val="BlockText"/>
      </w:pPr>
      <w:r>
        <w:t xml:space="preserve">Answer: No. The statute is designed to defend against the inadequate offer for all stock.</w:t>
      </w:r>
      <w:r>
        <w:t xml:space="preserve"> </w:t>
      </w:r>
      <w:r>
        <w:rPr>
          <w:iCs/>
          <w:i/>
        </w:rPr>
        <w:t xml:space="preserve">If an offer is a good one, it should obtain 85% of the stock of the company.</w:t>
      </w:r>
      <w:r>
        <w:t xml:space="preserve"> </w:t>
      </w:r>
      <w:r>
        <w:t xml:space="preserve">This is particularly so where the proposed statute eliminates from the 85% figure stock owned by director-officers and by employee stock plans. The Corporate Law Council and section of the Bar Association believe that 80% is too easy to attain. Moreover, other states having this type of law have no percentage out.</w:t>
      </w:r>
    </w:p>
    <w:p>
      <w:pPr>
        <w:pStyle w:val="BlockText"/>
      </w:pPr>
      <w:r>
        <w:t xml:space="preserve">The votes required by Section 203 have been carefully calculated to provide the least intrusive measure possible that will still allow the statute to limit the abusive takeover tactics to which it is directed. Thus, Section 203 permits an acquiror to go forward with a business combination within three years</w:t>
      </w:r>
      <w:r>
        <w:t xml:space="preserve"> </w:t>
      </w:r>
      <w:r>
        <w:rPr>
          <w:iCs/>
          <w:i/>
        </w:rPr>
        <w:t xml:space="preserve">if he acquires 85% of the stock</w:t>
      </w:r>
      <w:r>
        <w:t xml:space="preserve"> </w:t>
      </w:r>
      <w:r>
        <w:t xml:space="preserve">because that should require him to make his best offer as the way to maximize his chances of success. Anything less than his best offer will jeopardize that success.</w:t>
      </w:r>
    </w:p>
    <w:p>
      <w:pPr>
        <w:pStyle w:val="BlockText"/>
      </w:pPr>
      <w:r>
        <w:t xml:space="preserve">The 85% threshold is set at that level because there is evidence that less-than-full-price, coercive tender offers are frequently able to obtain stock tenders of 80% or better. Thus, unless Section 203 set a greater than 80% threshold requirement, it would not preclude the very evil it seeks to prevent.</w:t>
      </w:r>
    </w:p>
    <w:p>
      <w:pPr>
        <w:pStyle w:val="BlockText"/>
      </w:pPr>
      <w:r>
        <w:t xml:space="preserve">... [As an example of how the statute shall work,] if insiders hold no stock, the acquiror must obtain 85% of the stock outstanding, but if insiders held 10% of the stock, then the acquiror must obtain only 75.5% of the total stock outstanding (i.e., 85% of the 90% not held by insiders).</w:t>
      </w:r>
      <w:r>
        <w:rPr>
          <w:rStyle w:val="FootnoteReference"/>
        </w:rPr>
        <w:footnoteReference w:customMarkFollows="1" w:id="856"/>
        <w:t xml:space="preserve">103</w:t>
      </w:r>
    </w:p>
    <w:p>
      <w:pPr>
        <w:pStyle w:val="CaseBody"/>
      </w:pPr>
      <w:r>
        <w:t xml:space="preserve">The comments and interpretations of those involved in the public debate of § 203(a)(2)’s 85% exemption imply that these individuals believed that the 85% figure referred to the percentage of equity that agreed to tender, not of the voting power held by those shares. After an extensive search, the Court has been unable to find any reference to the concept of “voting power” in any of the numerous comments and statements that were put forward during the debate. Rather, both sides only argued on what should be the appropriate percentage of post-tender ownership required to exempt an interested shareholder from the § 203 prohibitions.</w:t>
      </w:r>
    </w:p>
    <w:p>
      <w:pPr>
        <w:pStyle w:val="CaseBody"/>
      </w:pPr>
      <w:r>
        <w:t xml:space="preserve">As this debate over the 85% threshold exception evidences, § 203(a)(2) was crafted with the procedures of tender offers in mind. The primary policy motivation behind this statute was to deter potential acquirers from using two-tiered highly leveraged tender offers.</w:t>
      </w:r>
      <w:r>
        <w:rPr>
          <w:rStyle w:val="FootnoteReference"/>
        </w:rPr>
        <w:footnoteReference w:customMarkFollows="1" w:id="860"/>
        <w:t xml:space="preserve">104</w:t>
      </w:r>
      <w:r>
        <w:t xml:space="preserve"> </w:t>
      </w:r>
      <w:r>
        <w:t xml:space="preserve">The main argument in support of any percentage exemption was that if an offer successfully attracted such a significant percentage of the voting shareholders of a corporation, then the tender offer must be a good one.</w:t>
      </w:r>
      <w:r>
        <w:rPr>
          <w:rStyle w:val="FootnoteReference"/>
        </w:rPr>
        <w:footnoteReference w:customMarkFollows="1" w:id="864"/>
        <w:t xml:space="preserve">105</w:t>
      </w:r>
      <w:r>
        <w:t xml:space="preserve"> </w:t>
      </w:r>
      <w:r>
        <w:t xml:space="preserve">In conducting a tender offer, the number of votes a given share possesses at the time of the decision to tender does not figure into the percentage of shares that have decided to tender although the number of votes may determine an acquirer’s ability to elect directors and direct corporate policy.</w:t>
      </w:r>
      <w:r>
        <w:rPr>
          <w:rStyle w:val="FootnoteReference"/>
        </w:rPr>
        <w:footnoteReference w:customMarkFollows="1" w:id="868"/>
        <w:t xml:space="preserve">106</w:t>
      </w:r>
      <w:r>
        <w:t xml:space="preserve"> </w:t>
      </w:r>
      <w:r>
        <w:t xml:space="preserve">The primary policy reason to provide the 85% exemption was to allow tender offerers an exemption from § 203 if their offer was sufficiently attractive to such a high percentage of the outstanding shares of the corporation. The situation presented here defeats that intent.</w:t>
      </w:r>
    </w:p>
    <w:p>
      <w:pPr>
        <w:pStyle w:val="CaseBody"/>
      </w:pPr>
      <w:r>
        <w:t xml:space="preserve">To demonstrate this point, let us assume that a certain hypothetical shareholder acquires 40% of the equity of a firm through a tender offer aimed specifically at certain super-voting shares of that company. Through these super-voting shares, this equity stake translates into voting power of 90%. Thereby, that shareholder has in no way made an offer that is attractive to a majority of the firm’s outstanding equity, but defendants would have this Court believe that this shareholder has satisfied the exemption. This is exactly the type of behavior the statute is meant to apply to and prevent.</w:t>
      </w:r>
    </w:p>
    <w:p>
      <w:pPr>
        <w:pStyle w:val="CaseBody"/>
      </w:pPr>
      <w:r>
        <w:t xml:space="preserve">Now, push this hypothetical closer to the facts at hand. Let us instead assume that a hostile takeover bid is able to entice 52% of the outstanding shares of a company to accept an initial tender offer. Further, assume that that 52% equity stake represents 94% of the voting power of the target corporation. Would the hostile acquirer be exempt under § 203(a)(2) and therefore able to effect a second step squeeze-out using whatever financing the acquirer chooses? The Court suspects that the answer to that question would be a resounding no. Similarly, WorldCom’s desire to circumvent the prohibitions of § 203 with its 94% voting power while its equity interest in Digex is well below the 85% threshold most likely contradicts the policy concerns that animated the statute.</w:t>
      </w:r>
    </w:p>
    <w:p>
      <w:pPr>
        <w:pStyle w:val="BlockText"/>
      </w:pPr>
      <w:r>
        <w:t xml:space="preserve">(f) Finally, it does not prevent an interested stockholder from entering into a business combination if he obtains the consent of two-thirds of the disinterested owners of voting stock.</w:t>
      </w:r>
    </w:p>
    <w:p>
      <w:pPr>
        <w:pStyle w:val="CaseBody"/>
      </w:pPr>
      <w:r>
        <w:t xml:space="preserve">Defendants counter this policy argument with one of their own. Essentially, the defendants argue that this could not possibly be the proper policy intention behind the 85% exemption because, following that same logic, an “interested shareholder” would only reach the 15% threshold if that shareholder owns 15% of the outstanding economic equity of a corporation and not merely 15% of the outstanding voting power of the corporation. The defendants assert that this would have major implications for shareholders everywhere and it is not at all what the Legislature intended. Using the example of a hypothetical shareholder who owns 10% of the equity of a corporation yet controls 51% of its voting power, the defendants argue that, to be consistent, that shareholder could not be considered an interested shareholder subject to § 203 even though she could enter into transactions and determine corporate policy. The defendants posit that interpreting “voting shares” in terms of equity, and not voting, would therefore render the statute powerless towards this hypothetical shareholder. But I think the defendants choose to ignore the implications of their hypothetical to the present case— where this difference between the equity interest and the voting interest of World-Com in Digex similarly presents the potential for abuse. Defendants assert that their hypothetical shareholder would circumvent, and effectively “gut,” the statute. In a very practical sense, the position taken by the defendants in this case may have already accomplished that task.</w:t>
      </w:r>
    </w:p>
    <w:p>
      <w:pPr>
        <w:pStyle w:val="CaseBody"/>
      </w:pPr>
      <w:r>
        <w:t xml:space="preserve">For present purposes though, let us continue to assume that the legislative record and policy motivations on the issue of the 85% exemption actually provide no definitive answers in instances involving super-voting stock. The Court notes, however, that although the legislative record arguably may not speak directly to the subtleties of the “voting stock” issue, the possibilities presented by super-voting stock were clearly within the purview of the debate surrounding the drafting and adoption of § 203. Before the adoption of § 203, a number of Delaware corporations had begun to experiment with defensive techniques based on “scaled voting” in which voting power decreases in proportion to increased equity ownership</w:t>
      </w:r>
      <w:r>
        <w:rPr>
          <w:rStyle w:val="FootnoteReference"/>
        </w:rPr>
        <w:footnoteReference w:customMarkFollows="1" w:id="872"/>
        <w:t xml:space="preserve">107</w:t>
      </w:r>
      <w:r>
        <w:t xml:space="preserve"> </w:t>
      </w:r>
      <w:r>
        <w:t xml:space="preserve">and “tenure voting” which keys voting power to the duration of ownership.</w:t>
      </w:r>
      <w:r>
        <w:rPr>
          <w:rStyle w:val="FootnoteReference"/>
        </w:rPr>
        <w:footnoteReference w:customMarkFollows="1" w:id="876"/>
        <w:t xml:space="preserve">108</w:t>
      </w:r>
    </w:p>
    <w:p>
      <w:pPr>
        <w:pStyle w:val="CaseBody"/>
      </w:pPr>
      <w:r>
        <w:t xml:space="preserve">Moreover, super-voting rights are certainly not a new invention under Delaware law and were well known and understood by those drafting and commenting on § 203 before its adoption. The DGCL has long recognized that, with respect to corporations authorized to issue stock, voting rights of that stock may be varied by the certificate of incorporation as between classes and as between series within a class. Thus, the right to vote certain shares may be denied entirely, may be limited to certain matters, more or less than one vote may be given to the shares of any class or series, and the separate vote of a class or series may be required as a prerequisite to specified corporate actions.</w:t>
      </w:r>
      <w:r>
        <w:rPr>
          <w:rStyle w:val="FootnoteReference"/>
        </w:rPr>
        <w:footnoteReference w:customMarkFollows="1" w:id="880"/>
        <w:t xml:space="preserve">109</w:t>
      </w:r>
      <w:r>
        <w:t xml:space="preserve"> </w:t>
      </w:r>
      <w:r>
        <w:t xml:space="preserve">All of these voting right possibilities existed at the time of the adoption of § 203. Nevertheless, it appears that the Legislature left open many potential questions regarding the application of § 203. In the words of one set of commentators soon after the enactment of the statute, “[w]hile § 203 should not directly affect such voting arrangements, certain aspects of those arrangements may present interesting interpretive challenges under § 203 .... Does § 212(a) apply to § 203?”</w:t>
      </w:r>
      <w:r>
        <w:rPr>
          <w:rStyle w:val="FootnoteReference"/>
        </w:rPr>
        <w:footnoteReference w:customMarkFollows="1" w:id="884"/>
        <w:t xml:space="preserve">110</w:t>
      </w:r>
      <w:r>
        <w:t xml:space="preserve"> </w:t>
      </w:r>
      <w:r>
        <w:t xml:space="preserve">The authors, like the Delaware Legislature, apparently left that unanswered question for the Delaware courts to decide.</w:t>
      </w:r>
    </w:p>
    <w:p>
      <w:pPr>
        <w:pStyle w:val="CaseBody"/>
      </w:pPr>
      <w:r>
        <w:t xml:space="preserve">Irrespective of the final answer to the question of what is the proper interpretation of “85% of the voting shares” in § 203(a)(2), there is no dispute that this is a close question of Delaware law where strong arguments have been put forward by both sides. In particular, the strength of the § 212(a) related definition seems to be belied by the policy rationales and the legislative intent behind the statute. Moreover, the language of the statute itself simply offers no definitive answers.</w:t>
      </w:r>
    </w:p>
    <w:p>
      <w:pPr>
        <w:pStyle w:val="CaseBody"/>
      </w:pPr>
      <w:r>
        <w:t xml:space="preserve">Further, as will be discussed in more depth in Part IV, B, immediately below, the Court has not been convinced that this defense is legally ripe. Rather, a decision on WorldCom’s qualification for the 85% shareholder exemption would be purely advisory at this point in time.</w:t>
      </w:r>
    </w:p>
    <w:p>
      <w:pPr>
        <w:pStyle w:val="CaseBody"/>
      </w:pPr>
      <w:r>
        <w:t xml:space="preserve">Given the difficulty and complexity of this legal issue, there is no question that the § 203 waiver had redundant value to WorldCom. WorldCom, as well as In-termedia and Digex, were all advised by able legal counsel regarding the applicability of § 203 and these attorneys disagreed on the proper interpretation. Perhaps more importantly, based on this disagreement, as well as the recognition of each lawyer in this matter who advised any of the parties on the applicability of § 203, there was no way to definitively know at the time of the waiver vote whether WorldCom actually would qualify for the 85% exception. This alone is enough for this Court to conclude that the waiver had value and granted some degree of bargaining leverage to Digex. The directors of the Digex board, regardless of the ultimate applicability of § 203 to WorldCom after the completion of this merger, had a fiduciary obligation that fully applied to them during the vote to grant WorldCom a waiver of the prohibitions contained in § 203.</w:t>
      </w:r>
    </w:p>
    <w:p>
      <w:pPr>
        <w:pStyle w:val="CaseBody"/>
      </w:pPr>
      <w:r>
        <w:rPr>
          <w:iCs/>
          <w:i/>
        </w:rPr>
        <w:t xml:space="preserve">B. Is This Claim Ripe for Adjudication?</w:t>
      </w:r>
    </w:p>
    <w:p>
      <w:pPr>
        <w:pStyle w:val="CaseBody"/>
      </w:pPr>
      <w:r>
        <w:t xml:space="preserve">The defendants next argue that until WorldCom actually proposes a “business combination” within three years after the closing of the merger, there will be no threatened injury and no claim to analyze. This argument mischaracterizes the plaintiffs claim. In reference to the discussion immediately above, the defendants make a strong case that, in fact, their initial defense regarding the</w:t>
      </w:r>
      <w:r>
        <w:t xml:space="preserve"> </w:t>
      </w:r>
      <w:r>
        <w:rPr>
          <w:iCs/>
          <w:i/>
        </w:rPr>
        <w:t xml:space="preserve">applicability</w:t>
      </w:r>
      <w:r>
        <w:t xml:space="preserve"> </w:t>
      </w:r>
      <w:r>
        <w:t xml:space="preserve">of § 203 is not ripe for analysis at this point in time. That is, even if the Court could come to a conclusion regarding WorldCom’s qualification for the 85% exemption, a decision on that argument presented by the defendants would be purely advisory. The plaintiffs do not challenge any conduct by WorldCom that is governed by § 203 though. Rather, the plaintiffs have asserted a fiduciary duty claim, not a statutory claim, against the interested directors of Digex. For the reasons stated below, I find that this claim is ripe and not hypothetical.</w:t>
      </w:r>
    </w:p>
    <w:p>
      <w:pPr>
        <w:pStyle w:val="CaseBody"/>
      </w:pPr>
      <w:r>
        <w:t xml:space="preserve">In determining whether a given claim is indeed ripe,</w:t>
      </w:r>
    </w:p>
    <w:p>
      <w:pPr>
        <w:pStyle w:val="BlockText"/>
      </w:pPr>
      <w:r>
        <w:t xml:space="preserve">a practical evaluation of the legitimate interest of the plaintiff in a prompt resolution of the question presented and the hardship that further delay may threaten is a major concern. Other necessary considerations include the prospect of future factual development that might affect the determination to be made; the need to conserve scarce resources; and a due respect for identifiable policies of the law touching upon the subject matter of the dispute.</w:t>
      </w:r>
      <w:r>
        <w:rPr>
          <w:rStyle w:val="FootnoteReference"/>
        </w:rPr>
        <w:footnoteReference w:customMarkFollows="1" w:id="888"/>
        <w:t xml:space="preserve">111</w:t>
      </w:r>
    </w:p>
    <w:p>
      <w:pPr>
        <w:pStyle w:val="CaseBody"/>
      </w:pPr>
      <w:r>
        <w:t xml:space="preserve">Here, the plaintiffs’ claim concerns the vote to waive the protections offered by § 203, a vote that has already occurred. All the facts relevant to this vote occurred in the past and left the full factual record in its wake.</w:t>
      </w:r>
    </w:p>
    <w:p>
      <w:pPr>
        <w:pStyle w:val="CaseBody"/>
      </w:pPr>
      <w:r>
        <w:t xml:space="preserve">Regardless of how § 203 will apply to WorldCom in the future, there is no dispute that the waiver was a negotiated term, referenced in the merger agreement itself, and had value to all parties concerned in the transaction. A resolution of this matter is of the utmost importance to all of the parties as the merger moves toward receiving the approval of Interme-dia’s shareholders and the closing presumably soon thereafter. The Court also notes that corporate fiduciaries must be given clear notice of what conduct is and is not allowed.</w:t>
      </w:r>
      <w:r>
        <w:rPr>
          <w:rStyle w:val="FootnoteReference"/>
        </w:rPr>
        <w:footnoteReference w:customMarkFollows="1" w:id="892"/>
        <w:t xml:space="preserve">112</w:t>
      </w:r>
      <w:r>
        <w:t xml:space="preserve"> </w:t>
      </w:r>
      <w:r>
        <w:t xml:space="preserve">This claim is clearly ripe and not simply hypothetical.</w:t>
      </w:r>
    </w:p>
    <w:p>
      <w:pPr>
        <w:pStyle w:val="CaseBody"/>
      </w:pPr>
      <w:r>
        <w:rPr>
          <w:iCs/>
          <w:i/>
        </w:rPr>
        <w:t xml:space="preserve">C. Was the § 203 Waiver Entirely Fair to the Digex Shareholders?</w:t>
      </w:r>
    </w:p>
    <w:p>
      <w:pPr>
        <w:pStyle w:val="CaseBody"/>
      </w:pPr>
      <w:r>
        <w:t xml:space="preserve">On its face, § 203 does not bar interested directors from participating in a vote to approve a transaction in which an entity becomes an interested stockholder.</w:t>
      </w:r>
      <w:r>
        <w:rPr>
          <w:rStyle w:val="FootnoteReference"/>
        </w:rPr>
        <w:footnoteReference w:customMarkFollows="1" w:id="896"/>
        <w:t xml:space="preserve">113</w:t>
      </w:r>
      <w:r>
        <w:t xml:space="preserve"> </w:t>
      </w:r>
      <w:r>
        <w:t xml:space="preserve">Nevertheless, directors must at all times abide by their fiduciary duties owed to the shareholders of the corporation.</w:t>
      </w:r>
      <w:r>
        <w:rPr>
          <w:rStyle w:val="FootnoteReference"/>
        </w:rPr>
        <w:footnoteReference w:customMarkFollows="1" w:id="900"/>
        <w:t xml:space="preserve">114</w:t>
      </w:r>
      <w:r>
        <w:t xml:space="preserve"> </w:t>
      </w:r>
      <w:r>
        <w:t xml:space="preserve">When the directors of a Delaware corporation appear on both sides of a transaction, the presumption in favor of the business judgment rule is rebutted and the directors are required to demonstrate their “utmost good faith and the most scrupulous inherent fairness of the bargain.”</w:t>
      </w:r>
      <w:r>
        <w:rPr>
          <w:rStyle w:val="FootnoteReference"/>
        </w:rPr>
        <w:footnoteReference w:customMarkFollows="1" w:id="904"/>
        <w:t xml:space="preserve">115</w:t>
      </w:r>
    </w:p>
    <w:p>
      <w:pPr>
        <w:pStyle w:val="CaseBody"/>
      </w:pPr>
      <w:r>
        <w:t xml:space="preserve">Where a director holds dual directorships in the parent-subsidiary context, there is no dilution of this obligation to demonstrate the entire fairness of specific board actions.</w:t>
      </w:r>
      <w:r>
        <w:rPr>
          <w:rStyle w:val="FootnoteReference"/>
        </w:rPr>
        <w:footnoteReference w:customMarkFollows="1" w:id="908"/>
        <w:t xml:space="preserve">116</w:t>
      </w:r>
      <w:r>
        <w:t xml:space="preserve"> </w:t>
      </w:r>
      <w:r>
        <w:t xml:space="preserve">Thus,</w:t>
      </w:r>
    </w:p>
    <w:p>
      <w:pPr>
        <w:pStyle w:val="BlockText"/>
      </w:pPr>
      <w:r>
        <w:t xml:space="preserve">... individuals who act in a dual capacity as directors of two corporations, one of whom is parent and the other subsidiary, owe the same duty of good management to both corporations, and in the absence of an independent negotiating structure, or the directors’ total abstention from any participation in the matter, this duty is to be exercised in light of what is best for both companies.</w:t>
      </w:r>
      <w:r>
        <w:rPr>
          <w:rStyle w:val="FootnoteReference"/>
        </w:rPr>
        <w:footnoteReference w:customMarkFollows="1" w:id="912"/>
        <w:t xml:space="preserve">117</w:t>
      </w:r>
    </w:p>
    <w:p>
      <w:pPr>
        <w:pStyle w:val="CaseBody"/>
      </w:pPr>
      <w:r>
        <w:t xml:space="preserve">Here, the § 203 waiver decision must be analyzed under the rubric of entire fairness as all four votes to waive the protections were made by directors who not only sat on both the boards of Intermedia and Digex, but also possessed substantial direct, personal financial interests in the proposed transaction.</w:t>
      </w:r>
      <w:r>
        <w:rPr>
          <w:rStyle w:val="FootnoteReference"/>
        </w:rPr>
        <w:footnoteReference w:customMarkFollows="1" w:id="916"/>
        <w:t xml:space="preserve">118</w:t>
      </w:r>
      <w:r>
        <w:t xml:space="preserve"> </w:t>
      </w:r>
      <w:r>
        <w:t xml:space="preserve">The waiver by the Digex board therefore demands careful scrutiny, as the defendants bear the burden of establishing entire fairness.</w:t>
      </w:r>
      <w:r>
        <w:rPr>
          <w:rStyle w:val="FootnoteReference"/>
        </w:rPr>
        <w:footnoteReference w:customMarkFollows="1" w:id="920"/>
        <w:t xml:space="preserve">119</w:t>
      </w:r>
    </w:p>
    <w:p>
      <w:pPr>
        <w:pStyle w:val="CaseBody"/>
      </w:pPr>
      <w:r>
        <w:t xml:space="preserve">As often summarized in our caselaw, the concept of entire fairness has two basic components, fair dealing and fair price.</w:t>
      </w:r>
      <w:r>
        <w:rPr>
          <w:rStyle w:val="FootnoteReference"/>
        </w:rPr>
        <w:footnoteReference w:customMarkFollows="1" w:id="924"/>
        <w:t xml:space="preserve">120</w:t>
      </w:r>
      <w:r>
        <w:t xml:space="preserve"> </w:t>
      </w:r>
      <w:r>
        <w:t xml:space="preserve">Fair dealing concerns how the board action was initiated, structured, negotiated, and timed. Fair dealing asks whether all of the directors were kept fully informed not only at the moment in time of the vote, but also during the relevant events leading up to the vote while negotiations were presumably occurring. Fair dealing also asks how, and for what reasons, the approvals of the various directors themselves were obtained.</w:t>
      </w:r>
      <w:r>
        <w:rPr>
          <w:rStyle w:val="FootnoteReference"/>
        </w:rPr>
        <w:footnoteReference w:customMarkFollows="1" w:id="928"/>
        <w:t xml:space="preserve">121</w:t>
      </w:r>
      <w:r>
        <w:t xml:space="preserve"> </w:t>
      </w:r>
      <w:r>
        <w:t xml:space="preserve">Fair price relates to the economic and financial considerations of the proposed decision, including any relevant factors that affect the intrinsic or inherent value of a company’s stock.</w:t>
      </w:r>
      <w:r>
        <w:rPr>
          <w:rStyle w:val="FootnoteReference"/>
        </w:rPr>
        <w:footnoteReference w:customMarkFollows="1" w:id="931"/>
        <w:t xml:space="preserve">122</w:t>
      </w:r>
      <w:r>
        <w:t xml:space="preserve"> </w:t>
      </w:r>
      <w:r>
        <w:t xml:space="preserve">The entire fairness test is not simply a bifurcated analysis of these two components, fair dealing and fair price.</w:t>
      </w:r>
      <w:r>
        <w:rPr>
          <w:rStyle w:val="FootnoteReference"/>
        </w:rPr>
        <w:footnoteReference w:customMarkFollows="1" w:id="980"/>
        <w:t xml:space="preserve">123</w:t>
      </w:r>
      <w:r>
        <w:t xml:space="preserve"> </w:t>
      </w:r>
      <w:r>
        <w:t xml:space="preserve">The Court shall examine these two aspects as well as any other relevant considerations in analyzing the entire fairness of the waiver as a whole.</w:t>
      </w:r>
    </w:p>
    <w:p>
      <w:pPr>
        <w:pStyle w:val="CaseBody"/>
      </w:pPr>
      <w:r>
        <w:t xml:space="preserve">1.</w:t>
      </w:r>
      <w:r>
        <w:t xml:space="preserve"> </w:t>
      </w:r>
      <w:r>
        <w:rPr>
          <w:iCs/>
          <w:i/>
        </w:rPr>
        <w:t xml:space="preserve">Fair Dealing</w:t>
      </w:r>
    </w:p>
    <w:p>
      <w:pPr>
        <w:pStyle w:val="CaseBody"/>
      </w:pPr>
      <w:r>
        <w:t xml:space="preserve">In attempting to satisfy their burden, the defendants point to several factors to illustrate that the process leading up to the § 203 waiver vote was characterized by fair dealing. The defendants contend that there was complete candor between the interested directors and the independent Digex directors. The defendants point out that the Special Committee, along with its own lawyers and bankers, had participated in the Exodus and Global Crossing negotiations, had been immediately briefed on all developments in the Intermedia-World-Com negotiations, and had been given access to WorldCom prior to the Digex board meeting through phone calls with Ebbers and Grothe. The defendants additionally claim that every member of the Digex board, including the independent directors, “had all the information in In-termedia’s possession regarding each proposed transaction.”</w:t>
      </w:r>
      <w:r>
        <w:rPr>
          <w:rStyle w:val="FootnoteReference"/>
        </w:rPr>
        <w:footnoteReference w:customMarkFollows="1" w:id="982"/>
        <w:t xml:space="preserve">124</w:t>
      </w:r>
    </w:p>
    <w:p>
      <w:pPr>
        <w:pStyle w:val="CaseBody"/>
      </w:pPr>
      <w:r>
        <w:t xml:space="preserve">As a starting point, the Court will briefly describe in chronological order the events in question from the perspective of the independent Digex directors. At midday August 30, Digex seemed headed into a three-way merger with Global Crossing and Intermedia. At 11:00 p.m. on August 30, Ruberg called each of the Special Committee members to inform them that WorldCom had offered $120 a share for Digex. At this point, Global Crossing was continuing to work towards a September 1 signing in its deal with Intermedia and Digex. In either case, Digex stood in an enviable position. Perhaps more importantly though, considering how things turned out, there was no reason to discuss the applicability of § 203 at this point in time with respect to either transaction.</w:t>
      </w:r>
      <w:r>
        <w:rPr>
          <w:rStyle w:val="FootnoteReference"/>
        </w:rPr>
        <w:footnoteReference w:customMarkFollows="1" w:id="984"/>
        <w:t xml:space="preserve">125</w:t>
      </w:r>
    </w:p>
    <w:p>
      <w:pPr>
        <w:pStyle w:val="CaseBody"/>
      </w:pPr>
      <w:r>
        <w:t xml:space="preserve">At around 7:00 p.m. on August 31, the Special Committee was informed that (i) Intermedia, not Digex, would be sold to WorldCom, and (ii) the Global Crossing transaction was effectively dead as that company would not raise its bid in competition with WorldCom and that Intermedia preferred the WorldCom transaction. The independent directors immediately suspected manipulation of the WorldCom offer by Intermedia and began to search for ways to drive the-deal back to including a bid for some or all of Digex’s outstanding public shares. Overnight, the independent directors were informed of negotiations between WorldCom and Intermedia over the waiver of § 203.</w:t>
      </w:r>
    </w:p>
    <w:p>
      <w:pPr>
        <w:pStyle w:val="CaseBody"/>
      </w:pPr>
      <w:r>
        <w:t xml:space="preserve">On the morning of September 1, the independent directors at last were allowed direct contact with WorldCom, their prospective controlling shareholder who had requested'the § 203 waiver. These phone calls occurred, however, not only after the price and structure of the WorldCom-In-termedia deal had been agreed upon, but also</w:t>
      </w:r>
      <w:r>
        <w:t xml:space="preserve"> </w:t>
      </w:r>
      <w:r>
        <w:rPr>
          <w:iCs/>
          <w:i/>
        </w:rPr>
        <w:t xml:space="preserve">after</w:t>
      </w:r>
      <w:r>
        <w:t xml:space="preserve"> </w:t>
      </w:r>
      <w:r>
        <w:t xml:space="preserve">the terms of the § 203 waiver had been settled between the interested directors and WorldCom during the preceding night. Further symbolizing the extent of the control that the interested directors maintained over all negotiations with WorldCom concerning the § 203 waiver issue, these phone calls respectively between Ebbers of WorldCom and Jalkut and Reich of Digex and then Grothe of WorldCom and Shull and Adams of Digex came only</w:t>
      </w:r>
      <w:r>
        <w:t xml:space="preserve"> </w:t>
      </w:r>
      <w:r>
        <w:rPr>
          <w:iCs/>
          <w:i/>
        </w:rPr>
        <w:t xml:space="preserve">after</w:t>
      </w:r>
      <w:r>
        <w:t xml:space="preserve"> </w:t>
      </w:r>
      <w:r>
        <w:t xml:space="preserve">Clark, Digex’s legal counsel, requested them. Also on the morning of September 1, the independent directors received both the advice of legal counsel on the possible applicability of § 203 and the opinion of their financial advisors regarding the benefits of each prospective deal. In the very short time they had before being called into the Intermedia board meeting to hold the Digex board meeting, the independent directors considered their options.</w:t>
      </w:r>
    </w:p>
    <w:p>
      <w:pPr>
        <w:pStyle w:val="CaseBody"/>
      </w:pPr>
      <w:r>
        <w:t xml:space="preserve">At the Digex board meeting, the Special Committee’s legal counsel informed the entire board of his opinion that the interested directors should not participate in the § 203 waiver vote. This advice was rebutted by counsel for the interested directors, and ultimately ignored. Later, without any debate whatsoever on the merits of the waiver or the applicability of the statute, the full Digex board voted to grant the waiver by a divided vote of four interested directors for and three independent directors against. In total, there simply was no meaningful participation by any of the independent Digex directors in the negotiations leading to the § 203 waiver, the terms of that waiver, or the vote itself.</w:t>
      </w:r>
    </w:p>
    <w:p>
      <w:pPr>
        <w:pStyle w:val="CaseBody"/>
      </w:pPr>
      <w:r>
        <w:t xml:space="preserve">Several other conclusions immediately emerge from the facts of this matter when meshed together with the defendants contentions and justifications. First, regardless of whether the Special Committee actually had all the information possessed by Intermedia in its negotiations with World-Com over the § 203 issue, the four interested directors controlled the flow of all information from WorldCom to the independent Digex directors during the hectic negotiating period from the evening of August 30 to the morning of September 1.</w:t>
      </w:r>
    </w:p>
    <w:p>
      <w:pPr>
        <w:pStyle w:val="CaseBody"/>
      </w:pPr>
      <w:r>
        <w:t xml:space="preserve">Second, given that WorldCom first sought the waiver of § 203 during the negotiations that took place solely between WorldCom and Intermedia during the night of August 31-September 1 and that the vote at the Digex board meeting occurred at most roughly twelve hours later, all of the Digex directors learned about WorldCom’s demand for the § 203 waiver only hours before the vote granting that waiver. To make matters worse, because the interested directors were also directors of Intermedia, they could not even devote the little time they had before the board vote to considering their options as Digex directors and negotiating solely in the interests of Digex. Rather, they had to spend much, if not most, of their time considering and negotiating the terms of the merger from the perspective of In-termedia, the actual participant in the deal with WorldCom.</w:t>
      </w:r>
    </w:p>
    <w:p>
      <w:pPr>
        <w:pStyle w:val="CaseBody"/>
      </w:pPr>
      <w:r>
        <w:t xml:space="preserve">Third, in regards to the waiver of § 203, there is almost no evidence of any direct negotiations between any of the parties over this provision in the deal. From the little that seems to have occurred, these negotiations took place during the night of August 31-September 1 between the interested directors, Sutcliffe, and the World-Com representatives. The waiver appears to have been agreed to, in part, in exchange for an amendment to the Digex certificate of incorporation that would require the approval of independent directors of any material transaction between WorldCom and Digex after the merger.. The record is silent as to exploration by the interested parties of any other options available to Digex. That is, as it appears that WorldCom insisted on the waiver, did any of the interested directors attempt to withhold this request in order to see what WorldCom might offer to Digex in return? Or, did the directors request concessions in addition to the certificate amendment that might benefit Digex or Intermedia? Or, as the plaintiffs assert, did the interested directors simply agree to this condition in the interests of getting the deal between Intermedia and WorldCom done and only subsequently add the provision to the merger agreement concerning the certificate amendment to create the appearance of consideration for the § 203 waiver? These facts remain unclear. It is crystal clear though that the independent directors, at the time of the negotiation over the § 203 waiver, had absolutely no role whatsoever.</w:t>
      </w:r>
    </w:p>
    <w:p>
      <w:pPr>
        <w:pStyle w:val="CaseBody"/>
      </w:pPr>
      <w:r>
        <w:t xml:space="preserve">This lack of any involvement by the Special Committee is particularly remarkable because Intermedia continues to assert that the Special Committee was created by Digex,</w:t>
      </w:r>
      <w:r>
        <w:t xml:space="preserve"> </w:t>
      </w:r>
      <w:r>
        <w:rPr>
          <w:iCs/>
          <w:i/>
        </w:rPr>
        <w:t xml:space="preserve">specifically by the interested directors,</w:t>
      </w:r>
      <w:r>
        <w:t xml:space="preserve"> </w:t>
      </w:r>
      <w:r>
        <w:t xml:space="preserve">“to evaluate the fairness to the Digex public shareholders of any transaction which involved the sale of [Interme-dia’s] Digex stock and to participate in any such transaction.”</w:t>
      </w:r>
      <w:r>
        <w:rPr>
          <w:rStyle w:val="FootnoteReference"/>
        </w:rPr>
        <w:footnoteReference w:customMarkFollows="1" w:id="986"/>
        <w:t xml:space="preserve">126</w:t>
      </w:r>
      <w:r>
        <w:t xml:space="preserve"> </w:t>
      </w:r>
      <w:r>
        <w:t xml:space="preserve">As the discussion of the corporate opportunity claim above describes, the Special Committee had no legal authority to directly block Interme-dia’s decision to sell its shares in Digex. The § 203 waiver negotiation, however, is exactly where the Special Committee should have been most relevant in this whole process. But this is precisely the point at which the Special Committee is missing in action — not through any failure of its own, but as a result of the control by the conflicted directors over the process.</w:t>
      </w:r>
      <w:r>
        <w:t xml:space="preserve"> </w:t>
      </w:r>
      <w:r>
        <w:rPr>
          <w:iCs/>
          <w:i/>
        </w:rPr>
        <w:t xml:space="preserve">Weinberger’s,</w:t>
      </w:r>
      <w:r>
        <w:t xml:space="preserve"> </w:t>
      </w:r>
      <w:r>
        <w:t xml:space="preserve">suggestion of either an “independent negotiating structure” or “total abstention” is not to be taken lightly.</w:t>
      </w:r>
      <w:r>
        <w:rPr>
          <w:rStyle w:val="FootnoteReference"/>
        </w:rPr>
        <w:footnoteReference w:customMarkFollows="1" w:id="988"/>
        <w:t xml:space="preserve">127</w:t>
      </w:r>
      <w:r>
        <w:t xml:space="preserve"> </w:t>
      </w:r>
      <w:r>
        <w:t xml:space="preserve">The mere involvement in, or even control over, the waiver negotiations by the interested directors does not, by itself, end this inquiry into the entire fairness of the decision to grant the waiver. But there is a strong role under Delaware law for meaningful independent director committees.</w:t>
      </w:r>
      <w:r>
        <w:rPr>
          <w:rStyle w:val="FootnoteReference"/>
        </w:rPr>
        <w:footnoteReference w:customMarkFollows="1" w:id="990"/>
        <w:t xml:space="preserve">128</w:t>
      </w:r>
      <w:r>
        <w:t xml:space="preserve"> </w:t>
      </w:r>
      <w:r>
        <w:t xml:space="preserve">Although this Special Committee may have been created with precisely this role in mind, it certainly was not permitted to act in keeping with this role.</w:t>
      </w:r>
    </w:p>
    <w:p>
      <w:pPr>
        <w:pStyle w:val="CaseBody"/>
      </w:pPr>
      <w:r>
        <w:t xml:space="preserve">The defendants also argue that the vote itself was the result of fair dealing. The interested directors recognized that the time frame within which the Digex directors needed to make a decision on the § 203 waiver was quite short. They claim that this deadline was dictated by the deadline placed by Global Crossing on its proposal. This assertion of a compressed timetable is a key component in the defendants’ argument that the negotiations simply did not allow for a more thorough analysis of the issues at hand, including the § 203 waiver. At the base of this contention, defendants maintain that the WorldCom deal had to be signed by the end of the day on September 1 because Global Crossing had imposed a deadline on its proposed deal of 5:00 p.m., September 1. I remain somewhat perplexed, however, as to how the Global Crossing deadline could have any affect from the perspective of a Digex director once it appeared that Intermedia preferred to do a deal with WorldCom.</w:t>
      </w:r>
    </w:p>
    <w:p>
      <w:pPr>
        <w:pStyle w:val="CaseBody"/>
      </w:pPr>
      <w:r>
        <w:t xml:space="preserve">The defendants actually state that, at the time of the § 203 waiver vote, each Digex director knew that:</w:t>
      </w:r>
    </w:p>
    <w:p>
      <w:pPr>
        <w:pStyle w:val="BlockText"/>
      </w:pPr>
      <w:r>
        <w:t xml:space="preserve">(1) Intermedia could not, and would not, approve a sale to Exodus ... (2) the WorldCom offer was more beneficial to Intermedia than the Global Crossing proposal, and therefore Intermedia would not approve the latter; (3) Global Crossing had declined to make a further bid against WorldCom and had placed a 5:00 p.m. deadline on its existing offer; and, (4) WorldCom had expressed its intention to keep Digex public and refused all requests that it tender for the Digex public shares.</w:t>
      </w:r>
      <w:r>
        <w:rPr>
          <w:rStyle w:val="FootnoteReference"/>
        </w:rPr>
        <w:footnoteReference w:customMarkFollows="1" w:id="992"/>
        <w:t xml:space="preserve">129</w:t>
      </w:r>
    </w:p>
    <w:p>
      <w:pPr>
        <w:pStyle w:val="CaseBody"/>
      </w:pPr>
      <w:r>
        <w:t xml:space="preserve">Since Intermedia would not allow a sale to either Exodus or Global Crossing given the offer made by WorldCom, the 5:00 p.m. Global Crossing deadline should have been of little or no consequence in comparison to the decision to waive the anti-takeover protections afforded by § 203 and any efforts to use its leverage to explore whether WorldCom would consider a partial or full tender offer for the outstanding Digex shares. Clearly, Interme-dia wanted to complete a deal with World-Com as soon as possible. As the facts illustrate, Intermedia placed time pressure on WorldCom throughout the negotiations, not the other way around, due to the presence of Global Crossing’s offer. I see no reason why such time pressure was placed on Digex to agree to the waiver.</w:t>
      </w:r>
    </w:p>
    <w:p>
      <w:pPr>
        <w:pStyle w:val="CaseBody"/>
      </w:pPr>
      <w:r>
        <w:t xml:space="preserve">By the time of the Digex meeting when the vote to waive § 203 was undertaken, the Digex board’s role had been vastly simplified over the preceding two days. On August 30, the Digex board was confronted with the sale of the corporation and all the attendant analysis that goes along with that process. On September 1, however, the only issue of any consequence before the Digex board was the rather discrete issue of whether to waive the protections afforded by § 203. Independent director Jalkut proposed that a decision on the WorldCom transaction be delayed three days to allow CSFB time to solicit best and final offers from Exodus, Global Crossing, and WorldCom. That proposal was defeated by a vote of four to three. The Digex board then discussed the § 203 waiver, but the discussion was limited to who should be allowed to vote on the waiver, nothing more. Except for the disagreement of counsel on this participation issue, described above, there was absolutely</w:t>
      </w:r>
      <w:r>
        <w:t xml:space="preserve"> </w:t>
      </w:r>
      <w:r>
        <w:rPr>
          <w:iCs/>
          <w:i/>
        </w:rPr>
        <w:t xml:space="preserve">no discussion whatsoever</w:t>
      </w:r>
      <w:r>
        <w:t xml:space="preserve"> </w:t>
      </w:r>
      <w:r>
        <w:t xml:space="preserve">of the effect, purpose, or applicability of § 203 to World-Com. The vote proceeded (four to three) and the waiver was granted.</w:t>
      </w:r>
    </w:p>
    <w:p>
      <w:pPr>
        <w:pStyle w:val="CaseBody"/>
      </w:pPr>
      <w:r>
        <w:t xml:space="preserve">The defendants suggest that the independent directors had decided before the meeting to vote against the waiver and therefore any discussion on the merits of the waiver would have been pointless. All I can say is I certainly hope that the interested directors thought through and decided their votes before the Digex board meeting. Based on the record of what was discussed at the meeting, or rather the complete lack thereof, if any of the directors based their vote on anything that occurred at the board meeting, I doubt that the waiver vote could even pass the most deferential business judgment review.</w:t>
      </w:r>
      <w:r>
        <w:rPr>
          <w:rStyle w:val="FootnoteReference"/>
        </w:rPr>
        <w:footnoteReference w:customMarkFollows="1" w:id="994"/>
        <w:t xml:space="preserve">130</w:t>
      </w:r>
      <w:r>
        <w:t xml:space="preserve"> </w:t>
      </w:r>
      <w:r>
        <w:t xml:space="preserve">Clearly, every individual in that room had come to a conclusion concerning their vote based on reasons wholly apart from anything said during the meeting. Further, considering that the four interested directors carried the vote and were faced with a clear conflict of interest, the effect of which the two present legal counsel had just discussed and disagreed over, it is very difficult to understand why the directors themselves did not engage in</w:t>
      </w:r>
      <w:r>
        <w:t xml:space="preserve"> </w:t>
      </w:r>
      <w:r>
        <w:rPr>
          <w:iCs/>
          <w:i/>
        </w:rPr>
        <w:t xml:space="preserve">any</w:t>
      </w:r>
      <w:r>
        <w:t xml:space="preserve"> </w:t>
      </w:r>
      <w:r>
        <w:t xml:space="preserve">substantive discussion of the waiver during the Digex board meeting given their particular circumstances.</w:t>
      </w:r>
    </w:p>
    <w:p>
      <w:pPr>
        <w:pStyle w:val="CaseBody"/>
      </w:pPr>
      <w:r>
        <w:t xml:space="preserve">In sum, as to whether the waiver can bo described as the result of fair dealing, the independent directors, even if we assume that they were kept fully up to date of all material information regarding the merger negotiations, were kept powerless to affect the waiver decision in any meaningful manner. The interested directors not only participated in the negotiations, they controlled them. They also denied an independent negotiating structure involving the independent directors from participating in the WorldCom negotiations over the § 203 waiver. The powerlessness of the independent directors extended to their ability to vote down the proposal to waive § 203’s applicability to WorldCom. Further, there appears to have been little substantive discussion or negotiation of the waiver by the interested directors with WorldCom and no discussion of the waiver with the independent directors. All of these factors are framed by the intense time pressure placed on Digex by its corporate parent to get the WorldCom deal done as quickly as possible regardless of any consideration of the applicability or effect of the § 203 waiver on Digex after the merger, or the bargaining leverage that the Digex board might have at that moment against not only WorldCom, but Intermedia as well. I therefore conclude that it is not reasonably likely that defendants will be able to satisfy the fair dealing prong of the entire fairness analysis.</w:t>
      </w:r>
    </w:p>
    <w:p>
      <w:pPr>
        <w:pStyle w:val="CaseBody"/>
      </w:pPr>
      <w:r>
        <w:t xml:space="preserve">2.</w:t>
      </w:r>
      <w:r>
        <w:t xml:space="preserve"> </w:t>
      </w:r>
      <w:r>
        <w:rPr>
          <w:iCs/>
          <w:i/>
        </w:rPr>
        <w:t xml:space="preserve">Fair Price</w:t>
      </w:r>
    </w:p>
    <w:p>
      <w:pPr>
        <w:pStyle w:val="CaseBody"/>
      </w:pPr>
      <w:r>
        <w:t xml:space="preserve">Defendants assert that the “price” of the waiver was fair. They point out that as a result of the WorldCom-Intermedia merger, Digex (i) would gain WorldCom’s commitment to fully finance Digex’s business plan and its contemplated capital expansion even before the closing; (ii) was freed of Intermedia’s oppressive debt covenant restrictions; and (iii) would receive the benefit of WorldCom’s strong financing capacity, sales force, data centers, and strong internet presence. Moreover, as noted above, WorldCom agreed to an amendment of Digex’s certificate of incorporation whereby any future material transaction between WorldCom and Digex must be approved by independent Digex directors. The defendants further contend that at the time of the vote, each Digex director knew that there were certain constraints on Digex’s ability to negotiate freely with any of its potential suitors, including WorldCom, because of Interme-dia’s desire to do a deal with WorldCom and WorldCom’s refusal to negotiate any further over Digex.</w:t>
      </w:r>
    </w:p>
    <w:p>
      <w:pPr>
        <w:pStyle w:val="CaseBody"/>
      </w:pPr>
      <w:r>
        <w:t xml:space="preserve">Each interested director has offered individual reasons why each of them felt justified in his vote to waive the protections afforded by § 203. Campbell speaks at length in his deposition of his belief that the WorldCom-Intermedia merger would be good for the Digex minority shareholders.</w:t>
      </w:r>
      <w:r>
        <w:rPr>
          <w:rStyle w:val="FootnoteReference"/>
        </w:rPr>
        <w:footnoteReference w:customMarkFollows="1" w:id="996"/>
        <w:t xml:space="preserve">131</w:t>
      </w:r>
      <w:r>
        <w:t xml:space="preserve"> </w:t>
      </w:r>
      <w:r>
        <w:t xml:space="preserve">He also explained that he voted for the merger because, “we had an opportunity before us ... which was, in my opinion, very good for all parties and that we ought to take it before [letting] this thing go any further and deteriorate so that all parties would be in some way further harmed.”</w:t>
      </w:r>
      <w:r>
        <w:rPr>
          <w:rStyle w:val="FootnoteReference"/>
        </w:rPr>
        <w:footnoteReference w:customMarkFollows="1" w:id="998"/>
        <w:t xml:space="preserve">132</w:t>
      </w:r>
      <w:r>
        <w:t xml:space="preserve"> </w:t>
      </w:r>
      <w:r>
        <w:t xml:space="preserve">In response to a question asking what Digex received in return for the waiver of § 203, Campbell responded that, “what they received was a new partner with all of the advantages thereof. They received the opportunity to amalgamate their assets in a reasonable period of time to create more shareholder value. And they did that within the constraint that was very similar to the § 203 constraint, where the disinterested shareholders of any future World-Com/Digex amalgamation would need to opine that it was fair in all respects.”</w:t>
      </w:r>
      <w:r>
        <w:rPr>
          <w:rStyle w:val="FootnoteReference"/>
        </w:rPr>
        <w:footnoteReference w:customMarkFollows="1" w:id="1000"/>
        <w:t xml:space="preserve">133</w:t>
      </w:r>
    </w:p>
    <w:p>
      <w:pPr>
        <w:pStyle w:val="CaseBody"/>
      </w:pPr>
      <w:r>
        <w:t xml:space="preserve">In explaining why he voted in favor of the waiver, Ruberg stated, “if the board of Intermedia was going to accept the World-Com deal, looking at that as a Digex board member, I wanted to grant the maximum business flexibility to the acquiring parent to make Digex as successful as possible.”</w:t>
      </w:r>
      <w:r>
        <w:t xml:space="preserve"> </w:t>
      </w:r>
      <w:r>
        <w:rPr>
          <w:rStyle w:val="FootnoteReference"/>
        </w:rPr>
        <w:footnoteReference w:customMarkFollows="1" w:id="1002"/>
        <w:t xml:space="preserve">134</w:t>
      </w:r>
      <w:r>
        <w:t xml:space="preserve"> </w:t>
      </w:r>
      <w:r>
        <w:t xml:space="preserve">Ruberg also states that he did not discuss these thought processes with anyone and, though he did not know all of the legal ramifications of § 203, he knew that “it’s a hell of a lot easier to take something and get a yes or no from independent board members than it is to get a yes or no from two-thirds of the minority stockholders.”</w:t>
      </w:r>
      <w:r>
        <w:t xml:space="preserve"> </w:t>
      </w:r>
      <w:r>
        <w:rPr>
          <w:rStyle w:val="FootnoteReference"/>
        </w:rPr>
        <w:footnoteReference w:customMarkFollows="1" w:id="1004"/>
        <w:t xml:space="preserve">135</w:t>
      </w:r>
    </w:p>
    <w:p>
      <w:pPr>
        <w:pStyle w:val="CaseBody"/>
      </w:pPr>
      <w:r>
        <w:t xml:space="preserve">Baker states that he was “very comfortable” with the WorldCom transaction “from the standpoint of a Digex director.”</w:t>
      </w:r>
      <w:r>
        <w:rPr>
          <w:rStyle w:val="FootnoteReference"/>
        </w:rPr>
        <w:footnoteReference w:customMarkFollows="1" w:id="1006"/>
        <w:t xml:space="preserve">136</w:t>
      </w:r>
      <w:r>
        <w:t xml:space="preserve"> </w:t>
      </w:r>
      <w:r>
        <w:t xml:space="preserve">In his deposition, Baker discusses the benefits to Digex of the proposed merger. This discussion, similar to the comments made by Campbell in his deposition, focuses on the benefit Digex will receive from having such a financially strong parent in WorldCom.</w:t>
      </w:r>
      <w:r>
        <w:rPr>
          <w:rStyle w:val="FootnoteReference"/>
        </w:rPr>
        <w:footnoteReference w:customMarkFollows="1" w:id="1008"/>
        <w:t xml:space="preserve">137</w:t>
      </w:r>
    </w:p>
    <w:p>
      <w:pPr>
        <w:pStyle w:val="CaseBody"/>
      </w:pPr>
      <w:r>
        <w:t xml:space="preserve">Finally, Manning states that he believed, as a Digex director, that the merger was good for Digex in the long run</w:t>
      </w:r>
      <w:r>
        <w:t xml:space="preserve"> </w:t>
      </w:r>
      <w:r>
        <w:rPr>
          <w:iCs/>
          <w:i/>
        </w:rPr>
        <w:t xml:space="preserve">and</w:t>
      </w:r>
      <w:r>
        <w:t xml:space="preserve"> </w:t>
      </w:r>
      <w:r>
        <w:t xml:space="preserve">in the short run.</w:t>
      </w:r>
      <w:r>
        <w:rPr>
          <w:rStyle w:val="FootnoteReference"/>
        </w:rPr>
        <w:footnoteReference w:customMarkFollows="1" w:id="1010"/>
        <w:t xml:space="preserve">138</w:t>
      </w:r>
      <w:r>
        <w:t xml:space="preserve"> </w:t>
      </w:r>
      <w:r>
        <w:t xml:space="preserve">Therefore, he chose to vote in favor of the waiver. He also notes that he was aware of his conflict of interest but took account of this conflict and voted according to the interests of Digex alone.</w:t>
      </w:r>
      <w:r>
        <w:rPr>
          <w:rStyle w:val="FootnoteReference"/>
        </w:rPr>
        <w:footnoteReference w:customMarkFollows="1" w:id="1012"/>
        <w:t xml:space="preserve">139</w:t>
      </w:r>
      <w:r>
        <w:t xml:space="preserve"> </w:t>
      </w:r>
      <w:r>
        <w:t xml:space="preserve">He laid out at his deposition several factors on which he based his conclusion that the merger was good for Digex.</w:t>
      </w:r>
      <w:r>
        <w:rPr>
          <w:rStyle w:val="FootnoteReference"/>
        </w:rPr>
        <w:footnoteReference w:customMarkFollows="1" w:id="1014"/>
        <w:t xml:space="preserve">140</w:t>
      </w:r>
      <w:r>
        <w:t xml:space="preserve"> </w:t>
      </w:r>
      <w:r>
        <w:t xml:space="preserve">These factors include removing the crippling burden of Intermedia’s debt from Digex and supplying Digex with substantial web hosting facilities. In addition, Manning states that he believed that the addition of the independent director approval provision to the Digex certificate of incorporation was an adequate protection for the Digex minority shareholders.</w:t>
      </w:r>
      <w:r>
        <w:rPr>
          <w:rStyle w:val="FootnoteReference"/>
        </w:rPr>
        <w:footnoteReference w:customMarkFollows="1" w:id="1016"/>
        <w:t xml:space="preserve">141</w:t>
      </w:r>
    </w:p>
    <w:p>
      <w:pPr>
        <w:pStyle w:val="CaseBody"/>
      </w:pPr>
      <w:r>
        <w:t xml:space="preserve">Before I turn to the specifics of this fan-price analysis, it is important to emphasize exactly what was being negotiated and voted upon before the Digex board. The discussion needs to focus on the substance of the vote, namely, the waiver of § 203 and all the negotiations and contemplations related thereto. Although the attractiveness of WorldCom as a prospective corporate parent in place of Intermedia obviously enters into the analysis, the Digex board was not expressly voting on whether to accept WorldCom’s merger proposal. As defendants themselves argue, Digex had little practical control over who would become its new parent. That decision ultimately lay with Intermedia as the controlling shareholder. Rather, the decision put before the Digex board was simply whether or not to grant WorldCom the § 203 waiver. That is, was whatever Digex was being offered for this waiver worth the granting of the waiver and could Digex negotiate for more?</w:t>
      </w:r>
    </w:p>
    <w:p>
      <w:pPr>
        <w:pStyle w:val="CaseBody"/>
      </w:pPr>
      <w:r>
        <w:t xml:space="preserve">The trade put before the Digex board was simple: waive § 203 and give up the protections granted by the terms of the statute in exchange for a stronger corporate parent who had much to offer, the certificate amendment, and the end of the burdensome relationship with Intermedia. Was this the best deal available? Because of the manner in which the negotiating process was handled, it is impossible to say. Perhaps Digex could have extracted something more from WorldCom, perhaps not. It is clear, however, that Digex had little to lose and should have felt no immediate time pressure to make a decision that would continue to affect the public shareholders of Digex for up to the three years following the merger.</w:t>
      </w:r>
    </w:p>
    <w:p>
      <w:pPr>
        <w:pStyle w:val="CaseBody"/>
      </w:pPr>
      <w:r>
        <w:t xml:space="preserve">The plaintiffs do not dispute that World-Com is a good fit in many respects, vastly superior to Intermedia in many ways, or that Digex strongly desired to be rid of Intermedia's restrictive presence. But given Intermedia’s admittedly poor financial condition, the independent Digex directors believed that, inevitably, Interme-dia would have to sell part or all of its stake in Digex if Intermedia was to remain solvent. Time, therefore, was strongly on the side of Digex. Further, the certificate amendment is of some value to the Digex minority, but clearly it is not worth the same as the § 203 waiver, or WorldCom would not have insisted on the waiver in the first place.</w:t>
      </w:r>
    </w:p>
    <w:p>
      <w:pPr>
        <w:pStyle w:val="CaseBody"/>
      </w:pPr>
      <w:r>
        <w:t xml:space="preserve">As to the specific justifications offered by the interested directors, there is thorough discussion throughout of the reasons why WorldCom was perceived as such a strong choice to become the new controlling shareholder of Digex. But there are few substantive reasons given for their decision to waive § 203 at the point in time that the vote occurred. Campbell testified that he believed WorldCom might pull the deal if Intermedia deferred its decision.</w:t>
      </w:r>
      <w:r>
        <w:rPr>
          <w:rStyle w:val="FootnoteReference"/>
        </w:rPr>
        <w:footnoteReference w:customMarkFollows="1" w:id="1018"/>
        <w:t xml:space="preserve">142</w:t>
      </w:r>
      <w:r>
        <w:t xml:space="preserve"> </w:t>
      </w:r>
      <w:r>
        <w:t xml:space="preserve">It is unclear what basis Campbell had for this belief beyond mere intuition. World-Com itself stated at oral argument that it had not directly confronted this question and therefore had no answer. Ruberg argued that the waiver was actually in Digex’s best interests in order to grant WorldCom as much unfettered flexibility as possible.</w:t>
      </w:r>
      <w:r>
        <w:rPr>
          <w:rStyle w:val="FootnoteReference"/>
        </w:rPr>
        <w:footnoteReference w:customMarkFollows="1" w:id="1020"/>
        <w:t xml:space="preserve">143</w:t>
      </w:r>
      <w:r>
        <w:t xml:space="preserve"> </w:t>
      </w:r>
      <w:r>
        <w:t xml:space="preserve">If this is the case, one must question why Digex would ever possibly need to rely on § 203 to prevent World-Com from entering into certain transactions with it. Baker’s reasons for supporting the waiver seem to be similar to Campbell’s. Manning, in addition to several of the arguments put forward by his co-directors, also emphasizes the certificate amendment as an adequate protection for the Digex minority shareholders, a group whose interests supposedly were best represented by the Special Committee.</w:t>
      </w:r>
      <w:r>
        <w:rPr>
          <w:rStyle w:val="FootnoteReference"/>
        </w:rPr>
        <w:footnoteReference w:customMarkFollows="1" w:id="1022"/>
        <w:t xml:space="preserve">144</w:t>
      </w:r>
    </w:p>
    <w:p>
      <w:pPr>
        <w:pStyle w:val="CaseBody"/>
      </w:pPr>
      <w:r>
        <w:t xml:space="preserve">Additionally, it is interesting that several of the interested Intermedia directors referenced the concepts of long-term and short-term shareholder value in their deposition testimony.</w:t>
      </w:r>
      <w:r>
        <w:rPr>
          <w:rStyle w:val="FootnoteReference"/>
        </w:rPr>
        <w:footnoteReference w:customMarkFollows="1" w:id="1024"/>
        <w:t xml:space="preserve">145</w:t>
      </w:r>
      <w:r>
        <w:t xml:space="preserve"> </w:t>
      </w:r>
      <w:r>
        <w:t xml:space="preserve">Beyond examining these views given the recent history of the Digex stock price since the announcement of the WorldCom-Intermedia merger (and recognizing that hindsight is 20/20), I note that in the present merger and acquisition climate, these same individuals, as directors of Intermedia, were quite definitive about their overriding concern for</w:t>
      </w:r>
      <w:r>
        <w:t xml:space="preserve"> </w:t>
      </w:r>
      <w:r>
        <w:rPr>
          <w:iCs/>
          <w:i/>
        </w:rPr>
        <w:t xml:space="preserve">short term shareholder value.</w:t>
      </w:r>
      <w:r>
        <w:t xml:space="preserve"> </w:t>
      </w:r>
      <w:r>
        <w:t xml:space="preserve">Although the Court understands the reasons behind this point of view,</w:t>
      </w:r>
      <w:r>
        <w:rPr>
          <w:rStyle w:val="FootnoteReference"/>
        </w:rPr>
        <w:footnoteReference w:customMarkFollows="1" w:id="1026"/>
        <w:t xml:space="preserve">146</w:t>
      </w:r>
      <w:r>
        <w:t xml:space="preserve"> </w:t>
      </w:r>
      <w:r>
        <w:t xml:space="preserve">it is at least ironic that a similar set of considerations did not animate these same directors when, as Digex directors, their focus suddenly became</w:t>
      </w:r>
      <w:r>
        <w:t xml:space="preserve"> </w:t>
      </w:r>
      <w:r>
        <w:rPr>
          <w:iCs/>
          <w:i/>
        </w:rPr>
        <w:t xml:space="preserve">long-term shareholder value.</w:t>
      </w:r>
    </w:p>
    <w:p>
      <w:pPr>
        <w:pStyle w:val="CaseBody"/>
      </w:pPr>
      <w:r>
        <w:t xml:space="preserve">In concluding this analysis of entire fairness, it appears that the only entity that really stood to lose should the Digex board decide to further analyze § 203 and vote to at least delay the grant of the waiver by a day or two was Intermedia, not Digex. The behavior of the interested directors in controlling both the negotiations and vote over the § 203 waiver surely demonstrates, in a compelling fashion, that the waiver really did present Digex with bargaining leverage against Intermedia and WorldCom. This leverage simply was not used — could not be used — because of the decision of the interested directors. In the unique circumstances here, this conduct by directors acting with a clear conflict of interest is difficult to justify and would not seem appropriate. I conclude preliminarily that the defendants are not reasonably likely to meet their burden as to the entire fairness of the Digex board’s decision to waive Digex’s § 203 protections and, therefore, that plaintiffs have demonstrated a reasonable probability of success on the merits of their § 203 claim.</w:t>
      </w:r>
    </w:p>
    <w:p>
      <w:pPr>
        <w:pStyle w:val="CaseBody"/>
      </w:pPr>
      <w:r>
        <w:t xml:space="preserve">V. THREAT OF IRREPARABLE HARM AND BALANCING OF THE POTENTIAL HARM</w:t>
      </w:r>
    </w:p>
    <w:p>
      <w:pPr>
        <w:pStyle w:val="CaseBody"/>
      </w:pPr>
      <w:r>
        <w:t xml:space="preserve">The plaintiffs have established a likelihood of success on the merits of their claim that the defendants breached their fiduciary duties in waiving the protections afforded by § 203. Now I must consider whether the plaintiffs will suffer irreparable harm if no injunction is ordered as to that claim.</w:t>
      </w:r>
      <w:r>
        <w:rPr>
          <w:rStyle w:val="FootnoteReference"/>
        </w:rPr>
        <w:footnoteReference w:customMarkFollows="1" w:id="1028"/>
        <w:t xml:space="preserve">147</w:t>
      </w:r>
      <w:r>
        <w:t xml:space="preserve"> </w:t>
      </w:r>
      <w:r>
        <w:t xml:space="preserve">I conclude that the plaintiffs have not adequately established an immediate threat of irreparable harm as to the § 203 waiver decision and, for that reason, I must deny their request for preliminary injunctive relief.</w:t>
      </w:r>
    </w:p>
    <w:p>
      <w:pPr>
        <w:pStyle w:val="CaseBody"/>
      </w:pPr>
      <w:r>
        <w:t xml:space="preserve">As noted at the outset of this Opinion, this case has presented the Court with an unusual request for injunctive relief on the § 203 waiver decision. The request for injunctive relief that would have followed had the plaintiffs convinced this Court of the likelihood of success on the corporate opportunity claim presents the more typical situation where preliminary injunctive relief may be appropriate. That is, the plaintiffs asked this Court to issue an injunction to prevent the closing of the In-termedia-WorldCom merger, an event that has not yet occurred, in order to prevent the clear monetary-based irreparable harm that otherwise would have befallen the minority shareholders of Digex had the merger been allowed to close without their opportunity to sell their shares of Digex at a premium. That is a paradigmatic example of a threatened harm for which an injunction is uniquely tailored— an impending transaction threatening a party with harm in the future which a Court may prevent pending a full hearing, via injunctive relief.</w:t>
      </w:r>
    </w:p>
    <w:p>
      <w:pPr>
        <w:pStyle w:val="CaseBody"/>
      </w:pPr>
      <w:r>
        <w:t xml:space="preserve">In stark contrast, the § 203 waiver decision does not present that typical injunction situation. Here, the plaintiffs have essentially asked the Court, via an injunction, to invalidate the September 1, 2000, vote by the Digex board to waive the applicability of § 203. This unusual procedural posture — where a party seeks an injunction long</w:t>
      </w:r>
      <w:r>
        <w:t xml:space="preserve"> </w:t>
      </w:r>
      <w:r>
        <w:rPr>
          <w:iCs/>
          <w:i/>
        </w:rPr>
        <w:t xml:space="preserve">after</w:t>
      </w:r>
      <w:r>
        <w:t xml:space="preserve"> </w:t>
      </w:r>
      <w:r>
        <w:t xml:space="preserve">the action threatening harm has been taken — presents two problems. First, the relief the plaintiffs request is</w:t>
      </w:r>
      <w:r>
        <w:t xml:space="preserve"> </w:t>
      </w:r>
      <w:r>
        <w:rPr>
          <w:iCs/>
          <w:i/>
        </w:rPr>
        <w:t xml:space="preserve">final;</w:t>
      </w:r>
      <w:r>
        <w:t xml:space="preserve"> </w:t>
      </w:r>
      <w:r>
        <w:t xml:space="preserve">it is</w:t>
      </w:r>
      <w:r>
        <w:t xml:space="preserve"> </w:t>
      </w:r>
      <w:r>
        <w:rPr>
          <w:iCs/>
          <w:i/>
        </w:rPr>
        <w:t xml:space="preserve">all</w:t>
      </w:r>
      <w:r>
        <w:t xml:space="preserve"> </w:t>
      </w:r>
      <w:r>
        <w:t xml:space="preserve">the relief to which they would be entitled following a full trial on the merits. It is an extraordinarily rare event for a party to obtain the equivalent of final relief at a provisional stage of the proceedings.</w:t>
      </w:r>
      <w:r>
        <w:rPr>
          <w:rStyle w:val="FootnoteReference"/>
        </w:rPr>
        <w:footnoteReference w:customMarkFollows="1" w:id="1030"/>
        <w:t xml:space="preserve">148</w:t>
      </w:r>
    </w:p>
    <w:p>
      <w:pPr>
        <w:pStyle w:val="CaseBody"/>
      </w:pPr>
      <w:r>
        <w:t xml:space="preserve">The second problem is related to the first, and even more troubling. Unlike the plaintiffs’ corporate opportunity claim, the offending act the plaintiffs would like for this Court to preliminarily enjoin under the § 203 claim has already occurred. That is, the Digex board has already voted to waive § 203. Given that fact, an injunction issued by this Court would involve a</w:t>
      </w:r>
      <w:r>
        <w:t xml:space="preserve"> </w:t>
      </w:r>
      <w:r>
        <w:rPr>
          <w:iCs/>
          <w:i/>
        </w:rPr>
        <w:t xml:space="preserve">retrospective,</w:t>
      </w:r>
      <w:r>
        <w:t xml:space="preserve"> </w:t>
      </w:r>
      <w:r>
        <w:t xml:space="preserve">not a</w:t>
      </w:r>
      <w:r>
        <w:t xml:space="preserve"> </w:t>
      </w:r>
      <w:r>
        <w:rPr>
          <w:iCs/>
          <w:i/>
        </w:rPr>
        <w:t xml:space="preserve">prospective,</w:t>
      </w:r>
      <w:r>
        <w:t xml:space="preserve"> </w:t>
      </w:r>
      <w:r>
        <w:t xml:space="preserve">form of relief. In other words, because the wrongful act has already occurred, no prospective injunctive order can possibly be an effective remedy. In that sense, the plaintiffs’ request for a preliminary injunction against the Digex board’s § 203 decision is both temporally impossible and jurisdic-tionally inappropriate.</w:t>
      </w:r>
      <w:r>
        <w:rPr>
          <w:rStyle w:val="FootnoteReference"/>
        </w:rPr>
        <w:footnoteReference w:customMarkFollows="1" w:id="1032"/>
        <w:t xml:space="preserve">149</w:t>
      </w:r>
    </w:p>
    <w:p>
      <w:pPr>
        <w:pStyle w:val="CaseBody"/>
      </w:pPr>
      <w:r>
        <w:t xml:space="preserve">Finally, not only would an injunction be improper here where the wrongful conduct has already occurred, but an injunction is, in my judgment, unnecessary to fully protect the Digex minority shareholders. As the above analysis demonstrates, there is, to put it mildly, extreme uncertainty over whether § 203 will apply to WorldCom if it acquires Intermedia according to the merger agreement. That extreme uncertainty is no different today than it was in late August when the WorldCom-Interme-diá transaction was being negotiated. What is now much more certain, however, is that the § 203 waiver decision most likely did</w:t>
      </w:r>
      <w:r>
        <w:t xml:space="preserve"> </w:t>
      </w:r>
      <w:r>
        <w:rPr>
          <w:iCs/>
          <w:i/>
        </w:rPr>
        <w:t xml:space="preserve">not</w:t>
      </w:r>
      <w:r>
        <w:t xml:space="preserve"> </w:t>
      </w:r>
      <w:r>
        <w:t xml:space="preserve">have the “belt and suspenders” effect that it was intended to have. In this sense, the uncertainty that WorldCom-In-termedia attempted to contract around, via the § 203 waiver requirement, is an uncertainty that is clearly extant today, just as it was in late August, and provides the plaintiffs with all the relief to which they are entitled. Of course, given the analysis of the defendants’ conduct in securing the § 203 waiver, under the entire fairness analysis undertaken by this Court in Part IV,C. above, there are additional uncertainties with which defendants must now be concerned as well.</w:t>
      </w:r>
    </w:p>
    <w:p>
      <w:pPr>
        <w:pStyle w:val="CaseBody"/>
      </w:pPr>
      <w:r>
        <w:t xml:space="preserve">VI. CONCLUSION</w:t>
      </w:r>
    </w:p>
    <w:p>
      <w:pPr>
        <w:pStyle w:val="CaseBody"/>
      </w:pPr>
      <w:r>
        <w:t xml:space="preserve">For all of the reasons assigned in this Opinion, I deny injunctive relief as to the corporate opportunity claim because the plaintiffs fail to demonstrate a likelihood of success on the merits of that claim. Although the plaintiffs do demonstrate a likelihood of success on the merits of their § 203 claim, they have not shown a threat of imminent irreparable harm. Thus, they are not entitled to injunctive relief on this claim.</w:t>
      </w:r>
    </w:p>
    <w:p>
      <w:pPr>
        <w:pStyle w:val="CaseBody"/>
      </w:pPr>
      <w:r>
        <w:t xml:space="preserve">If this case goes to trial, the defendants have the burden of establishing the entire fairness of the § 203 waiver. This will be no small burden, based on the evidence I have reviewed in the last week. As I have noted in this Opinion, the current record strongly suggests that the § 203 waiver decision was not entirely fair to the Digex minority. In the wake of this Opinion, the defendants’ choice becomes whether they will proceed with a WorldCom-Intermedia merger knowing that this Court seriously questions the integrity of the § 203 waiver decision and knowing that certain of the defendant fiduciaries stand accused of faithless acts that under the stringent standard of the entire fairness test, could well give rise to a range of equitable remedies, including monetary remedies.</w:t>
      </w:r>
    </w:p>
    <w:p>
      <w:pPr>
        <w:pStyle w:val="CaseBody"/>
      </w:pPr>
      <w:r>
        <w:t xml:space="preserve">An Order has been entered in accordance with this decision.</w:t>
      </w:r>
    </w:p>
    <w:bookmarkStart w:id="115" w:name="_auto_toc_115"/>
    <w:bookmarkEnd w:id="115"/>
    <w:p>
      <w:pPr>
        <w:pStyle w:val="ResourceNumber"/>
      </w:pPr>
      <w:r>
        <w:t xml:space="preserve">9.3</w:t>
      </w:r>
    </w:p>
    <w:p>
      <w:pPr>
        <w:pStyle w:val="ResourceTitle"/>
      </w:pPr>
      <w:r>
        <w:t xml:space="preserve">15 USC 18a Hart-Scott-Rodino Antitrust Improvements Act</w:t>
      </w:r>
    </w:p>
    <w:p>
      <w:pPr>
        <w:pStyle w:val="HeadFieldSeparator"/>
      </w:pPr>
      <w:r>
        <w:t xml:space="preserve"> </w:t>
      </w:r>
    </w:p>
    <w:p>
      <w:pPr>
        <w:pStyle w:val="ResourceSubtitle"/>
      </w:pPr>
      <w:r>
        <w:t xml:space="preserve">Premerger Notification and Waiting Period</w:t>
      </w:r>
    </w:p>
    <w:p>
      <w:pPr>
        <w:pStyle w:val="HeadFieldSeparator"/>
      </w:pPr>
      <w:r>
        <w:t xml:space="preserve"> </w:t>
      </w:r>
    </w:p>
    <w:p>
      <w:pPr>
        <w:pStyle w:val="ResourceLink"/>
      </w:pPr>
      <w:hyperlink r:id="rId217">
        <w:r>
          <w:rPr>
            <w:rStyle w:val="Hyperlink"/>
          </w:rPr>
          <w:t xml:space="preserve">http://uscode.house.gov/view.xhtml?req=granuleid%3AUSC-prelim-title15-section18a&amp;edition=prelim</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p>
      <w:pPr>
        <w:pStyle w:val="ChapterSpacer"/>
        <w:sectPr>
          <w:footerReference w:type="even" r:id="rId14"/>
          <w:footerReference w:type="default" r:id="rId14"/>
          <w:headerReference w:type="even" r:id="rId11"/>
          <w:headerReference w:type="default" r:id="rId12"/>
          <w:pgSz w:h="15840" w:w="12240"/>
          <w:pgMar w:bottom="1440" w:gutter="720" w:header="1440" w:left="1440" w:right="1440" w:top="1800"/>
          <w:pgNumType w:pgNumType="decimal"/>
        </w:sectPr>
      </w:pPr>
      <w:r>
        <w:t xml:space="preserve"> </w:t>
      </w:r>
    </w:p>
    <w:bookmarkStart w:id="116" w:name="_auto_toc_116"/>
    <w:bookmarkEnd w:id="116"/>
    <w:p>
      <w:pPr>
        <w:pStyle w:val="ChapterNumber"/>
      </w:pPr>
      <w:r>
        <w:t xml:space="preserve">10</w:t>
      </w:r>
    </w:p>
    <w:p>
      <w:pPr>
        <w:pStyle w:val="ChapterTitle"/>
      </w:pPr>
      <w:r>
        <w:t xml:space="preserve">Control contests</w:t>
      </w:r>
    </w:p>
    <w:p>
      <w:pPr>
        <w:pStyle w:val="HeadEnd"/>
        <w:sectPr>
          <w:footerReference w:type="even" r:id="rId14"/>
          <w:footerReference w:type="default" r:id="rId14"/>
          <w:headerReference w:type="even" r:id="rId11"/>
          <w:headerReference w:type="default" r:id="rId12"/>
          <w:type w:val="oddPage"/>
          <w:pgSz w:h="15840" w:w="12240"/>
          <w:pgMar w:bottom="1440" w:gutter="720" w:header="1440" w:left="1440" w:right="1440" w:top="1800"/>
          <w:pgNumType w:pgNumType="decimal"/>
        </w:sectPr>
      </w:pPr>
      <w:r>
        <w:t xml:space="preserve"> </w:t>
      </w:r>
    </w:p>
    <w:p>
      <w:pPr>
        <w:pStyle w:val="NodeEnd"/>
      </w:pPr>
      <w:r>
        <w:t xml:space="preserve"> </w:t>
      </w:r>
    </w:p>
    <w:p>
      <w:pPr>
        <w:pStyle w:val="NodeStart"/>
      </w:pPr>
      <w:r>
        <w:t xml:space="preserve"> </w:t>
      </w:r>
    </w:p>
    <w:p>
      <w:pPr>
        <w:pStyle w:val="HeadSeparator"/>
      </w:pPr>
      <w:r>
        <w:t xml:space="preserve"> </w:t>
      </w:r>
    </w:p>
    <w:bookmarkStart w:id="117" w:name="_auto_toc_117"/>
    <w:bookmarkEnd w:id="117"/>
    <w:p>
      <w:pPr>
        <w:pStyle w:val="SectionNumber"/>
      </w:pPr>
      <w:r>
        <w:t xml:space="preserve">10.1</w:t>
      </w:r>
    </w:p>
    <w:p>
      <w:pPr>
        <w:pStyle w:val="SectionTitle"/>
      </w:pPr>
      <w:r>
        <w:t xml:space="preserve">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118" w:name="_auto_toc_118"/>
    <w:bookmarkEnd w:id="118"/>
    <w:p>
      <w:pPr>
        <w:pStyle w:val="ResourceNumber"/>
      </w:pPr>
      <w:r>
        <w:t xml:space="preserve">10.1.1</w:t>
      </w:r>
    </w:p>
    <w:p>
      <w:pPr>
        <w:pStyle w:val="ResourceTitle"/>
      </w:pPr>
      <w:r>
        <w:t xml:space="preserve">Unocal v. Mesa Petroleum (Del. 1985)</w:t>
      </w:r>
    </w:p>
    <w:p>
      <w:pPr>
        <w:pStyle w:val="HeadFieldSeparator"/>
      </w:pPr>
      <w:r>
        <w:t xml:space="preserve"> </w:t>
      </w:r>
    </w:p>
    <w:p>
      <w:pPr>
        <w:pStyle w:val="ResourceHeadnote"/>
      </w:pPr>
      <w:r>
        <w:t xml:space="preserve">In this famous decision, the Delaware Supreme Court ruled that the board has the power to defend against hostile takeovers, even with discriminatory measures, and laid down the judicial standard of review for scrutinizing such defenses.</w:t>
      </w:r>
    </w:p>
    <w:p>
      <w:pPr>
        <w:pStyle w:val="ResourceHeadnote"/>
      </w:pPr>
      <w:r>
        <w:t xml:space="preserve">The most important things to look for are thus:</w:t>
      </w:r>
    </w:p>
    <w:p>
      <w:pPr>
        <w:pStyle w:val="BlockText"/>
      </w:pPr>
      <w:r>
        <w:t xml:space="preserve">1. What is the threat that the board is defending against?</w:t>
      </w:r>
      <w:r>
        <w:br/>
      </w:r>
      <w:r>
        <w:t xml:space="preserve">2. Who is being protected?</w:t>
      </w:r>
      <w:r>
        <w:br/>
      </w:r>
      <w:r>
        <w:t xml:space="preserve">3. What is the standard of review? How does it relate to our two old friends: the business judgment rule and entire fairness? If it is different, why?</w:t>
      </w:r>
    </w:p>
    <w:p>
      <w:pPr>
        <w:pStyle w:val="HeadEnd"/>
      </w:pPr>
      <w:r>
        <w:t xml:space="preserve"> </w:t>
      </w:r>
    </w:p>
    <w:p>
      <w:pPr>
        <w:pStyle w:val="CaseHeader"/>
      </w:pPr>
      <w:r>
        <w:t xml:space="preserve">Delaware Supreme Court</w:t>
      </w:r>
    </w:p>
    <w:p>
      <w:pPr>
        <w:pStyle w:val="CaseHeader"/>
      </w:pPr>
      <w:r>
        <w:t xml:space="preserve">493 A.2d 946</w:t>
      </w:r>
    </w:p>
    <w:p>
      <w:pPr>
        <w:pStyle w:val="CaseHeader"/>
      </w:pPr>
      <w:r>
        <w:t xml:space="preserve">1985-06-10</w:t>
      </w:r>
    </w:p>
    <w:p>
      <w:pPr>
        <w:pStyle w:val="CaseBody"/>
      </w:pPr>
      <w:r>
        <w:t xml:space="preserve">493 A.2d 946 (1985)</w:t>
      </w:r>
    </w:p>
    <w:p>
      <w:pPr>
        <w:pStyle w:val="CaseHeader"/>
      </w:pPr>
      <w:r>
        <w:t xml:space="preserve">UNOCAL CORPORATION, a Delaware corporation, Defendant Below, Appellant,</w:t>
      </w:r>
      <w:r>
        <w:br/>
      </w:r>
      <w:r>
        <w:t xml:space="preserve">v.</w:t>
      </w:r>
      <w:r>
        <w:br/>
      </w:r>
      <w:r>
        <w:t xml:space="preserve">MESA PETROLEUM CO., a Delaware corporation, Mesa Asset Co., a Delaware corporation, Mesa Eastern, Inc., a Delaware corporation and Mesa Partners II, a Texas partnership, Plaintiffs Below, Appellees.</w:t>
      </w:r>
    </w:p>
    <w:p>
      <w:pPr>
        <w:pStyle w:val="CaseBody"/>
      </w:pPr>
      <w:r>
        <w:t xml:space="preserve">Supreme Court of Delaware.</w:t>
      </w:r>
    </w:p>
    <w:p>
      <w:pPr>
        <w:pStyle w:val="CaseBody"/>
      </w:pPr>
      <w:r>
        <w:rPr>
          <w:rStyle w:val="Elision"/>
        </w:rPr>
        <w:t xml:space="preserve">[ … ]</w:t>
      </w:r>
    </w:p>
    <w:p>
      <w:pPr>
        <w:pStyle w:val="CaseBody"/>
      </w:pPr>
      <w:r>
        <w:t xml:space="preserve">Written Decision: June 10, 1985.</w:t>
      </w:r>
    </w:p>
    <w:p>
      <w:pPr>
        <w:pStyle w:val="CaseBody"/>
      </w:pPr>
      <w:r>
        <w:rPr>
          <w:rStyle w:val="Elision"/>
        </w:rPr>
        <w:t xml:space="preserve">[ … ]</w:t>
      </w:r>
    </w:p>
    <w:p>
      <w:pPr>
        <w:pStyle w:val="CaseBody"/>
      </w:pPr>
      <w:r>
        <w:t xml:space="preserve">We confront an issue of first impression in Delaware — the validity of a corporation's self-tender for its own shares which excludes from participation a stockholder making a hostile tender offer for the company's stock.</w:t>
      </w:r>
    </w:p>
    <w:p>
      <w:pPr>
        <w:pStyle w:val="CaseBody"/>
      </w:pPr>
      <w:r>
        <w:t xml:space="preserve">The Court of Chancery granted a preliminary injunction to the plaintiffs, Mesa Petroleum Co., Mesa Asset Co., Mesa Partners II, and Mesa Eastern, Inc. (collectively "Mesa")</w:t>
      </w:r>
      <w:hyperlink w:anchor="Xbdf94118de65647e793c66d49f6acaf9e1c4cf6">
        <w:r>
          <w:rPr>
            <w:rStyle w:val="Hyperlink"/>
            <w:vertAlign w:val="superscript"/>
          </w:rPr>
          <w:t xml:space="preserve">[1]</w:t>
        </w:r>
      </w:hyperlink>
      <w:r>
        <w:t xml:space="preserve">, enjoining an exchange offer of the defendant, Unocal Corporation (Unocal) for its own stock. The trial court concluded that a selective exchange offer, excluding Mesa, was legally impermissible. We cannot agree with such a blanket rule. The factual findings of the Vice Chancellor, fully supported by the record, establish that Unocal's board, consisting of a majority of independent directors, acted in good faith, and after reasonable investigation found that Mesa's tender offer was both inadequate and coercive. Under the circumstances the board had both the power and duty to oppose a bid it perceived to be harmful to the corporate enterprise. On this record we are satisfied that the device Unocal adopted is reasonable in relation to the threat posed, and that the board acted in the proper exercise of sound business judgment. We will not substitute our views for those of the board if the latter's decision can be "attributed to any rational business purpose."</w:t>
      </w:r>
      <w:r>
        <w:t xml:space="preserve"> </w:t>
      </w:r>
      <w:r>
        <w:rPr>
          <w:iCs/>
          <w:i/>
        </w:rPr>
        <w:t xml:space="preserve">Sinclair Oil Corp. v. Levien,</w:t>
      </w:r>
      <w:r>
        <w:t xml:space="preserve"> </w:t>
      </w:r>
      <w:r>
        <w:t xml:space="preserve">Del.Supr., 280 A.2d 717, 720 (1971). Accordingly, we reverse the decision of the Court of Chancery and order the preliminary injunction vacated.</w:t>
      </w:r>
      <w:hyperlink w:anchor="X67d21a42ab819e69ffbbdb2dc1e8587c4776945">
        <w:r>
          <w:rPr>
            <w:rStyle w:val="Hyperlink"/>
            <w:vertAlign w:val="superscript"/>
          </w:rPr>
          <w:t xml:space="preserve">[2]</w:t>
        </w:r>
      </w:hyperlink>
    </w:p>
    <w:bookmarkStart w:id="218" w:name="i."/>
    <w:p>
      <w:pPr>
        <w:pStyle w:val="Heading2"/>
      </w:pPr>
      <w:r>
        <w:t xml:space="preserve">I.</w:t>
      </w:r>
    </w:p>
    <w:p>
      <w:pPr>
        <w:pStyle w:val="CaseBody"/>
      </w:pPr>
      <w:r>
        <w:t xml:space="preserve">The factual background of this matter bears a significant relationship to its ultimate outcome.</w:t>
      </w:r>
    </w:p>
    <w:p>
      <w:pPr>
        <w:pStyle w:val="CaseBody"/>
      </w:pPr>
      <w:r>
        <w:t xml:space="preserve">On April 8, 1985, Mesa, the owner of approximately 13% of Unocal's stock, commenced a two-tier "front loaded" cash tender offer for 64 million shares, or approximately 37%, of Unocal's outstanding stock at a price of $54 per share. The "back-end" was designed to eliminate the remaining publicly held shares by an exchange of securities purportedly worth $54 per share. However, pursuant to an order entered by the United States District Court for the Central District of California on April 26, 1985, Mesa issued a supplemental proxy statement to Unocal's stockholders disclosing that the securities offered in the second-step merger would be highly subordinated, and that Unocal's capitalization would differ significantly from its present [950] structure. Unocal has rather aptly termed such securities "junk bonds".</w:t>
      </w:r>
      <w:hyperlink w:anchor="Xbe61683c8ba1050bd482a34ba4734399f75dd18">
        <w:r>
          <w:rPr>
            <w:rStyle w:val="Hyperlink"/>
            <w:vertAlign w:val="superscript"/>
          </w:rPr>
          <w:t xml:space="preserve">[3]</w:t>
        </w:r>
      </w:hyperlink>
    </w:p>
    <w:p>
      <w:pPr>
        <w:pStyle w:val="CaseBody"/>
      </w:pPr>
      <w:r>
        <w:t xml:space="preserve">Unocal's board consists of eight independent outside directors and six insiders. It met on April 13, 1985, to consider the Mesa tender offer. Thirteen directors were present, and the meeting lasted nine and one-half hours. The directors were given no agenda or written materials prior to the session. However, detailed presentations were made by legal counsel regarding the board's obligations under both Delaware corporate law and the federal securities laws. The board then received a presentation from Peter Sachs on behalf of Goldman Sachs &amp; Co. (Goldman Sachs) and Dillon, Read &amp; Co. (Dillon Read) discussing the bases for their opinions that the Mesa proposal was wholly inadequate. Mr. Sachs opined that the minimum cash value that could be expected from a sale or orderly liquidation for 100% of Unocal's stock was in excess of $60 per share. In making his presentation, Mr. Sachs showed slides outlining the valuation techniques used by the financial advisors, and others, depicting recent business combinations in the oil and gas industry. The Court of Chancery found that the Sachs presentation was designed to apprise the directors of the scope of the analyses performed rather than the facts and numbers used in reaching the conclusion that Mesa's tender offer price was inadequate.</w:t>
      </w:r>
    </w:p>
    <w:p>
      <w:pPr>
        <w:pStyle w:val="CaseBody"/>
      </w:pPr>
      <w:r>
        <w:t xml:space="preserve">Mr. Sachs also presented various defensive strategies available to the board if it concluded that Mesa's two-step tender offer was inadequate and should be opposed. One of the devices outlined was a self-tender by Unocal for its own stock with a reasonable price range of $70 to $75 per share. The cost of such a proposal would cause the company to incur $6.1-6.5 billion of additional debt, and a presentation was made informing the board of Unocal's ability to handle it. The directors were told that the primary effect of this obligation would be to reduce exploratory drilling, but that the company would nonetheless remain a viable entity.</w:t>
      </w:r>
    </w:p>
    <w:p>
      <w:pPr>
        <w:pStyle w:val="CaseBody"/>
      </w:pPr>
      <w:r>
        <w:t xml:space="preserve">The eight outside directors, comprising a clear majority of the thirteen members present, then met separately with Unocal's financial advisors and attorneys. Thereafter, they unanimously agreed to advise the board that it should reject Mesa's tender offer as inadequate, and that Unocal should pursue a self-tender to provide the stockholders with a fairly priced alternative to the Mesa proposal. The board then reconvened and unanimously adopted a resolution rejecting as grossly inadequate Mesa's tender offer. Despite the nine and one-half hour length of the meeting, no formal decision was made on the proposed defensive self-tender.</w:t>
      </w:r>
    </w:p>
    <w:p>
      <w:pPr>
        <w:pStyle w:val="CaseBody"/>
      </w:pPr>
      <w:r>
        <w:t xml:space="preserve">On April 15, the board met again with four of the directors present by telephone [951] and one member still absent.</w:t>
      </w:r>
      <w:hyperlink w:anchor="Xda09fa3db0be466a8c637689c18270a92a6fd76">
        <w:r>
          <w:rPr>
            <w:rStyle w:val="Hyperlink"/>
            <w:vertAlign w:val="superscript"/>
          </w:rPr>
          <w:t xml:space="preserve">[4]</w:t>
        </w:r>
      </w:hyperlink>
      <w:r>
        <w:t xml:space="preserve"> </w:t>
      </w:r>
      <w:r>
        <w:t xml:space="preserve">This session lasted two hours. Unocal's Vice President of Finance and its Assistant General Counsel made a detailed presentation of the proposed terms of the exchange offer. A price range between $70 and $80 per share was considered, and ultimately the directors agreed upon $72. The board was also advised about the debt securities that would be issued, and the necessity of placing restrictive covenants upon certain corporate activities until the obligations were paid. The board's decisions were made in reliance on the advice of its investment bankers, including the terms and conditions upon which the securities were to be issued. Based upon this advice, and the board's own deliberations, the directors unanimously approved the exchange offer. Their resolution provided that if Mesa acquired 64 million shares of Unocal stock through its own offer (the Mesa Purchase Condition), Unocal would buy the remaining 49% outstanding for an exchange of debt securities having an aggregate par value of $72 per share. The board resolution also stated that the offer would be subject to other conditions that had been described to the board at the meeting, or which were deemed necessary by Unocal's officers, including the exclusion of Mesa from the proposal (the Mesa exclusion). Any such conditions were required to be in accordance with the "purport and intent" of the offer.</w:t>
      </w:r>
    </w:p>
    <w:p>
      <w:pPr>
        <w:pStyle w:val="CaseBody"/>
      </w:pPr>
      <w:r>
        <w:t xml:space="preserve">Unocal's exchange offer was commenced on April 17, 1985, and Mesa promptly challenged it by filing this suit in the Court of Chancery. On April 22, the Unocal board met again and was advised by Goldman Sachs and Dillon Read to waive the Mesa Purchase Condition as to 50 million shares. This recommendation was in response to a perceived concern of the shareholders that, if shares were tendered to Unocal, no shares would be purchased by either offeror. The directors were also advised that they should tender their own Unocal stock into the exchange offer as a mark of their confidence in it.</w:t>
      </w:r>
    </w:p>
    <w:p>
      <w:pPr>
        <w:pStyle w:val="CaseBody"/>
      </w:pPr>
      <w:r>
        <w:t xml:space="preserve">Another focus of the board was the Mesa exclusion. Legal counsel advised that under Delaware law Mesa could only be excluded for what the directors reasonably believed to be a valid corporate purpose. The directors' discussion centered on the objective of adequately compensating shareholders at the "back-end" of Mesa's proposal, which the latter would finance with "junk bonds". To include Mesa would defeat that goal, because under the proration aspect of the exchange offer (49%) every Mesa share accepted by Unocal would displace one held by another stockholder. Further, if Mesa were permitted to tender to Unocal, the latter would in effect be financing Mesa's own inadequate proposal.</w:t>
      </w:r>
    </w:p>
    <w:p>
      <w:pPr>
        <w:pStyle w:val="CaseBody"/>
      </w:pPr>
      <w:r>
        <w:t xml:space="preserve">On April 24, 1985 Unocal issued a supplement to the exchange offer describing the partial waiver of the Mesa Purchase Condition. On May 1, 1985, in another supplement, Unocal extended the withdrawal, proration and expiration dates of its exchange offer to May 17, 1985.</w:t>
      </w:r>
    </w:p>
    <w:p>
      <w:pPr>
        <w:pStyle w:val="CaseBody"/>
      </w:pPr>
      <w:r>
        <w:t xml:space="preserve">Meanwhile, on April 22, 1985, Mesa amended its complaint in this action to challenge the Mesa exclusion. A preliminary injunction hearing was scheduled for May 8, 1985. However, on April 23, 1985, Mesa moved for a temporary restraining order in response to Unocal's announcement that it was partially waiving the Mesa Purchase Condition. After expedited briefing, the Court of Chancery heard Mesa's motion on April 26.</w:t>
      </w:r>
    </w:p>
    <w:p>
      <w:pPr>
        <w:pStyle w:val="CaseBody"/>
      </w:pPr>
      <w:r>
        <w:t xml:space="preserve">[952] On April 29, 1985, the Vice Chancellor temporarily restrained Unocal from proceeding with the exchange offer unless it included Mesa. The trial court recognized that directors could oppose, and attempt to defeat, a hostile takeover which they considered adverse to the best interests of the corporation. However, the Vice Chancellor decided that in a selective purchase of the company's stock, the corporation bears the burden of showing: (1) a valid corporate purpose, and (2) that the transaction was fair to all of the stockholders, including those excluded.</w:t>
      </w:r>
    </w:p>
    <w:p>
      <w:pPr>
        <w:pStyle w:val="CaseBody"/>
      </w:pPr>
      <w:r>
        <w:t xml:space="preserve">Unocal immediately sought certification of an interlocutory appeal to this Court pursuant to Supreme Court Rule 42(b). On May 1, 1985, the Vice Chancellor declined to certify the appeal on the grounds that the decision granting a temporary restraining order did not decide a legal issue of first impression, and was not a matter to which the decisions of the Court of Chancery were in conflict.</w:t>
      </w:r>
    </w:p>
    <w:p>
      <w:pPr>
        <w:pStyle w:val="CaseBody"/>
      </w:pPr>
      <w:r>
        <w:t xml:space="preserve">However, in an Order dated May 2, 1985, this Court ruled that the Chancery decision was clearly determinative of substantive rights of the parties, and in fact decided the main question of law before the Vice Chancellor, which was indeed a question of first impression. We therefore concluded that the temporary restraining order was an appealable decision. However, because the Court of Chancery was scheduled to hold a preliminary injunction hearing on May 8 at which there would be an enlarged record on the various issues, action on the interlocutory appeal was deferred pending an outcome of those proceedings.</w:t>
      </w:r>
    </w:p>
    <w:p>
      <w:pPr>
        <w:pStyle w:val="CaseBody"/>
      </w:pPr>
      <w:r>
        <w:t xml:space="preserve">In deferring action on the interlocutory appeal, we noted that on the record before us we could not determine whether the parties had articulated certain issues which the Vice Chancellor should have an opportunity to consider in the first instance. These included the following:</w:t>
      </w:r>
    </w:p>
    <w:p>
      <w:pPr>
        <w:pStyle w:val="BlockText"/>
      </w:pPr>
      <w:r>
        <w:t xml:space="preserve">a) Does the directors' duty of care to the corporation extend to protecting the corporate enterprise in good faith from perceived depredations of others, including persons who may own stock in the company?</w:t>
      </w:r>
    </w:p>
    <w:p>
      <w:pPr>
        <w:pStyle w:val="BlockText"/>
      </w:pPr>
      <w:r>
        <w:t xml:space="preserve">b) Have one or more of the plaintiffs, their affiliates, or persons acting in concert with them, either in dealing with Unocal or others, demonstrated a pattern of conduct sufficient to justify a reasonable inference by defendants that a principle objective of the plaintiffs is to achieve selective treatment for themselves by the repurchase of their Unocal shares at a substantial premium?</w:t>
      </w:r>
    </w:p>
    <w:p>
      <w:pPr>
        <w:pStyle w:val="BlockText"/>
      </w:pPr>
      <w:r>
        <w:t xml:space="preserve">c) If so, may the directors of Unocal in the proper exercise of business judgment employ the exchange offer to protect the corporation and its shareholders from such tactics?</w:t>
      </w:r>
      <w:r>
        <w:t xml:space="preserve"> </w:t>
      </w:r>
      <w:r>
        <w:rPr>
          <w:iCs/>
          <w:i/>
        </w:rPr>
        <w:t xml:space="preserve">See</w:t>
      </w:r>
      <w:r>
        <w:t xml:space="preserve"> </w:t>
      </w:r>
      <w:r>
        <w:rPr>
          <w:iCs/>
          <w:i/>
        </w:rPr>
        <w:t xml:space="preserve">Pogostin v. Rice,</w:t>
      </w:r>
      <w:r>
        <w:t xml:space="preserve"> </w:t>
      </w:r>
      <w:r>
        <w:t xml:space="preserve">Del. Supr., 480 A.2d 619 (1984).</w:t>
      </w:r>
    </w:p>
    <w:p>
      <w:pPr>
        <w:pStyle w:val="BlockText"/>
      </w:pPr>
      <w:r>
        <w:t xml:space="preserve">d) If it is determined that the purpose of the exchange offer was not illegal as a matter of law, have the directors of Unocal carried their burden of showing that they acted in good faith?</w:t>
      </w:r>
      <w:r>
        <w:t xml:space="preserve"> </w:t>
      </w:r>
      <w:r>
        <w:rPr>
          <w:iCs/>
          <w:i/>
        </w:rPr>
        <w:t xml:space="preserve">See</w:t>
      </w:r>
      <w:r>
        <w:t xml:space="preserve"> </w:t>
      </w:r>
      <w:r>
        <w:rPr>
          <w:iCs/>
          <w:i/>
        </w:rPr>
        <w:t xml:space="preserve">Martin v. American Potash &amp; Chemical Corp.,</w:t>
      </w:r>
      <w:r>
        <w:t xml:space="preserve"> </w:t>
      </w:r>
      <w:r>
        <w:t xml:space="preserve">33 Del.Ch. 234, 92 A.2d 295 at 302.</w:t>
      </w:r>
    </w:p>
    <w:p>
      <w:pPr>
        <w:pStyle w:val="CaseBody"/>
      </w:pPr>
      <w:r>
        <w:t xml:space="preserve">After the May 8 hearing the Vice Chancellor issued an unreported opinion on May 13, 1985 granting Mesa a preliminary injunction. Specifically, the trial court noted that "[t]he parties basically agree that the directors' duty of care extends to protecting the corporation from perceived harm whether it be from third parties or shareholders." The trial court also concluded in response to the second inquiry in the Supreme Court's May 2 order, that "[a]lthough the facts, ... do not appear to be sufficient to prove that Mesa's principle objective is to be bought off at a substantial premium, they do justify a reasonable inference to the same effect."</w:t>
      </w:r>
    </w:p>
    <w:p>
      <w:pPr>
        <w:pStyle w:val="CaseBody"/>
      </w:pPr>
      <w:r>
        <w:t xml:space="preserve">As to the third and fourth questions posed by this Court, the Vice Chancellor stated that they "appear to raise the more fundamental issue of whether directors owe fiduciary duties to shareholders who they perceive to be acting contrary to the best interests of the corporation as a whole." While determining that the directors' decision to oppose Mesa's tender [953] offer was made in a good faith belief that the Mesa proposal was inadequate, the court stated that the business judgment rule does not apply to a selective exchange offer such as this.</w:t>
      </w:r>
    </w:p>
    <w:p>
      <w:pPr>
        <w:pStyle w:val="CaseBody"/>
      </w:pPr>
      <w:r>
        <w:t xml:space="preserve">On May 13, 1985 the Court of Chancery certified this interlocutory appeal to us as a question of first impression, and we accepted it on May 14. The entire matter was scheduled on an expedited basis.</w:t>
      </w:r>
      <w:hyperlink w:anchor="X399ddf806a19b251ed3de3319a03f96113038e3">
        <w:r>
          <w:rPr>
            <w:rStyle w:val="Hyperlink"/>
            <w:vertAlign w:val="superscript"/>
          </w:rPr>
          <w:t xml:space="preserve">[5]</w:t>
        </w:r>
      </w:hyperlink>
    </w:p>
    <w:bookmarkEnd w:id="218"/>
    <w:bookmarkStart w:id="219" w:name="ii.-1"/>
    <w:p>
      <w:pPr>
        <w:pStyle w:val="Heading2"/>
      </w:pPr>
      <w:r>
        <w:t xml:space="preserve">II.</w:t>
      </w:r>
    </w:p>
    <w:p>
      <w:pPr>
        <w:pStyle w:val="CaseBody"/>
      </w:pPr>
      <w:r>
        <w:t xml:space="preserve">The issues we address involve these fundamental questions: Did the Unocal board have the power and duty to oppose a takeover threat it reasonably perceived to be harmful to the corporate enterprise, and if so, is its action here entitled to the protection of the business judgment rule?</w:t>
      </w:r>
    </w:p>
    <w:p>
      <w:pPr>
        <w:pStyle w:val="CaseBody"/>
      </w:pPr>
      <w:r>
        <w:t xml:space="preserve">Mesa contends that the discriminatory exchange offer violates the fiduciary duties Unocal owes it. Mesa argues that because of the Mesa exclusion the business judgment rule is inapplicable, because the directors by tendering their own shares will derive a financial benefit that is not available to</w:t>
      </w:r>
      <w:r>
        <w:t xml:space="preserve"> </w:t>
      </w:r>
      <w:r>
        <w:rPr>
          <w:iCs/>
          <w:i/>
        </w:rPr>
        <w:t xml:space="preserve">all</w:t>
      </w:r>
      <w:r>
        <w:t xml:space="preserve"> </w:t>
      </w:r>
      <w:r>
        <w:t xml:space="preserve">Unocal stockholders. Thus, it is Mesa's ultimate contention that Unocal cannot establish that the exchange offer is fair to</w:t>
      </w:r>
      <w:r>
        <w:t xml:space="preserve"> </w:t>
      </w:r>
      <w:r>
        <w:rPr>
          <w:iCs/>
          <w:i/>
        </w:rPr>
        <w:t xml:space="preserve">all</w:t>
      </w:r>
      <w:r>
        <w:t xml:space="preserve"> </w:t>
      </w:r>
      <w:r>
        <w:t xml:space="preserve">shareholders, and argues that the Court of Chancery was correct in concluding that Unocal was unable to meet this burden.</w:t>
      </w:r>
    </w:p>
    <w:p>
      <w:pPr>
        <w:pStyle w:val="CaseBody"/>
      </w:pPr>
      <w:r>
        <w:t xml:space="preserve">Unocal answers that it does not owe a duty of "fairness" to Mesa, given the facts here. Specifically, Unocal contends that its board of directors reasonably and in good faith concluded that Mesa's $54 two-tier tender offer was coercive and inadequate, and that Mesa sought selective treatment for itself. Furthermore, Unocal argues that the board's approval of the exchange offer was made in good faith, on an informed basis, and in the exercise of due care. Under these circumstances, Unocal contends that its directors properly employed this device to protect the company and its stockholders from Mesa's harmful tactics.</w:t>
      </w:r>
    </w:p>
    <w:bookmarkEnd w:id="219"/>
    <w:bookmarkStart w:id="220" w:name="iii.-1"/>
    <w:p>
      <w:pPr>
        <w:pStyle w:val="Heading2"/>
      </w:pPr>
      <w:r>
        <w:t xml:space="preserve">III.</w:t>
      </w:r>
    </w:p>
    <w:p>
      <w:pPr>
        <w:pStyle w:val="CaseBody"/>
      </w:pPr>
      <w:r>
        <w:t xml:space="preserve">We begin with the basic issue of the power of a board of directors of a Delaware corporation to adopt a defensive measure of this type. Absent such authority, all other questions are moot. Neither issues of fairness nor business judgment are pertinent without the basic underpinning of a board's legal power to act.</w:t>
      </w:r>
    </w:p>
    <w:p>
      <w:pPr>
        <w:pStyle w:val="CaseBody"/>
      </w:pPr>
      <w:r>
        <w:t xml:space="preserve">The board has a large reservoir of authority upon which to draw. Its duties and responsibilities proceed from the inherent powers conferred by 8</w:t>
      </w:r>
      <w:r>
        <w:t xml:space="preserve"> </w:t>
      </w:r>
      <w:r>
        <w:rPr>
          <w:iCs/>
          <w:i/>
        </w:rPr>
        <w:t xml:space="preserve">Del.C.</w:t>
      </w:r>
      <w:r>
        <w:t xml:space="preserve"> </w:t>
      </w:r>
      <w:r>
        <w:t xml:space="preserve">§ 141(a), respecting management of the corporation's "business and affairs".</w:t>
      </w:r>
      <w:hyperlink w:anchor="Xc63af6f2c97247a3afd25c6135de379216f0368">
        <w:r>
          <w:rPr>
            <w:rStyle w:val="Hyperlink"/>
            <w:vertAlign w:val="superscript"/>
          </w:rPr>
          <w:t xml:space="preserve">[6]</w:t>
        </w:r>
      </w:hyperlink>
      <w:r>
        <w:t xml:space="preserve"> </w:t>
      </w:r>
      <w:r>
        <w:t xml:space="preserve">Additionally, the powers here being exercised derive from 8</w:t>
      </w:r>
      <w:r>
        <w:t xml:space="preserve"> </w:t>
      </w:r>
      <w:r>
        <w:rPr>
          <w:iCs/>
          <w:i/>
        </w:rPr>
        <w:t xml:space="preserve">Del.C.</w:t>
      </w:r>
      <w:r>
        <w:t xml:space="preserve"> </w:t>
      </w:r>
      <w:r>
        <w:t xml:space="preserve">§ 160(a), conferring broad authority upon a corporation to deal in its own stock.</w:t>
      </w:r>
      <w:hyperlink w:anchor="Xb152ac16dbdfcfef27acefdf7939c2d3700d8d7">
        <w:r>
          <w:rPr>
            <w:rStyle w:val="Hyperlink"/>
            <w:vertAlign w:val="superscript"/>
          </w:rPr>
          <w:t xml:space="preserve">[7]</w:t>
        </w:r>
      </w:hyperlink>
      <w:r>
        <w:t xml:space="preserve"> </w:t>
      </w:r>
      <w:r>
        <w:t xml:space="preserve">From this it is now well established that in the acquisition of its shares a [954] Delaware corporation may deal selectively with its stockholders, provided the directors have not acted out of a sole or primary purpose to entrench themselves in office.</w:t>
      </w:r>
      <w:r>
        <w:t xml:space="preserve"> </w:t>
      </w:r>
      <w:r>
        <w:rPr>
          <w:rStyle w:val="Elision"/>
        </w:rPr>
        <w:t xml:space="preserve">[ … ]</w:t>
      </w:r>
    </w:p>
    <w:p>
      <w:pPr>
        <w:pStyle w:val="CaseBody"/>
      </w:pPr>
      <w:r>
        <w:t xml:space="preserve">Finally, the board's power to act derives from its fundamental duty and obligation to protect the corporate enterprise, which includes stockholders, from harm reasonably perceived, irrespective of its source.</w:t>
      </w:r>
      <w:r>
        <w:t xml:space="preserve"> </w:t>
      </w:r>
      <w:r>
        <w:rPr>
          <w:rStyle w:val="Elision"/>
        </w:rPr>
        <w:t xml:space="preserve">[ … ]</w:t>
      </w:r>
      <w:r>
        <w:t xml:space="preserve"> </w:t>
      </w:r>
      <w:r>
        <w:t xml:space="preserve">Thus, we are satisfied that in the broad context of corporate governance, including issues of fundamental corporate change, a board of directors is not a passive instrumentality.</w:t>
      </w:r>
      <w:hyperlink w:anchor="Xf5370de4dd2633e6f5770f2cb74c9499908ed13">
        <w:r>
          <w:rPr>
            <w:rStyle w:val="Hyperlink"/>
            <w:vertAlign w:val="superscript"/>
          </w:rPr>
          <w:t xml:space="preserve">[8]</w:t>
        </w:r>
      </w:hyperlink>
    </w:p>
    <w:p>
      <w:pPr>
        <w:pStyle w:val="CaseBody"/>
      </w:pPr>
      <w:r>
        <w:t xml:space="preserve">Given the foregoing principles, we turn to the standards by which director action is to be measured.</w:t>
      </w:r>
      <w:r>
        <w:t xml:space="preserve"> </w:t>
      </w:r>
      <w:r>
        <w:rPr>
          <w:rStyle w:val="Elision"/>
        </w:rPr>
        <w:t xml:space="preserve">[ … ]</w:t>
      </w:r>
    </w:p>
    <w:p>
      <w:pPr>
        <w:pStyle w:val="CaseBody"/>
      </w:pPr>
      <w:r>
        <w:t xml:space="preserve">When a board addresses a pending takeover bid it has an obligation to determine whether the offer is in the best interests of the corporation and its shareholders. In that respect a board's duty is no different from any other responsibility it shoulders, and its decisions should be no less entitled to the respect they otherwise would be accorded in the realm of business judgment.</w:t>
      </w:r>
      <w:hyperlink w:anchor="Xd066bcd549b48bfcf74b4b188f2ed687fb5a020">
        <w:r>
          <w:rPr>
            <w:rStyle w:val="Hyperlink"/>
            <w:vertAlign w:val="superscript"/>
          </w:rPr>
          <w:t xml:space="preserve">[9]</w:t>
        </w:r>
      </w:hyperlink>
      <w:r>
        <w:t xml:space="preserve"> </w:t>
      </w:r>
      <w:r>
        <w:rPr>
          <w:rStyle w:val="Elision"/>
        </w:rPr>
        <w:t xml:space="preserve">[ … ]</w:t>
      </w:r>
      <w:r>
        <w:t xml:space="preserve">There are, however, certain caveats to a proper exercise of this function. Because of the omnipresent specter that a board may be acting primarily in its own interests, rather than those of the corporation and its shareholders, there is an enhanced duty which calls for judicial examination at the threshold before the protections of the business judgment rule may be conferred.</w:t>
      </w:r>
    </w:p>
    <w:p>
      <w:pPr>
        <w:pStyle w:val="CaseBody"/>
      </w:pPr>
      <w:r>
        <w:t xml:space="preserve">This Court has long recognized that:</w:t>
      </w:r>
    </w:p>
    <w:p>
      <w:pPr>
        <w:pStyle w:val="BlockText"/>
      </w:pPr>
      <w:r>
        <w:t xml:space="preserve">[955] We must bear in mind the inherent danger in the purchase of shares with corporate funds to remove a threat to corporate policy when a threat to control is involved. The directors are of necessity confronted with a conflict of interest, and an objective decision is difficult.</w:t>
      </w:r>
    </w:p>
    <w:p>
      <w:pPr>
        <w:pStyle w:val="CaseBody"/>
      </w:pPr>
      <w:r>
        <w:rPr>
          <w:rStyle w:val="Elision"/>
        </w:rPr>
        <w:t xml:space="preserve">[ … ]</w:t>
      </w:r>
      <w:r>
        <w:t xml:space="preserve"> </w:t>
      </w:r>
      <w:r>
        <w:t xml:space="preserve">In the face of this inherent conflict directors must show that they had reasonable grounds for believing that a danger to corporate policy and effectiveness existed because of another person's stock ownership.</w:t>
      </w:r>
      <w:r>
        <w:t xml:space="preserve"> </w:t>
      </w:r>
      <w:r>
        <w:rPr>
          <w:rStyle w:val="Elision"/>
        </w:rPr>
        <w:t xml:space="preserve">[ … ]</w:t>
      </w:r>
      <w:r>
        <w:t xml:space="preserve">However, they satisfy that burden "by showing good faith and reasonable investigation...."</w:t>
      </w:r>
      <w:r>
        <w:t xml:space="preserve"> </w:t>
      </w:r>
      <w:r>
        <w:rPr>
          <w:rStyle w:val="Elision"/>
        </w:rPr>
        <w:t xml:space="preserve">[ … ]</w:t>
      </w:r>
      <w:r>
        <w:t xml:space="preserve">Furthermore, such proof is materially enhanced, as here, by the approval of a board comprised of a majority of outside independent directors who have acted in accordance with the foregoing standards.</w:t>
      </w:r>
      <w:r>
        <w:t xml:space="preserve"> </w:t>
      </w:r>
      <w:r>
        <w:rPr>
          <w:rStyle w:val="Elision"/>
        </w:rPr>
        <w:t xml:space="preserve">[ … ]</w:t>
      </w:r>
    </w:p>
    <w:bookmarkEnd w:id="220"/>
    <w:bookmarkStart w:id="221" w:name="iv."/>
    <w:p>
      <w:pPr>
        <w:pStyle w:val="Heading2"/>
      </w:pPr>
      <w:r>
        <w:t xml:space="preserve">IV.</w:t>
      </w:r>
    </w:p>
    <w:bookmarkEnd w:id="221"/>
    <w:bookmarkStart w:id="222" w:name="a."/>
    <w:p>
      <w:pPr>
        <w:pStyle w:val="Heading2"/>
      </w:pPr>
      <w:r>
        <w:t xml:space="preserve">A.</w:t>
      </w:r>
    </w:p>
    <w:p>
      <w:pPr>
        <w:pStyle w:val="CaseBody"/>
      </w:pPr>
      <w:r>
        <w:t xml:space="preserve">In the board's exercise of corporate power to forestall a takeover bid our analysis begins with the basic principle that corporate directors have a fiduciary duty to act in the best interests of the corporation's stockholders.</w:t>
      </w:r>
      <w:r>
        <w:t xml:space="preserve"> </w:t>
      </w:r>
      <w:r>
        <w:rPr>
          <w:rStyle w:val="Elision"/>
        </w:rPr>
        <w:t xml:space="preserve">[ … ]</w:t>
      </w:r>
      <w:r>
        <w:t xml:space="preserve">As we have noted, their duty of care extends to protecting the corporation and its owners from perceived harm whether a threat originates from third parties or other shareholders.</w:t>
      </w:r>
      <w:hyperlink w:anchor="Xb06ebd7eff0608d219a49674e0bfa4ddb1f3bb8">
        <w:r>
          <w:rPr>
            <w:rStyle w:val="Hyperlink"/>
            <w:vertAlign w:val="superscript"/>
          </w:rPr>
          <w:t xml:space="preserve">[10]</w:t>
        </w:r>
      </w:hyperlink>
      <w:r>
        <w:t xml:space="preserve"> </w:t>
      </w:r>
      <w:r>
        <w:t xml:space="preserve">But such powers are not absolute. A corporation does not have unbridled discretion to defeat any perceived threat by any Draconian means available.</w:t>
      </w:r>
    </w:p>
    <w:p>
      <w:pPr>
        <w:pStyle w:val="CaseBody"/>
      </w:pPr>
      <w:r>
        <w:t xml:space="preserve">The restriction placed upon a selective stock repurchase is that the directors may not have acted solely or primarily out of a desire to perpetuate themselves in office.</w:t>
      </w:r>
      <w:r>
        <w:t xml:space="preserve"> </w:t>
      </w:r>
      <w:r>
        <w:rPr>
          <w:rStyle w:val="Elision"/>
        </w:rPr>
        <w:t xml:space="preserve">[ … ]</w:t>
      </w:r>
      <w:r>
        <w:t xml:space="preserve">Of course, to this is added the further caveat that inequitable action may not be taken under the guise of law.</w:t>
      </w:r>
      <w:r>
        <w:t xml:space="preserve"> </w:t>
      </w:r>
      <w:r>
        <w:rPr>
          <w:iCs/>
          <w:i/>
        </w:rPr>
        <w:t xml:space="preserve">Schnell v. Chris-Craft Industries, Inc.,</w:t>
      </w:r>
      <w:r>
        <w:t xml:space="preserve"> </w:t>
      </w:r>
      <w:r>
        <w:t xml:space="preserve">Del.Supr., 285 A.2d 437, 439 (1971). The standard of proof</w:t>
      </w:r>
      <w:r>
        <w:t xml:space="preserve"> </w:t>
      </w:r>
      <w:r>
        <w:rPr>
          <w:rStyle w:val="Elision"/>
        </w:rPr>
        <w:t xml:space="preserve">[ … ]</w:t>
      </w:r>
      <w:r>
        <w:t xml:space="preserve"> </w:t>
      </w:r>
      <w:r>
        <w:t xml:space="preserve">is designed to ensure that a defensive measure to thwart or impede a takeover is indeed motivated by a good faith concern for the welfare of the corporation and its stockholders, which in all circumstances must be free of any fraud or other misconduct.</w:t>
      </w:r>
      <w:r>
        <w:t xml:space="preserve"> </w:t>
      </w:r>
      <w:r>
        <w:rPr>
          <w:rStyle w:val="Elision"/>
        </w:rPr>
        <w:t xml:space="preserve">[ … ]</w:t>
      </w:r>
      <w:r>
        <w:t xml:space="preserve"> </w:t>
      </w:r>
      <w:r>
        <w:t xml:space="preserve">However, this does not end the inquiry.</w:t>
      </w:r>
    </w:p>
    <w:bookmarkEnd w:id="222"/>
    <w:bookmarkStart w:id="223" w:name="b."/>
    <w:p>
      <w:pPr>
        <w:pStyle w:val="Heading2"/>
      </w:pPr>
      <w:r>
        <w:t xml:space="preserve">B.</w:t>
      </w:r>
    </w:p>
    <w:p>
      <w:pPr>
        <w:pStyle w:val="CaseBody"/>
      </w:pPr>
      <w:r>
        <w:t xml:space="preserve">A further aspect is the element of balance. If a defensive measure is to come within the ambit of the business judgment rule, it must be reasonable in relation to the threat posed. This entails an analysis by the directors of the nature of the takeover bid and its effect on the corporate enterprise. Examples of such concerns may include: inadequacy of the price offered, nature and timing of the offer, questions of illegality, the impact on "constituencies" other than shareholders (i.e., creditors, customers, employees, and perhaps even the community generally), the risk of nonconsummation, and the quality of securities being offered in the exchange.</w:t>
      </w:r>
      <w:r>
        <w:rPr>
          <w:rStyle w:val="Elision"/>
        </w:rPr>
        <w:t xml:space="preserve">[ … ]</w:t>
      </w:r>
      <w:r>
        <w:t xml:space="preserve">While not a controlling factor, it also seems to us that a board may reasonably consider the basic stockholder [956] interests at stake, including those of short term speculators, whose actions may have fueled the coercive aspect of the offer at the expense of the long term investor.</w:t>
      </w:r>
      <w:hyperlink w:anchor="Xe324c267f3dfabb80fae9fe996abc8ce9671634">
        <w:r>
          <w:rPr>
            <w:rStyle w:val="Hyperlink"/>
            <w:vertAlign w:val="superscript"/>
          </w:rPr>
          <w:t xml:space="preserve">[11]</w:t>
        </w:r>
      </w:hyperlink>
      <w:r>
        <w:t xml:space="preserve"> </w:t>
      </w:r>
      <w:r>
        <w:t xml:space="preserve">Here, the threat posed was viewed by the Unocal board as a grossly inadequate two-tier coercive tender offer coupled with the threat of greenmail.</w:t>
      </w:r>
    </w:p>
    <w:p>
      <w:pPr>
        <w:pStyle w:val="CaseBody"/>
      </w:pPr>
      <w:r>
        <w:t xml:space="preserve">Specifically, the Unocal directors had concluded that the value of Unocal was substantially above the $54 per share offered in cash at the front end. Furthermore, they determined that the subordinated securities to be exchanged in Mesa's announced squeeze out of the remaining shareholders in the "back-end" merger were "junk bonds" worth far less than $54. It is now well recognized that such offers are a classic coercive measure designed to stampede shareholders into tendering at the first tier, even if the price is inadequate, out of fear of what they will receive at the back end of the transaction.</w:t>
      </w:r>
      <w:hyperlink w:anchor="Xc4741137c64f91e4139d78f199d629bbd35c11c">
        <w:r>
          <w:rPr>
            <w:rStyle w:val="Hyperlink"/>
            <w:vertAlign w:val="superscript"/>
          </w:rPr>
          <w:t xml:space="preserve">[12]</w:t>
        </w:r>
      </w:hyperlink>
      <w:r>
        <w:t xml:space="preserve"> </w:t>
      </w:r>
      <w:r>
        <w:t xml:space="preserve">Wholly beyond the coercive aspect of an inadequate two-tier tender offer, the threat was posed by a corporate raider with a national reputation as a "greenmailer".</w:t>
      </w:r>
      <w:hyperlink w:anchor="Xf73d291b7494d10d94cd1231a8d7843b52bda2f">
        <w:r>
          <w:rPr>
            <w:rStyle w:val="Hyperlink"/>
            <w:vertAlign w:val="superscript"/>
          </w:rPr>
          <w:t xml:space="preserve">[13]</w:t>
        </w:r>
      </w:hyperlink>
    </w:p>
    <w:p>
      <w:pPr>
        <w:pStyle w:val="CaseBody"/>
      </w:pPr>
      <w:r>
        <w:t xml:space="preserve">In adopting the selective exchange offer, the board stated that its objective was either to defeat the inadequate Mesa offer or, should the offer still succeed, provide the 49% of its stockholders, who would otherwise be forced to accept "junk bonds", with $72 worth of senior debt. We find that both purposes are valid.</w:t>
      </w:r>
    </w:p>
    <w:p>
      <w:pPr>
        <w:pStyle w:val="CaseBody"/>
      </w:pPr>
      <w:r>
        <w:t xml:space="preserve">However, such efforts would have been thwarted by Mesa's participation in the exchange offer. First, if Mesa could tender its shares, Unocal would effectively be subsidizing the former's continuing effort to buy Unocal stock at $54 per share. Second, Mesa could not, by definition, fit within the class of shareholders being protected from its own coercive and inadequate tender offer.</w:t>
      </w:r>
    </w:p>
    <w:p>
      <w:pPr>
        <w:pStyle w:val="CaseBody"/>
      </w:pPr>
      <w:r>
        <w:t xml:space="preserve">Thus, we are satisfied that the selective exchange offer is reasonably related to the threats posed. It is consistent with the principle that "the minority stockholder shall receive the substantial equivalent in value of what he had before."</w:t>
      </w:r>
      <w:r>
        <w:t xml:space="preserve"> </w:t>
      </w:r>
      <w:r>
        <w:rPr>
          <w:rStyle w:val="Elision"/>
        </w:rPr>
        <w:t xml:space="preserve">[ … ]</w:t>
      </w:r>
      <w:r>
        <w:t xml:space="preserve">This concept of fairness, while stated in the merger context, is also relevant [957] in the area of tender offer law. Thus, the board's decision to offer what it determined to be the fair value of the corporation to the 49% of its shareholders, who would otherwise be forced to accept highly subordinated "junk bonds", is reasonable and consistent with the directors' duty to ensure that the minority stockholders receive equal value for their shares.</w:t>
      </w:r>
    </w:p>
    <w:bookmarkEnd w:id="223"/>
    <w:bookmarkStart w:id="224" w:name="v."/>
    <w:p>
      <w:pPr>
        <w:pStyle w:val="Heading2"/>
      </w:pPr>
      <w:r>
        <w:t xml:space="preserve">V.</w:t>
      </w:r>
    </w:p>
    <w:p>
      <w:pPr>
        <w:pStyle w:val="CaseBody"/>
      </w:pPr>
      <w:r>
        <w:t xml:space="preserve">Mesa contends that it is unlawful, and the trial court agreed, for a corporation to discriminate in this fashion against one shareholder. It argues correctly that no case has ever sanctioned a device that precludes a raider from sharing in a benefit available to all other stockholders. However, as we have noted earlier, the principle of selective stock repurchases by a Delaware corporation is neither unknown nor unauthorized.</w:t>
      </w:r>
      <w:r>
        <w:t xml:space="preserve"> </w:t>
      </w:r>
      <w:r>
        <w:rPr>
          <w:rStyle w:val="Elision"/>
        </w:rPr>
        <w:t xml:space="preserve">[ … ]</w:t>
      </w:r>
      <w:r>
        <w:t xml:space="preserve">The only difference is that heretofore the approved transaction was the payment of "greenmail" to a raider or dissident posing a threat to the corporate enterprise. All other stockholders were denied such favored treatment, and given Mesa's past history of greenmail, its claims here are rather ironic.</w:t>
      </w:r>
    </w:p>
    <w:p>
      <w:pPr>
        <w:pStyle w:val="CaseBody"/>
      </w:pPr>
      <w:r>
        <w:t xml:space="preserve">However, our corporate law is not static. It must grow and develop in response to, indeed in anticipation of, evolving concepts and needs. Merely because the General Corporation Law is silent as to a specific matter does not mean that it is prohibited.</w:t>
      </w:r>
      <w:r>
        <w:t xml:space="preserve"> </w:t>
      </w:r>
      <w:r>
        <w:rPr>
          <w:rStyle w:val="Elision"/>
        </w:rPr>
        <w:t xml:space="preserve">[ … ]</w:t>
      </w:r>
      <w:r>
        <w:t xml:space="preserve"> </w:t>
      </w:r>
      <w:r>
        <w:t xml:space="preserve">In the days when</w:t>
      </w:r>
      <w:r>
        <w:t xml:space="preserve"> </w:t>
      </w:r>
      <w:r>
        <w:rPr>
          <w:iCs/>
          <w:i/>
        </w:rPr>
        <w:t xml:space="preserve">Cheff, Bennett, Martin</w:t>
      </w:r>
      <w:r>
        <w:t xml:space="preserve"> </w:t>
      </w:r>
      <w:r>
        <w:t xml:space="preserve">and</w:t>
      </w:r>
      <w:r>
        <w:t xml:space="preserve"> </w:t>
      </w:r>
      <w:r>
        <w:rPr>
          <w:iCs/>
          <w:i/>
        </w:rPr>
        <w:t xml:space="preserve">Kors</w:t>
      </w:r>
      <w:r>
        <w:t xml:space="preserve"> </w:t>
      </w:r>
      <w:r>
        <w:t xml:space="preserve">were decided, the tender offer, while not an unknown device, was virtually unused, and little was known of such methods as two-tier "front-end" loaded offers with their coercive effects. Then, the favored attack of a raider was stock acquisition followed by a proxy contest. Various defensive tactics, which provided no benefit whatever to the raider, evolved. Thus, the use of corporate funds by management to counter a proxy battle was approved.</w:t>
      </w:r>
      <w:r>
        <w:t xml:space="preserve"> </w:t>
      </w:r>
      <w:r>
        <w:rPr>
          <w:rStyle w:val="Elision"/>
        </w:rPr>
        <w:t xml:space="preserve">[ … ]</w:t>
      </w:r>
      <w:r>
        <w:t xml:space="preserve">Litigation, supported by corporate funds, aimed at the raider has long been a popular device.</w:t>
      </w:r>
    </w:p>
    <w:p>
      <w:pPr>
        <w:pStyle w:val="CaseBody"/>
      </w:pPr>
      <w:r>
        <w:t xml:space="preserve">More recently, as the sophistication of both raiders and targets has developed, a host of other defensive measures to counter such ever mounting threats has evolved and received judicial sanction. These include defensive charter amendments and other devices bearing some rather exotic, but apt, names: Crown Jewel, White Knight, Pac Man, and Golden Parachute. Each has highly selective features, the object of which is to deter or defeat the raider.</w:t>
      </w:r>
    </w:p>
    <w:p>
      <w:pPr>
        <w:pStyle w:val="CaseBody"/>
      </w:pPr>
      <w:r>
        <w:t xml:space="preserve">Thus, while the exchange offer is a form of selective treatment, given the nature of the threat posed here the response is neither unlawful nor unreasonable. If the board of directors is disinterested, has acted in good faith and with due care, its decision in the absence of an abuse of discretion will be upheld as a proper exercise of business judgment.</w:t>
      </w:r>
    </w:p>
    <w:p>
      <w:pPr>
        <w:pStyle w:val="CaseBody"/>
      </w:pPr>
      <w:r>
        <w:t xml:space="preserve">To this Mesa responds that the board is not disinterested, because the directors are receiving a benefit from the tender of their own shares, which because of the Mesa exclusion, does not devolve upon</w:t>
      </w:r>
      <w:r>
        <w:t xml:space="preserve"> </w:t>
      </w:r>
      <w:r>
        <w:rPr>
          <w:iCs/>
          <w:i/>
        </w:rPr>
        <w:t xml:space="preserve">all</w:t>
      </w:r>
      <w:r>
        <w:t xml:space="preserve"> </w:t>
      </w:r>
      <w:r>
        <w:t xml:space="preserve">stockholders equally.</w:t>
      </w:r>
      <w:r>
        <w:t xml:space="preserve"> </w:t>
      </w:r>
      <w:r>
        <w:rPr>
          <w:rStyle w:val="Elision"/>
        </w:rPr>
        <w:t xml:space="preserve">[ … ]</w:t>
      </w:r>
      <w:r>
        <w:t xml:space="preserve"> </w:t>
      </w:r>
      <w:r>
        <w:t xml:space="preserve">However, Mesa concedes that if the exclusion is valid, then the directors and all other stockholders share the same benefit. The answer of course is that the exclusion is valid, and the directors' participation in the exchange offer does not rise to the level of a disqualifying interest.</w:t>
      </w:r>
      <w:r>
        <w:t xml:space="preserve"> </w:t>
      </w:r>
      <w:r>
        <w:rPr>
          <w:rStyle w:val="Elision"/>
        </w:rPr>
        <w:t xml:space="preserve">[ … ]</w:t>
      </w:r>
    </w:p>
    <w:p>
      <w:pPr>
        <w:pStyle w:val="CaseBody"/>
      </w:pPr>
      <w:r>
        <w:t xml:space="preserve">[958] Nor does this become an "interested" director transaction merely because certain board members are large stockholders. As this Court has previously noted, that fact alone does not create a disqualifying "personal pecuniary interest" to defeat the operation of the business judgment rule.</w:t>
      </w:r>
      <w:r>
        <w:t xml:space="preserve"> </w:t>
      </w:r>
      <w:r>
        <w:rPr>
          <w:rStyle w:val="Elision"/>
        </w:rPr>
        <w:t xml:space="preserve">[ … ]</w:t>
      </w:r>
    </w:p>
    <w:p>
      <w:pPr>
        <w:pStyle w:val="CaseBody"/>
      </w:pPr>
      <w:r>
        <w:t xml:space="preserve">Mesa also argues that the exclusion permits the directors to abdicate the fiduciary duties they owe it. However, that is not so. The board continues to owe Mesa the duties of due care and loyalty. But in the face of the destructive threat Mesa's tender offer was perceived to pose, the board had a supervening duty to protect the corporate enterprise, which includes the other shareholders, from threatened harm.</w:t>
      </w:r>
    </w:p>
    <w:p>
      <w:pPr>
        <w:pStyle w:val="CaseBody"/>
      </w:pPr>
      <w:r>
        <w:t xml:space="preserve">Mesa contends that the basis of this action is punitive, and solely in response to the exercise of its rights of corporate democracy.</w:t>
      </w:r>
      <w:hyperlink w:anchor="X237b0f5e2665826aa9e5452344a64cba7613dc1">
        <w:r>
          <w:rPr>
            <w:rStyle w:val="Hyperlink"/>
            <w:vertAlign w:val="superscript"/>
          </w:rPr>
          <w:t xml:space="preserve">[14]</w:t>
        </w:r>
      </w:hyperlink>
      <w:r>
        <w:t xml:space="preserve"> </w:t>
      </w:r>
      <w:r>
        <w:t xml:space="preserve">Nothing precludes Mesa, as a stockholder, from acting in its own self-interest.</w:t>
      </w:r>
      <w:r>
        <w:t xml:space="preserve"> </w:t>
      </w:r>
      <w:r>
        <w:rPr>
          <w:rStyle w:val="Elision"/>
        </w:rPr>
        <w:t xml:space="preserve">[ … ]</w:t>
      </w:r>
      <w:r>
        <w:t xml:space="preserve">However, Mesa, while pursuing its own interests, has acted in a manner which a board consisting of a majority of independent directors has reasonably determined to be contrary to the best interests of Unocal and its other shareholders. In this situation, there is no support in Delaware law for the proposition that, when responding to a perceived harm, a corporation must guarantee a benefit to a stockholder who is deliberately provoking the danger being addressed. There is no obligation of self-sacrifice by a corporation and its shareholders in the face of such a challenge.</w:t>
      </w:r>
    </w:p>
    <w:p>
      <w:pPr>
        <w:pStyle w:val="CaseBody"/>
      </w:pPr>
      <w:r>
        <w:t xml:space="preserve">Here, the Court of Chancery specifically found that the "directors' decision [to oppose the Mesa tender offer] was made in the good faith belief that the Mesa tender offer is inadequate." Given our standard of review</w:t>
      </w:r>
      <w:r>
        <w:t xml:space="preserve"> </w:t>
      </w:r>
      <w:r>
        <w:rPr>
          <w:rStyle w:val="Elision"/>
        </w:rPr>
        <w:t xml:space="preserve">[ … ]</w:t>
      </w:r>
      <w:r>
        <w:t xml:space="preserve"> </w:t>
      </w:r>
      <w:r>
        <w:t xml:space="preserve">we are satisfied that Unocal's board has met its burden of proof.</w:t>
      </w:r>
      <w:r>
        <w:t xml:space="preserve"> </w:t>
      </w:r>
      <w:r>
        <w:rPr>
          <w:rStyle w:val="Elision"/>
        </w:rPr>
        <w:t xml:space="preserve">[ … ]</w:t>
      </w:r>
    </w:p>
    <w:bookmarkEnd w:id="224"/>
    <w:bookmarkStart w:id="225" w:name="vi."/>
    <w:p>
      <w:pPr>
        <w:pStyle w:val="Heading2"/>
      </w:pPr>
      <w:r>
        <w:t xml:space="preserve">VI.</w:t>
      </w:r>
    </w:p>
    <w:p>
      <w:pPr>
        <w:pStyle w:val="CaseBody"/>
      </w:pPr>
      <w:r>
        <w:t xml:space="preserve">In conclusion, there was directorial power to oppose the Mesa tender offer, and to undertake a selective stock exchange made in good faith and upon a reasonable investigation pursuant to a clear duty to protect the corporate enterprise. Further, the selective stock repurchase plan chosen by Unocal is reasonable in relation to the threat that the board rationally and reasonably believed was posed by Mesa's inadequate and coercive two-tier tender offer. Under those circumstances the board's action is entitled to be measured by the standards of the business judgment rule. Thus, unless it is shown by a preponderance of the evidence that the directors' decisions were primarily based on perpetuating themselves in office, or some other breach of fiduciary duty such as fraud, overreaching, lack of good faith, or being uninformed, a Court will not substitute its judgment for that of the board.</w:t>
      </w:r>
    </w:p>
    <w:p>
      <w:pPr>
        <w:pStyle w:val="CaseBody"/>
      </w:pPr>
      <w:r>
        <w:t xml:space="preserve">In this case that protection is not lost merely because Unocal's directors have [959] tendered their shares in the exchange offer. Given the validity of the Mesa exclusion, they are receiving a benefit shared generally by all other stockholders except Mesa.</w:t>
      </w:r>
      <w:r>
        <w:t xml:space="preserve"> </w:t>
      </w:r>
      <w:r>
        <w:rPr>
          <w:rStyle w:val="Elision"/>
        </w:rPr>
        <w:t xml:space="preserve">[ … ]</w:t>
      </w:r>
      <w:r>
        <w:t xml:space="preserve"> </w:t>
      </w:r>
      <w:r>
        <w:t xml:space="preserve">If the stockholders are displeased with the action of their elected representatives, the powers of corporate democracy are at their disposal to turn the board out.</w:t>
      </w:r>
      <w:r>
        <w:t xml:space="preserve"> </w:t>
      </w:r>
      <w:r>
        <w:rPr>
          <w:rStyle w:val="Elision"/>
        </w:rPr>
        <w:t xml:space="preserve">[ … ]</w:t>
      </w:r>
    </w:p>
    <w:p>
      <w:pPr>
        <w:pStyle w:val="CaseBody"/>
      </w:pPr>
      <w:r>
        <w:t xml:space="preserve">With the Court of Chancery's findings that the exchange offer was based on the board's good faith belief that the Mesa offer was inadequate, that the board's action was informed and taken with due care, that Mesa's prior activities justify a reasonable inference that its principle objective was greenmail, and implicitly, that the substance of the offer itself was reasonable and fair to the corporation and its stockholders if Mesa were included, we cannot say that the Unocal directors have acted in such a manner as to have passed an "unintelligent and unadvised judgment".</w:t>
      </w:r>
      <w:r>
        <w:t xml:space="preserve"> </w:t>
      </w:r>
      <w:r>
        <w:rPr>
          <w:rStyle w:val="Elision"/>
        </w:rPr>
        <w:t xml:space="preserve">[ … ]</w:t>
      </w:r>
      <w:r>
        <w:t xml:space="preserve">The decision of the Court of Chancery is therefore REVERSED, and the preliminary injunction is VACATED.</w:t>
      </w:r>
    </w:p>
    <w:p>
      <w:pPr>
        <w:pStyle w:val="CaseBody"/>
      </w:pPr>
      <w:hyperlink w:anchor="X09787fc405897980683f931d3d8fdd50f2bb00c">
        <w:r>
          <w:rPr>
            <w:rStyle w:val="Hyperlink"/>
          </w:rPr>
          <w:t xml:space="preserve">[1]</w:t>
        </w:r>
      </w:hyperlink>
      <w:r>
        <w:t xml:space="preserve"> </w:t>
      </w:r>
      <w:r>
        <w:t xml:space="preserve">T. Boone Pickens, Jr., is President and Chairman of the Board of Mesa Petroleum and President of Mesa Asset and controls the related Mesa entities.</w:t>
      </w:r>
    </w:p>
    <w:p>
      <w:pPr>
        <w:pStyle w:val="CaseBody"/>
      </w:pPr>
      <w:hyperlink w:anchor="Xdcede65e31a9f0d23f4c877b8db6ae9ec9301ef">
        <w:r>
          <w:rPr>
            <w:rStyle w:val="Hyperlink"/>
          </w:rPr>
          <w:t xml:space="preserve">[2]</w:t>
        </w:r>
      </w:hyperlink>
      <w:r>
        <w:t xml:space="preserve"> </w:t>
      </w:r>
      <w:r>
        <w:t xml:space="preserve">This appeal was heard on an expedited basis in light of the pending Mesa tender offer and Unocal exchange offer. We announced our decision to reverse in an oral ruling in open court on May 17, 1985 with the further statement that this opinion would follow shortly thereafter.</w:t>
      </w:r>
      <w:r>
        <w:t xml:space="preserve"> </w:t>
      </w:r>
      <w:r>
        <w:rPr>
          <w:iCs/>
          <w:i/>
        </w:rPr>
        <w:t xml:space="preserve">See infra</w:t>
      </w:r>
      <w:r>
        <w:t xml:space="preserve"> </w:t>
      </w:r>
      <w:r>
        <w:t xml:space="preserve">n. 5.</w:t>
      </w:r>
    </w:p>
    <w:p>
      <w:pPr>
        <w:pStyle w:val="CaseBody"/>
      </w:pPr>
      <w:hyperlink w:anchor="X43bd790b94ca4def5af9fba5646680e3e369e76">
        <w:r>
          <w:rPr>
            <w:rStyle w:val="Hyperlink"/>
          </w:rPr>
          <w:t xml:space="preserve">[3]</w:t>
        </w:r>
      </w:hyperlink>
      <w:r>
        <w:t xml:space="preserve">Mesa's May 3, 1985 supplement to its proxy statement states:</w:t>
      </w:r>
    </w:p>
    <w:p>
      <w:pPr>
        <w:pStyle w:val="CaseBody"/>
      </w:pPr>
      <w:r>
        <w:t xml:space="preserve">(i) following the Offer, the Purchasers would seek to effect a merger of Unocal and Mesa Eastern or an affiliate of Mesa Eastern (the "Merger") in which the remaining Shares would be acquired for a combination of subordinated debt securities and preferred stock; (ii) the securities to be received by Unocal shareholders in the Merger would be subordinated to $2,400 million of debt securities of Mesa Eastern, indebtedness incurred to refinance up to $1,000 million of bank debt which was incurred by affiliates of Mesa Partners II to purchase Shares and to pay related interest and expenses and all then-existing debt of Unocal; (iii) the corporation surviving the Merger would be responsible for the payment of all securities of Mesa Eastern (including any such securities issued pursuant to the Merger) and the indebtedness referred to in item (ii) above, and such securities and indebtedness would be repaid out of funds generated by the operations of Unocal; (iv) the indebtedness incurred in the Offer and the Merger would result in Unocal being much more highly leveraged, and the capitalization of the corporation surviving the Merger would differ significantly from that of Unocal at present; and (v) in their analyses of cash flows provided by operations of Unocal which would be available to service and repay securities and other obligations of the corporation surviving the Merger, the Purchasers assumed that the capital expenditures and expenditures for exploration of such corporation would be significantly reduced.</w:t>
      </w:r>
    </w:p>
    <w:p>
      <w:pPr>
        <w:pStyle w:val="CaseBody"/>
      </w:pPr>
      <w:hyperlink w:anchor="X5a929975512b08ce05d01feab777b1f754256f6">
        <w:r>
          <w:rPr>
            <w:rStyle w:val="Hyperlink"/>
          </w:rPr>
          <w:t xml:space="preserve">[4]</w:t>
        </w:r>
      </w:hyperlink>
      <w:r>
        <w:t xml:space="preserve"> </w:t>
      </w:r>
      <w:r>
        <w:t xml:space="preserve">Under Delaware law directors may participate in a board meeting by telephone. Thus, 8</w:t>
      </w:r>
      <w:r>
        <w:t xml:space="preserve"> </w:t>
      </w:r>
      <w:r>
        <w:rPr>
          <w:iCs/>
          <w:i/>
        </w:rPr>
        <w:t xml:space="preserve">Del.C.</w:t>
      </w:r>
      <w:r>
        <w:t xml:space="preserve">§ 141(i) provides:</w:t>
      </w:r>
    </w:p>
    <w:p>
      <w:pPr>
        <w:pStyle w:val="CaseBody"/>
      </w:pPr>
      <w:r>
        <w:t xml:space="preserve">Unless otherwise restricted by the certificate of incorporation or by-laws, members of the board of directors of any corporation, or any committee designated by the board, may participate in a meeting of such board or committee by means of conference telephone or similar communications equipment by means of which all persons participating in the meeting can hear each other, and participation in a meeting pursuant to this subsection shall constitute presence in person at such meeting.</w:t>
      </w:r>
    </w:p>
    <w:p>
      <w:pPr>
        <w:pStyle w:val="CaseBody"/>
      </w:pPr>
      <w:hyperlink w:anchor="Xe5ed043b5102f52a05740f1f8568a1d027a14d9">
        <w:r>
          <w:rPr>
            <w:rStyle w:val="Hyperlink"/>
          </w:rPr>
          <w:t xml:space="preserve">[5]</w:t>
        </w:r>
      </w:hyperlink>
      <w:r>
        <w:t xml:space="preserve"> </w:t>
      </w:r>
      <w:r>
        <w:t xml:space="preserve">Such expedition was required by the fact that if Unocal's exchange offer was permitted to proceed, the proration date for the shares entitled to be exchanged was May 17, 1985, while Mesa's tender offer expired on May 23. After acceptance of this appeal on May 14, we received excellent briefs from the parties, heard argument on May 16 and announced our oral ruling in open court at 9:00 a.m. on May 17.</w:t>
      </w:r>
      <w:r>
        <w:t xml:space="preserve"> </w:t>
      </w:r>
      <w:r>
        <w:rPr>
          <w:iCs/>
          <w:i/>
        </w:rPr>
        <w:t xml:space="preserve">See supra</w:t>
      </w:r>
      <w:r>
        <w:t xml:space="preserve"> </w:t>
      </w:r>
      <w:r>
        <w:t xml:space="preserve">n. 2.</w:t>
      </w:r>
    </w:p>
    <w:p>
      <w:pPr>
        <w:pStyle w:val="CaseBody"/>
      </w:pPr>
      <w:hyperlink w:anchor="Xb7bb74561f447846bb5c27d155a3ea4ead1f2f1">
        <w:r>
          <w:rPr>
            <w:rStyle w:val="Hyperlink"/>
          </w:rPr>
          <w:t xml:space="preserve">[6]</w:t>
        </w:r>
      </w:hyperlink>
      <w:r>
        <w:t xml:space="preserve"> </w:t>
      </w:r>
      <w:r>
        <w:t xml:space="preserve">The general grant of power to a board of directors is conferred by 8</w:t>
      </w:r>
      <w:r>
        <w:t xml:space="preserve"> </w:t>
      </w:r>
      <w:r>
        <w:rPr>
          <w:iCs/>
          <w:i/>
        </w:rPr>
        <w:t xml:space="preserve">Del.C.</w:t>
      </w:r>
      <w:r>
        <w:t xml:space="preserve">§ 141(a), which provides:</w:t>
      </w:r>
    </w:p>
    <w:p>
      <w:pPr>
        <w:pStyle w:val="BlockText"/>
      </w:pPr>
      <w:r>
        <w:t xml:space="preserve">(a) The business</w:t>
      </w:r>
      <w:r>
        <w:t xml:space="preserve"> </w:t>
      </w:r>
      <w:r>
        <w:rPr>
          <w:iCs/>
          <w:i/>
        </w:rPr>
        <w:t xml:space="preserve">and affairs</w:t>
      </w:r>
      <w:r>
        <w:t xml:space="preserve"> </w:t>
      </w:r>
      <w:r>
        <w:t xml:space="preserve">of every corporation organized under this chapter shall be managed by or under the direction of a board of directors, except as may be otherwise provided in this chapter or in its certificate of incorporation. If any such provision is made in the certificate of incorporation, the powers and duties conferred or imposed upon the board of directors by this chapter shall be exercised or performed to such extent and by such person or persons as shall be provided in the certificate of incorporation. (Emphasis added)</w:t>
      </w:r>
    </w:p>
    <w:p>
      <w:pPr>
        <w:pStyle w:val="CaseBody"/>
      </w:pPr>
      <w:hyperlink w:anchor="X835440fa9caedf14ff3f14a47a0de6165730007">
        <w:r>
          <w:rPr>
            <w:rStyle w:val="Hyperlink"/>
          </w:rPr>
          <w:t xml:space="preserve">[7]</w:t>
        </w:r>
      </w:hyperlink>
      <w:r>
        <w:t xml:space="preserve"> </w:t>
      </w:r>
      <w:r>
        <w:t xml:space="preserve">This power under 8</w:t>
      </w:r>
      <w:r>
        <w:t xml:space="preserve"> </w:t>
      </w:r>
      <w:r>
        <w:rPr>
          <w:iCs/>
          <w:i/>
        </w:rPr>
        <w:t xml:space="preserve">Del.C.</w:t>
      </w:r>
      <w:r>
        <w:t xml:space="preserve">§ 160(a), with certain exceptions not pertinent here, is as follows:</w:t>
      </w:r>
    </w:p>
    <w:p>
      <w:pPr>
        <w:pStyle w:val="CaseBody"/>
      </w:pPr>
      <w:r>
        <w:t xml:space="preserve">(a) Every corporation may purchase, redeem, receive, take or otherwise acquire, own and hold, sell, lend, exchange, transfer or otherwise dispose of, pledge, use and otherwise deal in and with its own shares; ...</w:t>
      </w:r>
    </w:p>
    <w:p>
      <w:pPr>
        <w:pStyle w:val="CaseBody"/>
      </w:pPr>
      <w:hyperlink w:anchor="Xa27414d235b580f164d38b3332468d1b3deaa73">
        <w:r>
          <w:rPr>
            <w:rStyle w:val="Hyperlink"/>
          </w:rPr>
          <w:t xml:space="preserve">[8]</w:t>
        </w:r>
      </w:hyperlink>
      <w:r>
        <w:t xml:space="preserve"> </w:t>
      </w:r>
      <w:r>
        <w:t xml:space="preserve">Even in the traditional areas of fundamental corporate change, i.e., charter, amendments [8</w:t>
      </w:r>
      <w:r>
        <w:t xml:space="preserve"> </w:t>
      </w:r>
      <w:r>
        <w:rPr>
          <w:iCs/>
          <w:i/>
        </w:rPr>
        <w:t xml:space="preserve">Del.C.</w:t>
      </w:r>
      <w:r>
        <w:t xml:space="preserve"> </w:t>
      </w:r>
      <w:r>
        <w:t xml:space="preserve">§ 242(b)], mergers [8</w:t>
      </w:r>
      <w:r>
        <w:t xml:space="preserve"> </w:t>
      </w:r>
      <w:r>
        <w:rPr>
          <w:iCs/>
          <w:i/>
        </w:rPr>
        <w:t xml:space="preserve">Del.C.</w:t>
      </w:r>
      <w:r>
        <w:t xml:space="preserve"> </w:t>
      </w:r>
      <w:r>
        <w:t xml:space="preserve">§§ 251(b), 252(c), 253(a), and 254(d)], sale of assets [8</w:t>
      </w:r>
      <w:r>
        <w:t xml:space="preserve"> </w:t>
      </w:r>
      <w:r>
        <w:rPr>
          <w:iCs/>
          <w:i/>
        </w:rPr>
        <w:t xml:space="preserve">Del.C.</w:t>
      </w:r>
      <w:r>
        <w:t xml:space="preserve"> </w:t>
      </w:r>
      <w:r>
        <w:t xml:space="preserve">§ 271(a)], and dissolution [8</w:t>
      </w:r>
      <w:r>
        <w:t xml:space="preserve"> </w:t>
      </w:r>
      <w:r>
        <w:rPr>
          <w:iCs/>
          <w:i/>
        </w:rPr>
        <w:t xml:space="preserve">Del.C.</w:t>
      </w:r>
      <w:r>
        <w:t xml:space="preserve"> </w:t>
      </w:r>
      <w:r>
        <w:t xml:space="preserve">§ 275(a)], director action is a prerequisite to the ultimate disposition of such matters.</w:t>
      </w:r>
      <w:r>
        <w:t xml:space="preserve"> </w:t>
      </w:r>
      <w:r>
        <w:rPr>
          <w:iCs/>
          <w:i/>
        </w:rPr>
        <w:t xml:space="preserve">See also,</w:t>
      </w:r>
      <w:r>
        <w:t xml:space="preserve"> </w:t>
      </w:r>
      <w:r>
        <w:rPr>
          <w:iCs/>
          <w:i/>
        </w:rPr>
        <w:t xml:space="preserve">Smith v. Van Gorkom,</w:t>
      </w:r>
      <w:r>
        <w:t xml:space="preserve"> </w:t>
      </w:r>
      <w:r>
        <w:t xml:space="preserve">Del.Supr., 488 A.2d 858, 888 (1985).</w:t>
      </w:r>
    </w:p>
    <w:p>
      <w:pPr>
        <w:pStyle w:val="CaseBody"/>
      </w:pPr>
      <w:hyperlink w:anchor="X24e234ee9bcd828420cefd31afc44a2ad2487af">
        <w:r>
          <w:rPr>
            <w:rStyle w:val="Hyperlink"/>
          </w:rPr>
          <w:t xml:space="preserve">[9]</w:t>
        </w:r>
      </w:hyperlink>
      <w:r>
        <w:t xml:space="preserve"> </w:t>
      </w:r>
      <w:r>
        <w:t xml:space="preserve">This is a subject of intense debate among practicing members of the bar and legal scholars. Excellent examples of these contending views are:</w:t>
      </w:r>
      <w:r>
        <w:t xml:space="preserve"> </w:t>
      </w:r>
      <w:r>
        <w:rPr>
          <w:rStyle w:val="Elision"/>
        </w:rPr>
        <w:t xml:space="preserve">[ … ]</w:t>
      </w:r>
      <w:r>
        <w:rPr>
          <w:rStyle w:val="Elision"/>
        </w:rPr>
        <w:t xml:space="preserve">[ … ]</w:t>
      </w:r>
      <w:r>
        <w:t xml:space="preserve"> </w:t>
      </w:r>
      <w:r>
        <w:t xml:space="preserve">Easterbrook &amp; Fischel,</w:t>
      </w:r>
      <w:r>
        <w:t xml:space="preserve"> </w:t>
      </w:r>
      <w:r>
        <w:rPr>
          <w:iCs/>
          <w:i/>
        </w:rPr>
        <w:t xml:space="preserve">The Proper Role of a Target's Management In Responding to a Tender Offer,</w:t>
      </w:r>
      <w:r>
        <w:t xml:space="preserve"> </w:t>
      </w:r>
      <w:r>
        <w:t xml:space="preserve">94 Harv.L.Rev. 1161 (1981).</w:t>
      </w:r>
      <w:r>
        <w:t xml:space="preserve"> </w:t>
      </w:r>
      <w:r>
        <w:rPr>
          <w:rStyle w:val="Elision"/>
        </w:rPr>
        <w:t xml:space="preserve">[ … ]</w:t>
      </w:r>
      <w:r>
        <w:t xml:space="preserve">Lipton,</w:t>
      </w:r>
      <w:r>
        <w:t xml:space="preserve"> </w:t>
      </w:r>
      <w:r>
        <w:rPr>
          <w:iCs/>
          <w:i/>
        </w:rPr>
        <w:t xml:space="preserve">Takeover Bids in the Target's Boardroom,</w:t>
      </w:r>
      <w:r>
        <w:t xml:space="preserve"> </w:t>
      </w:r>
      <w:r>
        <w:t xml:space="preserve">35 Bus.Law. 101 (1979).</w:t>
      </w:r>
    </w:p>
    <w:p>
      <w:pPr>
        <w:pStyle w:val="CaseBody"/>
      </w:pPr>
      <w:hyperlink w:anchor="Xb579263b81dcad6b02235f4cd8899a5613e576d">
        <w:r>
          <w:rPr>
            <w:rStyle w:val="Hyperlink"/>
          </w:rPr>
          <w:t xml:space="preserve">[10]</w:t>
        </w:r>
      </w:hyperlink>
      <w:r>
        <w:t xml:space="preserve"> </w:t>
      </w:r>
      <w:r>
        <w:t xml:space="preserve">It has been suggested that a board's response to a takeover threat should be a passive one. Easterbrook &amp; Fischel,</w:t>
      </w:r>
      <w:r>
        <w:t xml:space="preserve"> </w:t>
      </w:r>
      <w:r>
        <w:rPr>
          <w:iCs/>
          <w:i/>
        </w:rPr>
        <w:t xml:space="preserve">supra,</w:t>
      </w:r>
      <w:r>
        <w:t xml:space="preserve"> </w:t>
      </w:r>
      <w:r>
        <w:t xml:space="preserve">36 Bus.Law. at 1750. However, that clearly is not the law of Delaware, and as the proponents of this rule of passivity readily concede, it has not been adopted either by courts or state legislatures. Easterbrook &amp; Fischel,</w:t>
      </w:r>
      <w:r>
        <w:t xml:space="preserve"> </w:t>
      </w:r>
      <w:r>
        <w:rPr>
          <w:iCs/>
          <w:i/>
        </w:rPr>
        <w:t xml:space="preserve">supra,</w:t>
      </w:r>
      <w:r>
        <w:t xml:space="preserve"> </w:t>
      </w:r>
      <w:r>
        <w:t xml:space="preserve">94 Harv.L.Rev. at 1194.</w:t>
      </w:r>
    </w:p>
    <w:p>
      <w:pPr>
        <w:pStyle w:val="CaseBody"/>
      </w:pPr>
      <w:hyperlink w:anchor="X1257e7ddfcce464bc39f34001cc30b90f3b9d8f">
        <w:r>
          <w:rPr>
            <w:rStyle w:val="Hyperlink"/>
          </w:rPr>
          <w:t xml:space="preserve">[11]</w:t>
        </w:r>
      </w:hyperlink>
      <w:r>
        <w:t xml:space="preserve"> </w:t>
      </w:r>
      <w:r>
        <w:t xml:space="preserve">There has been much debate respecting such stockholder interests. One rather impressive study indicates that the stock of over 50 percent of target companies, who resisted hostile takeovers, later traded at higher market prices than the rejected offer price, or were acquired after the tender offer was defeated by another company at a price higher than the offer price.</w:t>
      </w:r>
      <w:r>
        <w:t xml:space="preserve"> </w:t>
      </w:r>
      <w:r>
        <w:rPr>
          <w:iCs/>
          <w:i/>
        </w:rPr>
        <w:t xml:space="preserve">See</w:t>
      </w:r>
      <w:r>
        <w:t xml:space="preserve"> </w:t>
      </w:r>
      <w:r>
        <w:t xml:space="preserve">Lipton,</w:t>
      </w:r>
      <w:r>
        <w:t xml:space="preserve"> </w:t>
      </w:r>
      <w:r>
        <w:rPr>
          <w:iCs/>
          <w:i/>
        </w:rPr>
        <w:t xml:space="preserve">supra</w:t>
      </w:r>
      <w:r>
        <w:t xml:space="preserve"> </w:t>
      </w:r>
      <w:r>
        <w:t xml:space="preserve">35 Bus.Law. at 106-109, 132-133. Moreover, an update by Kidder Peabody &amp; Company of this study, involving the stock prices of target companies that have defeated hostile tender offers during the period from 1973 to 1982 demonstrates that in a majority of cases the target's shareholders benefited from the defeat. The stock of 81% of the targets studied has, since the tender offer, sold at prices higher than the tender offer price. When adjusted for the time value of money, the figure is 64%.</w:t>
      </w:r>
      <w:r>
        <w:t xml:space="preserve"> </w:t>
      </w:r>
      <w:r>
        <w:rPr>
          <w:iCs/>
          <w:i/>
        </w:rPr>
        <w:t xml:space="preserve">See</w:t>
      </w:r>
      <w:r>
        <w:t xml:space="preserve"> </w:t>
      </w:r>
      <w:r>
        <w:t xml:space="preserve">Lipton &amp; Brownstein,</w:t>
      </w:r>
      <w:r>
        <w:t xml:space="preserve"> </w:t>
      </w:r>
      <w:r>
        <w:rPr>
          <w:iCs/>
          <w:i/>
        </w:rPr>
        <w:t xml:space="preserve">supra</w:t>
      </w:r>
      <w:r>
        <w:t xml:space="preserve"> </w:t>
      </w:r>
      <w:r>
        <w:t xml:space="preserve">ABA Institute at 10. The thesis being that this strongly supports application of the business judgment rule in response to takeover threats. There is, however, a rather vehement contrary view.</w:t>
      </w:r>
      <w:r>
        <w:t xml:space="preserve"> </w:t>
      </w:r>
      <w:r>
        <w:rPr>
          <w:iCs/>
          <w:i/>
        </w:rPr>
        <w:t xml:space="preserve">See</w:t>
      </w:r>
      <w:r>
        <w:t xml:space="preserve"> </w:t>
      </w:r>
      <w:r>
        <w:t xml:space="preserve">Easterbrook &amp; Fischel,</w:t>
      </w:r>
      <w:r>
        <w:t xml:space="preserve"> </w:t>
      </w:r>
      <w:r>
        <w:rPr>
          <w:iCs/>
          <w:i/>
        </w:rPr>
        <w:t xml:space="preserve">supra</w:t>
      </w:r>
      <w:r>
        <w:t xml:space="preserve"> </w:t>
      </w:r>
      <w:r>
        <w:t xml:space="preserve">36 Bus.Law. at 1739-1745.</w:t>
      </w:r>
    </w:p>
    <w:p>
      <w:pPr>
        <w:pStyle w:val="CaseBody"/>
      </w:pPr>
      <w:hyperlink w:anchor="X06e699c8640f3e60c751547f2e9b795417969b5">
        <w:r>
          <w:rPr>
            <w:rStyle w:val="Hyperlink"/>
          </w:rPr>
          <w:t xml:space="preserve">[12]</w:t>
        </w:r>
      </w:hyperlink>
      <w:r>
        <w:t xml:space="preserve"> </w:t>
      </w:r>
      <w:r>
        <w:t xml:space="preserve">For a discussion of the coercive nature of a two-tier tender offer see e.g., Brudney &amp; Chirelstein,</w:t>
      </w:r>
      <w:r>
        <w:t xml:space="preserve"> </w:t>
      </w:r>
      <w:r>
        <w:rPr>
          <w:iCs/>
          <w:i/>
        </w:rPr>
        <w:t xml:space="preserve">Fair Shares in Corporate Mergers and Takeovers,</w:t>
      </w:r>
      <w:r>
        <w:t xml:space="preserve"> </w:t>
      </w:r>
      <w:r>
        <w:t xml:space="preserve">88 Harv.L.Rev. 297, 337 (1974);</w:t>
      </w:r>
      <w:r>
        <w:t xml:space="preserve"> </w:t>
      </w:r>
      <w:r>
        <w:rPr>
          <w:rStyle w:val="Elision"/>
        </w:rPr>
        <w:t xml:space="preserve">[ … ]</w:t>
      </w:r>
    </w:p>
    <w:p>
      <w:pPr>
        <w:pStyle w:val="CaseBody"/>
      </w:pPr>
      <w:hyperlink w:anchor="Xebd72b44de04588e8b6cd20a7d65b8b0e1900f1">
        <w:r>
          <w:rPr>
            <w:rStyle w:val="Hyperlink"/>
          </w:rPr>
          <w:t xml:space="preserve">[13]</w:t>
        </w:r>
      </w:hyperlink>
      <w:r>
        <w:t xml:space="preserve"> </w:t>
      </w:r>
      <w:r>
        <w:t xml:space="preserve">The term "greenmail" refers to the practice of buying out a takeover bidder's stock at a premium that is not available to other shareholders in order to prevent the takeover. The Chancery Court noted that "Mesa has made tremendous profits from its takeover activities although in the past few years it has not been successful in acquiring any of the target companies on an unfriendly basis." Moreover, the trial court specifically found that the actions of the Unocal board were taken in good faith to eliminate both the inadequacies of the tender offer and to forestall the payment of "greenmail".</w:t>
      </w:r>
    </w:p>
    <w:p>
      <w:pPr>
        <w:pStyle w:val="CaseBody"/>
      </w:pPr>
      <w:hyperlink w:anchor="Xf7380f5c936928a463718337c67d8a2b0415426">
        <w:r>
          <w:rPr>
            <w:rStyle w:val="Hyperlink"/>
          </w:rPr>
          <w:t xml:space="preserve">[14]</w:t>
        </w:r>
      </w:hyperlink>
      <w:r>
        <w:t xml:space="preserve"> </w:t>
      </w:r>
      <w:r>
        <w:t xml:space="preserve">This seems to be the underlying basis of the trial court's principal reliance on the unreported Chancery decision of</w:t>
      </w:r>
      <w:r>
        <w:t xml:space="preserve"> </w:t>
      </w:r>
      <w:r>
        <w:rPr>
          <w:iCs/>
          <w:i/>
        </w:rPr>
        <w:t xml:space="preserve">Fisher v. Moltz,</w:t>
      </w:r>
      <w:r>
        <w:t xml:space="preserve"> </w:t>
      </w:r>
      <w:r>
        <w:t xml:space="preserve">Del.Ch. No. 6068 (1979), published in 5 Del.J.Corp.L. 530 (1980). However, the facts in</w:t>
      </w:r>
      <w:r>
        <w:t xml:space="preserve"> </w:t>
      </w:r>
      <w:r>
        <w:rPr>
          <w:iCs/>
          <w:i/>
        </w:rPr>
        <w:t xml:space="preserve">Fisher</w:t>
      </w:r>
      <w:r>
        <w:t xml:space="preserve"> </w:t>
      </w:r>
      <w:r>
        <w:t xml:space="preserve">are thoroughly distinguishable. There, a corporation offered to repurchase the shares of its former employees, except those of the plaintiffs, merely because the latter were then engaged in lawful competition with the company. No threat to the enterprise was posed, and at best it can be said that the exclusion was motivated by pique instead of a rational corporate purpose.</w:t>
      </w:r>
    </w:p>
    <w:bookmarkEnd w:id="225"/>
    <w:p>
      <w:pPr>
        <w:pStyle w:val="NodeEnd"/>
      </w:pPr>
      <w:r>
        <w:t xml:space="preserve"> </w:t>
      </w:r>
    </w:p>
    <w:p>
      <w:pPr>
        <w:pStyle w:val="NodeStart"/>
      </w:pPr>
      <w:r>
        <w:t xml:space="preserve"> </w:t>
      </w:r>
    </w:p>
    <w:p>
      <w:pPr>
        <w:pStyle w:val="HeadSeparator"/>
      </w:pPr>
      <w:r>
        <w:t xml:space="preserve"> </w:t>
      </w:r>
    </w:p>
    <w:bookmarkStart w:id="119" w:name="_auto_toc_119"/>
    <w:bookmarkEnd w:id="119"/>
    <w:p>
      <w:pPr>
        <w:pStyle w:val="ResourceNumber"/>
      </w:pPr>
      <w:r>
        <w:t xml:space="preserve">10.1.2</w:t>
      </w:r>
    </w:p>
    <w:p>
      <w:pPr>
        <w:pStyle w:val="ResourceTitle"/>
      </w:pPr>
      <w:r>
        <w:t xml:space="preserve">Smith v. Van Gorkom (Del. 1985)</w:t>
      </w:r>
    </w:p>
    <w:p>
      <w:pPr>
        <w:pStyle w:val="HeadFieldSeparator"/>
      </w:pPr>
      <w:r>
        <w:t xml:space="preserve"> </w:t>
      </w:r>
    </w:p>
    <w:p>
      <w:pPr>
        <w:pStyle w:val="ResourceHeadnote"/>
      </w:pPr>
      <w:r>
        <w:t xml:space="preserve">This is the one case where Delaware courts imposed monetary liability on disinterested directors for breach of the duty of care. It caused a storm. Liability insurance rates for directors skyrocketed. The Delaware legislature intervened by enacting DGCL 102(b)(7), which allows exculpatory charter provisions to eliminate damages for breaches of the duty of care (see next section). Such charter provisions are now standard. Even without them, however, it is unlikely that a Delaware court would impose liability on these facts today. The courts seem to have retrenched — not in their doctrine but in how they apply it.</w:t>
      </w:r>
      <w:r>
        <w:t xml:space="preserve"> </w:t>
      </w:r>
      <w:r>
        <w:rPr>
          <w:iCs/>
          <w:i/>
        </w:rPr>
        <w:t xml:space="preserve">﻿Cf. Disney</w:t>
      </w:r>
      <w:r>
        <w:t xml:space="preserve">﻿ below.</w:t>
      </w:r>
    </w:p>
    <w:p>
      <w:pPr>
        <w:pStyle w:val="ResourceHeadnote"/>
      </w:pPr>
      <w:r>
        <w:t xml:space="preserve">You should, therefore, read the case not as an exemplary application of the duty of care, but as a policy experiment: why is the corporate world so opposed to monetary damages on these facts?</w:t>
      </w:r>
    </w:p>
    <w:bookmarkStart w:id="226" w:name="Xd87620ccd2309b187a2cd24b70882e5c720b97a"/>
    <w:p>
      <w:pPr>
        <w:pStyle w:val="Heading3"/>
      </w:pPr>
      <w:r>
        <w:rPr>
          <w:bCs/>
          <w:b/>
        </w:rPr>
        <w:t xml:space="preserve">Background: the Acquisition Process</w:t>
      </w:r>
      <w:r>
        <w:t xml:space="preserve"> </w:t>
      </w:r>
      <w:r>
        <w:t xml:space="preserve">(more in M&amp;A,</w:t>
      </w:r>
      <w:r>
        <w:t xml:space="preserve"> </w:t>
      </w:r>
      <w:r>
        <w:rPr>
          <w:iCs/>
          <w:i/>
        </w:rPr>
        <w:t xml:space="preserve">infra</w:t>
      </w:r>
      <w:r>
        <w:t xml:space="preserve">)</w:t>
      </w:r>
    </w:p>
    <w:p>
      <w:pPr>
        <w:pStyle w:val="ResourceHeadnote"/>
      </w:pPr>
      <w:r>
        <w:t xml:space="preserve">The case involves the acquisition of the Trans Union Corporation by Marmon Group, Inc. As is typical, the acquisition is structured as a merger. The acquired corporation (the “target”) merges with the acquiror (the “buyer”) or one of the buyer's subsidiaries. In the merger, shares in the target are extinguished. In exchange, target shareholders receive cash or other consideration (usually shares in the buyer).</w:t>
      </w:r>
    </w:p>
    <w:p>
      <w:pPr>
        <w:pStyle w:val="ResourceHeadnote"/>
      </w:pPr>
      <w:r>
        <w:t xml:space="preserve">Under most U.S. statutes such as DGCL 251, the merger generally requires a merger agreement between the buyer and the target to be approved by the boards and a majority of the shareholders of each corporation. This entails two important consequences.</w:t>
      </w:r>
    </w:p>
    <w:p>
      <w:pPr>
        <w:pStyle w:val="ResourceHeadnote"/>
      </w:pPr>
      <w:r>
        <w:t xml:space="preserve">First, the board controls the process because only the board can have the corporation enter into the merger agreement. This is one example of why it is at least misleading to call shareholders the “owners of the corporation.”</w:t>
      </w:r>
    </w:p>
    <w:p>
      <w:pPr>
        <w:pStyle w:val="ResourceHeadnote"/>
      </w:pPr>
      <w:r>
        <w:t xml:space="preserve">Two, in public corporations, the requirement of shareholder approval means that several months will pass between signing the merger agreement and completion of the merger. This is the time it takes to convene the shareholder meeting and solicit proxies in accordance with the applicable corporate law and SEC proxy rules. Of course, many things can happen during this time. In particular, other potential buyers may appear on the scene.</w:t>
      </w:r>
    </w:p>
    <w:bookmarkEnd w:id="226"/>
    <w:bookmarkStart w:id="227" w:name="questions"/>
    <w:p>
      <w:pPr>
        <w:pStyle w:val="Heading3"/>
      </w:pPr>
      <w:r>
        <w:rPr>
          <w:bCs/>
          <w:b/>
        </w:rPr>
        <w:t xml:space="preserve">Questions</w:t>
      </w:r>
    </w:p>
    <w:p>
      <w:pPr>
        <w:pStyle w:val="BlockText"/>
      </w:pPr>
      <w:r>
        <w:t xml:space="preserve">1. According to the majority opinion, what did the directors do wrong? In other words, what should the directors have done differently? Why did the business judgment rule not apply?</w:t>
      </w:r>
      <w:r>
        <w:br/>
      </w:r>
      <w:r>
        <w:br/>
      </w:r>
      <w:r>
        <w:t xml:space="preserve">2. What are the dissenters’ counter-arguments?</w:t>
      </w:r>
      <w:r>
        <w:br/>
      </w:r>
      <w:r>
        <w:br/>
      </w:r>
      <w:r>
        <w:t xml:space="preserve">3. How do you think directors in other companies reacted to this decision — what, if anything, did they most likely do differently after Van Gorkom?</w:t>
      </w:r>
    </w:p>
    <w:bookmarkEnd w:id="227"/>
    <w:p>
      <w:pPr>
        <w:pStyle w:val="HeadEnd"/>
      </w:pPr>
      <w:r>
        <w:t xml:space="preserve"> </w:t>
      </w:r>
    </w:p>
    <w:p>
      <w:pPr>
        <w:pStyle w:val="CaseHeader"/>
      </w:pPr>
      <w:r>
        <w:t xml:space="preserve">488 A.2d 858</w:t>
      </w:r>
    </w:p>
    <w:p>
      <w:pPr>
        <w:pStyle w:val="CaseBody"/>
      </w:pPr>
      <w:r>
        <w:t xml:space="preserve">488 A.2d 858 (1985)</w:t>
      </w:r>
    </w:p>
    <w:p>
      <w:pPr>
        <w:pStyle w:val="CaseHeader"/>
      </w:pPr>
      <w:r>
        <w:t xml:space="preserve">Alden SMITH</w:t>
      </w:r>
      <w:r>
        <w:t xml:space="preserve"> </w:t>
      </w:r>
      <w:r>
        <w:rPr>
          <w:rStyle w:val="Elision"/>
        </w:rPr>
        <w:t xml:space="preserve">[ … ]</w:t>
      </w:r>
      <w:r>
        <w:br/>
      </w:r>
      <w:r>
        <w:t xml:space="preserve">v.</w:t>
      </w:r>
      <w:r>
        <w:br/>
      </w:r>
      <w:r>
        <w:t xml:space="preserve">Jerome W. VAN GORKOM,</w:t>
      </w:r>
      <w:r>
        <w:t xml:space="preserve"> </w:t>
      </w:r>
      <w:r>
        <w:rPr>
          <w:rStyle w:val="Elision"/>
        </w:rPr>
        <w:t xml:space="preserve">[ … ]</w:t>
      </w:r>
    </w:p>
    <w:p>
      <w:pPr>
        <w:pStyle w:val="CaseBody"/>
      </w:pPr>
      <w:r>
        <w:t xml:space="preserve">Supreme Court of Delaware.</w:t>
      </w:r>
      <w:r>
        <w:br/>
      </w:r>
      <w:r>
        <w:rPr>
          <w:rStyle w:val="Elision"/>
        </w:rPr>
        <w:t xml:space="preserve">[ … ]</w:t>
      </w:r>
      <w:r>
        <w:br/>
      </w:r>
      <w:r>
        <w:t xml:space="preserve">Decided: January 29, 1985.</w:t>
      </w:r>
      <w:r>
        <w:br/>
      </w:r>
      <w:r>
        <w:rPr>
          <w:rStyle w:val="Elision"/>
        </w:rPr>
        <w:t xml:space="preserve">[ … ]</w:t>
      </w:r>
    </w:p>
    <w:p>
      <w:pPr>
        <w:pStyle w:val="CaseBody"/>
      </w:pPr>
      <w:r>
        <w:t xml:space="preserve">This appeal from the Court of Chancery involves a class action brought by shareholders of the defendant Trans Union Corporation ("Trans Union" or "the Company"), originally seeking rescission of a cash-out merger of Trans Union into the defendant New T Company ("New T"), a wholly-owned subsidiary of the defendant, Marmon Group, Inc. ("Marmon"). Alternate relief in the form of damages is sought against the defendant members of the Board of Directors of Trans Union, [864] New T, and Jay A. Pritzker and Robert A. Pritzker, owners of Marmon.</w:t>
      </w:r>
      <w:hyperlink w:anchor="X9724c075cb81a358ffcb5a34c96010a5cc5bb8e">
        <w:r>
          <w:rPr>
            <w:rStyle w:val="Hyperlink"/>
            <w:vertAlign w:val="superscript"/>
          </w:rPr>
          <w:t xml:space="preserve">[1]</w:t>
        </w:r>
      </w:hyperlink>
    </w:p>
    <w:p>
      <w:pPr>
        <w:pStyle w:val="CaseBody"/>
      </w:pPr>
      <w:r>
        <w:t xml:space="preserve">Following trial, the former Chancellor granted judgment for the defendant directors by unreported letter opinion dated July 6, 1982.</w:t>
      </w:r>
      <w:hyperlink w:anchor="X3cde331671b99bbf68a0a3f05aefc1ea4b3fbba">
        <w:r>
          <w:rPr>
            <w:rStyle w:val="Hyperlink"/>
            <w:vertAlign w:val="superscript"/>
          </w:rPr>
          <w:t xml:space="preserve">[2]</w:t>
        </w:r>
      </w:hyperlink>
      <w:r>
        <w:t xml:space="preserve"> </w:t>
      </w:r>
      <w:r>
        <w:t xml:space="preserve">Judgment was based on two findings: (1) that the Board of Directors had acted in an informed manner so as to be entitled to protection of the business judgment rule in approving the cash-out merger; and (2) that the shareholder vote approving the merger should not be set aside because the stockholders had been "fairly informed" by the Board of Directors before voting thereon. The plaintiffs appeal.</w:t>
      </w:r>
    </w:p>
    <w:p>
      <w:pPr>
        <w:pStyle w:val="CaseBody"/>
      </w:pPr>
      <w:r>
        <w:t xml:space="preserve">Speaking for the majority of the Court, we conclude that both rulings of the Court of Chancery are clearly erroneous. Therefore, we reverse and direct that judgment be entered in favor of the plaintiffs and against the defendant directors for the fair value of the plaintiffs' stockholdings in Trans Union, in accordance with</w:t>
      </w:r>
      <w:r>
        <w:t xml:space="preserve"> </w:t>
      </w:r>
      <w:r>
        <w:rPr>
          <w:iCs/>
          <w:i/>
        </w:rPr>
        <w:t xml:space="preserve">Weinberger v. UOP, Inc.,</w:t>
      </w:r>
      <w:r>
        <w:t xml:space="preserve"> </w:t>
      </w:r>
      <w:r>
        <w:t xml:space="preserve">Del.Supr., 457 A.2d 701 (1983).</w:t>
      </w:r>
      <w:hyperlink w:anchor="Xe62b2a8180b09831e98ccc95c72dac5596f972c">
        <w:r>
          <w:rPr>
            <w:rStyle w:val="Hyperlink"/>
            <w:vertAlign w:val="superscript"/>
          </w:rPr>
          <w:t xml:space="preserve">[3]</w:t>
        </w:r>
      </w:hyperlink>
    </w:p>
    <w:p>
      <w:pPr>
        <w:pStyle w:val="CaseBody"/>
      </w:pPr>
      <w:r>
        <w:t xml:space="preserve">We hold: (1) that the Board's decision, reached September 20, 1980, to approve the proposed cash-out merger was not the product of an informed business judgment; (2) that the Board's subsequent efforts to amend the Merger Agreement and take other curative action were ineffectual, both legally and factually; and (3) that the Board did not deal with complete candor with the stockholders by failing to disclose all material facts, which they knew or should have known, before securing the stockholders' approval of the merger.</w:t>
      </w:r>
    </w:p>
    <w:bookmarkStart w:id="228" w:name="i.-1"/>
    <w:p>
      <w:pPr>
        <w:pStyle w:val="Heading2"/>
      </w:pPr>
      <w:r>
        <w:t xml:space="preserve">I.</w:t>
      </w:r>
    </w:p>
    <w:p>
      <w:pPr>
        <w:pStyle w:val="CaseBody"/>
      </w:pPr>
      <w:r>
        <w:t xml:space="preserve">The nature of this case requires a detailed factual statement. The following facts are essentially uncontradicted:</w:t>
      </w:r>
      <w:hyperlink w:anchor="X751d3fae0caff85e02769606bd4f3f697a49d40">
        <w:r>
          <w:rPr>
            <w:rStyle w:val="Hyperlink"/>
            <w:vertAlign w:val="superscript"/>
          </w:rPr>
          <w:t xml:space="preserve">[4]</w:t>
        </w:r>
      </w:hyperlink>
    </w:p>
    <w:bookmarkEnd w:id="228"/>
    <w:bookmarkStart w:id="229" w:name="a-"/>
    <w:p>
      <w:pPr>
        <w:pStyle w:val="Heading2"/>
      </w:pPr>
      <w:r>
        <w:t xml:space="preserve">-A-</w:t>
      </w:r>
    </w:p>
    <w:p>
      <w:pPr>
        <w:pStyle w:val="CaseBody"/>
      </w:pPr>
      <w:r>
        <w:t xml:space="preserve">Trans Union was a publicly-traded, diversified holding company, the principal earnings of which were generated by its railcar leasing business. During the period here involved, the Company had a cash flow of hundreds of millions of dollars annually.</w:t>
      </w:r>
      <w:r>
        <w:t xml:space="preserve"> </w:t>
      </w:r>
      <w:r>
        <w:t xml:space="preserve">However, the Company had difficulty in generating sufficient taxable income to offset increasingly large investment tax credits (ITCs). Accelerated depreciation deductions had decreased available taxable income against which to offset accumulating ITCs. The Company took these deductions, despite their effect on usable ITCs, because the rental price in the railcar leasing market had already impounded the purported tax savings.</w:t>
      </w:r>
      <w:r>
        <w:rPr>
          <w:rStyle w:val="FootnoteReference"/>
        </w:rPr>
        <w:footnoteReference w:customMarkFollows="1" w:id="5"/>
        <w:t xml:space="preserve">*</w:t>
      </w:r>
    </w:p>
    <w:p>
      <w:pPr>
        <w:pStyle w:val="CaseBody"/>
      </w:pPr>
      <w:r>
        <w:t xml:space="preserve">In the late 1970's, together with other capital-intensive firms, Trans Union lobbied in Congress to have ITCs refundable in cash to firms which could not fully utilize the credit. During the summer of 1980, defendant Jerome W. Van Gorkom, Trans Union's Chairman and Chief Executive Officer, [865] testified and lobbied in Congress for refundability of ITCs and against further accelerated depreciation. By the end of August, Van Gorkom was convinced that Congress would neither accept the refundability concept nor curtail further accelerated depreciation.</w:t>
      </w:r>
    </w:p>
    <w:p>
      <w:pPr>
        <w:pStyle w:val="CaseBody"/>
      </w:pPr>
      <w:r>
        <w:t xml:space="preserve">Beginning in the late 1960's, and continuing through the 1970's, Trans Union pursued a program of acquiring small companies in order to increase available taxable income. In July 1980, Trans Union Management prepared the annual revision of the Company's Five Year Forecast. This report was presented to the Board of Directors at its July, 1980 meeting. The report projected an annual income growth of about 20%. The report also concluded that Trans Union would have about $195 million in spare cash between 1980 and 1985, "with the surplus growing rapidly from 1982 onward." The report referred to the ITC situation as a "nagging problem" and, given that problem, the leasing company "would still appear to be constrained to a tax breakeven." The report then listed four alternative uses of the projected 1982-1985 equity surplus: (1) stock repurchase; (2) dividend increases; (3) a major acquisition program; and (4) combinations of the above. The sale of Trans Union was not among the alternatives. The report emphasized that, despite the overall surplus, the operation of the Company would consume all available equity for the next several years, and concluded: "As a result, we have sufficient time to fully develop our course of action."</w:t>
      </w:r>
    </w:p>
    <w:bookmarkEnd w:id="229"/>
    <w:bookmarkStart w:id="230" w:name="b-"/>
    <w:p>
      <w:pPr>
        <w:pStyle w:val="Heading2"/>
      </w:pPr>
      <w:r>
        <w:t xml:space="preserve">-B-</w:t>
      </w:r>
    </w:p>
    <w:p>
      <w:pPr>
        <w:pStyle w:val="CaseBody"/>
      </w:pPr>
      <w:r>
        <w:t xml:space="preserve">On August 27, 1980, Van Gorkom met with Senior Management of Trans Union. Van Gorkom reported on his lobbying efforts in Washington and his desire to find a solution to the tax credit problem more permanent than a continued program of acquisitions. Various alternatives were suggested and discussed preliminarily, including the sale of Trans Union to a company with a large amount of taxable income.</w:t>
      </w:r>
    </w:p>
    <w:p>
      <w:pPr>
        <w:pStyle w:val="CaseBody"/>
      </w:pPr>
      <w:r>
        <w:t xml:space="preserve">Donald Romans, Chief Financial Officer of Trans Union, stated that his department had done a "very brief bit of work on the possibility of a leveraged buy-out." This work had been prompted by a media article which Romans had seen regarding a leveraged buy-out by management. The work consisted of a "preliminary study" of the cash which could be generated by the Company if it participated in a leveraged buyout. As Romans stated, this analysis "was very first and rough cut at seeing whether a cash flow would support what might be considered a high price for this type of transaction."</w:t>
      </w:r>
    </w:p>
    <w:p>
      <w:pPr>
        <w:pStyle w:val="CaseBody"/>
      </w:pPr>
      <w:r>
        <w:t xml:space="preserve">On September 5, at another Senior Management meeting which Van Gorkom attended, Romans again brought up the idea of a leveraged buy-out as a "possible strategic alternative" to the Company's acquisition program. Romans and Bruce S. Chelberg, President and Chief Operating Officer of Trans Union, had been working on the matter in preparation for the meeting. According to Romans: They did not "come up" with a price for the Company. They merely "ran the numbers" at $50 a share and at $60 a share with the "rough form" of their cash figures at the time. Their "figures indicated that $50 would be very easy to do but $60 would be very difficult to do under those figures." This work did not purport to establish a fair price for either the Company or 100% of the stock. It was intended to determine the cash flow needed to service the debt that would "probably" be incurred in a leveraged buyout, based on "rough calculations" without "any benefit of experts to identify what the limits were to that, and so forth." These computations were not considered extensive and no conclusion was reached.</w:t>
      </w:r>
    </w:p>
    <w:p>
      <w:pPr>
        <w:pStyle w:val="CaseBody"/>
      </w:pPr>
      <w:r>
        <w:t xml:space="preserve">At this meeting, Van Gorkom stated that he would be willing to take $55 per share for his own 75,000 shares. He vetoed the suggestion of a leveraged buy-out by Management, however, as involving a potential conflict of interest for Management. Van Gorkom, a certified public accountant and lawyer, had been an officer of Trans Union [866] for 24 years, its Chief Executive Officer for more than 17 years, and Chairman of its Board for 2 years. It is noteworthy in this connection that he was then approaching 65 years of age and mandatory retirement.</w:t>
      </w:r>
    </w:p>
    <w:p>
      <w:pPr>
        <w:pStyle w:val="CaseBody"/>
      </w:pPr>
      <w:r>
        <w:t xml:space="preserve">For several days following the September 5 meeting, Van Gorkom pondered the idea of a sale. He had participated in many acquisitions as a manager and director of Trans Union and as a director of other companies. He was familiar with acquisition procedures, valuation methods, and negotiations; and he privately considered the pros and cons of whether Trans Union should seek a privately or publicly-held purchaser.</w:t>
      </w:r>
    </w:p>
    <w:p>
      <w:pPr>
        <w:pStyle w:val="CaseBody"/>
      </w:pPr>
      <w:r>
        <w:t xml:space="preserve">Van Gorkom decided to meet with Jay A. Pritzker, a well-known corporate takeover specialist and a social acquaintance. However, rather than approaching Pritzker simply to determine his interest in acquiring Trans Union, Van Gorkom assembled a proposed per share price for sale of the Company and a financing structure by which to accomplish the sale. Van Gorkom did so without consulting either his Board or any members of Senior Management except one: Carl Peterson, Trans Union's Controller. Telling Peterson that he wanted no other person on his staff to know what he was doing, but without telling him why, Van Gorkom directed Peterson to calculate the feasibility of a leveraged buy-out at an assumed price per share of $55. Apart from the Company's historic stock market price,</w:t>
      </w:r>
      <w:hyperlink w:anchor="Xe20570144b281fd93b18628824f7e7c69eff0a9">
        <w:r>
          <w:rPr>
            <w:rStyle w:val="Hyperlink"/>
            <w:vertAlign w:val="superscript"/>
          </w:rPr>
          <w:t xml:space="preserve">[5]</w:t>
        </w:r>
      </w:hyperlink>
      <w:r>
        <w:t xml:space="preserve"> </w:t>
      </w:r>
      <w:r>
        <w:t xml:space="preserve">and Van Gorkom's long association with Trans Union, the record is devoid of any competent evidence that $55 represented the per share intrinsic value of the Company.</w:t>
      </w:r>
    </w:p>
    <w:p>
      <w:pPr>
        <w:pStyle w:val="CaseBody"/>
      </w:pPr>
      <w:r>
        <w:t xml:space="preserve">Having thus chosen the $55 figure, based solely on the availability of a leveraged buy-out, Van Gorkom multiplied the price per share by the number of shares outstanding to reach a total value of the Company of $690 million. Van Gorkom told Peterson to use this $690 million figure and to assume a $200 million equity contribution by the buyer. Based on these assumptions, Van Gorkom directed Peterson to determine whether the debt portion of the purchase price could be paid off in five years or less if financed by Trans Union's cash flow as projected in the Five Year Forecast, and by the sale of certain weaker divisions identified in a study done for Trans Union by the Boston Consulting Group ("BCG study"). Peterson reported that, of the purchase price, approximately $50-80 million would remain outstanding after five years. Van Gorkom was disappointed, but decided to meet with Pritzker nevertheless.</w:t>
      </w:r>
    </w:p>
    <w:p>
      <w:pPr>
        <w:pStyle w:val="CaseBody"/>
      </w:pPr>
      <w:r>
        <w:t xml:space="preserve">Van Gorkom arranged a meeting with Pritzker at the latter's home on Saturday, September 13, 1980. Van Gorkom prefaced his presentation by stating to Pritzker: "Now as far as you are concerned, I can, I think, show how you can pay a substantial premium over the present stock price and pay off most of the loan in the first five years. * * * If you could pay $55 for this Company, here is a way in which I think it can be financed."</w:t>
      </w:r>
    </w:p>
    <w:p>
      <w:pPr>
        <w:pStyle w:val="CaseBody"/>
      </w:pPr>
      <w:r>
        <w:t xml:space="preserve">Van Gorkom then reviewed with Pritzker his calculations based upon his proposed price of $55 per share. Although Pritzker mentioned $50 as a more attractive figure, no other price was mentioned. However, Van Gorkom stated that to be sure that $55 was the best price obtainable, Trans Union should be free to accept any better offer. Pritzker demurred, stating that his organization would serve as a "stalking horse" for an "auction contest" only if Trans Union would permit Pritzker to buy 1,750,000 shares of Trans Union stock at market price which Pritzker could then sell to any higher bidder. After further discussion on this point, Pritzker told Van Gorkom that he would give him a more definite reaction soon.</w:t>
      </w:r>
    </w:p>
    <w:p>
      <w:pPr>
        <w:pStyle w:val="CaseBody"/>
      </w:pPr>
      <w:r>
        <w:t xml:space="preserve">[867] On Monday, September 15, Pritzker advised Van Gorkom that he was interested in the $55 cash-out merger proposal and requested more information on Trans Union. Van Gorkom agreed to meet privately with Pritzker, accompanied by Peterson, Chelberg, and Michael Carpenter, Trans Union's consultant from the Boston Consulting Group. The meetings took place on September 16 and 17. Van Gorkom was "astounded that events were moving with such amazing rapidity."</w:t>
      </w:r>
    </w:p>
    <w:p>
      <w:pPr>
        <w:pStyle w:val="CaseBody"/>
      </w:pPr>
      <w:r>
        <w:t xml:space="preserve">On Thursday, September 18, Van Gorkom met again with Pritzker. At that time, Van Gorkom knew that Pritzker intended to make a cash-out merger offer at Van Gorkom's proposed $55 per share. Pritzker instructed his attorney, a merger and acquisition specialist, to begin drafting merger documents. There was no further discussion of the $55 price. However, the number of shares of Trans Union's treasury stock to be offered to Pritzker was negotiated down to one million shares; the price was set at $38-75 cents above the per share price at the close of the market on September 19. At this point, Pritzker insisted that the Trans Union Board act on his merger proposal within the next three days, stating to Van Gorkom: "We have to have a decision by no later than Sunday [evening, September 21] before the opening of the English stock exchange on Monday morning." Pritzker's lawyer was then instructed to draft the merger documents, to be reviewed by Van Gorkom's lawyer, "sometimes with discussion and sometimes not, in the haste to get it finished."</w:t>
      </w:r>
    </w:p>
    <w:p>
      <w:pPr>
        <w:pStyle w:val="CaseBody"/>
      </w:pPr>
      <w:r>
        <w:t xml:space="preserve">On Friday, September 19, Van Gorkom, Chelberg, and Pritzker consulted with Trans Union's lead bank regarding the financing of Pritzker's purchase of Trans Union. The bank indicated that it could form a syndicate of banks that would finance the transaction. On the same day, Van Gorkom retained James Brennan, Esquire, to advise Trans Union on the legal aspects of the merger. Van Gorkom did not consult with William Browder, a Vice-President and director of Trans Union and former head of its legal department, or with William Moore, then the head of Trans Union's legal staff.</w:t>
      </w:r>
    </w:p>
    <w:p>
      <w:pPr>
        <w:pStyle w:val="CaseBody"/>
      </w:pPr>
      <w:r>
        <w:t xml:space="preserve">On Friday, September 19, Van Gorkom called a special meeting of the Trans Union Board for noon the following day. He also called a meeting of the Company's Senior Management to convene at 11:00 a.m., prior to the meeting of the Board. No one, except Chelberg and Peterson, was told the purpose of the meetings. Van Gorkom did not invite Trans Union's investment banker, Salomon Brothers or its Chicago-based partner, to attend.</w:t>
      </w:r>
    </w:p>
    <w:p>
      <w:pPr>
        <w:pStyle w:val="CaseBody"/>
      </w:pPr>
      <w:r>
        <w:t xml:space="preserve">Of those present at the Senior Management meeting on September 20, only Chelberg and Peterson had prior knowledge of Pritzker's offer. Van Gorkom disclosed the offer and described its terms, but he furnished no copies of the proposed Merger Agreement. Romans announced that his department had done a second study which showed that, for a leveraged buy-out, the price range for Trans Union stock was between $55 and $65 per share. Van Gorkom neither saw the study nor asked Romans to make it available for the Board meeting.</w:t>
      </w:r>
    </w:p>
    <w:p>
      <w:pPr>
        <w:pStyle w:val="CaseBody"/>
      </w:pPr>
      <w:r>
        <w:t xml:space="preserve">Senior Management's reaction to the Pritzker proposal was completely negative. No member of Management, except Chelberg and Peterson, supported the proposal. Romans objected to the price as being too low;</w:t>
      </w:r>
      <w:hyperlink w:anchor="Xa9d40d95b43851678051ea611ef8a61301c6a9c">
        <w:r>
          <w:rPr>
            <w:rStyle w:val="Hyperlink"/>
            <w:vertAlign w:val="superscript"/>
          </w:rPr>
          <w:t xml:space="preserve">[6]</w:t>
        </w:r>
      </w:hyperlink>
      <w:r>
        <w:t xml:space="preserve"> </w:t>
      </w:r>
      <w:r>
        <w:t xml:space="preserve">he was critical of the timing and suggested that consideration should be given to the adverse tax consequences of an all-cash deal for low-basis shareholders; and he took the position that the agreement to sell Pritzker one million newly-issued shares at market price would inhibit other offers, as would the prohibitions against soliciting bids and furnishing inside information [868] to other bidders. Romans argued that the Pritzker proposal was a "lock up" and amounted to "an agreed merger as opposed to an offer." Nevertheless, Van Gorkom proceeded to the Board meeting as scheduled without further delay.</w:t>
      </w:r>
    </w:p>
    <w:p>
      <w:pPr>
        <w:pStyle w:val="CaseBody"/>
      </w:pPr>
      <w:r>
        <w:t xml:space="preserve">Ten directors served on the Trans Union Board, five inside (defendants Bonser, O'Boyle, Browder, Chelberg, and Van Gorkom) and five outside (defendants Wallis, Johnson, Lanterman, Morgan and Reneker). All directors were present at the meeting, except O'Boyle who was ill. Of the outside directors, four were corporate chief executive officers and one was the former Dean of the University of Chicago Business School. None was an investment banker or trained financial analyst. All members of the Board were well informed about the Company and its operations as a going concern. They were familiar with the current financial condition of the Company, as well as operating and earnings projections reported in the recent Five Year Forecast. The Board generally received regular and detailed reports and was kept abreast of the accumulated investment tax credit and accelerated depreciation problem.</w:t>
      </w:r>
    </w:p>
    <w:p>
      <w:pPr>
        <w:pStyle w:val="CaseBody"/>
      </w:pPr>
      <w:r>
        <w:t xml:space="preserve">Van Gorkom began the Special Meeting of the Board with a twenty-minute oral presentation. Copies of the proposed Merger Agreement were delivered too late for study before or during the meeting.</w:t>
      </w:r>
      <w:hyperlink w:anchor="X2f1ee70e825bf5e475bd41563a21971de4d8b66">
        <w:r>
          <w:rPr>
            <w:rStyle w:val="Hyperlink"/>
            <w:vertAlign w:val="superscript"/>
          </w:rPr>
          <w:t xml:space="preserve">[7]</w:t>
        </w:r>
      </w:hyperlink>
      <w:r>
        <w:t xml:space="preserve"> </w:t>
      </w:r>
      <w:r>
        <w:t xml:space="preserve">He reviewed the Company's ITC and depreciation problems and the efforts theretofore made to solve them. He discussed his initial meeting with Pritzker and his motivation in arranging that meeting. Van Gorkom did not disclose to the Board, however, the methodology by which he alone had arrived at the $55 figure, or the fact that he first proposed the $55 price in his negotiations with Pritzker.</w:t>
      </w:r>
    </w:p>
    <w:p>
      <w:pPr>
        <w:pStyle w:val="CaseBody"/>
      </w:pPr>
      <w:r>
        <w:t xml:space="preserve">Van Gorkom outlined the terms of the Pritzker offer as follows: Pritzker would pay $55 in cash for all outstanding shares of Trans Union stock upon completion of which Trans Union would be merged into New T Company, a subsidiary wholly-owned by Pritzker and formed to implement the merger; for a period of 90 days, Trans Union could receive, but could not actively solicit, competing offers; the offer had to be acted on by the next evening, Sunday, September 21; Trans Union could only furnish to competing bidders published information, and not proprietary information; the offer was subject to Pritzker obtaining the necessary financing by October 10, 1980; if the financing contingency were met or waived by Pritzker, Trans Union was required to sell to Pritzker one million newly-issued shares of Trans Union at $38 per share.</w:t>
      </w:r>
    </w:p>
    <w:p>
      <w:pPr>
        <w:pStyle w:val="CaseBody"/>
      </w:pPr>
      <w:r>
        <w:t xml:space="preserve">Van Gorkom took the position that putting Trans Union "up for auction" through a 90-day market test would validate a decision by the Board that $55 was a fair price. He told the Board that the "free market will have an opportunity to judge whether $55 is a fair price." Van Gorkom framed the decision before the Board not as whether $55 per share was the highest price that could be obtained, but as whether the $55 price was a fair price that the stockholders should be given the opportunity to accept or reject.</w:t>
      </w:r>
      <w:hyperlink w:anchor="Xab0635e7eeef6a7509a9cdadf283c5971f58429">
        <w:r>
          <w:rPr>
            <w:rStyle w:val="Hyperlink"/>
            <w:vertAlign w:val="superscript"/>
          </w:rPr>
          <w:t xml:space="preserve">[8]</w:t>
        </w:r>
      </w:hyperlink>
    </w:p>
    <w:p>
      <w:pPr>
        <w:pStyle w:val="CaseBody"/>
      </w:pPr>
      <w:r>
        <w:t xml:space="preserve">Attorney Brennan advised the members of the Board that they might be sued if they failed to accept the offer and that a fairness opinion was not required as a matter of law.</w:t>
      </w:r>
    </w:p>
    <w:p>
      <w:pPr>
        <w:pStyle w:val="CaseBody"/>
      </w:pPr>
      <w:r>
        <w:t xml:space="preserve">Romans attended the meeting as chief financial officer of the Company. He told the Board that he had not been involved in the negotiations with Pritzker and knew nothing about the merger proposal until [869] the morning of the meeting; that his studies did not indicate either a fair price for the stock or a valuation of the Company; that he did not see his role as directly addressing the fairness issue; and that he and his people "were trying to search for ways to justify a price in connection with such a [leveraged buy-out] transaction, rather than to say what the shares are worth." Romans testified:</w:t>
      </w:r>
    </w:p>
    <w:p>
      <w:pPr>
        <w:pStyle w:val="BlockText"/>
      </w:pPr>
      <w:r>
        <w:t xml:space="preserve">I told the Board that the study ran the numbers at 50 and 60, and then the subsequent study at 55 and 65, and that was not the same thing as saying that I have a valuation of the company at X dollars. But it was a way — a first step towards reaching that conclusion.</w:t>
      </w:r>
    </w:p>
    <w:p>
      <w:pPr>
        <w:pStyle w:val="CaseBody"/>
      </w:pPr>
      <w:r>
        <w:t xml:space="preserve">Romans told the Board that, in his opinion, $55 was "in the range of a fair price," but "at the beginning of the range."</w:t>
      </w:r>
    </w:p>
    <w:p>
      <w:pPr>
        <w:pStyle w:val="CaseBody"/>
      </w:pPr>
      <w:r>
        <w:t xml:space="preserve">Chelberg, Trans Union's President, supported Van Gorkom's presentation and representations. He testified that he "participated to make sure that the Board members collectively were clear on the details of the agreement or offer from Pritzker;" that he "participated in the discussion with Mr. Brennan, inquiring of him about the necessity for valuation opinions in spite of the way in which this particular offer was couched;" and that he was otherwise actively involved in supporting the positions being taken by Van Gorkom before the Board about "the necessity to act immediately on this offer," and about "the adequacy of the $55 and the question of how that would be tested."</w:t>
      </w:r>
    </w:p>
    <w:p>
      <w:pPr>
        <w:pStyle w:val="CaseBody"/>
      </w:pPr>
      <w:r>
        <w:t xml:space="preserve">The Board meeting of September 20 lasted about two hours. Based solely upon Van Gorkom's oral presentation, Chelberg's supporting representations, Romans' oral statement, Brennan's legal advice, and their knowledge of the market history of the Company's stock,</w:t>
      </w:r>
      <w:hyperlink w:anchor="X49403968c1cb3360b3cb6280f200f255a9e1119">
        <w:r>
          <w:rPr>
            <w:rStyle w:val="Hyperlink"/>
            <w:vertAlign w:val="superscript"/>
          </w:rPr>
          <w:t xml:space="preserve">[9]</w:t>
        </w:r>
      </w:hyperlink>
      <w:r>
        <w:t xml:space="preserve"> </w:t>
      </w:r>
      <w:r>
        <w:t xml:space="preserve">the directors approved the proposed Merger Agreement. However, the Board later claimed to have attached two conditions to its acceptance: (1) that Trans Union reserved the right to accept any better offer that was made during the market test period; and (2) that Trans Union could share its proprietary information with any other potential bidders. While the Board now claims to have reserved the right to accept any better offer received after the announcement of the Pritzker agreement (even though the minutes of the meeting do not reflect this), it is undisputed that the Board did not reserve the right to actively solicit alternate offers.</w:t>
      </w:r>
    </w:p>
    <w:p>
      <w:pPr>
        <w:pStyle w:val="CaseBody"/>
      </w:pPr>
      <w:r>
        <w:t xml:space="preserve">The Merger Agreement was executed by Van Gorkom during the evening of September 20 at a formal social event that he hosted for the opening of the Chicago Lyric Opera. Neither he nor any other director read the agreement prior to its signing and delivery to Pritzker.</w:t>
      </w:r>
    </w:p>
    <w:bookmarkEnd w:id="230"/>
    <w:bookmarkStart w:id="231" w:name="section-22"/>
    <w:p>
      <w:pPr>
        <w:pStyle w:val="Heading2"/>
      </w:pPr>
      <w:r>
        <w:t xml:space="preserve">* * *</w:t>
      </w:r>
    </w:p>
    <w:p>
      <w:pPr>
        <w:pStyle w:val="CaseBody"/>
      </w:pPr>
      <w:r>
        <w:t xml:space="preserve">On Monday, September 22, the Company issued a press release announcing that Trans Union had entered into a "definitive" Merger Agreement with an affiliate of the Marmon Group, Inc., a Pritzker holding company. Within 10 days of the public announcement, dissent among Senior Management over the merger had become widespread. Faced with threatened resignations of key officers, Van Gorkom met with Pritzker who agreed to several modifications of the Agreement. Pritzker was willing to do so provided that Van Gorkom could persuade the dissidents to remain on the Company payroll for at least six months after consummation of the merger.</w:t>
      </w:r>
    </w:p>
    <w:p>
      <w:pPr>
        <w:pStyle w:val="CaseBody"/>
      </w:pPr>
      <w:r>
        <w:t xml:space="preserve">Van Gorkom reconvened the Board on October 8 and secured the directors' approval of the proposed amendments — sight unseen. The Board also authorized the employment of Salomon Brothers, its investment [870] banker, to solicit other offers for Trans Union during the proposed "market test" period.</w:t>
      </w:r>
    </w:p>
    <w:p>
      <w:pPr>
        <w:pStyle w:val="CaseBody"/>
      </w:pPr>
      <w:r>
        <w:t xml:space="preserve">The next day, October 9, Trans Union issued a press release announcing: (1) that Pritzker had obtained "the financing commitments necessary to consummate" the merger with Trans Union; (2) that Pritzker had acquired one million shares of Trans Union common stock at $38 per share; (3) that Trans Union was now permitted to actively seek other offers and had retained Salomon Brothers for that purpose; and (4) that if a more favorable offer were not received before February 1, 1981, Trans Union's shareholders would thereafter meet to vote on the Pritzker proposal.</w:t>
      </w:r>
    </w:p>
    <w:p>
      <w:pPr>
        <w:pStyle w:val="CaseBody"/>
      </w:pPr>
      <w:r>
        <w:t xml:space="preserve">It was not until the following day, October 10, that the actual amendments to the Merger Agreement were prepared by Pritzker and delivered to Van Gorkom for execution. As will be seen, the amendments were considerably at variance with Van Gorkom's representations of the amendments to the Board on October 8; and the amendments placed serious constraints on Trans Union's ability to negotiate a better deal and withdraw from the Pritzker agreement. Nevertheless, Van Gorkom proceeded to execute what became the October 10 amendments to the Merger Agreement without conferring further with the Board members and apparently without comprehending the actual implications of the amendments.</w:t>
      </w:r>
    </w:p>
    <w:bookmarkEnd w:id="231"/>
    <w:bookmarkStart w:id="232" w:name="section-23"/>
    <w:p>
      <w:pPr>
        <w:pStyle w:val="Heading2"/>
      </w:pPr>
      <w:r>
        <w:t xml:space="preserve">* * *</w:t>
      </w:r>
    </w:p>
    <w:p>
      <w:pPr>
        <w:pStyle w:val="CaseBody"/>
      </w:pPr>
      <w:r>
        <w:t xml:space="preserve">Salomon Brothers' efforts over a three-month period from October 21 to January 21 produced only one serious suitor for Trans Union — General Electric Credit Corporation ("GE Credit"), a subsidiary of the General Electric Company. However, GE Credit was unwilling to make an offer for Trans Union unless Trans Union first rescinded its Merger Agreement with Pritzker. When Pritzker refused, GE Credit terminated further discussions with Trans Union in early January.</w:t>
      </w:r>
    </w:p>
    <w:p>
      <w:pPr>
        <w:pStyle w:val="CaseBody"/>
      </w:pPr>
      <w:r>
        <w:t xml:space="preserve">In the meantime, in early December, the investment firm of Kohlberg, Kravis, Roberts &amp; Co. ("KKR"), the only other concern to make a firm offer for Trans Union, withdrew its offer under circumstances hereinafter detailed.</w:t>
      </w:r>
    </w:p>
    <w:p>
      <w:pPr>
        <w:pStyle w:val="CaseBody"/>
      </w:pPr>
      <w:r>
        <w:t xml:space="preserve">On December 19, this litigation was commenced and, within four weeks, the plaintiffs had deposed eight of the ten directors of Trans Union, including Van Gorkom, Chelberg and Romans, its Chief Financial Officer. On January 21, Management's Proxy Statement for the February 10 shareholder meeting was mailed to Trans Union's stockholders. On January 26, Trans Union's Board met and, after a lengthy meeting, voted to proceed with the Pritzker merger. The Board also approved for mailing, "on or about January 27," a Supplement to its Proxy Statement. The Supplement purportedly set forth all information relevant to the Pritzker Merger Agreement, which had not been divulged in the first Proxy Statement.</w:t>
      </w:r>
    </w:p>
    <w:bookmarkEnd w:id="232"/>
    <w:bookmarkStart w:id="233" w:name="section-24"/>
    <w:p>
      <w:pPr>
        <w:pStyle w:val="Heading2"/>
      </w:pPr>
      <w:r>
        <w:t xml:space="preserve">* * *</w:t>
      </w:r>
    </w:p>
    <w:p>
      <w:pPr>
        <w:pStyle w:val="CaseBody"/>
      </w:pPr>
      <w:r>
        <w:t xml:space="preserve">On February 10, the stockholders of Trans Union approved the Pritzker merger proposal. Of the outstanding shares, 69.9% were voted in favor of the merger; 7.25% were voted against the merger; and 22.85% were not voted.</w:t>
      </w:r>
    </w:p>
    <w:bookmarkEnd w:id="233"/>
    <w:bookmarkStart w:id="234" w:name="ii.-2"/>
    <w:p>
      <w:pPr>
        <w:pStyle w:val="Heading2"/>
      </w:pPr>
      <w:r>
        <w:t xml:space="preserve">II.</w:t>
      </w:r>
    </w:p>
    <w:p>
      <w:pPr>
        <w:pStyle w:val="CaseBody"/>
      </w:pPr>
      <w:r>
        <w:t xml:space="preserve">We turn to the issue of the application of the business judgment rule to the September 20 meeting of the Board.</w:t>
      </w:r>
    </w:p>
    <w:p>
      <w:pPr>
        <w:pStyle w:val="CaseBody"/>
      </w:pPr>
      <w:r>
        <w:rPr>
          <w:rStyle w:val="Elision"/>
        </w:rPr>
        <w:t xml:space="preserve">[ … ]</w:t>
      </w:r>
    </w:p>
    <w:p>
      <w:pPr>
        <w:pStyle w:val="CaseBody"/>
      </w:pPr>
      <w:r>
        <w:t xml:space="preserve">Under Delaware law, the business judgment rule is the offspring of the fundamental principle, codified in 8</w:t>
      </w:r>
      <w:r>
        <w:t xml:space="preserve"> </w:t>
      </w:r>
      <w:r>
        <w:rPr>
          <w:iCs/>
          <w:i/>
        </w:rPr>
        <w:t xml:space="preserve">Del.C.</w:t>
      </w:r>
      <w:r>
        <w:t xml:space="preserve"> </w:t>
      </w:r>
      <w:r>
        <w:t xml:space="preserve">§ 141(a), that the business and affairs of a Delaware corporation are managed by or under its board of directors.</w:t>
      </w:r>
      <w:hyperlink w:anchor="Xdb432c4276dacaed71eda0a94a4b2721b931d8c">
        <w:r>
          <w:rPr>
            <w:rStyle w:val="Hyperlink"/>
            <w:vertAlign w:val="superscript"/>
          </w:rPr>
          <w:t xml:space="preserve">[11]</w:t>
        </w:r>
      </w:hyperlink>
      <w:r>
        <w:rPr>
          <w:rStyle w:val="Elision"/>
        </w:rPr>
        <w:t xml:space="preserve">[ … ]</w:t>
      </w:r>
      <w:r>
        <w:t xml:space="preserve"> </w:t>
      </w:r>
      <w:r>
        <w:t xml:space="preserve">In carrying out their managerial roles, directors are charged with an unyielding fiduciary duty to the corporation and its shareholders.</w:t>
      </w:r>
      <w:r>
        <w:t xml:space="preserve"> </w:t>
      </w:r>
      <w:r>
        <w:rPr>
          <w:rStyle w:val="Elision"/>
        </w:rPr>
        <w:t xml:space="preserve">[ … ]</w:t>
      </w:r>
      <w:r>
        <w:t xml:space="preserve"> </w:t>
      </w:r>
      <w:r>
        <w:t xml:space="preserve">The business judgment rule exists to protect and promote the full and free exercise of the managerial power granted to Delaware directors.</w:t>
      </w:r>
      <w:r>
        <w:t xml:space="preserve"> </w:t>
      </w:r>
      <w:r>
        <w:rPr>
          <w:rStyle w:val="Elision"/>
        </w:rPr>
        <w:t xml:space="preserve">[ … ]</w:t>
      </w:r>
      <w:r>
        <w:t xml:space="preserve">The rule itself "is a presumption that in making a business decision, the directors of a corporation acted on an informed basis, in good faith and in the honest belief that the action taken was in the best interests of the company."</w:t>
      </w:r>
      <w:r>
        <w:t xml:space="preserve"> </w:t>
      </w:r>
      <w:r>
        <w:rPr>
          <w:rStyle w:val="Elision"/>
        </w:rPr>
        <w:t xml:space="preserve">[ … ]</w:t>
      </w:r>
      <w:r>
        <w:t xml:space="preserve">Thus, the party attacking a board decision as uninformed must rebut the presumption that its business judgment was an informed one.</w:t>
      </w:r>
      <w:r>
        <w:rPr>
          <w:rStyle w:val="Elision"/>
        </w:rPr>
        <w:t xml:space="preserve">[ … ]</w:t>
      </w:r>
    </w:p>
    <w:p>
      <w:pPr>
        <w:pStyle w:val="CaseBody"/>
      </w:pPr>
      <w:r>
        <w:t xml:space="preserve">The determination of whether a business judgment is an informed one turns on whether the directors have informed themselves "prior to making a business decision, of all material information reasonably available to them."</w:t>
      </w:r>
      <w:r>
        <w:t xml:space="preserve"> </w:t>
      </w:r>
      <w:r>
        <w:rPr>
          <w:iCs/>
          <w:i/>
        </w:rPr>
        <w:t xml:space="preserve">Id.</w:t>
      </w:r>
      <w:hyperlink w:anchor="X5fbd29186bf96ee17c46c5ab40c7188b8e5b68d">
        <w:r>
          <w:rPr>
            <w:rStyle w:val="Hyperlink"/>
            <w:vertAlign w:val="superscript"/>
          </w:rPr>
          <w:t xml:space="preserve">[12]</w:t>
        </w:r>
      </w:hyperlink>
    </w:p>
    <w:p>
      <w:pPr>
        <w:pStyle w:val="CaseBody"/>
      </w:pPr>
      <w:r>
        <w:t xml:space="preserve">Under the business judgment rule there is no protection for directors who have made "an unintelligent or unadvised judgment."</w:t>
      </w:r>
      <w:r>
        <w:t xml:space="preserve"> </w:t>
      </w:r>
      <w:r>
        <w:rPr>
          <w:rStyle w:val="Elision"/>
        </w:rPr>
        <w:t xml:space="preserve">[ … ]</w:t>
      </w:r>
      <w:r>
        <w:t xml:space="preserve"> </w:t>
      </w:r>
      <w:r>
        <w:t xml:space="preserve">A director's duty to inform himself in preparation for a decision derives from the fiduciary capacity in which he serves the corporation and its stockholders.</w:t>
      </w:r>
      <w:r>
        <w:rPr>
          <w:rStyle w:val="Elision"/>
        </w:rPr>
        <w:t xml:space="preserve">[ … ]</w:t>
      </w:r>
      <w:r>
        <w:t xml:space="preserve"> </w:t>
      </w:r>
      <w:r>
        <w:t xml:space="preserve">Since a director is vested with the responsibility for the management of the affairs of the corporation, he must execute that duty with the recognition that he acts on behalf of others. Such obligation does not tolerate faithlessness or self-dealing. But fulfillment of the fiduciary function requires more than the mere absence of bad faith or fraud. Representation of the financial interests of others imposes on a director an affirmative duty to protect those interests and to proceed with a critical eye in assessing information of the type and under the circumstances present here.</w:t>
      </w:r>
      <w:r>
        <w:rPr>
          <w:rStyle w:val="Elision"/>
        </w:rPr>
        <w:t xml:space="preserve">[ … ]</w:t>
      </w:r>
    </w:p>
    <w:p>
      <w:pPr>
        <w:pStyle w:val="CaseBody"/>
      </w:pPr>
      <w:r>
        <w:t xml:space="preserve">Thus, a director's duty to exercise an informed business judgment is in [873] the nature of a duty of care, as distinguished from a duty of loyalty. Here, there were no allegations of fraud, bad faith, or self-dealing, or proof thereof. Hence, it is presumed that the directors reached their business judgment in good faith,</w:t>
      </w:r>
      <w:r>
        <w:t xml:space="preserve"> </w:t>
      </w:r>
      <w:r>
        <w:rPr>
          <w:rStyle w:val="Elision"/>
        </w:rPr>
        <w:t xml:space="preserve">[ … ]</w:t>
      </w:r>
      <w:r>
        <w:t xml:space="preserve">and considerations of motive are irrelevant to the issue before us.</w:t>
      </w:r>
    </w:p>
    <w:p>
      <w:pPr>
        <w:pStyle w:val="CaseBody"/>
      </w:pPr>
      <w:r>
        <w:t xml:space="preserve">The standard of care applicable to a director's duty of care has also been recently restated by this Court.</w:t>
      </w:r>
      <w:r>
        <w:t xml:space="preserve"> </w:t>
      </w:r>
      <w:r>
        <w:rPr>
          <w:rStyle w:val="Elision"/>
        </w:rPr>
        <w:t xml:space="preserve">[ … ]</w:t>
      </w:r>
    </w:p>
    <w:p>
      <w:pPr>
        <w:pStyle w:val="BlockText"/>
      </w:pPr>
      <w:r>
        <w:t xml:space="preserve">While the Delaware cases use a variety of terms to describe the applicable standard of care, our analysis satisfies us that under the business judgment rule director liability is predicated upon concepts of gross negligence. (footnote omitted)</w:t>
      </w:r>
    </w:p>
    <w:p>
      <w:pPr>
        <w:pStyle w:val="CaseBody"/>
      </w:pPr>
      <w:r>
        <w:rPr>
          <w:rStyle w:val="Elision"/>
        </w:rPr>
        <w:t xml:space="preserve">[ … ]</w:t>
      </w:r>
    </w:p>
    <w:p>
      <w:pPr>
        <w:pStyle w:val="CaseBody"/>
      </w:pPr>
      <w:r>
        <w:t xml:space="preserve">We again confirm that view. We think the concept of gross negligence is also the proper standard for determining whether a business judgment reached by a board of directors was an informed one.</w:t>
      </w:r>
      <w:hyperlink w:anchor="Xdbc223cb1016ed2909e44df31b5e63a47b07b65">
        <w:r>
          <w:rPr>
            <w:rStyle w:val="Hyperlink"/>
            <w:vertAlign w:val="superscript"/>
          </w:rPr>
          <w:t xml:space="preserve">[13]</w:t>
        </w:r>
      </w:hyperlink>
    </w:p>
    <w:p>
      <w:pPr>
        <w:pStyle w:val="CaseBody"/>
      </w:pPr>
      <w:r>
        <w:t xml:space="preserve">In the specific context of a proposed merger of domestic corporations, a director has a duty under 8</w:t>
      </w:r>
      <w:r>
        <w:t xml:space="preserve"> </w:t>
      </w:r>
      <w:r>
        <w:rPr>
          <w:iCs/>
          <w:i/>
        </w:rPr>
        <w:t xml:space="preserve">Del.C.</w:t>
      </w:r>
      <w:r>
        <w:t xml:space="preserve"> </w:t>
      </w:r>
      <w:r>
        <w:t xml:space="preserve">251(b),</w:t>
      </w:r>
      <w:hyperlink w:anchor="X891b3ae7c1ba8bc427c56deab6b1b55dee60cc0">
        <w:r>
          <w:rPr>
            <w:rStyle w:val="Hyperlink"/>
            <w:vertAlign w:val="superscript"/>
          </w:rPr>
          <w:t xml:space="preserve">[14]</w:t>
        </w:r>
      </w:hyperlink>
      <w:r>
        <w:t xml:space="preserve"> </w:t>
      </w:r>
      <w:r>
        <w:t xml:space="preserve">along with his fellow directors, to act in an informed and deliberate manner in determining whether to approve an agreement of merger before submitting the proposal to the stockholders. Certainly in the merger context, a director may not abdicate that duty by leaving to the shareholders alone the decision to approve or disapprove the agreement.</w:t>
      </w:r>
      <w:r>
        <w:t xml:space="preserve"> </w:t>
      </w:r>
      <w:r>
        <w:rPr>
          <w:rStyle w:val="Elision"/>
        </w:rPr>
        <w:t xml:space="preserve">[ … ]</w:t>
      </w:r>
      <w:r>
        <w:t xml:space="preserve">Only an agreement of merger satisfying the requirements of 8</w:t>
      </w:r>
      <w:r>
        <w:t xml:space="preserve"> </w:t>
      </w:r>
      <w:r>
        <w:rPr>
          <w:iCs/>
          <w:i/>
        </w:rPr>
        <w:t xml:space="preserve">Del.C.</w:t>
      </w:r>
      <w:r>
        <w:t xml:space="preserve"> </w:t>
      </w:r>
      <w:r>
        <w:t xml:space="preserve">§ 251(b) may be submitted to the shareholders under § 251(c).</w:t>
      </w:r>
      <w:r>
        <w:t xml:space="preserve"> </w:t>
      </w:r>
      <w:r>
        <w:rPr>
          <w:rStyle w:val="Elision"/>
        </w:rPr>
        <w:t xml:space="preserve">[ … ]</w:t>
      </w:r>
    </w:p>
    <w:p>
      <w:pPr>
        <w:pStyle w:val="CaseBody"/>
      </w:pPr>
      <w:r>
        <w:t xml:space="preserve">It is against those standards that the conduct of the directors of Trans Union must be tested, as a matter of law and as a matter of fact, regarding their exercise of an informed business judgment in voting to approve the Pritzker merger proposal.</w:t>
      </w:r>
    </w:p>
    <w:bookmarkEnd w:id="234"/>
    <w:bookmarkStart w:id="235" w:name="iii.-2"/>
    <w:p>
      <w:pPr>
        <w:pStyle w:val="Heading2"/>
      </w:pPr>
      <w:r>
        <w:t xml:space="preserve">III.</w:t>
      </w:r>
    </w:p>
    <w:p>
      <w:pPr>
        <w:pStyle w:val="CaseBody"/>
      </w:pPr>
      <w:r>
        <w:rPr>
          <w:rStyle w:val="Elision"/>
        </w:rPr>
        <w:t xml:space="preserve">[ … ]</w:t>
      </w:r>
    </w:p>
    <w:p>
      <w:pPr>
        <w:pStyle w:val="CaseBody"/>
      </w:pPr>
      <w:r>
        <w:t xml:space="preserve">the question of whether the directors reached an informed business judgment in agreeing to sell the Company, pursuant to the terms of the September 20 Agreement presents, in reality, two questions: (A) whether the directors reached an informed business judgment on September 20, 1980; and (B) if they did not, whether the directors' actions taken subsequent to September 20 were adequate to cure any infirmity in their action taken on September 20. We first consider the directors' September 20 action in terms of their reaching an informed business judgment.</w:t>
      </w:r>
    </w:p>
    <w:bookmarkEnd w:id="235"/>
    <w:bookmarkStart w:id="236" w:name="a--1"/>
    <w:p>
      <w:pPr>
        <w:pStyle w:val="Heading2"/>
      </w:pPr>
      <w:r>
        <w:t xml:space="preserve">-A-</w:t>
      </w:r>
    </w:p>
    <w:p>
      <w:pPr>
        <w:pStyle w:val="CaseBody"/>
      </w:pPr>
      <w:r>
        <w:t xml:space="preserve">On the record before us, we must conclude that the Board of Directors did not reach an informed business judgment on September 20, 1980 in voting to "sell" the Company for $55 per share pursuant to the Pritzker cash-out merger proposal. Our reasons, in summary, are as follows:</w:t>
      </w:r>
    </w:p>
    <w:p>
      <w:pPr>
        <w:pStyle w:val="CaseBody"/>
      </w:pPr>
      <w:r>
        <w:t xml:space="preserve">The directors (1) did not adequately inform themselves as to Van Gorkom's role in forcing the "sale" of the Company and in establishing the per share purchase price; (2) were uninformed as to the intrinsic value of the Company; and (3) given these circumstances, at a minimum, were grossly negligent in approving the "sale" of the Company upon two hours' consideration, without prior notice, and without the exigency of a crisis or emergency.</w:t>
      </w:r>
    </w:p>
    <w:p>
      <w:pPr>
        <w:pStyle w:val="CaseBody"/>
      </w:pPr>
      <w:r>
        <w:t xml:space="preserve">As has been noted, the Board based its September 20 decision to approve the cash-out merger primarily on Van Gorkom's representations. None of the directors, other than Van Gorkom and Chelberg, had any prior knowledge that the purpose of the meeting was to propose a cash-out merger of Trans Union. No members of Senior Management were present, other than Chelberg, Romans and Peterson; and the latter two had only learned of the proposed sale an hour earlier. Both general counsel Moore and former general counsel Browder attended the meeting, but were equally uninformed as to the purpose of the meeting and the documents to be acted upon.</w:t>
      </w:r>
    </w:p>
    <w:p>
      <w:pPr>
        <w:pStyle w:val="CaseBody"/>
      </w:pPr>
      <w:r>
        <w:t xml:space="preserve">Without any documents before them concerning the proposed transaction, the members of the Board were required to rely entirely upon Van Gorkom's 20-minute oral presentation of the proposal. No written summary of the terms of the merger was presented; the directors were given no documentation to support the adequacy of $55 price per share for sale of the Company; and the Board had before it nothing more than Van Gorkom's statement of his understanding of the substance of an agreement which he admittedly had never read, nor which any member of the Board had ever seen.</w:t>
      </w:r>
    </w:p>
    <w:p>
      <w:pPr>
        <w:pStyle w:val="CaseBody"/>
      </w:pPr>
      <w:r>
        <w:t xml:space="preserve">Under 8</w:t>
      </w:r>
      <w:r>
        <w:t xml:space="preserve"> </w:t>
      </w:r>
      <w:r>
        <w:rPr>
          <w:iCs/>
          <w:i/>
        </w:rPr>
        <w:t xml:space="preserve">Del.C.</w:t>
      </w:r>
      <w:r>
        <w:t xml:space="preserve"> </w:t>
      </w:r>
      <w:r>
        <w:t xml:space="preserve">§ 141(e),</w:t>
      </w:r>
      <w:hyperlink w:anchor="X13bd0e404a630415f953ae9715bd7ff9985659a">
        <w:r>
          <w:rPr>
            <w:rStyle w:val="Hyperlink"/>
            <w:vertAlign w:val="superscript"/>
          </w:rPr>
          <w:t xml:space="preserve">[15]</w:t>
        </w:r>
      </w:hyperlink>
      <w:r>
        <w:t xml:space="preserve"> </w:t>
      </w:r>
      <w:r>
        <w:t xml:space="preserve">"directors are fully protected in relying in [875] good faith on reports made by officers."</w:t>
      </w:r>
      <w:r>
        <w:t xml:space="preserve"> </w:t>
      </w:r>
      <w:r>
        <w:rPr>
          <w:rStyle w:val="Elision"/>
        </w:rPr>
        <w:t xml:space="preserve">[ … ]</w:t>
      </w:r>
      <w:r>
        <w:t xml:space="preserve"> </w:t>
      </w:r>
      <w:r>
        <w:t xml:space="preserve">The term "report" has been liberally construed to include reports of informal personal investigations by corporate officers,</w:t>
      </w:r>
      <w:r>
        <w:t xml:space="preserve"> </w:t>
      </w:r>
      <w:r>
        <w:rPr>
          <w:rStyle w:val="Elision"/>
        </w:rPr>
        <w:t xml:space="preserve">[ … ]</w:t>
      </w:r>
      <w:r>
        <w:t xml:space="preserve">. However, there is no evidence that any "report," as defined under § 141(e), concerning the Pritzker proposal, was presented to the Board on September 20.</w:t>
      </w:r>
      <w:hyperlink w:anchor="X76ac8f97db4c882155902a9c16ed9c413e2246b">
        <w:r>
          <w:rPr>
            <w:rStyle w:val="Hyperlink"/>
            <w:vertAlign w:val="superscript"/>
          </w:rPr>
          <w:t xml:space="preserve">[16]</w:t>
        </w:r>
      </w:hyperlink>
      <w:r>
        <w:t xml:space="preserve"> </w:t>
      </w:r>
      <w:r>
        <w:t xml:space="preserve">Van Gorkom's oral presentation of his understanding of the terms of the proposed Merger Agreement, which he had not seen, and Romans' brief oral statement of his preliminary study regarding the feasibility of a leveraged buy-out of Trans Union do not qualify as § 141(e) "reports" for these reasons: The former lacked substance because Van Gorkom was basically uninformed as to the essential provisions of the very document about which he was talking. Romans' statement was irrelevant to the issues before the Board since it did not purport to be a valuation study. At a minimum for a report to enjoy the status conferred by § 141(e), it must be pertinent to the subject matter upon which a board is called to act, and otherwise be entitled to good faith, not blind, reliance. Considering all of the surrounding circumstances — hastily calling the meeting without prior notice of its subject matter, the proposed sale of the Company without any prior consideration of the issue or necessity therefor, the urgent time constraints imposed by Pritzker, and the total absence of any documentation whatsoever — the directors were duty bound to make reasonable inquiry of Van Gorkom and Romans, and if they had done so, the inadequacy of that upon which they now claim to have relied would have been apparent.</w:t>
      </w:r>
    </w:p>
    <w:p>
      <w:pPr>
        <w:pStyle w:val="CaseBody"/>
      </w:pPr>
      <w:r>
        <w:t xml:space="preserve">The defendants rely on the following factors to sustain the Trial Court's finding that the Board's decision was an informed one: (1) the magnitude of the premium or spread between the $55 Pritzker offering price and Trans Union's current market price of $38 per share; (2) the amendment of the Agreement as submitted on September 20 to permit the Board to accept any better offer during the "market test" period; (3) the collective experience and expertise of the Board's "inside" and "outside" directors;</w:t>
      </w:r>
      <w:hyperlink w:anchor="X25fb7b57a9a258f443a3548e14630374da489c5">
        <w:r>
          <w:rPr>
            <w:rStyle w:val="Hyperlink"/>
            <w:vertAlign w:val="superscript"/>
          </w:rPr>
          <w:t xml:space="preserve">[17]</w:t>
        </w:r>
      </w:hyperlink>
      <w:r>
        <w:t xml:space="preserve"> </w:t>
      </w:r>
      <w:r>
        <w:t xml:space="preserve">and (4) their reliance on Brennan's legal advice that the directors might be sued if they rejected the Pritzker proposal. We discuss each of these grounds</w:t>
      </w:r>
      <w:r>
        <w:t xml:space="preserve"> </w:t>
      </w:r>
      <w:r>
        <w:rPr>
          <w:iCs/>
          <w:i/>
        </w:rPr>
        <w:t xml:space="preserve">seriatim:</w:t>
      </w:r>
    </w:p>
    <w:bookmarkEnd w:id="236"/>
    <w:bookmarkStart w:id="237" w:name="section-25"/>
    <w:p>
      <w:pPr>
        <w:pStyle w:val="Heading2"/>
      </w:pPr>
      <w:r>
        <w:t xml:space="preserve">(1)</w:t>
      </w:r>
    </w:p>
    <w:p>
      <w:pPr>
        <w:pStyle w:val="CaseBody"/>
      </w:pPr>
      <w:r>
        <w:t xml:space="preserve">A substantial premium may provide one reason to recommend a merger, but in the absence of other sound valuation information, the fact of a premium alone does not provide an adequate basis upon which to assess the fairness of an offering price. Here, the judgment reached as to the adequacy of the premium was based on a comparison between the historically depressed Trans Union market price and the amount of the Pritzker offer. Using market price as a basis for concluding that the premium adequately reflected the true value [876] of the Company was a clearly faulty, indeed fallacious, premise, as the defendants' own evidence demonstrates.</w:t>
      </w:r>
    </w:p>
    <w:p>
      <w:pPr>
        <w:pStyle w:val="CaseBody"/>
      </w:pPr>
      <w:r>
        <w:t xml:space="preserve">The record is clear that before September 20, Van Gorkom and other members of Trans Union's Board knew that the market had consistently undervalued the worth of Trans Union's stock, despite steady increases in the Company's operating income in the seven years preceding the merger. The Board related this occurrence in large part to Trans Union's inability to use its ITCs as previously noted. Van Gorkom testified that he did not believe the market price accurately reflected Trans Union's true worth; and several of the directors testified that, as a general rule, most chief executives think that the market undervalues their companies' stock. Yet, on September 20, Trans Union's Board apparently believed that the market stock price accurately reflected the value of the Company for the purpose of determining the adequacy of the premium for its sale.</w:t>
      </w:r>
    </w:p>
    <w:p>
      <w:pPr>
        <w:pStyle w:val="CaseBody"/>
      </w:pPr>
      <w:r>
        <w:t xml:space="preserve">In the Proxy Statement, however, the directors reversed their position. There, they stated that, although the earnings prospects for Trans Union were "excellent," they found no basis for believing that this would be reflected in future stock prices. With regard to past trading, the Board stated that the prices at which the Company's common stock had traded in recent years did not reflect the "inherent" value of the Company. But having referred to the "inherent" value of Trans Union, the directors ascribed no number to it. Moreover, nowhere did they disclose that they had no basis on which to fix "inherent" worth beyond an impressionistic reaction to the premium over market and an unsubstantiated belief that the value of the assets was "significantly greater" than book value. By their own admission they could not rely on the stock price as an accurate measure of value. Yet, also by their own admission, the Board members assumed that Trans Union's market price was adequate to serve as a basis upon which to assess the adequacy of the premium for purposes of the September 20 meeting.</w:t>
      </w:r>
    </w:p>
    <w:p>
      <w:pPr>
        <w:pStyle w:val="CaseBody"/>
      </w:pPr>
      <w:r>
        <w:t xml:space="preserve">The parties do not dispute that a publicly-traded stock price is solely a measure of the value of a minority position and, thus, market price represents only the value of a single share. Nevertheless, on September 20, the Board assessed the adequacy of the premium over market, offered by Pritzker, solely by comparing it with Trans Union's current and historical stock price.</w:t>
      </w:r>
      <w:r>
        <w:t xml:space="preserve"> </w:t>
      </w:r>
      <w:r>
        <w:rPr>
          <w:rStyle w:val="Elision"/>
        </w:rPr>
        <w:t xml:space="preserve">[ … ]</w:t>
      </w:r>
    </w:p>
    <w:p>
      <w:pPr>
        <w:pStyle w:val="CaseBody"/>
      </w:pPr>
      <w:r>
        <w:t xml:space="preserve">Indeed, as of September 20, the Board had no other information on which to base a determination of the intrinsic value of Trans Union as a going concern. As of September 20, the Board had made no evaluation of the Company designed to value the entire enterprise, nor had the Board ever previously considered selling the Company or consenting to a buy-out merger. Thus, the adequacy of a premium is indeterminate unless it is assessed in terms of other competent and sound valuation information that reflects the value of the particular business.</w:t>
      </w:r>
    </w:p>
    <w:p>
      <w:pPr>
        <w:pStyle w:val="CaseBody"/>
      </w:pPr>
      <w:r>
        <w:t xml:space="preserve">Despite the foregoing facts and circumstances, there was no call by the Board, either on September 20 or thereafter, for any valuation study or documentation of the $55 price per share as a measure of the fair value of the Company in a cash-out context. It is undisputed that the major asset of Trans Union was its cash flow. Yet, at no time did the Board call for a valuation study taking into account that highly significant element of the Company's assets.</w:t>
      </w:r>
    </w:p>
    <w:p>
      <w:pPr>
        <w:pStyle w:val="CaseBody"/>
      </w:pPr>
      <w:r>
        <w:t xml:space="preserve">We do not imply that an outside valuation study is essential to support an informed business judgment; nor do we state that fairness opinions by independent investment bankers are required as a matter of law. Often insiders familiar with the business of a going concern are in a better position than are outsiders to gather relevant information; and under appropriate circumstances, such directors may be fully protected in relying in good faith upon the valuation reports of their management.</w:t>
      </w:r>
      <w:r>
        <w:t xml:space="preserve"> </w:t>
      </w:r>
      <w:r>
        <w:rPr>
          <w:rStyle w:val="Elision"/>
        </w:rPr>
        <w:t xml:space="preserve">[ … ]</w:t>
      </w:r>
    </w:p>
    <w:p>
      <w:pPr>
        <w:pStyle w:val="CaseBody"/>
      </w:pPr>
      <w:r>
        <w:t xml:space="preserve">Here, the record establishes that the Board did not request its Chief Financial Officer, Romans, to make any valuation study or review of the proposal to determine the adequacy of $55 per share for sale of the Company. On the record before us: The Board rested on Romans' elicited response that the $55 figure was within a "fair price range" within the context of a leveraged buy-out. No director sought any further information from Romans. No director asked him why he put $55 at the bottom of his range. No director asked Romans for any details as to his study, the reason why it had been undertaken or its depth. No director asked to see the study; and no director asked Romans whether Trans Union's finance department could do a fairness study within the remaining 36-hour</w:t>
      </w:r>
      <w:hyperlink w:anchor="X3afef80e15bceb94c4a9ff056e8a9b81a497443">
        <w:r>
          <w:rPr>
            <w:rStyle w:val="Hyperlink"/>
            <w:vertAlign w:val="superscript"/>
          </w:rPr>
          <w:t xml:space="preserve">[18]</w:t>
        </w:r>
      </w:hyperlink>
      <w:r>
        <w:t xml:space="preserve"> </w:t>
      </w:r>
      <w:r>
        <w:t xml:space="preserve">period available under the Pritzker offer.</w:t>
      </w:r>
    </w:p>
    <w:p>
      <w:pPr>
        <w:pStyle w:val="CaseBody"/>
      </w:pPr>
      <w:r>
        <w:t xml:space="preserve">Had the Board, or any member, made an inquiry of Romans, he presumably would have responded as he testified: that his calculations were rough and preliminary; and, that the study was not designed to determine the fair value of the Company, but rather to assess the feasibility of a leveraged buy-out financed by the Company's projected cash flow, making certain assumptions as to the purchaser's borrowing needs. Romans would have presumably also informed the Board of his view, and the widespread view of Senior Management, that the timing of the offer was wrong and the offer inadequate.</w:t>
      </w:r>
    </w:p>
    <w:p>
      <w:pPr>
        <w:pStyle w:val="CaseBody"/>
      </w:pPr>
      <w:r>
        <w:t xml:space="preserve">The record also establishes that the Board accepted without scrutiny Van Gorkom's representation as to the fairness of the $55 price per share for sale of the Company — a subject that the Board had never previously considered. The Board thereby failed to discover that Van Gorkom had suggested the $55 price to Pritzker and, most crucially, that Van Gorkom had arrived at the $55 figure based on calculations designed solely to determine the feasibility of a leveraged buy-out.</w:t>
      </w:r>
      <w:hyperlink w:anchor="X56cd9e3cee520d89de46c84d46f673575bfd789">
        <w:r>
          <w:rPr>
            <w:rStyle w:val="Hyperlink"/>
            <w:vertAlign w:val="superscript"/>
          </w:rPr>
          <w:t xml:space="preserve">[19]</w:t>
        </w:r>
      </w:hyperlink>
      <w:r>
        <w:t xml:space="preserve"> </w:t>
      </w:r>
      <w:r>
        <w:t xml:space="preserve">No questions were raised either as to the tax implications of a cash-out merger or how the price for the one million share option granted Pritzker was calculated.</w:t>
      </w:r>
    </w:p>
    <w:p>
      <w:pPr>
        <w:pStyle w:val="CaseBody"/>
      </w:pPr>
      <w:r>
        <w:t xml:space="preserve">We do not say that the Board of Directors was not entitled to give some credence to Van Gorkom's representation that $55 was an adequate or fair price. Under § 141(e), the directors were entitled to rely upon their chairman's opinion of value and adequacy, provided that such opinion was reached on a sound basis. Here, the issue is whether the directors informed themselves as to all information that was reasonably available to them. Had they done so, they would have learned of the source and derivation of the $55 price and could not reasonably have relied thereupon in good faith.</w:t>
      </w:r>
    </w:p>
    <w:p>
      <w:pPr>
        <w:pStyle w:val="CaseBody"/>
      </w:pPr>
      <w:r>
        <w:t xml:space="preserve">None of the directors, Management or outside, were investment bankers or financial analysts. Yet the Board did not consider recessing the meeting until a later hour that day (or requesting an extension of Pritzker's Sunday evening deadline) to give it time to elicit more information as to the sufficiency of the offer, either from [878] inside Management (in particular Romans) or from Trans Union's own investment banker, Salomon Brothers, whose Chicago specialist in merger and acquisitions was known to the Board and familiar with Trans Union's affairs.</w:t>
      </w:r>
    </w:p>
    <w:p>
      <w:pPr>
        <w:pStyle w:val="CaseBody"/>
      </w:pPr>
      <w:r>
        <w:t xml:space="preserve">Thus, the record compels the conclusion that on September 20 the Board lacked valuation information adequate to reach an informed business judgment as to the fairness of $55 per share for sale of the Company.</w:t>
      </w:r>
      <w:hyperlink w:anchor="Xb820c9f70ae6e32b1333c0dc427acc74884efc9">
        <w:r>
          <w:rPr>
            <w:rStyle w:val="Hyperlink"/>
            <w:vertAlign w:val="superscript"/>
          </w:rPr>
          <w:t xml:space="preserve">[20]</w:t>
        </w:r>
      </w:hyperlink>
    </w:p>
    <w:bookmarkEnd w:id="237"/>
    <w:bookmarkStart w:id="238" w:name="section-26"/>
    <w:p>
      <w:pPr>
        <w:pStyle w:val="Heading2"/>
      </w:pPr>
      <w:r>
        <w:t xml:space="preserve">(2)</w:t>
      </w:r>
    </w:p>
    <w:p>
      <w:pPr>
        <w:pStyle w:val="CaseBody"/>
      </w:pPr>
      <w:r>
        <w:t xml:space="preserve">This brings us to the post-September 20 "market test" upon which the defendants ultimately rely to confirm the reasonableness of their September 20 decision to accept the Pritzker proposal. In this connection, the directors present a two-part argument: (a) that by making a "market test" of Pritzker's $55 per share offer a condition of their September 20 decision to accept his offer, they cannot be found to have acted impulsively or in an uninformed manner on September 20; and (b) that the adequacy of the $17 premium for sale of the Company was conclusively established over the following 90 to 120 days by the most reliable evidence available — the marketplace. Thus, the defendants impliedly contend that the "market test" eliminated the need for the Board to perform any other form of fairness test either on September 20, or thereafter.</w:t>
      </w:r>
    </w:p>
    <w:p>
      <w:pPr>
        <w:pStyle w:val="CaseBody"/>
      </w:pPr>
      <w:r>
        <w:t xml:space="preserve">Again, the facts of record do not support the defendants' argument. There is no evidence: (a) that the Merger Agreement was effectively amended to give the Board freedom to put Trans Union up for auction sale to the highest bidder; or (b) that a public auction was in fact permitted to occur. The minutes of the Board meeting make no reference to any of this. Indeed, the record compels the conclusion that the directors had no rational basis for expecting that a market test was attainable, given the terms of the Agreement as executed during the evening of September 20.</w:t>
      </w:r>
      <w:r>
        <w:rPr>
          <w:rStyle w:val="Elision"/>
        </w:rPr>
        <w:t xml:space="preserve">[ … ]</w:t>
      </w:r>
    </w:p>
    <w:p>
      <w:pPr>
        <w:pStyle w:val="CaseBody"/>
      </w:pPr>
      <w:r>
        <w:t xml:space="preserve">Van Gorkom, conceding that he never read the Agreement, stated that he was relying upon his understanding that, under corporate law, directors always have an inherent right, as well as a fiduciary duty, to accept a better offer notwithstanding an existing contractual commitment by the Board.</w:t>
      </w:r>
      <w:r>
        <w:t xml:space="preserve"> </w:t>
      </w:r>
      <w:r>
        <w:rPr>
          <w:rStyle w:val="Elision"/>
        </w:rPr>
        <w:t xml:space="preserve">[ … ]</w:t>
      </w:r>
    </w:p>
    <w:p>
      <w:pPr>
        <w:pStyle w:val="CaseBody"/>
      </w:pPr>
      <w:r>
        <w:t xml:space="preserve">The defendant directors assert that they "insisted" upon including two amendments to the Agreement, thereby permitting a market test: (1) to give Trans Union the right to accept a better offer; and (2) to reserve to Trans Union the right to distribute proprietary information on the Company to alternative bidders. Yet, the defendants concede that they did not seek to amend the Agreement to permit Trans Union to solicit competing offers.</w:t>
      </w:r>
    </w:p>
    <w:p>
      <w:pPr>
        <w:pStyle w:val="CaseBody"/>
      </w:pPr>
      <w:r>
        <w:t xml:space="preserve">Several of Trans Union's outside directors resolutely maintained that the Agreement as submitted was approved on the understanding that, "if we got a better deal, we had a right to take it." Director Johnson so testified; but he then added, "And if they didn't put that in the agreement, then the management did not carry out the conclusion of the Board. And I just don't know whether they did or not." The only clause in the Agreement as finally executed to which the defendants can point as "keeping the door open" is the following underlined statement found in subparagraph (a) of section 2.03 of the Merger Agreement as executed:</w:t>
      </w:r>
    </w:p>
    <w:p>
      <w:pPr>
        <w:pStyle w:val="BlockText"/>
      </w:pPr>
      <w:r>
        <w:t xml:space="preserve">The Board of Directors shall recommend to the stockholders of Trans Union that they approve and adopt the Merger Agreement (`the stockholders' approval') and to use its best efforts to obtain the requisite votes therefor.</w:t>
      </w:r>
      <w:r>
        <w:t xml:space="preserve"> </w:t>
      </w:r>
      <w:r>
        <w:rPr>
          <w:iCs/>
          <w:i/>
        </w:rPr>
        <w:t xml:space="preserve">GL acknowledges that Trans Union directors may have a competing fiduciary obligation to the shareholders under certain circumstances.</w:t>
      </w:r>
    </w:p>
    <w:p>
      <w:pPr>
        <w:pStyle w:val="CaseBody"/>
      </w:pPr>
      <w:r>
        <w:t xml:space="preserve">Clearly, this language on its face cannot be construed as incorporating either of the two "conditions" described above: either the right to accept a better offer or the right to distribute proprietary information to third parties. The logical witness for the defendants to call to confirm their construction of this clause of the Agreement would have been Trans Union's outside attorney, James Brennan. The defendants' failure, without explanation, to call this witness again permits the logical inference that his testimony would not have been helpful to them. The further fact that the directors adjourned, rather than recessed, the meeting without incorporating in the Agreement these important "conditions" further weakens the defendants' position. As has been noted, nothing in the Board's Minutes supports these claims. No reference to either of the so-called "conditions" or of Trans Union's reserved right to test the market appears in any notes of the Board meeting or in the Board Resolution accepting the Pritzker offer or in the Minutes of the meeting itself. That evening, in the midst of a formal party which he hosted for the opening of the Chicago Lyric Opera, Van Gorkom executed the Merger Agreement without he or any other member of the Board having read the instruments.</w:t>
      </w:r>
    </w:p>
    <w:p>
      <w:pPr>
        <w:pStyle w:val="CaseBody"/>
      </w:pPr>
      <w:r>
        <w:t xml:space="preserve">The defendants attempt to downplay the significance of the prohibition against Trans Union's actively soliciting competing offers by arguing that the directors "understood that the entire financial community would know that Trans Union was for sale upon the announcement of the Pritzker offer, and anyone desiring to make a better offer was free to do so." Yet, the press release issued on September 22, with the authorization of the Board, stated that Trans Union had entered into "definitive agreements" with the Pritzkers; and the press release did not even disclose Trans Union's limited right to receive and accept higher offers. Accompanying this press release was a further public announcement that Pritzker had been granted an option to purchase at any time one million shares of [880] Trans Union's capital stock at 75 cents above the then-current price per share.</w:t>
      </w:r>
    </w:p>
    <w:p>
      <w:pPr>
        <w:pStyle w:val="CaseBody"/>
      </w:pPr>
      <w:r>
        <w:t xml:space="preserve">Thus, notwithstanding what several of the outside directors later claimed to have "thought" occurred at the meeting, the record compels the conclusion that Trans Union's Board had no rational basis to conclude on September 20 or in the days immediately following, that the Board's acceptance of Pritzker's offer was conditioned on (1) a "market test" of the offer; and (2) the Board's right to withdraw from the Pritzker Agreement and accept any higher offer received before the shareholder meeting.</w:t>
      </w:r>
    </w:p>
    <w:bookmarkEnd w:id="238"/>
    <w:bookmarkStart w:id="239" w:name="section-27"/>
    <w:p>
      <w:pPr>
        <w:pStyle w:val="Heading2"/>
      </w:pPr>
      <w:r>
        <w:t xml:space="preserve">(3)</w:t>
      </w:r>
    </w:p>
    <w:p>
      <w:pPr>
        <w:pStyle w:val="CaseBody"/>
      </w:pPr>
      <w:r>
        <w:t xml:space="preserve">The directors' unfounded reliance on both the premium and the market test as the basis for accepting the Pritzker proposal undermines the defendants' remaining contention that the Board's collective experience and sophistication was a sufficient basis for finding that it reached its September 20 decision with informed, reasonable deliberation.</w:t>
      </w:r>
      <w:hyperlink w:anchor="X44528e75107814d62e07a1892480017cf1dfb43">
        <w:r>
          <w:rPr>
            <w:rStyle w:val="Hyperlink"/>
            <w:vertAlign w:val="superscript"/>
          </w:rPr>
          <w:t xml:space="preserve">[21]</w:t>
        </w:r>
      </w:hyperlink>
      <w:r>
        <w:rPr>
          <w:rStyle w:val="Elision"/>
        </w:rPr>
        <w:t xml:space="preserve">[ … ]</w:t>
      </w:r>
    </w:p>
    <w:bookmarkEnd w:id="239"/>
    <w:bookmarkStart w:id="240" w:name="section-28"/>
    <w:p>
      <w:pPr>
        <w:pStyle w:val="Heading2"/>
      </w:pPr>
      <w:r>
        <w:t xml:space="preserve">(4)</w:t>
      </w:r>
    </w:p>
    <w:p>
      <w:pPr>
        <w:pStyle w:val="CaseBody"/>
      </w:pPr>
      <w:r>
        <w:t xml:space="preserve">Part of the defense is based on a claim that the directors relied on legal advice rendered at the September 20 meeting by James Brennan, Esquire, who was present at Van Gorkom's request.</w:t>
      </w:r>
      <w:r>
        <w:t xml:space="preserve"> </w:t>
      </w:r>
      <w:r>
        <w:rPr>
          <w:rStyle w:val="Elision"/>
        </w:rPr>
        <w:t xml:space="preserve">[ … ]</w:t>
      </w:r>
    </w:p>
    <w:p>
      <w:pPr>
        <w:pStyle w:val="CaseBody"/>
      </w:pPr>
      <w:r>
        <w:t xml:space="preserve">Several defendants testified that Brennan advised them that Delaware law did not require a fairness opinion or an outside valuation of the Company before the Board could act on the Pritzker proposal. If given, the advice was correct. However, that did not end the matter. Unless the directors had before them adequate information regarding the intrinsic value of the Company, upon which a proper exercise of business judgment could be made, mere advice of this type is meaningless; and, given this record of the defendants' failures, it constitutes no defense here.</w:t>
      </w:r>
      <w:hyperlink w:anchor="X0cba9401ac2fd52a976c0d77432c6f8944f9e8e">
        <w:r>
          <w:rPr>
            <w:rStyle w:val="Hyperlink"/>
            <w:vertAlign w:val="superscript"/>
          </w:rPr>
          <w:t xml:space="preserve">[22]</w:t>
        </w:r>
      </w:hyperlink>
    </w:p>
    <w:bookmarkEnd w:id="240"/>
    <w:bookmarkStart w:id="241" w:name="section-29"/>
    <w:p>
      <w:pPr>
        <w:pStyle w:val="Heading2"/>
      </w:pPr>
      <w:r>
        <w:rPr>
          <w:rStyle w:val="Elision"/>
        </w:rPr>
        <w:t xml:space="preserve">[ … ]</w:t>
      </w:r>
    </w:p>
    <w:p>
      <w:pPr>
        <w:pStyle w:val="CaseBody"/>
      </w:pPr>
      <w:r>
        <w:t xml:space="preserve">A second claim is that counsel advised the Board it would be subject to lawsuits if it rejected the $55 per share offer. It is, of course, a fact of corporate life that today when faced with difficult or sensitive issues, directors often are subject to suit, irrespective of the decisions they make. However, counsel's mere acknowledgement of this circumstance cannot be rationally translated into a justification for a board permitting itself to be stampeded into a patently unadvised act. While suit might result from the rejection of a merger or tender offer, Delaware law makes clear that a board acting within the ambit of the business judgment rule faces no ultimate liability.</w:t>
      </w:r>
      <w:r>
        <w:t xml:space="preserve"> </w:t>
      </w:r>
      <w:r>
        <w:rPr>
          <w:rStyle w:val="Elision"/>
        </w:rPr>
        <w:t xml:space="preserve">[ … ]</w:t>
      </w:r>
      <w:r>
        <w:t xml:space="preserve">Thus, we cannot conclude that the mere threat of litigation, acknowledged by counsel, constitutes either legal advice or any valid basis upon which to pursue an uninformed course.</w:t>
      </w:r>
    </w:p>
    <w:p>
      <w:pPr>
        <w:pStyle w:val="CaseBody"/>
      </w:pPr>
      <w:r>
        <w:rPr>
          <w:rStyle w:val="Elision"/>
        </w:rPr>
        <w:t xml:space="preserve">[ … ]</w:t>
      </w:r>
    </w:p>
    <w:bookmarkEnd w:id="241"/>
    <w:bookmarkStart w:id="242" w:name="b--1"/>
    <w:p>
      <w:pPr>
        <w:pStyle w:val="Heading2"/>
      </w:pPr>
      <w:r>
        <w:t xml:space="preserve">-B-</w:t>
      </w:r>
    </w:p>
    <w:p>
      <w:pPr>
        <w:pStyle w:val="CaseBody"/>
      </w:pPr>
      <w:r>
        <w:t xml:space="preserve">We now examine the Board's post-September 20 conduct for the purpose of determining first, whether it was informed and not grossly negligent; and second, if informed, whether it was sufficient to legally rectify and cure the Board's derelictions of September 20.</w:t>
      </w:r>
      <w:hyperlink w:anchor="Xbe4df156ec5411423b90bcf70e22ae63668fdae">
        <w:r>
          <w:rPr>
            <w:rStyle w:val="Hyperlink"/>
            <w:vertAlign w:val="superscript"/>
          </w:rPr>
          <w:t xml:space="preserve">[23]</w:t>
        </w:r>
      </w:hyperlink>
    </w:p>
    <w:bookmarkEnd w:id="242"/>
    <w:bookmarkStart w:id="243" w:name="section-30"/>
    <w:p>
      <w:pPr>
        <w:pStyle w:val="Heading2"/>
      </w:pPr>
      <w:r>
        <w:t xml:space="preserve">(1)</w:t>
      </w:r>
    </w:p>
    <w:p>
      <w:pPr>
        <w:pStyle w:val="CaseBody"/>
      </w:pPr>
      <w:r>
        <w:t xml:space="preserve">First, as to the Board meeting of October 8</w:t>
      </w:r>
      <w:r>
        <w:rPr>
          <w:rStyle w:val="Elision"/>
        </w:rPr>
        <w:t xml:space="preserve">[ … ]</w:t>
      </w:r>
    </w:p>
    <w:p>
      <w:pPr>
        <w:pStyle w:val="CaseBody"/>
      </w:pPr>
      <w:r>
        <w:t xml:space="preserve">the primary purpose of the October 8 Board meeting was to amend the Merger Agreement, in a manner agreeable to Pritzker, to permit Trans Union to conduct a "market test."</w:t>
      </w:r>
      <w:hyperlink w:anchor="X61c4b2d7a68b5f1f33ca7602275fe46141b58d2">
        <w:r>
          <w:rPr>
            <w:rStyle w:val="Hyperlink"/>
            <w:vertAlign w:val="superscript"/>
          </w:rPr>
          <w:t xml:space="preserve">[24]</w:t>
        </w:r>
      </w:hyperlink>
      <w:r>
        <w:t xml:space="preserve"> </w:t>
      </w:r>
      <w:r>
        <w:t xml:space="preserve">Van Gorkom understood that the proposed amendments were intended to give the Company an unfettered "right to openly solicit offers down through January 31." Van Gorkom presumably so represented the amendments to Trans Union's Board members on October 8. In a brief session, the directors approved Van Gorkom's oral presentation of the substance of the proposed amendments, [883] the terms of which were not reduced to writing until October 10. But rather than waiting to review the amendments, the Board again approved them sight unseen and adjourned, giving Van Gorkom authority to execute the papers when he received them.</w:t>
      </w:r>
      <w:hyperlink w:anchor="X893c0f2e07299a82892a356df492c955c52aa89">
        <w:r>
          <w:rPr>
            <w:rStyle w:val="Hyperlink"/>
            <w:vertAlign w:val="superscript"/>
          </w:rPr>
          <w:t xml:space="preserve">[25]</w:t>
        </w:r>
      </w:hyperlink>
    </w:p>
    <w:p>
      <w:pPr>
        <w:pStyle w:val="CaseBody"/>
      </w:pPr>
      <w:r>
        <w:rPr>
          <w:rStyle w:val="Elision"/>
        </w:rPr>
        <w:t xml:space="preserve">[ … ]</w:t>
      </w:r>
    </w:p>
    <w:p>
      <w:pPr>
        <w:pStyle w:val="CaseBody"/>
      </w:pPr>
      <w:r>
        <w:t xml:space="preserve">The October 10 amendments to the Merger Agreement did authorize Trans Union to solicit competing offers, but the amendments had more far-reaching effects. The most significant change was in the definition of the third-party "offer" available to Trans Union as a possible basis for withdrawal from its Merger Agreement with Pritzker. Under the October 10 amendments, a better</w:t>
      </w:r>
      <w:r>
        <w:t xml:space="preserve"> </w:t>
      </w:r>
      <w:r>
        <w:rPr>
          <w:iCs/>
          <w:i/>
        </w:rPr>
        <w:t xml:space="preserve">offer</w:t>
      </w:r>
      <w:r>
        <w:t xml:space="preserve"> </w:t>
      </w:r>
      <w:r>
        <w:t xml:space="preserve">was no longer sufficient to permit Trans Union's withdrawal. Trans Union was now permitted to terminate the Pritzker Agreement and abandon the merger only if, prior to February 10, 1981, Trans Union had either consummated a merger (or sale of assets) with a third party or had entered into a "definitive" merger agreement more favorable than Pritzker's and for a greater consideration — subject only to stockholder approval. Further, the "extension" of the market test period to February 10, 1981 was circumscribed by other amendments which required Trans Union to file its preliminary proxy statement on the Pritzker merger proposal by December 5, 1980 and use its best efforts to mail the statement to its shareholders by January 5, 1981. Thus, the market test period was effectively reduced, not extended. (</w:t>
      </w:r>
      <w:r>
        <w:rPr>
          <w:iCs/>
          <w:i/>
        </w:rPr>
        <w:t xml:space="preserve">See infra</w:t>
      </w:r>
      <w:r>
        <w:t xml:space="preserve"> </w:t>
      </w:r>
      <w:r>
        <w:t xml:space="preserve">note 29 at 886.)</w:t>
      </w:r>
    </w:p>
    <w:p>
      <w:pPr>
        <w:pStyle w:val="CaseBody"/>
      </w:pPr>
      <w:r>
        <w:t xml:space="preserve">In our view, the record compels the conclusion that the directors' conduct on October [884] 8 exhibited the same deficiencies as did their conduct on September 20. The Board permitted its Merger Agreement with Pritzker to be amended in a manner it had neither authorized nor intended.</w:t>
      </w:r>
      <w:r>
        <w:rPr>
          <w:rStyle w:val="Elision"/>
        </w:rPr>
        <w:t xml:space="preserve">[ … ]</w:t>
      </w:r>
    </w:p>
    <w:p>
      <w:pPr>
        <w:pStyle w:val="CaseBody"/>
      </w:pPr>
      <w:r>
        <w:t xml:space="preserve">We conclude that the Board acted in a grossly negligent manner on October 8</w:t>
      </w:r>
      <w:r>
        <w:rPr>
          <w:rStyle w:val="Elision"/>
        </w:rPr>
        <w:t xml:space="preserve">[ … ]</w:t>
      </w:r>
    </w:p>
    <w:bookmarkEnd w:id="243"/>
    <w:bookmarkStart w:id="244" w:name="section-31"/>
    <w:p>
      <w:pPr>
        <w:pStyle w:val="Heading2"/>
      </w:pPr>
      <w:r>
        <w:t xml:space="preserve">(2)</w:t>
      </w:r>
    </w:p>
    <w:p>
      <w:pPr>
        <w:pStyle w:val="CaseBody"/>
      </w:pPr>
      <w:r>
        <w:t xml:space="preserve">Next, as to the "curative" effects of the Board's post-September 20 conduct, we review in more detail the reaction of Van Gorkom to the KKR proposal and the results of the Board-sponsored "market test."</w:t>
      </w:r>
    </w:p>
    <w:p>
      <w:pPr>
        <w:pStyle w:val="CaseBody"/>
      </w:pPr>
      <w:r>
        <w:t xml:space="preserve">The KKR proposal was the first and only offer received subsequent to the Pritzker Merger Agreement. The offer resulted primarily from the efforts of Romans and other senior officers to propose an alternative to Pritzker's acquisition of Trans Union. In late September, Romans' group contacted KKR about the possibility of a leveraged buy-out by all members of Management, except Van Gorkom. By early October, Henry R. Kravis of KKR gave Romans written notice of KKR's "interest in making an offer to purchase 100%" of Trans Union's common stock.</w:t>
      </w:r>
    </w:p>
    <w:p>
      <w:pPr>
        <w:pStyle w:val="CaseBody"/>
      </w:pPr>
      <w:r>
        <w:t xml:space="preserve">Thereafter, and until early December, Romans' group worked with KKR to develop a proposal. It did so with Van Gorkom's knowledge and apparently grudging consent. On December 2, Kravis and Romans hand-delivered to Van Gorkom a formal letter-offer to purchase all of Trans Union's assets and to assume all of its liabilities for an aggregate cash consideration equivalent to $60 per share. The offer was contingent upon completing equity and bank financing of $650 million, which Kravis represented as 80% complete. The KKR letter made reference to discussions with major banks regarding the loan portion of the buy-out cost and stated that KKR was "confident that commitments for the bank financing * * * can be obtained within two or three weeks." The purchasing group was to include certain named key members of Trans Union's Senior Management, excluding Van Gorkom, and a major Canadian company. Kravis stated that they were willing to enter into a "definitive agreement" under terms and conditions "substantially the same" as those contained in Trans Union's agreement with Pritzker. The offer was addressed to Trans Union's Board of Directors and a meeting with the Board, scheduled for that afternoon, was requested.</w:t>
      </w:r>
    </w:p>
    <w:p>
      <w:pPr>
        <w:pStyle w:val="CaseBody"/>
      </w:pPr>
      <w:r>
        <w:t xml:space="preserve">Van Gorkom's reaction to the KKR proposal was completely negative; he did not view the offer as being firm because of its [885] financing condition. It was pointed out, to no avail, that Pritzker's offer had not only been similarly conditioned, but accepted on an expedited basis. Van Gorkom refused Kravis' request that Trans Union issue a press release announcing KKR's offer, on the ground that it might "chill" any other offer.</w:t>
      </w:r>
      <w:hyperlink w:anchor="X104bbde8c2d42551f2261727b59e4f06c5b754f">
        <w:r>
          <w:rPr>
            <w:rStyle w:val="Hyperlink"/>
            <w:vertAlign w:val="superscript"/>
          </w:rPr>
          <w:t xml:space="preserve">[27]</w:t>
        </w:r>
      </w:hyperlink>
      <w:r>
        <w:t xml:space="preserve"> </w:t>
      </w:r>
      <w:r>
        <w:t xml:space="preserve">Romans and Kravis left with the understanding that their proposal would be presented to Trans Union's Board that afternoon.</w:t>
      </w:r>
    </w:p>
    <w:p>
      <w:pPr>
        <w:pStyle w:val="CaseBody"/>
      </w:pPr>
      <w:r>
        <w:t xml:space="preserve">Within a matter of hours and shortly before the scheduled Board meeting, Kravis withdrew his letter-offer. He gave as his reason a sudden decision by the Chief Officer of Trans Union's rail car leasing operation to withdraw from the KKR purchasing group. Van Gorkom had spoken to that officer about his participation in the KKR proposal immediately after his meeting with Romans and Kravis. However, Van Gorkom denied any responsibility for the officer's change of mind.</w:t>
      </w:r>
    </w:p>
    <w:p>
      <w:pPr>
        <w:pStyle w:val="CaseBody"/>
      </w:pPr>
      <w:r>
        <w:t xml:space="preserve">At the Board meeting later that afternoon, Van Gorkom did not inform the directors of the KKR proposal because he considered it "dead." Van Gorkom did not contact KKR again until January 20, when faced with the realities of this lawsuit, he then attempted to reopen negotiations. KKR declined due to the imminence of the February 10 stockholder meeting.</w:t>
      </w:r>
    </w:p>
    <w:p>
      <w:pPr>
        <w:pStyle w:val="CaseBody"/>
      </w:pPr>
      <w:r>
        <w:t xml:space="preserve">GE Credit Corporation's interest in Trans Union did not develop until November; and it made no written proposal until mid-January. Even then, its proposal was not in the form of an offer. Had there been time to do so, GE Credit was prepared to offer between $2 and $5 per share above the $55 per share price which Pritzker offered. But GE Credit needed an additional 60 to 90 days; and it was unwilling to make a formal offer without a concession from Pritzker extending the February 10 "deadline" for Trans Union's stockholder meeting. As previously stated, Pritzker refused to grant such extension; and on January 21, GE Credit terminated further negotiations with Trans Union. Its stated reasons, among others, were its "unwillingness to become involved in a bidding contest with Pritzker in the absence of the willingness of [the Pritzker interests] to terminate the proposed $55 cash merger."</w:t>
      </w:r>
    </w:p>
    <w:bookmarkEnd w:id="244"/>
    <w:bookmarkStart w:id="245" w:name="section-32"/>
    <w:p>
      <w:pPr>
        <w:pStyle w:val="Heading2"/>
      </w:pPr>
      <w:r>
        <w:t xml:space="preserve">* * *</w:t>
      </w:r>
    </w:p>
    <w:p>
      <w:pPr>
        <w:pStyle w:val="CaseBody"/>
      </w:pPr>
      <w:r>
        <w:t xml:space="preserve">In the absence of any explicit finding by the Trial Court as to the reasonableness of Trans Union's directors' reliance on a market test and its feasibility, we may make our own findings based on the record. Our review of the record compels a finding that confirmation of the appropriateness of the Pritzker offer by an unfettered or free market test was virtually meaningless in the face of the terms and time limitations of Trans Union's Merger Agreement with Pritzker as amended October 10, 1980.</w:t>
      </w:r>
    </w:p>
    <w:bookmarkEnd w:id="245"/>
    <w:bookmarkStart w:id="246" w:name="section-33"/>
    <w:p>
      <w:pPr>
        <w:pStyle w:val="Heading2"/>
      </w:pPr>
      <w:r>
        <w:t xml:space="preserve">(3)</w:t>
      </w:r>
    </w:p>
    <w:p>
      <w:pPr>
        <w:pStyle w:val="CaseBody"/>
      </w:pPr>
      <w:r>
        <w:t xml:space="preserve">Finally, we turn to the Board's meeting of January 26, 1981. The defendant directors rely upon the action there taken to refute the contention that they did not reach an informed business judgment in approving the Pritzker merger.</w:t>
      </w:r>
      <w:r>
        <w:rPr>
          <w:rStyle w:val="ReplacementText"/>
        </w:rPr>
        <w:t xml:space="preserve">The Supreme Court's answer: too little, too late.</w:t>
      </w:r>
    </w:p>
    <w:bookmarkEnd w:id="246"/>
    <w:bookmarkStart w:id="247" w:name="section-34"/>
    <w:p>
      <w:pPr>
        <w:pStyle w:val="Heading2"/>
      </w:pPr>
      <w:r>
        <w:t xml:space="preserve">*</w:t>
      </w:r>
    </w:p>
    <w:p>
      <w:pPr>
        <w:pStyle w:val="CaseBody"/>
      </w:pPr>
      <w:r>
        <w:t xml:space="preserve">Upon the basis of the foregoing, we hold that the defendants' post-September conduct did not cure the deficiencies of their September 20 conduct; and that, accordingly, the Trial Court erred in according to the defendants the benefits of the business judgment rule.</w:t>
      </w:r>
    </w:p>
    <w:bookmarkEnd w:id="247"/>
    <w:bookmarkStart w:id="248" w:name="iv.-1"/>
    <w:p>
      <w:pPr>
        <w:pStyle w:val="Heading2"/>
      </w:pPr>
      <w:r>
        <w:t xml:space="preserve">IV.</w:t>
      </w:r>
    </w:p>
    <w:p>
      <w:pPr>
        <w:pStyle w:val="CaseBody"/>
      </w:pPr>
      <w:r>
        <w:rPr>
          <w:rStyle w:val="ReplacementText"/>
        </w:rPr>
        <w:t xml:space="preserve">D</w:t>
      </w:r>
      <w:r>
        <w:rPr>
          <w:rStyle w:val="Elision"/>
        </w:rPr>
        <w:t xml:space="preserve">[ … ]</w:t>
      </w:r>
    </w:p>
    <w:p>
      <w:pPr>
        <w:pStyle w:val="CaseBody"/>
      </w:pPr>
      <w:r>
        <w:t xml:space="preserve">efendants ultimately rely on the stockholder vote of February 10 for exoneration. The</w:t>
      </w:r>
      <w:r>
        <w:t xml:space="preserve"> </w:t>
      </w:r>
      <w:r>
        <w:rPr>
          <w:rStyle w:val="Elision"/>
        </w:rPr>
        <w:t xml:space="preserve">[ … ]</w:t>
      </w:r>
    </w:p>
    <w:p>
      <w:pPr>
        <w:pStyle w:val="CaseBody"/>
      </w:pPr>
      <w:r>
        <w:t xml:space="preserve">settled rule in Delaware is that "where a majority of fully informed stockholders ratify action of even interested directors, an attack on the ratified transaction normally must fail."</w:t>
      </w:r>
      <w:r>
        <w:t xml:space="preserve"> </w:t>
      </w:r>
      <w:r>
        <w:rPr>
          <w:rStyle w:val="Elision"/>
        </w:rPr>
        <w:t xml:space="preserve">[ … ]</w:t>
      </w:r>
      <w:r>
        <w:rPr>
          <w:rStyle w:val="Elision"/>
        </w:rPr>
        <w:t xml:space="preserve">[ … ]</w:t>
      </w:r>
    </w:p>
    <w:p>
      <w:pPr>
        <w:pStyle w:val="CaseBody"/>
      </w:pPr>
      <w:r>
        <w:rPr>
          <w:rStyle w:val="Elision"/>
        </w:rPr>
        <w:t xml:space="preserve">[ … ]</w:t>
      </w:r>
      <w:r>
        <w:rPr>
          <w:rStyle w:val="Elision"/>
        </w:rPr>
        <w:t xml:space="preserve">[ … ]</w:t>
      </w:r>
    </w:p>
    <w:p>
      <w:pPr>
        <w:pStyle w:val="CaseBody"/>
      </w:pPr>
      <w:r>
        <w:rPr>
          <w:rStyle w:val="Elision"/>
        </w:rPr>
        <w:t xml:space="preserve">[ … ]</w:t>
      </w:r>
      <w:r>
        <w:rPr>
          <w:rStyle w:val="Elision"/>
        </w:rPr>
        <w:t xml:space="preserve">[ … ]</w:t>
      </w:r>
    </w:p>
    <w:p>
      <w:pPr>
        <w:pStyle w:val="CaseBody"/>
      </w:pPr>
      <w:r>
        <w:rPr>
          <w:rStyle w:val="Elision"/>
        </w:rPr>
        <w:t xml:space="preserve">[ … ]</w:t>
      </w:r>
    </w:p>
    <w:p>
      <w:pPr>
        <w:pStyle w:val="CaseBody"/>
      </w:pPr>
      <w:r>
        <w:t xml:space="preserve">We find false and misleading the Board's characterization of the Romans report in the Supplemental Proxy Statement. The Supplemental Proxy stated:</w:t>
      </w:r>
    </w:p>
    <w:p>
      <w:pPr>
        <w:pStyle w:val="BlockText"/>
      </w:pPr>
      <w:r>
        <w:t xml:space="preserve">At the September 20, 1980 meeting of the Board of Directors of Trans Union, Mr. Romans indicated that while he could not say that $55,00 per share was an unfair price, he had prepared a preliminary report which reflected that the value of the Company was in the range of $55.00 to $65.00 per share.</w:t>
      </w:r>
    </w:p>
    <w:p>
      <w:pPr>
        <w:pStyle w:val="CaseBody"/>
      </w:pPr>
      <w:r>
        <w:t xml:space="preserve">Nowhere does the Board disclose that Romans stated to the Board that his calculations were made in a "search for ways to justify a price in connection with" a leveraged buy-out transaction, "rather than to say what the shares are worth," and that he stated to the Board that his conclusion thus arrived at "was not the same thing as saying that I have a valuation of the Company at X dollars."</w:t>
      </w:r>
      <w:r>
        <w:rPr>
          <w:rStyle w:val="Elision"/>
        </w:rPr>
        <w:t xml:space="preserve">[ … ]</w:t>
      </w:r>
      <w:r>
        <w:rPr>
          <w:rStyle w:val="Elision"/>
        </w:rPr>
        <w:t xml:space="preserve">[ … ]</w:t>
      </w:r>
    </w:p>
    <w:p>
      <w:pPr>
        <w:pStyle w:val="CaseBody"/>
      </w:pPr>
      <w:r>
        <w:t xml:space="preserve">We find misleading the Board's references to the "substantial" premium offered. The</w:t>
      </w:r>
      <w:r>
        <w:t xml:space="preserve"> </w:t>
      </w:r>
      <w:r>
        <w:rPr>
          <w:rStyle w:val="Elision"/>
        </w:rPr>
        <w:t xml:space="preserve">[ … ]</w:t>
      </w:r>
      <w:r>
        <w:t xml:space="preserve">Board did not disclose its failure to assess the premium offered in terms of other relevant valuation techniques, thereby rendering questionable its determination as to the substantiality of the premium over an admittedly depressed stock market price.</w:t>
      </w:r>
    </w:p>
    <w:p>
      <w:pPr>
        <w:pStyle w:val="CaseBody"/>
      </w:pPr>
      <w:r>
        <w:rPr>
          <w:rStyle w:val="Elision"/>
        </w:rPr>
        <w:t xml:space="preserve">[ … ]</w:t>
      </w:r>
      <w:r>
        <w:rPr>
          <w:rStyle w:val="Elision"/>
        </w:rPr>
        <w:t xml:space="preserve">[ … ]</w:t>
      </w:r>
      <w:r>
        <w:rPr>
          <w:rStyle w:val="Elision"/>
        </w:rPr>
        <w:t xml:space="preserve">[ … ]</w:t>
      </w:r>
      <w:r>
        <w:t xml:space="preserve">But the Board misled the shareholders when they described the basis of Van Gorkom's suggestion as follows:</w:t>
      </w:r>
    </w:p>
    <w:p>
      <w:pPr>
        <w:pStyle w:val="BlockText"/>
      </w:pPr>
      <w:r>
        <w:t xml:space="preserve">Such suggestion was based, at least in part, on Mr. Van Gorkom's belief that loans could be obtained from institutional lenders (together with about a $200 million [892] equity contribution) which would justify the payment of such price, ...</w:t>
      </w:r>
    </w:p>
    <w:p>
      <w:pPr>
        <w:pStyle w:val="CaseBody"/>
      </w:pPr>
      <w:r>
        <w:t xml:space="preserve">Although by January 26, the directors knew the basis of the $55 figure, they did not disclose that Van Gorkom chose the $55 price because that figure would enable Pritzker to both finance the purchase of Trans Union through a leveraged buy-out and, within five years, substantially repay the loan out of the cash flow generated by the Company's operations.</w:t>
      </w:r>
    </w:p>
    <w:p>
      <w:pPr>
        <w:pStyle w:val="CaseBody"/>
      </w:pPr>
      <w:r>
        <w:t xml:space="preserve">(5) The Board's Supplemental Proxy Statement, mailed on or after January 27,</w:t>
      </w:r>
      <w:r>
        <w:t xml:space="preserve"> </w:t>
      </w:r>
      <w:r>
        <w:rPr>
          <w:rStyle w:val="Elision"/>
        </w:rPr>
        <w:t xml:space="preserve">[ … ]</w:t>
      </w:r>
      <w:r>
        <w:t xml:space="preserve">d</w:t>
      </w:r>
      <w:r>
        <w:rPr>
          <w:rStyle w:val="ReplacementText"/>
        </w:rPr>
        <w:t xml:space="preserve">belatedly furnished all or most of the missing information. Nevertheless, the Supreme Court found that it fell short of the required "complete candor" because it did not explicitly say that the board already possessed much of this information when mailing the original proxy statement.</w:t>
      </w:r>
    </w:p>
    <w:bookmarkEnd w:id="248"/>
    <w:bookmarkStart w:id="249" w:name="section-35"/>
    <w:p>
      <w:pPr>
        <w:pStyle w:val="Heading2"/>
      </w:pPr>
      <w:r>
        <w:t xml:space="preserve">*</w:t>
      </w:r>
    </w:p>
    <w:p>
      <w:pPr>
        <w:pStyle w:val="CaseBody"/>
      </w:pPr>
      <w:r>
        <w:t xml:space="preserve">For the foregoing reasons, we conclude that the director defendants breached their fiduciary duty of candor by their failure to make true and correct disclosures of all information they had, or should have had, material to the transaction submitted for stockholder approval.</w:t>
      </w:r>
    </w:p>
    <w:bookmarkEnd w:id="249"/>
    <w:bookmarkStart w:id="250" w:name="vi.-1"/>
    <w:p>
      <w:pPr>
        <w:pStyle w:val="Heading2"/>
      </w:pPr>
      <w:r>
        <w:t xml:space="preserve">VI.</w:t>
      </w:r>
    </w:p>
    <w:p>
      <w:pPr>
        <w:pStyle w:val="CaseBody"/>
      </w:pPr>
      <w:r>
        <w:t xml:space="preserve">To summarize: we hold that the directors of Trans Union breached their fiduciary duty to their stockholders (1) by their failure to inform themselves of all information reasonably available to them and relevant to their decision to recommend the Pritzker merger; and (2) by their failure to disclose all material information such as a reasonable stockholder would consider important in deciding whether to approve the Pritzker offer.</w:t>
      </w:r>
    </w:p>
    <w:p>
      <w:pPr>
        <w:pStyle w:val="CaseBody"/>
      </w:pPr>
      <w:r>
        <w:t xml:space="preserve">We hold, therefore, that the Trial Court committed reversible error in applying the business judgment rule in favor of the director defendants in this case.</w:t>
      </w:r>
    </w:p>
    <w:p>
      <w:pPr>
        <w:pStyle w:val="CaseBody"/>
      </w:pPr>
      <w:r>
        <w:t xml:space="preserve">On remand, the Court of Chancery shall conduct an evidentiary hearing to determine the fair value of the shares represented by the plaintiffs' class, based on the intrinsic value of Trans Union on September 20, 1980. Such valuation shall be made in accordance with</w:t>
      </w:r>
      <w:r>
        <w:t xml:space="preserve"> </w:t>
      </w:r>
      <w:r>
        <w:rPr>
          <w:iCs/>
          <w:i/>
        </w:rPr>
        <w:t xml:space="preserve">Weinberger v. UOP, Inc., supra</w:t>
      </w:r>
      <w:r>
        <w:t xml:space="preserve"> </w:t>
      </w:r>
      <w:r>
        <w:t xml:space="preserve">at 712-715. Thereafter, an award of damages may be entered to the extent that the fair value of Trans Union exceeds $55 per share.</w:t>
      </w:r>
    </w:p>
    <w:bookmarkEnd w:id="250"/>
    <w:bookmarkStart w:id="251" w:name="section-36"/>
    <w:p>
      <w:pPr>
        <w:pStyle w:val="Heading2"/>
      </w:pPr>
      <w:r>
        <w:t xml:space="preserve">* * *</w:t>
      </w:r>
    </w:p>
    <w:p>
      <w:pPr>
        <w:pStyle w:val="CaseBody"/>
      </w:pPr>
      <w:r>
        <w:t xml:space="preserve">REVERSED and REMANDED for proceedings consistent herewith.</w:t>
      </w:r>
    </w:p>
    <w:bookmarkEnd w:id="251"/>
    <w:bookmarkStart w:id="252" w:name="mcneilly-justice-dissenting"/>
    <w:p>
      <w:pPr>
        <w:pStyle w:val="Heading2"/>
      </w:pPr>
      <w:r>
        <w:t xml:space="preserve">McNEILLY, Justice, dissenting:</w:t>
      </w:r>
    </w:p>
    <w:p>
      <w:pPr>
        <w:pStyle w:val="CaseBody"/>
      </w:pPr>
      <w:r>
        <w:t xml:space="preserve">The majority opinion reads like an advocate's closing address to a hostile jury. And I say that not lightly. Throughout the [894] opinion great emphasis is directed only to the negative, with nothing more than lip service granted the positive aspects of this case. In my opinion Chancellor Marvel (retired) should have been affirmed. The</w:t>
      </w:r>
      <w:r>
        <w:t xml:space="preserve"> </w:t>
      </w:r>
      <w:r>
        <w:rPr>
          <w:rStyle w:val="Elision"/>
        </w:rPr>
        <w:t xml:space="preserve">[ … ]</w:t>
      </w:r>
    </w:p>
    <w:p>
      <w:pPr>
        <w:pStyle w:val="CaseBody"/>
      </w:pPr>
      <w:r>
        <w:t xml:space="preserve">majority has spoken and has effectively said that Trans Union's Directors have been the victims of a "fast shuffle" by Van Gorkom and Pritzker. That is the beginning of the majority's comedy of errors. The first and most important error made is the majority's assessment of the directors' knowledge of the affairs of Trans Union and their combined ability to act in this situation under the protection of the business judgment rule.</w:t>
      </w:r>
    </w:p>
    <w:p>
      <w:pPr>
        <w:pStyle w:val="CaseBody"/>
      </w:pPr>
      <w:r>
        <w:t xml:space="preserve">Trans Union's Board of Directors consisted of ten men, five of whom were "inside" directors and five of whom were "outside" directors. The "inside" directors were Van Gorkom, Chelberg, Bonser, William B. Browder, Senior Vice-President-Law, and Thomas P. O'Boyle, Senior Vice-President-Administration. At the time the merger was proposed the inside five directors had collectively been employed by the Company for 116 years and had 68 years of combined experience as directors. The "outside" directors were A.W. Wallis, William B. Johnson, Joseph B. Lanterman, Graham J. Morgan and Robert W. Reneker. With the exception of Wallis, these were all chief executive officers of Chicago based corporations that were at least as large as Trans Union. The five "outside" directors had 78 years of combined experience as chief executive officers, and 53 years cumulative service as Trans Union directors.</w:t>
      </w:r>
    </w:p>
    <w:p>
      <w:pPr>
        <w:pStyle w:val="CaseBody"/>
      </w:pPr>
      <w:r>
        <w:t xml:space="preserve">The inside directors wear their badge of expertise in the corporate affairs of Trans Union on their sleeves. But what about the outsiders? Dr. Wallis is or was an economist and math statistician, a professor of economics at Yale University, dean of the graduate school of business at the University of Chicago, and Chancellor of the University of Rochester. Dr. Wallis had been on the Board of Trans Union since 1962. He also was on the Board of Bausch &amp; Lomb, Kodak, Metropolitan Life Insurance Company, Standard Oil and others.</w:t>
      </w:r>
    </w:p>
    <w:p>
      <w:pPr>
        <w:pStyle w:val="CaseBody"/>
      </w:pPr>
      <w:r>
        <w:t xml:space="preserve">William B. Johnson is a University of Pennsylvania law graduate, President of Railway Express until 1966, Chairman and Chief Executive of I.C. Industries Holding Company, and member of Trans Union's Board since 1968.</w:t>
      </w:r>
    </w:p>
    <w:p>
      <w:pPr>
        <w:pStyle w:val="CaseBody"/>
      </w:pPr>
      <w:r>
        <w:t xml:space="preserve">Joseph Lanterman, a Certified Public Accountant, is or was President and Chief Executive of American Steel, on the Board of International Harvester, Peoples Energy, Illinois Bell Telephone, Harris Bank and Trust Company, Kemper Insurance Company and a director of Trans Union for four years.</w:t>
      </w:r>
    </w:p>
    <w:p>
      <w:pPr>
        <w:pStyle w:val="CaseBody"/>
      </w:pPr>
      <w:r>
        <w:t xml:space="preserve">Graham Morgan is achemist, was Chairman and Chief Executive Officer of U.S. Gypsum, and in the 17 and 18 years prior to the Trans Union transaction had been involved in 31 or 32 corporate takeovers.</w:t>
      </w:r>
    </w:p>
    <w:p>
      <w:pPr>
        <w:pStyle w:val="CaseBody"/>
      </w:pPr>
      <w:r>
        <w:t xml:space="preserve">Robert Reneker attended University of Chicago and Harvard Business Schools. He was President and Chief Executive of Swift and Company, director of Trans Union since 1971, and member of the Boards of seven other corporations including U.S. Gypsum and the Chicago Tribune.</w:t>
      </w:r>
    </w:p>
    <w:p>
      <w:pPr>
        <w:pStyle w:val="CaseBody"/>
      </w:pPr>
      <w:r>
        <w:t xml:space="preserve">Directors of this caliber are not ordinarily taken in by a "fast shuffle". I su</w:t>
      </w:r>
      <w:r>
        <w:rPr>
          <w:rStyle w:val="Elision"/>
        </w:rPr>
        <w:t xml:space="preserve">[ … ]</w:t>
      </w:r>
      <w:r>
        <w:t xml:space="preserve">e men knew Trans Union like the back of their hands and were more than well qualified to make on the spot informed business judgments concerning the affairs of Trans Union including a 100% sale of the corporation. Lest we forget, the corporate world of then and now operates on what is so aptly referred to as "the fast track". These men were at the time an integral part of that world, all professional business men, not intellectual figureheads.</w:t>
      </w:r>
    </w:p>
    <w:p>
      <w:pPr>
        <w:pStyle w:val="CaseBody"/>
      </w:pPr>
      <w:r>
        <w:t xml:space="preserve">The majority of this Court holds that the Board's decision, reached on September 20, 1980, to approve the merger was not the product of an</w:t>
      </w:r>
      <w:r>
        <w:t xml:space="preserve"> </w:t>
      </w:r>
      <w:r>
        <w:rPr>
          <w:iCs/>
          <w:i/>
        </w:rPr>
        <w:t xml:space="preserve">informed</w:t>
      </w:r>
      <w:r>
        <w:t xml:space="preserve"> </w:t>
      </w:r>
      <w:r>
        <w:t xml:space="preserve">business judgment, th</w:t>
      </w:r>
      <w:r>
        <w:rPr>
          <w:rStyle w:val="Elision"/>
        </w:rPr>
        <w:t xml:space="preserve">[ … ]</w:t>
      </w:r>
      <w:r>
        <w:t xml:space="preserve">disagree.</w:t>
      </w:r>
    </w:p>
    <w:p>
      <w:pPr>
        <w:pStyle w:val="CaseBody"/>
      </w:pPr>
      <w:r>
        <w:t xml:space="preserve">At the time of the September 20, 1980 meeting the Board was acutely aware of Trans Union and its prospects. The</w:t>
      </w:r>
      <w:r>
        <w:t xml:space="preserve"> </w:t>
      </w:r>
      <w:r>
        <w:rPr>
          <w:rStyle w:val="Elision"/>
        </w:rPr>
        <w:t xml:space="preserve">[ … ]</w:t>
      </w:r>
    </w:p>
    <w:p>
      <w:pPr>
        <w:pStyle w:val="CaseBody"/>
      </w:pPr>
      <w:r>
        <w:t xml:space="preserve">he September 20 meeting Van Gorkom reviewed all aspects of the proposed transaction and repeated the explanation of the Pritzker offer he had earlier given to senior management. Having heard Van Gorkom's explanation of the Pritzker's offer, and Brennan's explanation of the merger documents the directors discussed the matter. Out of this discussion arose an insistence on the part of the directors that two</w:t>
      </w:r>
      <w:r>
        <w:t xml:space="preserve"> </w:t>
      </w:r>
      <w:r>
        <w:rPr>
          <w:rStyle w:val="Elision"/>
        </w:rPr>
        <w:t xml:space="preserve">[ … ]</w:t>
      </w:r>
      <w:r>
        <w:t xml:space="preserve"> </w:t>
      </w:r>
      <w:r>
        <w:t xml:space="preserve">merger documents were to be modified to reflect the fact that the directors could accept a better offer and would not be required to recommend the Pritzker offer if a better offer was made. The</w:t>
      </w:r>
      <w:r>
        <w:t xml:space="preserve"> </w:t>
      </w:r>
      <w:r>
        <w:rPr>
          <w:rStyle w:val="Elision"/>
        </w:rPr>
        <w:t xml:space="preserve">[ … ]</w:t>
      </w:r>
    </w:p>
    <w:p>
      <w:pPr>
        <w:pStyle w:val="CaseBody"/>
      </w:pPr>
      <w:r>
        <w:t xml:space="preserve">subsequent meeting on October 8, 1981 the directors, with the consent of the Pritzkers, amended the Merger Agreement so as to establish the right of Trans Union to</w:t>
      </w:r>
      <w:r>
        <w:t xml:space="preserve"> </w:t>
      </w:r>
      <w:r>
        <w:rPr>
          <w:iCs/>
          <w:i/>
        </w:rPr>
        <w:t xml:space="preserve">solicit</w:t>
      </w:r>
      <w:r>
        <w:t xml:space="preserve"> </w:t>
      </w:r>
      <w:r>
        <w:t xml:space="preserve">as well as to receive higher bids, [8</w:t>
      </w:r>
      <w:r>
        <w:rPr>
          <w:rStyle w:val="Elision"/>
        </w:rPr>
        <w:t xml:space="preserve">[ … ]</w:t>
      </w:r>
    </w:p>
    <w:p>
      <w:pPr>
        <w:pStyle w:val="CaseBody"/>
      </w:pPr>
      <w:r>
        <w:t xml:space="preserve">owing the October 8 board meeting of Trans Union, the investment banking firm of Salomon Brothers was retained by the corporation to search for better offers than that of the Pritzkers, Salomon Brothers being charged with the responsibility of doing "whatever possible to see if there is a superior bid in the marketplace over a bid that is on the table for Trans Union". In undertaking such project, it was agreed that Salomon Brothers would be paid the amount of $500,000 to cover its expenses as well as a fee equal to 3/8ths of 1% of the aggregate fair market value of the consideration to be received by the company in the case of a merger or the like, which meant that in the event Salomon Brothers should find a buyer willing to pay a price of $56.00 a share instead of $55.00, such firm would receive a fee of roughly $2,650,000 plus disbursements.</w:t>
      </w:r>
    </w:p>
    <w:p>
      <w:pPr>
        <w:pStyle w:val="CaseBody"/>
      </w:pPr>
      <w:r>
        <w:t xml:space="preserve">As t</w:t>
      </w:r>
      <w:r>
        <w:rPr>
          <w:rStyle w:val="Elision"/>
        </w:rPr>
        <w:t xml:space="preserve">[ … ]</w:t>
      </w:r>
      <w:r>
        <w:t xml:space="preserve">atters transpired, no firm offer which bettered the Pritzker offer of $55 per share was ever made.</w:t>
      </w:r>
    </w:p>
    <w:p>
      <w:pPr>
        <w:pStyle w:val="CaseBody"/>
      </w:pPr>
      <w:r>
        <w:t xml:space="preserve">On J</w:t>
      </w:r>
      <w:r>
        <w:rPr>
          <w:rStyle w:val="Elision"/>
        </w:rPr>
        <w:t xml:space="preserve">[ … ]</w:t>
      </w:r>
    </w:p>
    <w:p>
      <w:pPr>
        <w:pStyle w:val="CaseBody"/>
      </w:pPr>
      <w:r>
        <w:t xml:space="preserve">ve no quarrel with the majority's analysis of the business judgment rule. It is the application of that rule to these facts which is wrong. An overview of the entire record, rather than the limited view of bits and pieces which the majority has exploded like popcorn, convinces me that the directors made an informed business judgment which was buttressed by their test of the market.</w:t>
      </w:r>
    </w:p>
    <w:p>
      <w:pPr>
        <w:pStyle w:val="CaseBody"/>
      </w:pPr>
      <w:r>
        <w:t xml:space="preserve">At t</w:t>
      </w:r>
      <w:r>
        <w:rPr>
          <w:rStyle w:val="Elision"/>
        </w:rPr>
        <w:t xml:space="preserve">[ … ]</w:t>
      </w:r>
    </w:p>
    <w:bookmarkEnd w:id="252"/>
    <w:bookmarkStart w:id="253" w:name="stie-justice-dissenting"/>
    <w:p>
      <w:pPr>
        <w:pStyle w:val="Heading2"/>
      </w:pPr>
      <w:r>
        <w:t xml:space="preserve">STIE, Justice, dissenting:</w:t>
      </w:r>
    </w:p>
    <w:p>
      <w:pPr>
        <w:pStyle w:val="CaseBody"/>
      </w:pPr>
      <w:r>
        <w:t xml:space="preserve">I respectfully dissent.</w:t>
      </w:r>
    </w:p>
    <w:p>
      <w:pPr>
        <w:pStyle w:val="CaseBody"/>
      </w:pPr>
      <w:r>
        <w:t xml:space="preserve">Considering the standard and scope of our review under</w:t>
      </w:r>
      <w:r>
        <w:t xml:space="preserve"> </w:t>
      </w:r>
      <w:r>
        <w:rPr>
          <w:iCs/>
          <w:i/>
        </w:rPr>
        <w:t xml:space="preserve">Levitt v. Bouvier,</w:t>
      </w:r>
      <w:r>
        <w:t xml:space="preserve"> </w:t>
      </w:r>
      <w:r>
        <w:t xml:space="preserve">Del. Supr., 287 A.2d 671, 673 (1972), I believe that the record taken as a whole supports a conclusion that the actions of the defendants are protected by the business judgment rule.</w:t>
      </w:r>
      <w:r>
        <w:t xml:space="preserve"> </w:t>
      </w:r>
      <w:r>
        <w:rPr>
          <w:iCs/>
          <w:i/>
        </w:rPr>
        <w:t xml:space="preserve">Aronson v. Lewis,</w:t>
      </w:r>
      <w:r>
        <w:t xml:space="preserve"> </w:t>
      </w:r>
      <w:r>
        <w:t xml:space="preserve">Del.Supr., 473 A.2d 805, 812 (1984);</w:t>
      </w:r>
      <w:r>
        <w:t xml:space="preserve"> </w:t>
      </w:r>
      <w:r>
        <w:rPr>
          <w:iCs/>
          <w:i/>
        </w:rPr>
        <w:t xml:space="preserve">Pogostin v. Rice,</w:t>
      </w:r>
      <w:r>
        <w:t xml:space="preserve"> </w:t>
      </w:r>
      <w:r>
        <w:t xml:space="preserve">Del.Supr., 480 A.2d 619, 627 (1984). I also am satisfied that the record supports a conclusion that the defendants acted with the complete candor required by</w:t>
      </w:r>
      <w:r>
        <w:t xml:space="preserve"> </w:t>
      </w:r>
      <w:r>
        <w:rPr>
          <w:iCs/>
          <w:i/>
        </w:rPr>
        <w:t xml:space="preserve">Lynch v. Vickers Energy Corp.,</w:t>
      </w:r>
      <w:r>
        <w:t xml:space="preserve"> </w:t>
      </w:r>
      <w:r>
        <w:t xml:space="preserve">Del.Supr., 383 A.2d 278 (1978). Under the circumstances I would affirm the judgment of the Court of Chancery.</w:t>
      </w:r>
    </w:p>
    <w:bookmarkEnd w:id="253"/>
    <w:bookmarkStart w:id="254" w:name="on-m"/>
    <w:p>
      <w:pPr>
        <w:pStyle w:val="Heading2"/>
      </w:pPr>
      <w:r>
        <w:t xml:space="preserve">ON M</w:t>
      </w:r>
      <w:r>
        <w:rPr>
          <w:rStyle w:val="Elision"/>
        </w:rPr>
        <w:t xml:space="preserve">[ … ]</w:t>
      </w:r>
    </w:p>
    <w:p>
      <w:pPr>
        <w:pStyle w:val="CaseBody"/>
      </w:pPr>
      <w:r>
        <w:t xml:space="preserve">------</w:t>
      </w:r>
    </w:p>
    <w:p>
      <w:pPr>
        <w:pStyle w:val="CaseBody"/>
      </w:pPr>
      <w:hyperlink w:anchor="Xbcfe76e9437c4391f7762e2346a272889ca99f1">
        <w:r>
          <w:rPr>
            <w:rStyle w:val="Hyperlink"/>
          </w:rPr>
          <w:t xml:space="preserve">[1]</w:t>
        </w:r>
      </w:hyperlink>
      <w:r>
        <w:t xml:space="preserve"> </w:t>
      </w:r>
      <w:r>
        <w:t xml:space="preserve">The plaintiff, Alden Smith, originally sought to enjoin the merger; but, following extensive discovery, the Trial Court denied the plaintiff's motion for preliminary injunction by unreported letter opinion dated February 3, 1981. On February 10, 1981, the proposed merger was approved by Trans Union's stockholders at a special meeting and the merger became effective on that date. Thereafter, John W. Gosselin was permitted to intervene as an additional plaintiff; and Smith and Gosselin were certified as representing a class consisting of all persons, other than defendants, who held shares of Trans Union common stock on all relevant dates. At the time of the merger, Smith owned 54,000 shares of Trans Union stock, Gosselin owned 23,600 shares, and members of Gosselin's family owned 20,000 shares.</w:t>
      </w:r>
    </w:p>
    <w:p>
      <w:pPr>
        <w:pStyle w:val="CaseBody"/>
      </w:pPr>
      <w:hyperlink w:anchor="X67dda416be81e27320ab52a40a304b18a24e453">
        <w:r>
          <w:rPr>
            <w:rStyle w:val="Hyperlink"/>
          </w:rPr>
          <w:t xml:space="preserve">[2]</w:t>
        </w:r>
      </w:hyperlink>
      <w:r>
        <w:t xml:space="preserve"> </w:t>
      </w:r>
      <w:r>
        <w:t xml:space="preserve">Following trial, and before decision by the Trial Court, the parties stipulated to the dismissal, with prejudice, of the Messrs. Pritzker as parties defendant. However, all references to defendants hereinafter are to the defendant directors of Trans Union, unless otherwise noted.</w:t>
      </w:r>
    </w:p>
    <w:p>
      <w:pPr>
        <w:pStyle w:val="CaseBody"/>
      </w:pPr>
      <w:hyperlink w:anchor="X7f9551963eec2a656b13056c6580d931ca7de62">
        <w:r>
          <w:rPr>
            <w:rStyle w:val="Hyperlink"/>
          </w:rPr>
          <w:t xml:space="preserve">[3]</w:t>
        </w:r>
      </w:hyperlink>
      <w:r>
        <w:t xml:space="preserve"> </w:t>
      </w:r>
      <w:r>
        <w:t xml:space="preserve">It has been stipulated that plaintiffs sue on behalf of a class consisting of 10,537 shareholders (out of a total of 12,844) and that the class owned 12,734,404 out of 13,357,758 shares of Trans Union outstanding.</w:t>
      </w:r>
    </w:p>
    <w:p>
      <w:pPr>
        <w:pStyle w:val="CaseBody"/>
      </w:pPr>
      <w:hyperlink w:anchor="Xb171f8bb572afa42fc0e09e46a7fc755d3e9c46">
        <w:r>
          <w:rPr>
            <w:rStyle w:val="Hyperlink"/>
          </w:rPr>
          <w:t xml:space="preserve">[4]</w:t>
        </w:r>
      </w:hyperlink>
      <w:r>
        <w:t xml:space="preserve"> </w:t>
      </w:r>
      <w:r>
        <w:t xml:space="preserve">More detailed statements of facts, consistent with this factual outline, appear in related portions of this Opinion.</w:t>
      </w:r>
    </w:p>
    <w:p>
      <w:pPr>
        <w:pStyle w:val="CaseBody"/>
      </w:pPr>
      <w:hyperlink w:anchor="X4fd4ca0fc911cfd88e1d1bc410c6127eb1dcd5b">
        <w:r>
          <w:rPr>
            <w:rStyle w:val="Hyperlink"/>
          </w:rPr>
          <w:t xml:space="preserve">[5]</w:t>
        </w:r>
      </w:hyperlink>
      <w:r>
        <w:t xml:space="preserve"> </w:t>
      </w:r>
      <w:r>
        <w:t xml:space="preserve">The common stock of Trans Union was traded on the New York Stock Exchange. Over the five year period from 1975 through 1979, Trans Union's stock had traded within a range of a high of $39½ and a low of $24¼. Its high and low range for 1980 through September 19 (the last trading day before announcement of the merger) was $38¼-$29½.</w:t>
      </w:r>
    </w:p>
    <w:p>
      <w:pPr>
        <w:pStyle w:val="CaseBody"/>
      </w:pPr>
      <w:hyperlink w:anchor="Xc025a476cafaa3e95ae46a6f8c97cbbff85bfd8">
        <w:r>
          <w:rPr>
            <w:rStyle w:val="Hyperlink"/>
          </w:rPr>
          <w:t xml:space="preserve">[6]</w:t>
        </w:r>
      </w:hyperlink>
      <w:r>
        <w:t xml:space="preserve"> </w:t>
      </w:r>
      <w:r>
        <w:t xml:space="preserve">Van Gorkom asked Romans to express his opinion as to the $55 price. Romans stated that he "thought the price was too low in relation to what he could derive for the company in a cash sale, particularly one which enabled us to realize the values of certain subsidiaries and independent entities."</w:t>
      </w:r>
    </w:p>
    <w:p>
      <w:pPr>
        <w:pStyle w:val="CaseBody"/>
      </w:pPr>
      <w:hyperlink w:anchor="Xbd69fbcff6a25cbbe2d37b61c80fb26d1159fef">
        <w:r>
          <w:rPr>
            <w:rStyle w:val="Hyperlink"/>
          </w:rPr>
          <w:t xml:space="preserve">[7]</w:t>
        </w:r>
      </w:hyperlink>
      <w:r>
        <w:t xml:space="preserve"> </w:t>
      </w:r>
      <w:r>
        <w:t xml:space="preserve">The record is not clear as to the terms of the Merger Agreement. The Agreement, as originally presented to the Board on September 20, was never produced by defendants despite demands by the plaintiffs. Nor is it clear that the directors were given an opportunity to study the Merger Agreement before voting on it. All that can be said is that Brennan had the Agreement before him during the meeting.</w:t>
      </w:r>
    </w:p>
    <w:p>
      <w:pPr>
        <w:pStyle w:val="CaseBody"/>
      </w:pPr>
      <w:hyperlink w:anchor="Xf7b94d1cfc5a53cb2f3fe0269a77ee1bb741009">
        <w:r>
          <w:rPr>
            <w:rStyle w:val="Hyperlink"/>
          </w:rPr>
          <w:t xml:space="preserve">[8]</w:t>
        </w:r>
      </w:hyperlink>
      <w:r>
        <w:t xml:space="preserve"> </w:t>
      </w:r>
      <w:r>
        <w:t xml:space="preserve">In Van Gorkom's words: The "real decision" is whether to "let the stockholders decide it" which is "all you are being asked to decide today."</w:t>
      </w:r>
    </w:p>
    <w:p>
      <w:pPr>
        <w:pStyle w:val="CaseBody"/>
      </w:pPr>
      <w:hyperlink w:anchor="Xc5d6b8624a7569fc7c8544db6f27c9d3beefdf5">
        <w:r>
          <w:rPr>
            <w:rStyle w:val="Hyperlink"/>
          </w:rPr>
          <w:t xml:space="preserve">[9]</w:t>
        </w:r>
      </w:hyperlink>
      <w:r>
        <w:t xml:space="preserve"> </w:t>
      </w:r>
      <w:r>
        <w:t xml:space="preserve">The Trial Court stated the premium relationship of the $55 price to the market history of the Company's stock as follows:</w:t>
      </w:r>
    </w:p>
    <w:p>
      <w:pPr>
        <w:pStyle w:val="CaseBody"/>
      </w:pPr>
      <w:r>
        <w:t xml:space="preserve">* * * the merger price offered to the stockholders of Trans Union represented a premium of 62% over the average of the high and low prices at which Trans Union stock had traded in 1980, a premium of 48% over the last closing price, and a premium of 39% over the highest price at which the stock of Trans Union had traded any time during the prior six years.</w:t>
      </w:r>
    </w:p>
    <w:p>
      <w:pPr>
        <w:pStyle w:val="CaseBody"/>
      </w:pPr>
      <w:hyperlink w:anchor="Xf0c22a3d1c058aaf191b22b837be3918d641599">
        <w:r>
          <w:rPr>
            <w:rStyle w:val="Hyperlink"/>
          </w:rPr>
          <w:t xml:space="preserve">[10]</w:t>
        </w:r>
      </w:hyperlink>
      <w:r>
        <w:rPr>
          <w:rStyle w:val="Elision"/>
        </w:rPr>
        <w:t xml:space="preserve">[ … ]</w:t>
      </w:r>
    </w:p>
    <w:p>
      <w:pPr>
        <w:pStyle w:val="CaseBody"/>
      </w:pPr>
      <w:r>
        <w:t xml:space="preserve">In support of the defendants' argument that their judgment as to the adequacy of $55 per share was an informed one, the directors rely on the BCG study and the Five Year Forecast. However, no one even referred to either of these studies at the September 20 meeting; and it is conceded that these materials do not represent valuation studies. Hence, these documents do not constitute evidence as to whether the directors reached an informed judgment on September 20 that $55 per share was a fair value for sale of the Company.</w:t>
      </w:r>
    </w:p>
    <w:p>
      <w:pPr>
        <w:pStyle w:val="CaseBody"/>
      </w:pPr>
      <w:hyperlink w:anchor="Xe1ae78b233d83c4651e8372d19d3a1fa0c617b1">
        <w:r>
          <w:rPr>
            <w:rStyle w:val="Hyperlink"/>
          </w:rPr>
          <w:t xml:space="preserve">[17]</w:t>
        </w:r>
      </w:hyperlink>
      <w:r>
        <w:t xml:space="preserve"> </w:t>
      </w:r>
      <w:r>
        <w:t xml:space="preserve">We reserve for discussion under Part III hereof, the defendants' contention that their judgment, reached on September 20, if not then informed became informed by virtue of their "review" of the Agreement on October 8 and January 26.</w:t>
      </w:r>
    </w:p>
    <w:p>
      <w:pPr>
        <w:pStyle w:val="CaseBody"/>
      </w:pPr>
      <w:hyperlink w:anchor="X322880192222cbcd6ec07991e6b6b8008e1e500">
        <w:r>
          <w:rPr>
            <w:rStyle w:val="Hyperlink"/>
          </w:rPr>
          <w:t xml:space="preserve">[18]</w:t>
        </w:r>
      </w:hyperlink>
      <w:r>
        <w:t xml:space="preserve"> </w:t>
      </w:r>
      <w:r>
        <w:t xml:space="preserve">Romans' department study was not made available to the Board until circulation of Trans Union's Supplementary Proxy Statement and the Board's meeting of January 26, 1981, on the eve of the shareholder meeting; and, as has been noted, the study has never been produced for inclusion in the record in this case.</w:t>
      </w:r>
    </w:p>
    <w:p>
      <w:pPr>
        <w:pStyle w:val="CaseBody"/>
      </w:pPr>
      <w:hyperlink w:anchor="Xa990ce9cad3a6e2e0d5bc7b6fa1770d6eb5409c">
        <w:r>
          <w:rPr>
            <w:rStyle w:val="Hyperlink"/>
          </w:rPr>
          <w:t xml:space="preserve">[19]</w:t>
        </w:r>
      </w:hyperlink>
      <w:r>
        <w:t xml:space="preserve"> </w:t>
      </w:r>
      <w:r>
        <w:t xml:space="preserve">As of September 20 the directors did not know: that Van Gorkom had arrived at the $55 figure alone, and subjectively, as the figure to be used by Controller Peterson in creating a feasible structure for a leveraged buy-out by a prospective purchaser; that Van Gorkom had not sought advice, information or assistance from either inside or outside Trans Union directors as to the value of the Company as an entity or the fair price per share for 100% of its stock; that Van Gorkom had not consulted with the Company's investment bankers or other financial analysts; that Van Gorkom had not consulted with or confided in any officer or director of the Company except Chelberg; and that Van Gorkom had deliberately chosen to ignore the advice and opinion of the members of his Senior Management group regarding the adequacy of the $55 price.</w:t>
      </w:r>
    </w:p>
    <w:p>
      <w:pPr>
        <w:pStyle w:val="CaseBody"/>
      </w:pPr>
      <w:hyperlink w:anchor="Xb120601678dbc3ec0bbfd00110aad52231c7c6a">
        <w:r>
          <w:rPr>
            <w:rStyle w:val="Hyperlink"/>
          </w:rPr>
          <w:t xml:space="preserve">[20]</w:t>
        </w:r>
      </w:hyperlink>
      <w:r>
        <w:t xml:space="preserve"> </w:t>
      </w:r>
      <w:r>
        <w:t xml:space="preserve">For a far more careful and reasoned approach taken by another board of directors faced with the pressures of a hostile tender offer, see</w:t>
      </w:r>
      <w:r>
        <w:t xml:space="preserve"> </w:t>
      </w:r>
      <w:r>
        <w:rPr>
          <w:iCs/>
          <w:i/>
        </w:rPr>
        <w:t xml:space="preserve">Pogostin v. Rice, supra</w:t>
      </w:r>
      <w:r>
        <w:t xml:space="preserve"> </w:t>
      </w:r>
      <w:r>
        <w:t xml:space="preserve">at 623-627.</w:t>
      </w:r>
    </w:p>
    <w:p>
      <w:pPr>
        <w:pStyle w:val="CaseBody"/>
      </w:pPr>
      <w:hyperlink w:anchor="Xd003cf728e30a6ae2f231972457f95cb0ec46c2">
        <w:r>
          <w:rPr>
            <w:rStyle w:val="Hyperlink"/>
          </w:rPr>
          <w:t xml:space="preserve">[21]</w:t>
        </w:r>
      </w:hyperlink>
      <w:r>
        <w:t xml:space="preserve"> </w:t>
      </w:r>
      <w:r>
        <w:t xml:space="preserve">Trans Union's five "inside" directors had backgrounds in law and accounting, 116 years of collective employment by the Company and 68 years of combined experience on its Board. Trans Union's five "outside" directors included four chief executives of major corporations and an economist who was a former dean of a major school of business and chancellor of a university. The "outside" directors had 78 years of combined experience as chief executive officers of major corporations and 50 years of cumulative experience as directors of Trans Union. Thus, defendants argue that the Board was eminently qualified to reach an informed judgment on the proposed "sale" of Trans Union notwithstanding their lack of any advance notice of the proposal, the shortness of their deliberation, and their determination not to consult with their investment banker or to obtain a fairness opinion.</w:t>
      </w:r>
    </w:p>
    <w:p>
      <w:pPr>
        <w:pStyle w:val="CaseBody"/>
      </w:pPr>
      <w:hyperlink w:anchor="Xca243ce3c2f0b001a39be69050d98cdadf6618a">
        <w:r>
          <w:rPr>
            <w:rStyle w:val="Hyperlink"/>
          </w:rPr>
          <w:t xml:space="preserve">[22]</w:t>
        </w:r>
      </w:hyperlink>
      <w:r>
        <w:t xml:space="preserve"> </w:t>
      </w:r>
      <w:r>
        <w:t xml:space="preserve">Nonetheless, we are satisfied that in an appropriate factual context a proper exercise of business judgment may include, as one of its aspects, reasonable reliance upon the advice of counsel. This is wholly outside the statutory protections of 8</w:t>
      </w:r>
      <w:r>
        <w:t xml:space="preserve"> </w:t>
      </w:r>
      <w:r>
        <w:rPr>
          <w:iCs/>
          <w:i/>
        </w:rPr>
        <w:t xml:space="preserve">Del.C.</w:t>
      </w:r>
      <w:r>
        <w:t xml:space="preserve"> </w:t>
      </w:r>
      <w:r>
        <w:t xml:space="preserve">§ 141(e) involving reliance upon reports of officers, certain experts and books and records of the company.</w:t>
      </w:r>
    </w:p>
    <w:p>
      <w:pPr>
        <w:pStyle w:val="CaseBody"/>
      </w:pPr>
      <w:hyperlink w:anchor="X3eca14581b1003877619f2802d3482611f82619">
        <w:r>
          <w:rPr>
            <w:rStyle w:val="Hyperlink"/>
          </w:rPr>
          <w:t xml:space="preserve">[23]</w:t>
        </w:r>
      </w:hyperlink>
      <w:r>
        <w:t xml:space="preserve"> </w:t>
      </w:r>
      <w:r>
        <w:t xml:space="preserve">As will be seen, we do not reach the second question.</w:t>
      </w:r>
    </w:p>
    <w:p>
      <w:pPr>
        <w:pStyle w:val="CaseBody"/>
      </w:pPr>
      <w:hyperlink w:anchor="X2737e835cd19167357b4fdf8c2a9a537c07ad5e">
        <w:r>
          <w:rPr>
            <w:rStyle w:val="Hyperlink"/>
          </w:rPr>
          <w:t xml:space="preserve">[24]</w:t>
        </w:r>
      </w:hyperlink>
      <w:r>
        <w:t xml:space="preserve"> </w:t>
      </w:r>
      <w:r>
        <w:t xml:space="preserve">As previously noted, the Board mistakenly thought that it had amended the September 20 draft agreement to include a market test.</w:t>
      </w:r>
    </w:p>
    <w:p>
      <w:pPr>
        <w:pStyle w:val="CaseBody"/>
      </w:pPr>
      <w:r>
        <w:t xml:space="preserve">A secondary purpose of the October 8 meeting was to obtain the Board's approval for Trans Union to employ its investment advisor, Salomon Brothers, for the limited purpose of assisting Management in the solicitation of other offers. Neither Management nor the Board then or thereafter requested Salomon Brothers to submit its opinion as to the fairness of Pritzker's $55 cash-out merger proposal or to value Trans Union as an entity.</w:t>
      </w:r>
    </w:p>
    <w:p>
      <w:pPr>
        <w:pStyle w:val="CaseBody"/>
      </w:pPr>
      <w:r>
        <w:t xml:space="preserve">There is no evidence of record that the October 8 meeting had any other purpose; and we also note that the Minutes of the October 8 Board meeting, including any notice of the meeting, are not part of the voluminous records of this case.</w:t>
      </w:r>
    </w:p>
    <w:p>
      <w:pPr>
        <w:pStyle w:val="CaseBody"/>
      </w:pPr>
      <w:hyperlink w:anchor="X748922a9bff39073a02ac4f9946e4c209eac649">
        <w:r>
          <w:rPr>
            <w:rStyle w:val="Hyperlink"/>
          </w:rPr>
          <w:t xml:space="preserve">[25]</w:t>
        </w:r>
      </w:hyperlink>
      <w:r>
        <w:t xml:space="preserve"> </w:t>
      </w:r>
      <w:r>
        <w:t xml:space="preserve">We do not suggest that a board must read</w:t>
      </w:r>
      <w:r>
        <w:t xml:space="preserve"> </w:t>
      </w:r>
      <w:r>
        <w:rPr>
          <w:iCs/>
          <w:i/>
        </w:rPr>
        <w:t xml:space="preserve">in haec verba</w:t>
      </w:r>
      <w:r>
        <w:t xml:space="preserve"> </w:t>
      </w:r>
      <w:r>
        <w:t xml:space="preserve">every contract or legal document which it approves, but if it is to successfully absolve itself from charges of the type made here, there must be some credible contemporary evidence demonstrating that the directors knew what they were doing, and ensured that their purported action was given effect. That is the consistent failure which cast this Board upon its unredeemable course.</w:t>
      </w:r>
    </w:p>
    <w:p>
      <w:pPr>
        <w:pStyle w:val="CaseBody"/>
      </w:pPr>
      <w:hyperlink w:anchor="Xed1553e1264165be3d533f9cd5eec91459a2c90">
        <w:r>
          <w:rPr>
            <w:rStyle w:val="Hyperlink"/>
          </w:rPr>
          <w:t xml:space="preserve">[26]</w:t>
        </w:r>
      </w:hyperlink>
      <w:r>
        <w:rPr>
          <w:rStyle w:val="Elision"/>
        </w:rPr>
        <w:t xml:space="preserve">[ … ]</w:t>
      </w:r>
    </w:p>
    <w:p>
      <w:pPr>
        <w:pStyle w:val="CaseBody"/>
      </w:pPr>
      <w:r>
        <w:t xml:space="preserve">This was inconsistent with Van Gorkom's espousal of the September 22 press release following Trans Union's acceptance of Pritzker's proposal. Van Gorkom had then justified a press release as encouraging rather than chilling later offers.</w:t>
      </w:r>
    </w:p>
    <w:p>
      <w:pPr>
        <w:pStyle w:val="CaseBody"/>
      </w:pPr>
      <w:hyperlink w:anchor="X0a22a5dd50f5cc6d388245ab93f14588df9064a">
        <w:r>
          <w:rPr>
            <w:rStyle w:val="Hyperlink"/>
          </w:rPr>
          <w:t xml:space="preserve">[28]</w:t>
        </w:r>
      </w:hyperlink>
      <w:r>
        <w:rPr>
          <w:rStyle w:val="Elision"/>
        </w:rPr>
        <w:t xml:space="preserve">[ … ]</w:t>
      </w:r>
    </w:p>
    <w:bookmarkEnd w:id="254"/>
    <w:p>
      <w:pPr>
        <w:pStyle w:val="NodeEnd"/>
      </w:pPr>
      <w:r>
        <w:t xml:space="preserve"> </w:t>
      </w:r>
    </w:p>
    <w:p>
      <w:pPr>
        <w:pStyle w:val="NodeStart"/>
      </w:pPr>
      <w:r>
        <w:t xml:space="preserve"> </w:t>
      </w:r>
    </w:p>
    <w:p>
      <w:pPr>
        <w:pStyle w:val="HeadSeparator"/>
      </w:pPr>
      <w:r>
        <w:t xml:space="preserve"> </w:t>
      </w:r>
    </w:p>
    <w:bookmarkStart w:id="120" w:name="_auto_toc_120"/>
    <w:bookmarkEnd w:id="120"/>
    <w:p>
      <w:pPr>
        <w:pStyle w:val="ResourceNumber"/>
      </w:pPr>
      <w:r>
        <w:t xml:space="preserve">10.1.3</w:t>
      </w:r>
    </w:p>
    <w:p>
      <w:pPr>
        <w:pStyle w:val="ResourceTitle"/>
      </w:pPr>
      <w:r>
        <w:t xml:space="preserve">Blasius Industries, Inc. v. Atlas Corp. (Del. Ch. 1988)</w:t>
      </w:r>
    </w:p>
    <w:p>
      <w:pPr>
        <w:pStyle w:val="HeadFieldSeparator"/>
      </w:pPr>
      <w:r>
        <w:t xml:space="preserve"> </w:t>
      </w:r>
    </w:p>
    <w:p>
      <w:pPr>
        <w:pStyle w:val="ResourceHeadnote"/>
      </w:pPr>
      <w:r>
        <w:rPr>
          <w:iCs/>
          <w:i/>
        </w:rPr>
        <w:t xml:space="preserve">Blasius</w:t>
      </w:r>
      <w:r>
        <w:t xml:space="preserve"> </w:t>
      </w:r>
      <w:r>
        <w:t xml:space="preserve">is the classic Chancery Court decision applying, and expanding on,</w:t>
      </w:r>
      <w:r>
        <w:t xml:space="preserve"> </w:t>
      </w:r>
      <w:r>
        <w:rPr>
          <w:iCs/>
          <w:i/>
        </w:rPr>
        <w:t xml:space="preserve">Schnell</w:t>
      </w:r>
      <w:r>
        <w:t xml:space="preserve">. What exactly does Chancellor Allen have to say about corporate voting— what is it about voting that is important? Does Allen’s discussion of voting, its importance, and its judicial treatment matter for the ultimate outcome of the case here? If not, why would he have bothered?</w:t>
      </w:r>
    </w:p>
    <w:p>
      <w:pPr>
        <w:pStyle w:val="ResourceHeadnote"/>
      </w:pPr>
      <w:r>
        <w:t xml:space="preserve">As always, also pay attention to what is going on in the underlying business dispute: Is this a normal vote taken at a meeting? What did the board do to frustrate the vote, and why would that work?</w:t>
      </w:r>
    </w:p>
    <w:p>
      <w:pPr>
        <w:pStyle w:val="HeadEnd"/>
      </w:pPr>
      <w:r>
        <w:t xml:space="preserve"> </w:t>
      </w:r>
    </w:p>
    <w:p>
      <w:pPr>
        <w:pStyle w:val="BodyText"/>
      </w:pPr>
      <w:r>
        <w:t xml:space="preserve">564 A.2d 651 (1988)</w:t>
      </w:r>
    </w:p>
    <w:bookmarkStart w:id="255" w:name="Xd7e55996e5e071d62bb29a114151f5f50ced398"/>
    <w:p>
      <w:pPr>
        <w:pStyle w:val="Heading2"/>
      </w:pPr>
      <w:r>
        <w:t xml:space="preserve">BLASIUS INDUSTRIES, INC.,</w:t>
      </w:r>
      <w:r>
        <w:t xml:space="preserve"> </w:t>
      </w:r>
      <w:r>
        <w:rPr>
          <w:rStyle w:val="ReplacementText"/>
        </w:rPr>
        <w:t xml:space="preserve">v. ATLAS CORPORATION</w:t>
      </w:r>
    </w:p>
    <w:p>
      <w:pPr>
        <w:pStyle w:val="FirstParagraph"/>
      </w:pPr>
      <w:r>
        <w:br/>
      </w:r>
      <w:r>
        <w:t xml:space="preserve">Court of Chancery of Delaware, New Castle County.</w:t>
      </w:r>
    </w:p>
    <w:p>
      <w:pPr>
        <w:pStyle w:val="BodyText"/>
      </w:pPr>
      <w:r>
        <w:rPr>
          <w:rStyle w:val="Elision"/>
        </w:rPr>
        <w:t xml:space="preserve">[ … ]</w:t>
      </w:r>
    </w:p>
    <w:p>
      <w:pPr>
        <w:pStyle w:val="BodyText"/>
      </w:pPr>
      <w:r>
        <w:t xml:space="preserve">Decided: July 25, 1988.</w:t>
      </w:r>
    </w:p>
    <w:p>
      <w:pPr>
        <w:pStyle w:val="BodyText"/>
      </w:pPr>
      <w:r>
        <w:rPr>
          <w:rStyle w:val="Elision"/>
        </w:rPr>
        <w:t xml:space="preserve">[ … ]</w:t>
      </w:r>
    </w:p>
    <w:bookmarkEnd w:id="255"/>
    <w:bookmarkStart w:id="256" w:name="opinion-1"/>
    <w:p>
      <w:pPr>
        <w:pStyle w:val="Heading2"/>
      </w:pPr>
      <w:r>
        <w:t xml:space="preserve">OPINION</w:t>
      </w:r>
    </w:p>
    <w:bookmarkEnd w:id="256"/>
    <w:bookmarkStart w:id="257" w:name="allen-chancellor."/>
    <w:p>
      <w:pPr>
        <w:pStyle w:val="Heading2"/>
      </w:pPr>
      <w:r>
        <w:t xml:space="preserve">ALLEN, Chancellor.</w:t>
      </w:r>
    </w:p>
    <w:p>
      <w:pPr>
        <w:pStyle w:val="FirstParagraph"/>
      </w:pPr>
      <w:r>
        <w:t xml:space="preserve">Two cases pitting the directors of Atlas Corporation against that company's largest (9.1%) shareholder, Blasius Industries, have been consolidated and tried together. Together, these cases ultimately require the court to determine who is entitled to sit on Atlas' board of directors. Each, however, presents discrete and important legal issues.</w:t>
      </w:r>
    </w:p>
    <w:p>
      <w:pPr>
        <w:pStyle w:val="BodyText"/>
      </w:pPr>
      <w:r>
        <w:t xml:space="preserve">The first of the cases was filed on December 30, 1987. As amended, it challenges the validity of board action taken at a telephone meeting of December 31, 1987 that added two new members to Atlas' seven member board. That action was taken as an immediate response to the delivery to Atlas by Blasius the previous day of a form of stockholder consent that, if joined in by holders of a majority of Atlas' stock, would have increased the board of Atlas from seven to fifteen members and would have elected eight new members nominated by Blasius.</w:t>
      </w:r>
    </w:p>
    <w:p>
      <w:pPr>
        <w:pStyle w:val="BodyText"/>
      </w:pPr>
      <w:r>
        <w:t xml:space="preserve">As I find the facts of this first case, they present the question whether a board acts consistently with its fiduciary duty when it acts, in good faith and with appropriate care, for the primary purpose of preventing or impeding an unaffiliated majority of shareholders from expanding the board and electing a new majority. For the reasons that follow, I conclude that, even though defendants here acted on their view of the corporation's interest and not selfishly, their December 31 action constituted an offense to the relationship between corporate directors and shareholders that has traditionally been protected in courts of equity. As a consequence, I conclude that the board action taken on December 31 was invalid and must be voided. The basis for this opinion is set forth at pages 658-663 below.</w:t>
      </w:r>
    </w:p>
    <w:p>
      <w:pPr>
        <w:pStyle w:val="BodyText"/>
      </w:pPr>
      <w:r>
        <w:t xml:space="preserve">The second filed action was commenced on March 9, 1988. It arises out of the consent solicitation itself (or an amended [653] version of it) and requires the court to determine the outcome of Blasius' consent solicitation, which was warmly and actively contested on both sides. The vote was, on either view of the facts and law, extremely close. For the reasons set forth at pages 663-670 below, I conclude that the judges of election properly confined their count to the written "ballots" (so to speak) before them; that on that basis, they made several errors, but that correction of those errors does not reverse the result they announced. I therefore conclude that plaintiffs' consent solicitation failed to garner the support of a majority of Atlas shares.</w:t>
      </w:r>
    </w:p>
    <w:p>
      <w:pPr>
        <w:pStyle w:val="BodyText"/>
      </w:pPr>
      <w:r>
        <w:t xml:space="preserve">The facts set forth below represent findings based upon a preponderance of the admissible evidence, as I evaluate it.</w:t>
      </w:r>
    </w:p>
    <w:bookmarkEnd w:id="257"/>
    <w:bookmarkStart w:id="258" w:name="i.-2"/>
    <w:p>
      <w:pPr>
        <w:pStyle w:val="Heading2"/>
      </w:pPr>
      <w:r>
        <w:t xml:space="preserve">I.</w:t>
      </w:r>
    </w:p>
    <w:bookmarkEnd w:id="258"/>
    <w:bookmarkStart w:id="259" w:name="blasius-acquires-a-9-stake-in-atlas."/>
    <w:p>
      <w:pPr>
        <w:pStyle w:val="Heading2"/>
      </w:pPr>
      <w:r>
        <w:t xml:space="preserve">Blasius Acquires a 9% Stake in Atlas.</w:t>
      </w:r>
    </w:p>
    <w:p>
      <w:pPr>
        <w:pStyle w:val="FirstParagraph"/>
      </w:pPr>
      <w:r>
        <w:t xml:space="preserve">Blasius is a new stockholder of Atlas. It began to accumulate Atlas shares for the first time in July, 1987. On October 29, it filed a Schedule 13D with the Securities Exchange Commission disclosing that, with affiliates, it then owed 9.1% of Atlas' common stock. It stated in that filing that it intended to encourage management of Atlas to consider a restructuring of the Company or other transaction to enhance shareholder values. It also disclosed that Blasius was exploring the feasibility of obtaining control of Atlas, including instituting a tender offer or seeking "appropriate" representation on the Atlas board of directors.</w:t>
      </w:r>
    </w:p>
    <w:p>
      <w:pPr>
        <w:pStyle w:val="BodyText"/>
      </w:pPr>
      <w:r>
        <w:t xml:space="preserve">Blasius has recently come under the control of two individuals, Michael Lubin and Warren Delano, who after experience in the commercial banking industry, had, for a short time, run a venture capital operation for a small investment banking firm. Now on their own, they apparently came to control Blasius with the assistance of Drexel Burnham's well noted junk bond mechanism. Since then, they have made several attempts to effect leveraged buyouts, but without success.</w:t>
      </w:r>
    </w:p>
    <w:p>
      <w:pPr>
        <w:pStyle w:val="BodyText"/>
      </w:pPr>
      <w:r>
        <w:t xml:space="preserve">In May, 1987, with Drexel Burnham serving as underwriter, Lubin and Delano caused Blasius to raise $60 million through the sale of junk bonds. A portion of these funds were used to acquire a 9% position in Atlas. According to its public filings with the SEC, Blasius' debt service obligations arising out of the sale of the junk bonds are such that it is unable to service those obligations from its income from operations.</w:t>
      </w:r>
    </w:p>
    <w:p>
      <w:pPr>
        <w:pStyle w:val="BodyText"/>
      </w:pPr>
      <w:r>
        <w:t xml:space="preserve">The prospect of Messrs. Lubin and Delano involving themselves in Atlas' affairs, was not a development welcomed by Atlas' management. Atlas had a new CEO, defendant Weaver, who</w:t>
      </w:r>
      <w:r>
        <w:t xml:space="preserve"> </w:t>
      </w:r>
      <w:r>
        <w:rPr>
          <w:rStyle w:val="Elision"/>
        </w:rPr>
        <w:t xml:space="preserve">[ … ]</w:t>
      </w:r>
      <w:r>
        <w:t xml:space="preserve"> </w:t>
      </w:r>
      <w:r>
        <w:t xml:space="preserve">wrote in his diary on October 30, 1987:</w:t>
      </w:r>
    </w:p>
    <w:p>
      <w:pPr>
        <w:pStyle w:val="BlockText"/>
      </w:pPr>
      <w:r>
        <w:t xml:space="preserve">13D by Delano &amp; Lubin came in today. Had long conversation w/MAH &amp; Mark Golden [of Goldman, Sachs] on issue. All agree we must dilute these people down by the acquisition of another Co. w/stock, or merger or something else.</w:t>
      </w:r>
    </w:p>
    <w:bookmarkEnd w:id="259"/>
    <w:bookmarkStart w:id="260" w:name="X26e8f1463358e9ce6aa5d74ddf8db8d6224dbdb"/>
    <w:p>
      <w:pPr>
        <w:pStyle w:val="Heading2"/>
      </w:pPr>
      <w:r>
        <w:t xml:space="preserve">The Blasius Proposal of A Leverage Recapitalization Or Sale.</w:t>
      </w:r>
    </w:p>
    <w:p>
      <w:pPr>
        <w:pStyle w:val="FirstParagraph"/>
      </w:pPr>
      <w:r>
        <w:t xml:space="preserve">Immediately after filing its 13D on October 29, Blasius' representatives sought a meeting with the Atlas management. Atlas dragged its feet. A meeting was arranged for December 2, 1987 following the regular meeting of the Atlas board. Attending that meeting were Messrs. Lubin and Delano for Blasius, and, for Atlas, Messrs. Weaver, Devaney (Atlas' CFO), Masinter (legal counsel and director) and Czajkowski (a representative of Atlas' investment banker, Goldman Sachs).</w:t>
      </w:r>
    </w:p>
    <w:p>
      <w:pPr>
        <w:pStyle w:val="BodyText"/>
      </w:pPr>
      <w:r>
        <w:t xml:space="preserve">[654] At that meeting, Messrs. Lubin and Delano suggested that Atlas engage in a leveraged restructuring and distribute cash to shareholders. In such a transaction, which is by this date a commonplace form of transaction, a corporation typically raises cash by sale of assets and significant borrowings and makes a large one time cash distribution to shareholders. The shareholders are typically left with cash and an equity interest in a smaller, more highly leveraged enterprise. Lubin and Delano gave the outline of a leveraged recapitalization for Atlas as they saw it.</w:t>
      </w:r>
    </w:p>
    <w:p>
      <w:pPr>
        <w:pStyle w:val="BodyText"/>
      </w:pPr>
      <w:r>
        <w:t xml:space="preserve">Immediately following the meeting, the Atlas representatives expressed among themselves an initial reaction that the proposal was infeasible. On December 7, Mr. Lubin sent a letter detailing the proposal.</w:t>
      </w:r>
      <w:r>
        <w:t xml:space="preserve"> </w:t>
      </w:r>
      <w:r>
        <w:rPr>
          <w:rStyle w:val="Elision"/>
        </w:rPr>
        <w:t xml:space="preserve">[ … ]</w:t>
      </w:r>
    </w:p>
    <w:bookmarkEnd w:id="260"/>
    <w:bookmarkStart w:id="261" w:name="Xd25a147dc1dfbd50af0672cf29d8ff2d626a033"/>
    <w:p>
      <w:pPr>
        <w:pStyle w:val="Heading2"/>
      </w:pPr>
      <w:r>
        <w:t xml:space="preserve">Atlas Asks Its Investment Banker to Study the Proposal.</w:t>
      </w:r>
    </w:p>
    <w:p>
      <w:pPr>
        <w:pStyle w:val="FirstParagraph"/>
      </w:pPr>
      <w:r>
        <w:t xml:space="preserve">This written proposal was distributed to the Atlas board on December 9 and Goldman Sachs was directed to review and analyze it.</w:t>
      </w:r>
    </w:p>
    <w:p>
      <w:pPr>
        <w:pStyle w:val="BodyText"/>
      </w:pPr>
      <w:r>
        <w:rPr>
          <w:rStyle w:val="Elision"/>
        </w:rPr>
        <w:t xml:space="preserve">[ … ]</w:t>
      </w:r>
    </w:p>
    <w:p>
      <w:pPr>
        <w:pStyle w:val="BodyText"/>
      </w:pPr>
      <w:r>
        <w:t xml:space="preserve">Blasius attempted on December 14 and December 22 to arrange a further meeting with the Atlas management without success. During this period, Atlas provided Goldman Sachs with projections for the Company. Lubin was told that a further meeting would await completion of Goldman's analysis. A meeting after the first of the year was proposed.</w:t>
      </w:r>
    </w:p>
    <w:bookmarkEnd w:id="261"/>
    <w:bookmarkStart w:id="262" w:name="Xa0990ab3d4e52c2bdcc5f4a29cf845e388a244d"/>
    <w:p>
      <w:pPr>
        <w:pStyle w:val="Heading2"/>
      </w:pPr>
      <w:r>
        <w:t xml:space="preserve">The Delivery of Blasius' Consent Statement.</w:t>
      </w:r>
    </w:p>
    <w:p>
      <w:pPr>
        <w:pStyle w:val="FirstParagraph"/>
      </w:pPr>
      <w:r>
        <w:t xml:space="preserve">On December 30, 1987, Blasius caused Cede &amp; Co. (the registered owner of its Atlas stock) to deliver to Atlas a signed written consent (1) adopting a precatory resolution recommending that the board develop and implement a restructuring proposal, (2) amending the Atlas bylaws to, among other things, expand the size of the board from seven to fifteen members — the maximum number under Atlas' charter, and (3) electing eight named persons to fill the new directorships. Blasius also filed suit that day in this court seeking a declaration that certain bylaws adopted by the board on September 1, 1987 acted as an unlawful restraint on the shareholders' right, created by Section 228 of our corporation statute, to act through consent without undergoing a meeting.</w:t>
      </w:r>
    </w:p>
    <w:p>
      <w:pPr>
        <w:pStyle w:val="BodyText"/>
      </w:pPr>
      <w:r>
        <w:t xml:space="preserve">The reaction was immediate. Mr. Weaver conferred with Mr. Masinter, the Company's outside counsel and a director, who viewed the consent as an attempt to take control of the Company. They decided to call an emergency meeting of the board, even though a regularly scheduled meeting was to occur only one week hence, on January [655] 6, 1988. The point of the emergency meeting was to act on their conclusion (or to seek to have the board act on their conclusion) "that we should add at least one and probably two directors to the board ..." (Tr. 85, Vol. II). A quorum of directors, however, could not be arranged for a telephone meeting that day. A telephone meeting was held the next day. At that meeting, the board voted to amend the bylaws to increase the size of the board from seven to nine and appointed John M. Devaney and Harry J. Winters, Jr. to fill those newly created positions. Atlas' Certificate of Incorporation creates staggered terms for directors; the terms to which Messrs. Devaney and Winters were appointed would expire in 1988 and 1990, respectively.</w:t>
      </w:r>
    </w:p>
    <w:bookmarkEnd w:id="262"/>
    <w:bookmarkStart w:id="263" w:name="X5c281efc42c178a29a2dcf1e328e36a066adc0d"/>
    <w:p>
      <w:pPr>
        <w:pStyle w:val="Heading2"/>
      </w:pPr>
      <w:r>
        <w:t xml:space="preserve">The Motivation of the Incumbent Board In Expanding the Board and Appointing New Members.</w:t>
      </w:r>
    </w:p>
    <w:p>
      <w:pPr>
        <w:pStyle w:val="FirstParagraph"/>
      </w:pPr>
      <w:r>
        <w:t xml:space="preserve">In increasing the size of Atlas' board by two and filling the newly created positions, the members of the board realized that they were thereby precluding the holders of a majority of the Company's shares from placing a majority of new directors on the board through Blasius' consent solicitation, should they want to do so. Indeed the evidence establishes that that was the principal motivation in so acting.</w:t>
      </w:r>
    </w:p>
    <w:p>
      <w:pPr>
        <w:pStyle w:val="BodyText"/>
      </w:pPr>
      <w:r>
        <w:t xml:space="preserve">The conclusion that, in creating two new board positions on December 31 and electing Messrs. Devaney and Winters to fill those positions the board was principally motivated to prevent or delay the shareholders from possibly placing a majority of new members on the board, is critical to my analysis of the central issue posed by the first filed of the two pending cases. If the board in fact was not so motivated, but rather had taken action completely independently of the consent solicitation, which merely had an incidental impact upon the possible effectuation of any action authorized by the shareholders, it is very unlikely that such action would be subject to judicial nullification.</w:t>
      </w:r>
      <w:r>
        <w:t xml:space="preserve"> </w:t>
      </w:r>
      <w:r>
        <w:rPr>
          <w:rStyle w:val="Elision"/>
          <w:iCs/>
          <w:i/>
        </w:rPr>
        <w:t xml:space="preserve">[ … ]</w:t>
      </w:r>
      <w:r>
        <w:t xml:space="preserve">The board, as a general matter, is under no fiduciary obligation to suspend its active management of the firm while the consent solicitation process goes forward.</w:t>
      </w:r>
    </w:p>
    <w:p>
      <w:pPr>
        <w:pStyle w:val="BodyText"/>
      </w:pPr>
      <w:r>
        <w:t xml:space="preserve">There is testimony in the record to support the proposition that, in acting on December 31, the board was principally motivated simply to implement a plan to expand the Atlas board that preexisted the September, 1987 emergence of Blasius as an active shareholder. I have no doubt that the addition of Mr. Winters, an expert in mining economics, and Mr. Devaney, a financial expert employed by the Company, strengthened the Atlas board and, should anyone ever have reason to review the wisdom of those choices, they would be found to be sensible and prudent. I cannot conclude, however, that the strengthening of the board by the addition of these men was the principal motive for the December 31 action. As I view this factual determination as critical, I will pause to dilate briefly upon the evidence that leads me to this conclusion.</w:t>
      </w:r>
    </w:p>
    <w:p>
      <w:pPr>
        <w:pStyle w:val="BodyText"/>
      </w:pPr>
      <w:r>
        <w:t xml:space="preserve">The evidence indicates that CEO Weaver was acquainted with Mr. Winters prior to the time he assumed the presidency of Atlas. When, in the fall of 1986, Mr. Weaver learned of his selection as Atlas' future CEO, he informally approached Mr. Winters about serving on the board of the Company. Winters indicated a willingness to do so and sent to Mr. Weaver a copy of his</w:t>
      </w:r>
      <w:r>
        <w:t xml:space="preserve"> </w:t>
      </w:r>
      <w:r>
        <w:rPr>
          <w:iCs/>
          <w:i/>
        </w:rPr>
        <w:t xml:space="preserve">curriculum vitae.</w:t>
      </w:r>
      <w:r>
        <w:t xml:space="preserve"> </w:t>
      </w:r>
      <w:r>
        <w:t xml:space="preserve">Weaver, however, took no action with respect to this matter until he had some informal discussion with other board members on December 2, 1987, the date on which Mr. Lubin orally presented Blasius' restructuring proposal to management. At that time, he mentioned the possibility to other board members.</w:t>
      </w:r>
    </w:p>
    <w:p>
      <w:pPr>
        <w:pStyle w:val="BodyText"/>
      </w:pPr>
      <w:r>
        <w:t xml:space="preserve">Then, on December 7, Mr. Weaver called Mr. Winters on the telephone and asked him if he would serve on the board and Mr. Winters again agreed.</w:t>
      </w:r>
    </w:p>
    <w:p>
      <w:pPr>
        <w:pStyle w:val="BodyText"/>
      </w:pPr>
      <w:r>
        <w:t xml:space="preserve">On December 24, 1987, Mr. Weaver wrote to other board members, sending them Mr. Winters</w:t>
      </w:r>
      <w:r>
        <w:t xml:space="preserve"> </w:t>
      </w:r>
      <w:r>
        <w:rPr>
          <w:iCs/>
          <w:i/>
        </w:rPr>
        <w:t xml:space="preserve">curriculum vitae</w:t>
      </w:r>
      <w:r>
        <w:t xml:space="preserve"> </w:t>
      </w:r>
      <w:r>
        <w:t xml:space="preserve">and notifying them that Mr. Winters would be [656] proposed for board membership at the forthcoming January 6 meeting. It was also suggested that a dinner meeting be scheduled for January 5, in order to give board members who did not know Mr. Winters an opportunity to meet him prior to acting on that suggestion. The addition of Mr. Devaney to the board was not mentioned in that memo, nor, so far as the record discloses, was it discussed at the December 2 board meeting.</w:t>
      </w:r>
    </w:p>
    <w:p>
      <w:pPr>
        <w:pStyle w:val="BodyText"/>
      </w:pPr>
      <w:r>
        <w:t xml:space="preserve">It is difficult to consider the timing of the activation of the interest in adding Mr. Winters to the board in December as simply coincidental with the pressure that Blasius was applying. The connection between the two events, however, becomes unmistakably clear when the later events of December 30 and 31 are focused upon. As noted above, on the 30th, Atlas received the Blasius consent which proposed to shareholders that they expand the board from seven to fifteen and add eight new members identified in the consent. It also proposed the adoption of a precatory resolution encouraging restructuring or sale of the Company. Mr. Weaver immediately met with Mr. Masinter. In addition to receiving the consent, Atlas was informed it had been sued in this court, but it did not yet know the thrust of that action. At that time, Messrs. Weaver and Masinter "discussed a lot of [reactive] strategies and Edgar [Masinter] told me we really got to put a program together to go forward with this consent.... we talked about taking no action. We talked about adding one board member. We talked about adding two board members. We talked about adding eight board members. And we did a lot of looking at other and various and sundry alternatives...." (Weaver Testimony, Tr. I, p. 130). They decided to add two board members and to hold an emergency board meeting that very day to do so. It is clear that the reason that Mr. Masinter advised taking this step immediately rather than waiting for the January 6 meeting was that he feared that the Court of Chancery might issue a temporary restraining order prohibiting the board from increasing its membership, since the consent solicitation had commenced. It is admitted that there was no fear that Blasius would be in a position to complete a public solicitation for consents prior to the January 6 board meeting.</w:t>
      </w:r>
    </w:p>
    <w:p>
      <w:pPr>
        <w:pStyle w:val="BodyText"/>
      </w:pPr>
      <w:r>
        <w:t xml:space="preserve">In this setting, I conclude that, while the addition of these qualified men would, under other circumstances, be clearly appropriate as an independent step, such a step was in fact taken in order to impede or preclude a majority of the shareholders from effectively adopting the course proposed by Blasius. Indeed, while defendants never forsake the factual argument that that action was simply a continuation of business as usual, they, in effect, admit from time to time this overriding purpose. For example, everyone concedes that the directors understood on December 31 that the effect of adding two directors would be to preclude stockholders from effectively implementing the Blasius proposal. Mr. Weaver, for example, testifies as follows:</w:t>
      </w:r>
    </w:p>
    <w:p>
      <w:pPr>
        <w:pStyle w:val="BlockText"/>
      </w:pPr>
      <w:r>
        <w:t xml:space="preserve">Q: Was it your view that by electing these two directors, Atlas was preventing Blasius from electing a majority of the board?</w:t>
      </w:r>
    </w:p>
    <w:p>
      <w:pPr>
        <w:pStyle w:val="BlockText"/>
      </w:pPr>
      <w:r>
        <w:t xml:space="preserve">A: I think that is a component of my total overview. I think in the short term, yes, it did.</w:t>
      </w:r>
    </w:p>
    <w:p>
      <w:pPr>
        <w:pStyle w:val="FirstParagraph"/>
      </w:pPr>
      <w:r>
        <w:t xml:space="preserve">Directors Farley and Bongiovanni admit that the board acted to slow the Blasius proposal down.</w:t>
      </w:r>
      <w:r>
        <w:t xml:space="preserve"> </w:t>
      </w:r>
      <w:r>
        <w:rPr>
          <w:rStyle w:val="Elision"/>
          <w:iCs/>
          <w:i/>
        </w:rPr>
        <w:t xml:space="preserve">[ … ]</w:t>
      </w:r>
    </w:p>
    <w:p>
      <w:pPr>
        <w:pStyle w:val="BodyText"/>
      </w:pPr>
      <w:r>
        <w:t xml:space="preserve">This candor is praiseworthy, but any other statement would be frankly incredible. The timing of these events is, in my opinion, consistent only with the conclusion that Mr. Weaver and Mr. Masinter originated, and the board immediately endorsed, the notion of adding these competent, friendly individuals to the board, not because the board felt an urgent need to get them on the board immediately for reasons relating to the operations of Atlas' business, but because to do so would, for the moment, preclude a majority of shareholders from electing eight new board members selected by Blasius. As explained below, I conclude that, in so acting, the board was not selfishly motivated simply to retain power.</w:t>
      </w:r>
    </w:p>
    <w:p>
      <w:pPr>
        <w:pStyle w:val="BodyText"/>
      </w:pPr>
      <w:r>
        <w:t xml:space="preserve">There was no discussion at the December 31 meeting of the feasibility or wisdom of the Blasius restructuring proposal. While [657] several of the directors had an initial impression that the plan was not feasible and, if implemented, would likely result in the eventual liquidation of the Company, they had not yet focused upon and acted on that subject. Goldman Sachs had not yet made its report, which was scheduled to be given January 6.</w:t>
      </w:r>
    </w:p>
    <w:bookmarkEnd w:id="263"/>
    <w:bookmarkStart w:id="264" w:name="X067924fbbd4e88c6dcb6c3b04b0af4c6cf799f2"/>
    <w:p>
      <w:pPr>
        <w:pStyle w:val="Heading2"/>
      </w:pPr>
      <w:r>
        <w:t xml:space="preserve">The January 6 Rejection of the Blasius Proposal.</w:t>
      </w:r>
    </w:p>
    <w:p>
      <w:pPr>
        <w:pStyle w:val="FirstParagraph"/>
      </w:pPr>
      <w:r>
        <w:t xml:space="preserve">On January 6, the board convened for its scheduled meeting. At that time, it heard a full report from its financial advisor concerning the feasibility of the Blasius restructuring proposal.</w:t>
      </w:r>
      <w:r>
        <w:t xml:space="preserve"> </w:t>
      </w:r>
      <w:r>
        <w:rPr>
          <w:rStyle w:val="Elision"/>
        </w:rPr>
        <w:t xml:space="preserve">[ … ]</w:t>
      </w:r>
    </w:p>
    <w:p>
      <w:pPr>
        <w:pStyle w:val="BodyText"/>
      </w:pPr>
      <w:r>
        <w:t xml:space="preserve">The board then voted to reject the Blasius proposal. Blasius was informed of that action. The next day, Blasius caused a second, modified consent to be delivered to Atlas. A contest then ensued between the Company and Blasius for the votes of Atlas' shareholders. The facts relating to that contest, and a determination of its outcome, form the subject of the second filed lawsuit to be now decided. That matter, however, will be deferred for the moment as the facts set forth above are sufficient to frame and decide the principal remaining issue raised by the first filed action: whether the December 31 board action, in increasing the board by two and appointing members to fill those new positions, constituted, in the circumstances, an inequitable interference with the exercise of shareholder rights.</w:t>
      </w:r>
    </w:p>
    <w:bookmarkEnd w:id="264"/>
    <w:bookmarkStart w:id="265" w:name="ii.-3"/>
    <w:p>
      <w:pPr>
        <w:pStyle w:val="Heading2"/>
      </w:pPr>
      <w:r>
        <w:t xml:space="preserve">II.</w:t>
      </w:r>
    </w:p>
    <w:p>
      <w:pPr>
        <w:pStyle w:val="FirstParagraph"/>
      </w:pPr>
      <w:r>
        <w:t xml:space="preserve">Plaintiff attacks the December 31 board action as a selfishly motivated effort to protect the incumbent board from a perceived threat to its control of Atlas. Their conduct is said to constitute a violation of the principle, applied in such cases as</w:t>
      </w:r>
      <w:r>
        <w:t xml:space="preserve"> </w:t>
      </w:r>
      <w:r>
        <w:rPr>
          <w:iCs/>
          <w:i/>
        </w:rPr>
        <w:t xml:space="preserve">Schnell v. Chris Craft Industries,</w:t>
      </w:r>
      <w:r>
        <w:t xml:space="preserve"> </w:t>
      </w:r>
      <w:r>
        <w:t xml:space="preserve">Del. Supr., 285 A.2d 437 (1971), that directors hold legal powers subjected to a supervening duty to exercise such powers in good faith pursuit of what they reasonably believe to be in the corporation's interest. The December 31 action is also said to have been taken in a grossly negligent manner, since it was designed to preclude the recapitalization from being pursued, and the board had no basis at that time to make a prudent determination about the wisdom of that proposal, nor was there any emergency that required it to act in any respect regarding that proposal before putting itself in a position to do so advisedly.</w:t>
      </w:r>
    </w:p>
    <w:p>
      <w:pPr>
        <w:pStyle w:val="BodyText"/>
      </w:pPr>
      <w:r>
        <w:t xml:space="preserve">Defendants, of course, contest every aspect of plaintiffs' claims. They claim the formidable protections of the business judgment rule.</w:t>
      </w:r>
      <w:r>
        <w:t xml:space="preserve"> </w:t>
      </w:r>
      <w:r>
        <w:rPr>
          <w:rStyle w:val="Elision"/>
          <w:iCs/>
          <w:i/>
        </w:rPr>
        <w:t xml:space="preserve">[ … ]</w:t>
      </w:r>
    </w:p>
    <w:p>
      <w:pPr>
        <w:pStyle w:val="BodyText"/>
      </w:pPr>
      <w:r>
        <w:t xml:space="preserve">They say that, in creating two new board positions and filling them on December 31, they acted without a conflicting interest [658] (since the Blasius proposal did not, in any event, challenge</w:t>
      </w:r>
      <w:r>
        <w:t xml:space="preserve"> </w:t>
      </w:r>
      <w:r>
        <w:rPr>
          <w:iCs/>
          <w:i/>
        </w:rPr>
        <w:t xml:space="preserve">their</w:t>
      </w:r>
      <w:r>
        <w:t xml:space="preserve"> </w:t>
      </w:r>
      <w:r>
        <w:t xml:space="preserve">places on the board), they acted with due care (since they well knew the persons they put on the board and did not thereby preclude later consideration of the recapitalization), and they acted in good faith (since they were motivated, they say, to protect the shareholders from the threat of having an impractical, indeed a dangerous, recapitalization program foisted upon them). Accordingly, defendants assert there is no basis to conclude that their December 31 action constituted any violation of the duty of the fidelity that a director owes by reason of his office to the corporation and its shareholders.</w:t>
      </w:r>
    </w:p>
    <w:p>
      <w:pPr>
        <w:pStyle w:val="BodyText"/>
      </w:pPr>
      <w:r>
        <w:rPr>
          <w:rStyle w:val="Elision"/>
        </w:rPr>
        <w:t xml:space="preserve">[ … ]</w:t>
      </w:r>
    </w:p>
    <w:bookmarkEnd w:id="265"/>
    <w:bookmarkStart w:id="266" w:name="iii.-3"/>
    <w:p>
      <w:pPr>
        <w:pStyle w:val="Heading2"/>
      </w:pPr>
      <w:r>
        <w:t xml:space="preserve">III.</w:t>
      </w:r>
    </w:p>
    <w:p>
      <w:pPr>
        <w:pStyle w:val="FirstParagraph"/>
      </w:pPr>
      <w:r>
        <w:t xml:space="preserve">One of the principal thrusts of plaintiffs' argument is that, in acting to appoint two additional persons of their own selection, including an officer of the Company, to the board, defendants were motivated not by any view that Atlas' interest (or those of its shareholders) required that action, but rather they were motivated improperly, by selfish concern to maintain their collective control over the Company. That is, plaintiffs say that the evidence shows there was no policy dispute or issue that really motivated this action, but that asserted policy differences were pretexts for entrenchment for selfish reasons. If this were found to be factually true, one would not need to inquire further. The action taken would constitute a breach of duty.</w:t>
      </w:r>
      <w:r>
        <w:t xml:space="preserve"> </w:t>
      </w:r>
      <w:r>
        <w:rPr>
          <w:iCs/>
          <w:i/>
        </w:rPr>
        <w:t xml:space="preserve">Schnell v. Chris Craft Industries,</w:t>
      </w:r>
      <w:r>
        <w:t xml:space="preserve"> </w:t>
      </w:r>
      <w:r>
        <w:t xml:space="preserve">Del.Supr., 285 A.2d 437 (1971)</w:t>
      </w:r>
      <w:r>
        <w:rPr>
          <w:rStyle w:val="Elision"/>
        </w:rPr>
        <w:t xml:space="preserve">[ … ]</w:t>
      </w:r>
      <w:r>
        <w:t xml:space="preserve">.</w:t>
      </w:r>
    </w:p>
    <w:p>
      <w:pPr>
        <w:pStyle w:val="BodyText"/>
      </w:pPr>
      <w:r>
        <w:t xml:space="preserve">In support of this view, plaintiffs point to the early diary entry of Mr. Weaver (p. 653,</w:t>
      </w:r>
      <w:r>
        <w:t xml:space="preserve"> </w:t>
      </w:r>
      <w:r>
        <w:rPr>
          <w:iCs/>
          <w:i/>
        </w:rPr>
        <w:t xml:space="preserve">supra</w:t>
      </w:r>
      <w:r>
        <w:t xml:space="preserve">), to the lack of any consideration at all of the Blasius recapitalization proposal at the December 31 meeting, the lack of any substantial basis for the outside directors to have had any considered view on the subject by that time — not having had any view from Goldman Sachs nor seen the financial data that it regarded as necessary to evaluate the proposal — and upon what it urges is the grievously flawed, slanted analysis that Goldman Sachs finally did present.</w:t>
      </w:r>
    </w:p>
    <w:p>
      <w:pPr>
        <w:pStyle w:val="BodyText"/>
      </w:pPr>
      <w:r>
        <w:t xml:space="preserve">While I am satisfied that the evidence is powerful, indeed compelling, that the board was chiefly motivated on December 31 to forestall or preclude the possibility that a majority of shareholders might place on the Atlas board eight new members sympathetic to the Blasius proposal, it is less clear with respect to the more subtle motivational question: whether the existing members of the board did so because they held a good faith belief that such shareholder action would be self-injurious and shareholders needed to be protected from their own judgment.</w:t>
      </w:r>
    </w:p>
    <w:p>
      <w:pPr>
        <w:pStyle w:val="BodyText"/>
      </w:pPr>
      <w:r>
        <w:t xml:space="preserve">On balance, I cannot conclude that the board was acting out of a self-interested motive in any important respect on December 31. I conclude rather that the board saw the "threat" of the Blasius recapitalization proposal as posing vital policy differences between itself and Blasius. It acted, I conclude, in a good faith effort to protect its incumbency, not selfishly, but in order to thwart implementation of the recapitalization that it feared, reasonably, would cause great injury to the Company.</w:t>
      </w:r>
    </w:p>
    <w:p>
      <w:pPr>
        <w:pStyle w:val="BodyText"/>
      </w:pPr>
      <w:r>
        <w:t xml:space="preserve">The real question the case presents, to my mind, is whether, in these circumstances, the board, even if it</w:t>
      </w:r>
      <w:r>
        <w:t xml:space="preserve"> </w:t>
      </w:r>
      <w:r>
        <w:rPr>
          <w:iCs/>
          <w:i/>
        </w:rPr>
        <w:t xml:space="preserve">is</w:t>
      </w:r>
      <w:r>
        <w:t xml:space="preserve"> </w:t>
      </w:r>
      <w:r>
        <w:t xml:space="preserve">acting with subjective good faith (which will typically, if not always, be a contestable or debatable judicial conclusion), may validly act for the principal purpose of preventing the shareholders from electing a majority of new directors. The question thus posed is not one of intentional wrong (or even negligence), but one of authority</w:t>
      </w:r>
      <w:r>
        <w:t xml:space="preserve"> </w:t>
      </w:r>
      <w:r>
        <w:rPr>
          <w:iCs/>
          <w:i/>
        </w:rPr>
        <w:t xml:space="preserve">as between the fiduciary and the beneficiary</w:t>
      </w:r>
      <w:r>
        <w:t xml:space="preserve"> </w:t>
      </w:r>
      <w:r>
        <w:t xml:space="preserve">(not simply [659] legal authority,</w:t>
      </w:r>
      <w:r>
        <w:t xml:space="preserve"> </w:t>
      </w:r>
      <w:r>
        <w:rPr>
          <w:iCs/>
          <w:i/>
        </w:rPr>
        <w:t xml:space="preserve">i.e.,</w:t>
      </w:r>
      <w:r>
        <w:t xml:space="preserve"> </w:t>
      </w:r>
      <w:r>
        <w:t xml:space="preserve">as between the fiduciary and the world at large).</w:t>
      </w:r>
    </w:p>
    <w:bookmarkEnd w:id="266"/>
    <w:bookmarkStart w:id="267" w:name="iv.-2"/>
    <w:p>
      <w:pPr>
        <w:pStyle w:val="Heading2"/>
      </w:pPr>
      <w:r>
        <w:t xml:space="preserve">IV.</w:t>
      </w:r>
    </w:p>
    <w:p>
      <w:pPr>
        <w:pStyle w:val="FirstParagraph"/>
      </w:pPr>
      <w:r>
        <w:rPr>
          <w:rStyle w:val="Elision"/>
        </w:rPr>
        <w:t xml:space="preserve">[ … ]</w:t>
      </w:r>
    </w:p>
    <w:bookmarkEnd w:id="267"/>
    <w:bookmarkStart w:id="268" w:name="Xfcf638ca5cfbd163b920154f0f27f49ea6d8cf1"/>
    <w:p>
      <w:pPr>
        <w:pStyle w:val="Heading2"/>
      </w:pPr>
      <w:r>
        <w:t xml:space="preserve">1. Why the deferential business judgment rule does not apply to board acts taken for the primary purpose of interfering with a stockholder's vote, even if taken advisedly and in good faith.</w:t>
      </w:r>
    </w:p>
    <w:bookmarkEnd w:id="268"/>
    <w:bookmarkStart w:id="269" w:name="a.-the-question-of-legitimacy."/>
    <w:p>
      <w:pPr>
        <w:pStyle w:val="Heading2"/>
      </w:pPr>
      <w:r>
        <w:t xml:space="preserve">A. The question of legitimacy.</w:t>
      </w:r>
    </w:p>
    <w:p>
      <w:pPr>
        <w:pStyle w:val="FirstParagraph"/>
      </w:pPr>
      <w:r>
        <w:t xml:space="preserve">The shareholder franchise is the ideological underpinning upon which the legitimacy of directorial power rests. Generally, shareholders have only two protections against perceived inadequate business performance. They may sell their stock (which, if done in sufficient numbers, may so affect security prices as to create an incentive for altered managerial performance), or they may vote to replace incumbent board members.</w:t>
      </w:r>
    </w:p>
    <w:p>
      <w:pPr>
        <w:pStyle w:val="BodyText"/>
      </w:pPr>
      <w:r>
        <w:t xml:space="preserve">It has, for a long time, been conventional to dismiss the stockholder vote as a vestige or ritual of little practical importance.</w:t>
      </w:r>
      <w:hyperlink w:anchor="Xde22461faf742eb96dbe2dd736a247954757202">
        <w:r>
          <w:rPr>
            <w:rStyle w:val="Hyperlink"/>
            <w:vertAlign w:val="superscript"/>
          </w:rPr>
          <w:t xml:space="preserve">[1]</w:t>
        </w:r>
      </w:hyperlink>
      <w:r>
        <w:t xml:space="preserve"> </w:t>
      </w:r>
      <w:r>
        <w:t xml:space="preserve">It may be that we are now witnessing the emergence of new institutional voices and arrangements that will make the stockholder vote a less predictable affair than it has been. Be that as it may, however, whether the vote is seen functionally as an unimportant formalism, or as an important tool of discipline, it is clear that it is critical to the theory that legitimates the exercise of power by some (directors and officers) over vast aggregations of property that they do not own. Thus, when viewed from a broad, institutional perspective, it can be seen that matters involving the integrity of the shareholder voting process involve consideration not present in any other context in which directors exercise delegated power.</w:t>
      </w:r>
    </w:p>
    <w:bookmarkEnd w:id="269"/>
    <w:bookmarkStart w:id="270" w:name="X8480bd700779e4263767311eeaf5a67c11e424c"/>
    <w:p>
      <w:pPr>
        <w:pStyle w:val="Heading2"/>
      </w:pPr>
      <w:r>
        <w:t xml:space="preserve">B. Questions of this type raise issues of the allocation of authority as between the board and the shareholders.</w:t>
      </w:r>
    </w:p>
    <w:p>
      <w:pPr>
        <w:pStyle w:val="FirstParagraph"/>
      </w:pPr>
      <w:r>
        <w:t xml:space="preserve">The distinctive nature of the shareholder franchise context also appears when the matter is viewed from a less generalized, doctrinal point of view. From this point of view, as well, it appears that the ordinary considerations to which the business judgment rule originally responded are simply not present in the shareholder voting context.</w:t>
      </w:r>
      <w:hyperlink w:anchor="Xe9f056b8140cdefe179d26e136d3da94e5b3039">
        <w:r>
          <w:rPr>
            <w:rStyle w:val="Hyperlink"/>
            <w:vertAlign w:val="superscript"/>
          </w:rPr>
          <w:t xml:space="preserve">[2]</w:t>
        </w:r>
      </w:hyperlink>
      <w:r>
        <w:t xml:space="preserve"> </w:t>
      </w:r>
      <w:r>
        <w:t xml:space="preserve">That is, a decision by the [660] board to act for the primary purpose of preventing the effectiveness of a shareholder vote inevitably involves the question who, as between the principal and the agent, has authority with respect to a matter of internal corporate governance. That, of course, is true in a very specific way in this case which deals with the question who should constitute the board of directors of the corporation, but it will be true in every instance in which an incumbent board seeks to thwart a shareholder majority. A board's decision to act to prevent the shareholders from creating a majority of new board positions and filling them does not involve the exercise of</w:t>
      </w:r>
      <w:r>
        <w:t xml:space="preserve"> </w:t>
      </w:r>
      <w:r>
        <w:rPr>
          <w:iCs/>
          <w:i/>
        </w:rPr>
        <w:t xml:space="preserve">the corporation's power</w:t>
      </w:r>
      <w:r>
        <w:t xml:space="preserve"> </w:t>
      </w:r>
      <w:r>
        <w:t xml:space="preserve">over its property, or with respect to</w:t>
      </w:r>
      <w:r>
        <w:t xml:space="preserve"> </w:t>
      </w:r>
      <w:r>
        <w:rPr>
          <w:iCs/>
          <w:i/>
        </w:rPr>
        <w:t xml:space="preserve">its</w:t>
      </w:r>
      <w:r>
        <w:t xml:space="preserve"> </w:t>
      </w:r>
      <w:r>
        <w:t xml:space="preserve">rights or obligations; rather, it involves allocation, between shareholders as a class and the board, of effective power with respect to governance of the corporation. This need not be the case with respect to other forms of corporate action that may have an entrenchment effect</w:t>
      </w:r>
      <w:r>
        <w:rPr>
          <w:rStyle w:val="Elision"/>
        </w:rPr>
        <w:t xml:space="preserve">[ … ]</w:t>
      </w:r>
      <w:r>
        <w:rPr>
          <w:iCs/>
          <w:i/>
        </w:rPr>
        <w:t xml:space="preserve">.</w:t>
      </w:r>
      <w:r>
        <w:t xml:space="preserve"> </w:t>
      </w:r>
      <w:r>
        <w:t xml:space="preserve">Action designed principally to interfere with the effectiveness of a vote inevitably involves a conflict between the board and a shareholder majority. Judicial review of such action involves a determination of the legal and equitable obligations of an agent towards his principal. This is not, in my opinion, a question that a court may leave to the agent finally to decide so long as he does so honestly and competently; that is, it may not be left to the agent's business judgment.</w:t>
      </w:r>
      <w:hyperlink w:anchor="X986006c07e23be0d895efcb4830f695b0e0bf26">
        <w:r>
          <w:rPr>
            <w:rStyle w:val="Elision"/>
            <w:vertAlign w:val="superscript"/>
          </w:rPr>
          <w:t xml:space="preserve">[ … ]</w:t>
        </w:r>
      </w:hyperlink>
    </w:p>
    <w:bookmarkEnd w:id="270"/>
    <w:bookmarkStart w:id="271" w:name="X9f74b75b962b8be8aa62bea1dbe015fd895b9ed"/>
    <w:p>
      <w:pPr>
        <w:pStyle w:val="Heading2"/>
      </w:pPr>
      <w:r>
        <w:t xml:space="preserve">2. What rule does apply: per se invalidity of corporate acts intended primarily to thwart effective exercise of the franchise or is there an intermediate standard?</w:t>
      </w:r>
    </w:p>
    <w:p>
      <w:pPr>
        <w:pStyle w:val="FirstParagraph"/>
      </w:pPr>
      <w:r>
        <w:t xml:space="preserve">Plaintiff argues for a rule of</w:t>
      </w:r>
      <w:r>
        <w:t xml:space="preserve"> </w:t>
      </w:r>
      <w:r>
        <w:rPr>
          <w:iCs/>
          <w:i/>
        </w:rPr>
        <w:t xml:space="preserve">per se</w:t>
      </w:r>
      <w:r>
        <w:t xml:space="preserve"> </w:t>
      </w:r>
      <w:r>
        <w:t xml:space="preserve">invalidity once a plaintiff has established that a board has acted for the primary purpose of thwarting the exercise of a shareholder vote.</w:t>
      </w:r>
      <w:r>
        <w:t xml:space="preserve"> </w:t>
      </w:r>
      <w:r>
        <w:rPr>
          <w:rStyle w:val="Elision"/>
        </w:rPr>
        <w:t xml:space="preserve">[ … ]</w:t>
      </w:r>
    </w:p>
    <w:p>
      <w:pPr>
        <w:pStyle w:val="BodyText"/>
      </w:pPr>
      <w:r>
        <w:t xml:space="preserve">A</w:t>
      </w:r>
      <w:r>
        <w:t xml:space="preserve"> </w:t>
      </w:r>
      <w:r>
        <w:rPr>
          <w:iCs/>
          <w:i/>
        </w:rPr>
        <w:t xml:space="preserve">per se</w:t>
      </w:r>
      <w:r>
        <w:t xml:space="preserve"> </w:t>
      </w:r>
      <w:r>
        <w:t xml:space="preserve">rule that would strike down, in equity, any board action taken for the primary purpose of interfering with the effectiveness of a corporate vote would have the advantage of relative clarity and predictability.</w:t>
      </w:r>
      <w:hyperlink w:anchor="X7c687db8075b2c3514d8c0eb1d29032d3992722">
        <w:r>
          <w:rPr>
            <w:rStyle w:val="Hyperlink"/>
            <w:vertAlign w:val="superscript"/>
          </w:rPr>
          <w:t xml:space="preserve">[4]</w:t>
        </w:r>
      </w:hyperlink>
      <w:r>
        <w:t xml:space="preserve"> </w:t>
      </w:r>
      <w:r>
        <w:t xml:space="preserve">It also has the advantage of most vigorously enforcing the concept of corporate democracy. The disadvantage it brings along is, of course, the disadvantage a</w:t>
      </w:r>
      <w:r>
        <w:t xml:space="preserve"> </w:t>
      </w:r>
      <w:r>
        <w:rPr>
          <w:iCs/>
          <w:i/>
        </w:rPr>
        <w:t xml:space="preserve">per se</w:t>
      </w:r>
      <w:r>
        <w:t xml:space="preserve"> </w:t>
      </w:r>
      <w:r>
        <w:t xml:space="preserve">rule always has: it may sweep too broadly.</w:t>
      </w:r>
    </w:p>
    <w:p>
      <w:pPr>
        <w:pStyle w:val="BodyText"/>
      </w:pPr>
      <w:r>
        <w:rPr>
          <w:rStyle w:val="Elision"/>
        </w:rPr>
        <w:t xml:space="preserve">[ … ]</w:t>
      </w:r>
    </w:p>
    <w:p>
      <w:pPr>
        <w:pStyle w:val="BodyText"/>
      </w:pPr>
      <w:r>
        <w:t xml:space="preserve">In my view, our inability to foresee now all of the future settings in which a board might, in good faith, paternalistically seek to thwart a shareholder vote, counsels against the adoption of a</w:t>
      </w:r>
      <w:r>
        <w:t xml:space="preserve"> </w:t>
      </w:r>
      <w:r>
        <w:rPr>
          <w:iCs/>
          <w:i/>
        </w:rPr>
        <w:t xml:space="preserve">per se</w:t>
      </w:r>
      <w:r>
        <w:t xml:space="preserve"> </w:t>
      </w:r>
      <w:r>
        <w:t xml:space="preserve">rule invalidating, in equity, every board action taken for the sole or primary purpose of thwarting a shareholder vote, even though I recognize the transcending significance of the franchise to the claims to legitimacy of our scheme of corporate governance. It may be that some set of facts would justify such extreme action.</w:t>
      </w:r>
      <w:hyperlink w:anchor="Xc4d6c5ebb644b0b712427de4768577f8cbe17f2">
        <w:r>
          <w:rPr>
            <w:rStyle w:val="Elision"/>
            <w:vertAlign w:val="superscript"/>
          </w:rPr>
          <w:t xml:space="preserve">[ … ]</w:t>
        </w:r>
      </w:hyperlink>
      <w:r>
        <w:t xml:space="preserve">This, however, is not such a case.</w:t>
      </w:r>
    </w:p>
    <w:bookmarkEnd w:id="271"/>
    <w:bookmarkStart w:id="272" w:name="X022ae6539c6a45ab1a226bb41f2584dfec64508"/>
    <w:p>
      <w:pPr>
        <w:pStyle w:val="Heading2"/>
      </w:pPr>
      <w:r>
        <w:t xml:space="preserve">3. Defendants have demonstrated no sufficient justification for the action of December 31 which was intended to prevent an unaffiliated majority of shareholders from effectively exercising their right to elect eight new directors.</w:t>
      </w:r>
    </w:p>
    <w:p>
      <w:pPr>
        <w:pStyle w:val="FirstParagraph"/>
      </w:pPr>
      <w:r>
        <w:t xml:space="preserve">The board was not faced with a coercive action taken by a powerful shareholder against the interests of a distinct shareholder constituency (such as a public minority). It was presented with a consent [663] solicitation by a 9% shareholder. Moreover, here it had time (and understood that it had time) to inform the shareholders of its views on the merits of the proposal subject to stockholder vote. The only justification that can, in such a situation, be offered for the action taken is that the board knows better than do the shareholders what is in the corporation's best interest. While that premise is no doubt true for any number of matters, it is irrelevant (except insofar as the shareholders wish to be guided by the board's recommendation) when the question is who should comprise the board of directors. The theory of our corporation law confers power upon directors as the agents of the shareholders; it does not create Platonic masters. It may be that the Blasius restructuring proposal was or is unrealistic and would lead to injury to the corporation and its shareholders if pursued. Having heard the evidence, I am inclined to think it was not a sound proposal. The board certainly viewed it that way, and that view, held in good faith, entitled the board to take certain steps to evade the risk it perceived. It could, for example, expend corporate funds to inform shareholders and seek to bring them to a similar point of view.</w:t>
      </w:r>
      <w:r>
        <w:t xml:space="preserve"> </w:t>
      </w:r>
      <w:r>
        <w:rPr>
          <w:rStyle w:val="Elision"/>
          <w:iCs/>
          <w:i/>
        </w:rPr>
        <w:t xml:space="preserve">[ … ]</w:t>
      </w:r>
      <w:r>
        <w:t xml:space="preserve"> </w:t>
      </w:r>
      <w:r>
        <w:t xml:space="preserve">But there is a vast difference between expending corporate funds to inform the electorate and exercising power for the primary purpose of foreclosing effective shareholder action. A majority of the shareholders, who were not dominated in any respect, could view the matter differently than did the board. If they do, or did, they are entitled to employ the mechanisms provided by the corporation law and the Atlas certificate of incorporation to advance that view. They are also entitled, in my opinion, to restrain their agents, the board, from acting for the principal purpose of thwarting that action.</w:t>
      </w:r>
    </w:p>
    <w:p>
      <w:pPr>
        <w:pStyle w:val="BodyText"/>
      </w:pPr>
      <w:r>
        <w:t xml:space="preserve">I therefore conclude that, even finding the action taken was taken in good faith, it constituted an unintended violation of the duty of loyalty that the board owed to the shareholders. I note parenthetically that the concept of an unintended breach of the duty of loyalty is unusual but not novel.</w:t>
      </w:r>
      <w:r>
        <w:t xml:space="preserve"> </w:t>
      </w:r>
      <w:r>
        <w:rPr>
          <w:rStyle w:val="Elision"/>
          <w:iCs/>
          <w:i/>
        </w:rPr>
        <w:t xml:space="preserve">[ … ]</w:t>
      </w:r>
      <w:r>
        <w:t xml:space="preserve">That action will, therefore, be set aside by order of this court.</w:t>
      </w:r>
    </w:p>
    <w:bookmarkEnd w:id="272"/>
    <w:bookmarkStart w:id="273" w:name="v.-1"/>
    <w:p>
      <w:pPr>
        <w:pStyle w:val="Heading2"/>
      </w:pPr>
      <w:r>
        <w:t xml:space="preserve">V.</w:t>
      </w:r>
    </w:p>
    <w:p>
      <w:pPr>
        <w:pStyle w:val="FirstParagraph"/>
      </w:pPr>
      <w:r>
        <w:t xml:space="preserve">I turn now to a discussion of the second case which is a Section 225 case designed to determine whether the nominees of Blasius were elected to an expanded Atlas board pursuant to the consent procedure.</w:t>
      </w:r>
      <w:hyperlink w:anchor="Xc9ac17e9c7a75270c3f7b1d9b2edd4880f161bf">
        <w:r>
          <w:rPr>
            <w:rStyle w:val="Elision"/>
            <w:vertAlign w:val="superscript"/>
          </w:rPr>
          <w:t xml:space="preserve">[ … ]</w:t>
        </w:r>
      </w:hyperlink>
    </w:p>
    <w:p>
      <w:pPr>
        <w:pStyle w:val="BodyText"/>
      </w:pPr>
      <w:r>
        <w:t xml:space="preserve">On March 6, 1988, after several rounds of mailings by each side, Blasius presented consents to the corporation purporting to adopt its five proposals. The corporation appointed an independent fiduciary (Manufacturers Hanover Trust Company) to act as judge of the stockholder vote. It reported a final tally report on March 17 and issued a Certificate of the Stockholder Vote on March 22. That certificate stated that the vote had been exceedingly close and that, as calculated by Manufacturer's Hanover, none of Blasius' proposals had succeeded. In order to be adopted by a majority of shares entitled to vote, each proposition needed to garner 1,486,293 consents. Each was about 45,000 shares short (about 1.5% of the total outstanding stock).</w:t>
      </w:r>
      <w:hyperlink w:anchor="Xd6595f63cadf337c5df2ae6584b2ef6085bb87d">
        <w:r>
          <w:rPr>
            <w:rStyle w:val="Elision"/>
            <w:vertAlign w:val="superscript"/>
          </w:rPr>
          <w:t xml:space="preserve">[ … ]</w:t>
        </w:r>
      </w:hyperlink>
    </w:p>
    <w:bookmarkEnd w:id="273"/>
    <w:bookmarkStart w:id="274" w:name="section-37"/>
    <w:p>
      <w:pPr>
        <w:pStyle w:val="Heading2"/>
      </w:pPr>
      <w:r>
        <w:rPr>
          <w:rStyle w:val="Elision"/>
        </w:rPr>
        <w:t xml:space="preserve">[ … ]</w:t>
      </w:r>
    </w:p>
    <w:bookmarkEnd w:id="274"/>
    <w:bookmarkStart w:id="275" w:name="vi.-2"/>
    <w:p>
      <w:pPr>
        <w:pStyle w:val="Heading2"/>
      </w:pPr>
      <w:r>
        <w:t xml:space="preserve">VI.</w:t>
      </w:r>
    </w:p>
    <w:p>
      <w:pPr>
        <w:pStyle w:val="FirstParagraph"/>
      </w:pPr>
      <w:r>
        <w:t xml:space="preserve">The multilevel system of beneficial ownership of stock and the interposition of other institutional players between investors and corporations (</w:t>
      </w:r>
      <w:r>
        <w:rPr>
          <w:iCs/>
          <w:i/>
        </w:rPr>
        <w:t xml:space="preserve">e.g.,</w:t>
      </w:r>
      <w:r>
        <w:t xml:space="preserve"> </w:t>
      </w:r>
      <w:r>
        <w:rPr>
          <w:rStyle w:val="Elision"/>
        </w:rPr>
        <w:t xml:space="preserve">[ … ]</w:t>
      </w:r>
      <w:r>
        <w:t xml:space="preserve"> </w:t>
      </w:r>
      <w:r>
        <w:t xml:space="preserve">brokers whose customers hold stock beneficially) renders the process of corporate voting complex. This case demonstrates that the currently employed process by which consents are solicited and counted is even more prone to problems than is the process of proxy counting.</w:t>
      </w:r>
      <w:r>
        <w:t xml:space="preserve"> </w:t>
      </w:r>
      <w:r>
        <w:rPr>
          <w:rStyle w:val="Elision"/>
        </w:rPr>
        <w:t xml:space="preserve">[ … ]</w:t>
      </w:r>
    </w:p>
    <w:p>
      <w:pPr>
        <w:pStyle w:val="BodyText"/>
      </w:pPr>
      <w:r>
        <w:t xml:space="preserve">There were mistakes made by the judges (</w:t>
      </w:r>
      <w:r>
        <w:rPr>
          <w:iCs/>
          <w:i/>
        </w:rPr>
        <w:t xml:space="preserve">see, e.g.,</w:t>
      </w:r>
      <w:r>
        <w:t xml:space="preserve"> </w:t>
      </w:r>
      <w:r>
        <w:t xml:space="preserve">footnotes 9 and 10 above) and by record owners and their agents; there appears to have been unauthorized and perhaps even wrongful behavior (</w:t>
      </w:r>
      <w:r>
        <w:rPr>
          <w:iCs/>
          <w:i/>
        </w:rPr>
        <w:t xml:space="preserve">e.g.,</w:t>
      </w:r>
      <w:r>
        <w:t xml:space="preserve"> </w:t>
      </w:r>
      <w:r>
        <w:t xml:space="preserve">B.C. Christopher &amp; Co.). Much of the problem arises from the perhaps thoughtless utilization of proxy contest procedures for a consent solicitation contest. But the mistakes of the judges, on balance, tend to cut against plaintiff.</w:t>
      </w:r>
      <w:r>
        <w:t xml:space="preserve"> </w:t>
      </w:r>
      <w:r>
        <w:rPr>
          <w:rStyle w:val="Elision"/>
        </w:rPr>
        <w:t xml:space="preserve">[ … ]</w:t>
      </w:r>
    </w:p>
    <w:p>
      <w:pPr>
        <w:pStyle w:val="BodyText"/>
      </w:pPr>
      <w:r>
        <w:t xml:space="preserve">We cannot know, in these circumstances, what the outcome of this close contest would have been if the true wishes of all beneficial owners had been accurately measured. The parties must, in my opinion, be content with the result announced by the judges. Those mistakes that were made by the judges do not alter the outcome.</w:t>
      </w:r>
    </w:p>
    <w:p>
      <w:pPr>
        <w:pStyle w:val="BodyText"/>
      </w:pPr>
      <w:r>
        <w:t xml:space="preserve">Judgment will be entered in favor of defendants.</w:t>
      </w:r>
      <w:r>
        <w:t xml:space="preserve"> </w:t>
      </w:r>
      <w:r>
        <w:rPr>
          <w:rStyle w:val="Elision"/>
        </w:rPr>
        <w:t xml:space="preserve">[ … ]</w:t>
      </w:r>
    </w:p>
    <w:p>
      <w:pPr>
        <w:pStyle w:val="BodyText"/>
      </w:pPr>
      <w:r>
        <w:t xml:space="preserve">A similar concern, for credible corporate democracy, underlies those cases that strike down board action that sets or moves an annual meeting date upon a finding that such action was intended to thwart a shareholder group from effectively mounting an election campaign.</w:t>
      </w:r>
      <w:r>
        <w:t xml:space="preserve"> </w:t>
      </w:r>
      <w:r>
        <w:rPr>
          <w:iCs/>
          <w:i/>
        </w:rPr>
        <w:t xml:space="preserve">See, e.g.,</w:t>
      </w:r>
      <w:r>
        <w:t xml:space="preserve"> </w:t>
      </w:r>
      <w:r>
        <w:rPr>
          <w:iCs/>
          <w:i/>
        </w:rPr>
        <w:t xml:space="preserve">Schnell v. Chris Craft</w:t>
      </w:r>
      <w:r>
        <w:rPr>
          <w:rStyle w:val="Elision"/>
          <w:iCs/>
          <w:i/>
        </w:rPr>
        <w:t xml:space="preserve">[ … ]</w:t>
      </w:r>
      <w:r>
        <w:t xml:space="preserve">.</w:t>
      </w:r>
    </w:p>
    <w:p>
      <w:pPr>
        <w:pStyle w:val="BodyText"/>
      </w:pPr>
      <w:r>
        <w:t xml:space="preserve">The cases invalidating stock issued for the primary purpose of diluting the voting power of a control block also reflect the law's concern that a credible form of corporate democracy be maintained.</w:t>
      </w:r>
      <w:r>
        <w:t xml:space="preserve"> </w:t>
      </w:r>
      <w:r>
        <w:rPr>
          <w:rStyle w:val="Elision"/>
          <w:iCs/>
          <w:i/>
        </w:rPr>
        <w:t xml:space="preserve">[ … ]</w:t>
      </w:r>
    </w:p>
    <w:p>
      <w:pPr>
        <w:pStyle w:val="BodyText"/>
      </w:pPr>
      <w:r>
        <w:t xml:space="preserve">Similarly, a concern for corporate democracy is reflected (1) in our statutory requirement of annual meetings (8</w:t>
      </w:r>
      <w:r>
        <w:t xml:space="preserve"> </w:t>
      </w:r>
      <w:r>
        <w:rPr>
          <w:iCs/>
          <w:i/>
        </w:rPr>
        <w:t xml:space="preserve">Del.C.</w:t>
      </w:r>
      <w:r>
        <w:t xml:space="preserve"> </w:t>
      </w:r>
      <w:r>
        <w:t xml:space="preserve">§ 211), and in the cases that aggressively and summarily enforce that right</w:t>
      </w:r>
      <w:r>
        <w:rPr>
          <w:rStyle w:val="Elision"/>
        </w:rPr>
        <w:t xml:space="preserve">[ … ]</w:t>
      </w:r>
      <w:r>
        <w:t xml:space="preserve">, and (2) in our consent statute (8</w:t>
      </w:r>
      <w:r>
        <w:t xml:space="preserve"> </w:t>
      </w:r>
      <w:r>
        <w:rPr>
          <w:iCs/>
          <w:i/>
        </w:rPr>
        <w:t xml:space="preserve">Del.C.</w:t>
      </w:r>
      <w:r>
        <w:t xml:space="preserve"> </w:t>
      </w:r>
      <w:r>
        <w:t xml:space="preserve">§ 228) and the interpretation it has been accorded.</w:t>
      </w:r>
      <w:r>
        <w:t xml:space="preserve"> </w:t>
      </w:r>
      <w:r>
        <w:rPr>
          <w:rStyle w:val="Elision"/>
          <w:iCs/>
          <w:i/>
        </w:rPr>
        <w:t xml:space="preserve">[ … ]</w:t>
      </w:r>
    </w:p>
    <w:bookmarkEnd w:id="275"/>
    <w:p>
      <w:pPr>
        <w:pStyle w:val="NodeEnd"/>
      </w:pPr>
      <w:r>
        <w:t xml:space="preserve"> </w:t>
      </w:r>
    </w:p>
    <w:p>
      <w:pPr>
        <w:pStyle w:val="NodeStart"/>
      </w:pPr>
      <w:r>
        <w:t xml:space="preserve"> </w:t>
      </w:r>
    </w:p>
    <w:p>
      <w:pPr>
        <w:pStyle w:val="HeadSeparator"/>
      </w:pPr>
      <w:r>
        <w:t xml:space="preserve"> </w:t>
      </w:r>
    </w:p>
    <w:bookmarkStart w:id="121" w:name="_auto_toc_121"/>
    <w:bookmarkEnd w:id="121"/>
    <w:p>
      <w:pPr>
        <w:pStyle w:val="ResourceNumber"/>
      </w:pPr>
      <w:r>
        <w:t xml:space="preserve">10.1.4</w:t>
      </w:r>
    </w:p>
    <w:p>
      <w:pPr>
        <w:pStyle w:val="ResourceTitle"/>
      </w:pPr>
      <w:r>
        <w:t xml:space="preserve">Revlon v. MacAndrews &amp; Forbes (Del. 1986)</w:t>
      </w:r>
    </w:p>
    <w:p>
      <w:pPr>
        <w:pStyle w:val="HeadFieldSeparator"/>
      </w:pPr>
      <w:r>
        <w:t xml:space="preserve"> </w:t>
      </w:r>
    </w:p>
    <w:p>
      <w:pPr>
        <w:pStyle w:val="ResourceHeadnote"/>
      </w:pPr>
      <w:r>
        <w:t xml:space="preserve">As you have just read, in 1985,</w:t>
      </w:r>
      <w:r>
        <w:t xml:space="preserve"> </w:t>
      </w:r>
      <w:r>
        <w:rPr>
          <w:iCs/>
          <w:i/>
        </w:rPr>
        <w:t xml:space="preserve">Unocal</w:t>
      </w:r>
      <w:r>
        <w:t xml:space="preserve"> </w:t>
      </w:r>
      <w:r>
        <w:t xml:space="preserve">and</w:t>
      </w:r>
      <w:r>
        <w:t xml:space="preserve"> </w:t>
      </w:r>
      <w:r>
        <w:rPr>
          <w:iCs/>
          <w:i/>
        </w:rPr>
        <w:t xml:space="preserve">Moran</w:t>
      </w:r>
      <w:r>
        <w:t xml:space="preserve"> </w:t>
      </w:r>
      <w:r>
        <w:t xml:space="preserve">approved boards’ use of powerful, discriminatory defensive tactics. You will now read</w:t>
      </w:r>
      <w:r>
        <w:t xml:space="preserve"> </w:t>
      </w:r>
      <w:r>
        <w:rPr>
          <w:iCs/>
          <w:i/>
        </w:rPr>
        <w:t xml:space="preserve">Revlon</w:t>
      </w:r>
      <w:r>
        <w:t xml:space="preserve">, the 1986 decision that drew the line at playing favorites:</w:t>
      </w:r>
      <w:r>
        <w:t xml:space="preserve"> </w:t>
      </w:r>
      <w:r>
        <w:rPr>
          <w:iCs/>
          <w:i/>
        </w:rPr>
        <w:t xml:space="preserve">if</w:t>
      </w:r>
      <w:r>
        <w:t xml:space="preserve"> </w:t>
      </w:r>
      <w:r>
        <w:t xml:space="preserve">the board decides to sell or break up the company, then it can no longer defend selectively against some bidders but not others. Does this distinction make sense? Where would you draw the line?</w:t>
      </w:r>
    </w:p>
    <w:p>
      <w:pPr>
        <w:pStyle w:val="HeadEnd"/>
      </w:pPr>
      <w:r>
        <w:t xml:space="preserve"> </w:t>
      </w:r>
    </w:p>
    <w:p>
      <w:pPr>
        <w:pStyle w:val="CaseHeader"/>
      </w:pPr>
      <w:r>
        <w:t xml:space="preserve">Delaware Supreme Court</w:t>
      </w:r>
    </w:p>
    <w:p>
      <w:pPr>
        <w:pStyle w:val="CaseHeader"/>
      </w:pPr>
      <w:r>
        <w:t xml:space="preserve">506 A.2d 173</w:t>
      </w:r>
    </w:p>
    <w:p>
      <w:pPr>
        <w:pStyle w:val="CaseHeader"/>
      </w:pPr>
      <w:r>
        <w:t xml:space="preserve">1985-10-31</w:t>
      </w:r>
    </w:p>
    <w:p>
      <w:pPr>
        <w:pStyle w:val="CaseBody"/>
      </w:pPr>
      <w:r>
        <w:t xml:space="preserve">506 A.2d 173 (1986)</w:t>
      </w:r>
    </w:p>
    <w:p>
      <w:pPr>
        <w:pStyle w:val="CaseHeader"/>
      </w:pPr>
      <w:r>
        <w:t xml:space="preserve">REVLON, INC., a Delaware corporation, Michel C. Bergerac, Simon Aldewereld, Sander P. Alexander, Jay I. Bennett, Irving J. Bottner, Jacob Burns, Lewis L. Glucksman, John Loudon, Aileen Mehle, Samuel L. Simmons, Ian R. Wilson, Paul P. Woolard, Ezra K. Zilkha, Forstmann Little &amp; Co., a New York limited partnership, and Forstmann Little &amp; Co. Subordinated Debt and Equity Management Buyout Partnership-II, a New York limited partnership, Defendants Below, Appellants,</w:t>
      </w:r>
      <w:r>
        <w:br/>
      </w:r>
      <w:r>
        <w:t xml:space="preserve">v.</w:t>
      </w:r>
      <w:r>
        <w:br/>
      </w:r>
      <w:r>
        <w:t xml:space="preserve">MacANDREWS &amp; FORBES HOLDINGS, INC., a Delaware corporation, Plaintiff Below, Appellee.</w:t>
      </w:r>
    </w:p>
    <w:p>
      <w:pPr>
        <w:pStyle w:val="CaseBody"/>
      </w:pPr>
      <w:r>
        <w:t xml:space="preserve">Supreme Court of Delaware.</w:t>
      </w:r>
      <w:r>
        <w:br/>
      </w:r>
      <w:r>
        <w:t xml:space="preserve">Submitted: October 31, 1985.</w:t>
      </w:r>
      <w:r>
        <w:br/>
      </w:r>
      <w:r>
        <w:t xml:space="preserve">Oral Decision: November 1, 1985.</w:t>
      </w:r>
      <w:r>
        <w:br/>
      </w:r>
      <w:r>
        <w:t xml:space="preserve">Written Opinion: March 13, 1986.</w:t>
      </w:r>
    </w:p>
    <w:p>
      <w:pPr>
        <w:pStyle w:val="CaseBody"/>
      </w:pPr>
      <w:r>
        <w:t xml:space="preserve">A. Gilchrist Sparks, III (argued), Lawrence A. Hamermesh, and Kenneth Nachbar, of Morris, Nichols, Arsht &amp; Tunnell, Wilmington, and Herbert M. Wachtell, Douglas S. Liebhafsky, Kenneth B. Forrest, and Theodore N. Mirvis, of Wachtell, Lipton, Rosen &amp; Katz, New York City, of counsel, for appellant Revlon.</w:t>
      </w:r>
    </w:p>
    <w:p>
      <w:pPr>
        <w:pStyle w:val="CaseBody"/>
      </w:pPr>
      <w:r>
        <w:t xml:space="preserve">Michael D. Goldman, James F. Burnett, Donald J. Wolfe, Jr., Richard L. Horwitz, of Potter, Anderson &amp; Corroon, Wilmington, and Leon Silverman (argued), and Marc P. Cherno, of Fried, Frank, Harris, Shriver &amp; Jacobson, New York City, of counsel, for appellant Forstmann Little.</w:t>
      </w:r>
    </w:p>
    <w:p>
      <w:pPr>
        <w:pStyle w:val="CaseBody"/>
      </w:pPr>
      <w:r>
        <w:t xml:space="preserve">Bruce M. Stargatt (argued), Edward B. Maxwell, 2nd, David C. McBride, Josy W. Ingersoll, of Young, Conaway, Stargatt &amp; Taylor, Wilmington, and Stuart L. Shapiro (argued), Stephen P. Lamb, Andrew J. Turezyn, and Thomas P. White, of Skadden, Arps, Slate, Meagher &amp; Flom, Wilmington, and Michael W. Mitchell (New York City) and Marc B. Tucker, Washington, D.C., of Skadden, Arps, Slate, Meagher &amp; Flom, for appellee.</w:t>
      </w:r>
    </w:p>
    <w:p>
      <w:pPr>
        <w:pStyle w:val="CaseBody"/>
      </w:pPr>
      <w:r>
        <w:t xml:space="preserve">Before McNEILLY and MOORE, JJ., and BALICK, Judge (Sitting by designation pursuant to Del. Const., Art. IV, § 12.).</w:t>
      </w:r>
    </w:p>
    <w:bookmarkStart w:id="276" w:name="moore-justice"/>
    <w:p>
      <w:pPr>
        <w:pStyle w:val="Heading2"/>
      </w:pPr>
      <w:r>
        <w:t xml:space="preserve">[175] MOORE, Justice:</w:t>
      </w:r>
    </w:p>
    <w:p>
      <w:pPr>
        <w:pStyle w:val="CaseBody"/>
      </w:pPr>
      <w:r>
        <w:t xml:space="preserve">In this battle for corporate control of Revlon, Inc. (Revlon), the Court of Chancery enjoined certain transactions designed to thwart the efforts of Pantry Pride, Inc. (Pantry Pride) to acquire Revlon.</w:t>
      </w:r>
      <w:hyperlink w:anchor="X76cce5cc6ac038f56e0bd60518b204df2d8682e">
        <w:r>
          <w:rPr>
            <w:rStyle w:val="Hyperlink"/>
            <w:vertAlign w:val="superscript"/>
          </w:rPr>
          <w:t xml:space="preserve">[1]</w:t>
        </w:r>
      </w:hyperlink>
      <w:r>
        <w:t xml:space="preserve"> </w:t>
      </w:r>
      <w:r>
        <w:t xml:space="preserve">The defendants are Revlon, its board of directors, and Forstmann Little &amp; Co. and the latter's affiliated limited partnership (collectively, Forstmann). The injunction barred consummation of an option granted Forstmann to purchase certain Revlon assets (the lockup option), a promise by Revlon to deal exclusively with Forstmann in the face of a takeover (the no-shop provision), and the payment of a $25 million cancellation fee to Forstmann if the transaction was aborted. The Court of Chancery found that the Revlon directors had breached their duty of care by entering into the foregoing transactions [176] and effectively ending an active auction for the company. The trial court ruled that such arrangements are not illegal</w:t>
      </w:r>
      <w:r>
        <w:t xml:space="preserve"> </w:t>
      </w:r>
      <w:r>
        <w:rPr>
          <w:iCs/>
          <w:i/>
        </w:rPr>
        <w:t xml:space="preserve">per se</w:t>
      </w:r>
      <w:r>
        <w:t xml:space="preserve"> </w:t>
      </w:r>
      <w:r>
        <w:t xml:space="preserve">under Delaware law, but that their use under the circumstances here was impermissible. We agree.</w:t>
      </w:r>
      <w:r>
        <w:t xml:space="preserve"> </w:t>
      </w:r>
      <w:r>
        <w:rPr>
          <w:iCs/>
          <w:i/>
        </w:rPr>
        <w:t xml:space="preserve">See</w:t>
      </w:r>
      <w:r>
        <w:t xml:space="preserve"> </w:t>
      </w:r>
      <w:r>
        <w:rPr>
          <w:iCs/>
          <w:i/>
        </w:rPr>
        <w:t xml:space="preserve">MacAndrews &amp; Forbes Holdings, Inc. v. Revlon, Inc.,</w:t>
      </w:r>
      <w:r>
        <w:t xml:space="preserve"> </w:t>
      </w:r>
      <w:r>
        <w:t xml:space="preserve">Del. Ch., 501 A.2d 1239 (1985). Thus, we granted this expedited interlocutory appeal to consider for the first time the validity of such defensive measures in the face of an active bidding contest for corporate control.</w:t>
      </w:r>
      <w:hyperlink w:anchor="Xc17782af060fdbecfdff0bbe31624391bd1a94d">
        <w:r>
          <w:rPr>
            <w:rStyle w:val="Hyperlink"/>
            <w:vertAlign w:val="superscript"/>
          </w:rPr>
          <w:t xml:space="preserve">[2]</w:t>
        </w:r>
      </w:hyperlink>
      <w:r>
        <w:t xml:space="preserve"> </w:t>
      </w:r>
      <w:r>
        <w:t xml:space="preserve">Additionally, we address for the first time the extent to which a corporation may consider the impact of a takeover threat on constituencies other than shareholders.</w:t>
      </w:r>
      <w:r>
        <w:t xml:space="preserve"> </w:t>
      </w:r>
      <w:r>
        <w:rPr>
          <w:iCs/>
          <w:i/>
        </w:rPr>
        <w:t xml:space="preserve">See</w:t>
      </w:r>
      <w:r>
        <w:t xml:space="preserve"> </w:t>
      </w:r>
      <w:r>
        <w:rPr>
          <w:iCs/>
          <w:i/>
        </w:rPr>
        <w:t xml:space="preserve">Unocal Corp. v. Mesa Petroleum Co.,</w:t>
      </w:r>
      <w:r>
        <w:t xml:space="preserve"> </w:t>
      </w:r>
      <w:r>
        <w:t xml:space="preserve">Del.Supr., 493 A.2d 946, 955 (1985).</w:t>
      </w:r>
    </w:p>
    <w:p>
      <w:pPr>
        <w:pStyle w:val="CaseBody"/>
      </w:pPr>
      <w:r>
        <w:t xml:space="preserve">In our view, lock-ups and related agreements are permitted under Delaware law where their adoption is untainted by director interest or other breaches of fiduciary duty. The actions taken by the Revlon directors, however, did not meet this standard. Moreover, while concern for various corporate constituencies is proper when addressing a takeover threat, that principle is limited by the requirement that there be some rationally related benefit accruing to the stockholders. We find no such benefit here.</w:t>
      </w:r>
    </w:p>
    <w:p>
      <w:pPr>
        <w:pStyle w:val="CaseBody"/>
      </w:pPr>
      <w:r>
        <w:t xml:space="preserve">Thus, under all the circumstances we must agree with the Court of Chancery that the enjoined Revlon defensive measures were inconsistent with the directors' duties to the stockholders. Accordingly, we affirm.</w:t>
      </w:r>
    </w:p>
    <w:bookmarkEnd w:id="276"/>
    <w:bookmarkStart w:id="277" w:name="i.-3"/>
    <w:p>
      <w:pPr>
        <w:pStyle w:val="Heading2"/>
      </w:pPr>
      <w:r>
        <w:t xml:space="preserve">I.</w:t>
      </w:r>
    </w:p>
    <w:p>
      <w:pPr>
        <w:pStyle w:val="CaseBody"/>
      </w:pPr>
      <w:r>
        <w:t xml:space="preserve">The somewhat complex maneuvers of the parties necessitate a rather detailed examination of the facts. The prelude to this controversy began in June 1985, when Ronald O. Perelman, chairman of the board and chief executive officer of Pantry Pride, met with his counterpart at Revlon, Michel C. Bergerac, to discuss a friendly acquisition of Revlon by Pantry Pride. Perelman suggested a price in the range of $40-50 per share, but the meeting ended with Bergerac dismissing those figures as considerably below Revlon's intrinsic value. All subsequent Pantry Pride overtures were rebuffed, perhaps in part based on Mr. Bergerac's strong personal antipathy to Mr. Perelman.</w:t>
      </w:r>
    </w:p>
    <w:p>
      <w:pPr>
        <w:pStyle w:val="CaseBody"/>
      </w:pPr>
      <w:r>
        <w:t xml:space="preserve">Thus, on August 14, Pantry Pride's board authorized Perelman to acquire Revlon, either through negotiation in the $42-$43 per share range, or by making a hostile tender offer at $45. Perelman then met with Bergerac and outlined Pantry Pride's alternate approaches. Bergerac remained adamantly opposed to such schemes and conditioned any further discussions of the matter on Pantry Pride executing a standstill agreement prohibiting it from acquiring Revlon without the latter's prior approval.</w:t>
      </w:r>
    </w:p>
    <w:p>
      <w:pPr>
        <w:pStyle w:val="CaseBody"/>
      </w:pPr>
      <w:r>
        <w:t xml:space="preserve">On August 19, the Revlon board met specially to consider the impending threat of a hostile bid by Pantry Pride.</w:t>
      </w:r>
      <w:hyperlink w:anchor="X9069488c3264402e20d2898f67b6529460c23be">
        <w:r>
          <w:rPr>
            <w:rStyle w:val="Hyperlink"/>
            <w:vertAlign w:val="superscript"/>
          </w:rPr>
          <w:t xml:space="preserve">[3]</w:t>
        </w:r>
      </w:hyperlink>
      <w:r>
        <w:t xml:space="preserve"> </w:t>
      </w:r>
      <w:r>
        <w:t xml:space="preserve">At the meeting, Lazard Freres, Revlon's investment [177] banker, advised the directors that $45 per share was a grossly inadequate price for the company. Felix Rohatyn and William Loomis of Lazard Freres explained to the board that Pantry Pride's financial strategy for acquiring Revlon would be through "junk bond" financing followed by a break-up of Revlon and the disposition of its assets. With proper timing, according to the experts, such transactions could produce a return to Pantry Pride of $60 to $70 per share, while a sale of the company as a whole would be in the "mid 50" dollar range. Martin Lipton, special counsel for Revlon, recommended two defensive measures: first, that the company repurchase up to 5 million of its nearly 30 million outstanding shares; and second, that it adopt a Note Purchase Rights Plan. Under this plan, each Revlon shareholder would receive as a dividend one Note Purchase Right (the Rights) for each share of common stock, with the Rights entitling the holder to exchange one common share for a $65 principal Revlon note at 12% interest with a one-year maturity. The Rights would become effective whenever anyone acquired beneficial ownership of 20% or more of Revlon's shares, unless the purchaser acquired all the company's stock for cash at $65 or more per share. In addition, the Rights would not be available to the acquiror, and prior to the 20% triggering event the Revlon board could redeem the rights for 10 cents each. Both proposals were unanimously adopted.</w:t>
      </w:r>
    </w:p>
    <w:p>
      <w:pPr>
        <w:pStyle w:val="CaseBody"/>
      </w:pPr>
      <w:r>
        <w:t xml:space="preserve">Pantry Pride made its first hostile move on August 23 with a cash tender offer for any and all shares of Revlon at $47.50 per common share and $26.67 per preferred share, subject to (1) Pantry Pride's obtaining financing for the purchase, and (2) the Rights being redeemed, rescinded or voided.</w:t>
      </w:r>
    </w:p>
    <w:p>
      <w:pPr>
        <w:pStyle w:val="CaseBody"/>
      </w:pPr>
      <w:r>
        <w:t xml:space="preserve">The Revlon board met again on August 26. The directors advised the stockholders to reject the offer. Further defensive measures also were planned. On August 29, Revlon commenced its own offer for up to 10 million shares, exchanging for each share of common stock tendered one Senior Subordinated Note (the Notes) of $47.50 principal at 11.75% interest, due 1995, and one-tenth of a share of $9.00 Cumulative Convertible Exchangeable Preferred Stock valued at $100 per share. Lazard Freres opined that the notes would trade at their face value on a fully distributed basis.</w:t>
      </w:r>
      <w:hyperlink w:anchor="Xa0b51ededa0f9d15b92b053c1f1d632da2f97a3">
        <w:r>
          <w:rPr>
            <w:rStyle w:val="Hyperlink"/>
            <w:vertAlign w:val="superscript"/>
          </w:rPr>
          <w:t xml:space="preserve">[4]</w:t>
        </w:r>
      </w:hyperlink>
      <w:r>
        <w:t xml:space="preserve"> </w:t>
      </w:r>
      <w:r>
        <w:t xml:space="preserve">Revlon stockholders tendered 87 percent of the outstanding shares (approximately 33 million), and the company accepted the full 10 million shares on a pro rata basis. The new Notes contained covenants which limited Revlon's ability to incur additional debt, sell assets, or pay dividends unless otherwise approved by the "independent" (nonmanagement) members of the board.</w:t>
      </w:r>
    </w:p>
    <w:p>
      <w:pPr>
        <w:pStyle w:val="CaseBody"/>
      </w:pPr>
      <w:r>
        <w:t xml:space="preserve">At this point, both the Rights and the Note covenants stymied Pantry Pride's attempted takeover. The next move came on September 16, when Pantry Pride announced a new tender offer at $42 per share, conditioned upon receiving at least 90% of the outstanding stock. Pantry Pride also indicated that it would consider buying less than 90%, and at an increased price, if Revlon removed the impeding Rights. While this offer was lower on its face than the earlier $47.50 proposal, Revlon's investment banker, Lazard Freres, described the two bids as essentially equal in view of the completed exchange offer.</w:t>
      </w:r>
    </w:p>
    <w:p>
      <w:pPr>
        <w:pStyle w:val="CaseBody"/>
      </w:pPr>
      <w:r>
        <w:t xml:space="preserve">The Revlon board held a regularly scheduled meeting on September 24. The directors rejected the latest Pantry Pride offer and authorized management to negotiate with other parties interested in acquiring Revlon. Pantry Pride remained determined in its efforts and continued to make cash bids for the company, offering $50 per share on September 27, and raising its bid to $53 on October 1, and then to $56.25 on October 7.</w:t>
      </w:r>
    </w:p>
    <w:p>
      <w:pPr>
        <w:pStyle w:val="CaseBody"/>
      </w:pPr>
      <w:r>
        <w:t xml:space="preserve">[178] In the meantime, Revlon's negotiations with Forstmann and the investment group Adler &amp; Shaykin had produced results. The Revlon directors met on October 3 to consider Pantry Pride's $53 bid and to examine possible alternatives to the offer. Both Forstmann and Adler &amp; Shaykin made certain proposals to the board. As a result, the directors unanimously agreed to a leveraged buyout by Forstmann. The terms of this accord were as follows: each stockholder would get $56 cash per share; management would purchase stock in the new company by the exercise of their Revlon "golden parachutes";</w:t>
      </w:r>
      <w:hyperlink w:anchor="X9d0857c74ed447177ef33fc7afe39d15d953e9b">
        <w:r>
          <w:rPr>
            <w:rStyle w:val="Hyperlink"/>
            <w:vertAlign w:val="superscript"/>
          </w:rPr>
          <w:t xml:space="preserve">[5]</w:t>
        </w:r>
      </w:hyperlink>
      <w:r>
        <w:t xml:space="preserve"> </w:t>
      </w:r>
      <w:r>
        <w:t xml:space="preserve">Forstmann would assume Revlon's $475 million debt incurred by the issuance of the Notes; and Revlon would redeem the Rights and waive the Notes covenants for Forstmann or in connection with any other offer superior to Forstmann's. The board did not actually remove the covenants at the October 3 meeting, because Forstmann then lacked a firm commitment on its financing, but accepted the Forstmann capital structure, and indicated that the outside directors would waive the covenants in due course. Part of Forstmann's plan was to sell Revlon's Norcliff Thayer and Reheis divisions to American Home Products for $335 million. Before the merger, Revlon was to sell its cosmetics and fragrance division to Adler &amp; Shaykin for $905 million. These transactions would facilitate the purchase by Forstmann or any other acquiror of Revlon.</w:t>
      </w:r>
    </w:p>
    <w:p>
      <w:pPr>
        <w:pStyle w:val="CaseBody"/>
      </w:pPr>
      <w:r>
        <w:t xml:space="preserve">When the merger, and thus the waiver of the Notes covenants, was announced, the market value of these securities began to fall. The Notes, which originally traded near par, around 100, dropped to 87.50 by October 8. One director later reported (at the October 12 meeting) a "deluge" of telephone calls from irate noteholders, and on October 10 the Wall Street Journal reported threats of litigation by these creditors.</w:t>
      </w:r>
    </w:p>
    <w:p>
      <w:pPr>
        <w:pStyle w:val="CaseBody"/>
      </w:pPr>
      <w:r>
        <w:t xml:space="preserve">Pantry Pride countered with a new proposal on October 7, raising its $53 offer to $56.25, subject to nullification of the Rights, a waiver of the Notes covenants, and the election of three Pantry Pride directors to the Revlon board. On October 9, representatives of Pantry Pride, Forstmann and Revlon conferred in an attempt to negotiate the fate of Revlon, but could not reach agreement. At this meeting Pantry Pride announced that it would engage in fractional bidding and top any Forstmann offer by a slightly higher one. It is also significant that Forstmann, to Pantry Pride's exclusion, had been made privy to certain Revlon financial data. Thus, the parties were not negotiating on equal terms.</w:t>
      </w:r>
    </w:p>
    <w:p>
      <w:pPr>
        <w:pStyle w:val="CaseBody"/>
      </w:pPr>
      <w:r>
        <w:t xml:space="preserve">Again privately armed with Revlon data, Forstmann met on October 11 with Revlon's special counsel and investment banker. On October 12, Forstmann made a new $57.25 per share offer, based on several conditions.</w:t>
      </w:r>
      <w:hyperlink w:anchor="Xa73a0937be2c085de2509c2c30fca4a7dbb8b1f">
        <w:r>
          <w:rPr>
            <w:rStyle w:val="Hyperlink"/>
            <w:vertAlign w:val="superscript"/>
          </w:rPr>
          <w:t xml:space="preserve">[6]</w:t>
        </w:r>
      </w:hyperlink>
      <w:r>
        <w:t xml:space="preserve"> </w:t>
      </w:r>
      <w:r>
        <w:t xml:space="preserve">The principal demand was a lock-up option to purchase Revlon's Vision Care and National Health Laboratories divisions for $525 million, some $100-$175 million below the value ascribed to them by Lazard Freres, if another acquiror got 40% of Revlon's shares. Revlon also was required to accept a no-shop provision. The Rights and Notes covenants had to be removed as in the October 3 agreement. There would be a $25 million cancellation fee to be placed in escrow, and released to Forstmann if the new agreement terminated or if another acquiror got more than 19.9% of Revlon's stock. Finally, there would be no participation by Revlon management in the merger. In return, Forstmann agreed to support the par value [179] of the Notes, which had faltered in the market, by an exchange of new notes. Forstmann also demanded immediate acceptance of its offer, or it would be withdrawn. The board unanimously approved Forstmann's proposal because: (1) it was for a higher price than the Pantry Pride bid, (2) it protected the noteholders, and (3) Forstmann's financing was firmly in place.</w:t>
      </w:r>
      <w:hyperlink w:anchor="Xb217e17beacd2097a89c0eb5b54d46c5382e3f2">
        <w:r>
          <w:rPr>
            <w:rStyle w:val="Hyperlink"/>
            <w:vertAlign w:val="superscript"/>
          </w:rPr>
          <w:t xml:space="preserve">[7]</w:t>
        </w:r>
      </w:hyperlink>
      <w:r>
        <w:t xml:space="preserve"> </w:t>
      </w:r>
      <w:r>
        <w:t xml:space="preserve">The board further agreed to redeem the rights and waive the covenants on the preferred stock in response to any offer above $57 cash per share. The covenants were waived, contingent upon receipt of an investment banking opinion that the Notes would trade near par value once the offer was consummated.</w:t>
      </w:r>
    </w:p>
    <w:p>
      <w:pPr>
        <w:pStyle w:val="CaseBody"/>
      </w:pPr>
      <w:r>
        <w:t xml:space="preserve">Pantry Pride, which had initially sought injunctive relief from the Rights plan on August 22, filed an amended complaint on October 14 challenging the lock-up, the cancellation fee, and the exercise of the Rights and the Notes covenants. Pantry Pride also sought a temporary restraining order to prevent Revlon from placing any assets in escrow or transferring them to Forstmann. Moreover, on October 22, Pantry Pride again raised its bid, with a cash offer of $58 per share conditioned upon nullification of the Rights, waiver of the covenants, and an injunction of the Forstmann lock-up.</w:t>
      </w:r>
    </w:p>
    <w:p>
      <w:pPr>
        <w:pStyle w:val="CaseBody"/>
      </w:pPr>
      <w:r>
        <w:t xml:space="preserve">On October 15, the Court of Chancery prohibited the further transfer of assets, and eight days later enjoined the lock-up, no-shop, and cancellation fee provisions of the agreement. The trial court concluded that the Revlon directors had breached their duty of loyalty by making concessions to Forstmann, out of concern for their liability to the noteholders, rather than maximizing the sale price of the company for the stockholders' benefit.</w:t>
      </w:r>
      <w:r>
        <w:t xml:space="preserve"> </w:t>
      </w:r>
      <w:r>
        <w:rPr>
          <w:iCs/>
          <w:i/>
        </w:rPr>
        <w:t xml:space="preserve">MacAndrews &amp; Forbes Holdings, Inc. v. Revlon, Inc.,</w:t>
      </w:r>
      <w:r>
        <w:t xml:space="preserve"> </w:t>
      </w:r>
      <w:r>
        <w:t xml:space="preserve">501 A.2d at 1249-50.</w:t>
      </w:r>
    </w:p>
    <w:bookmarkEnd w:id="277"/>
    <w:bookmarkStart w:id="278" w:name="ii.-4"/>
    <w:p>
      <w:pPr>
        <w:pStyle w:val="Heading2"/>
      </w:pPr>
      <w:r>
        <w:t xml:space="preserve">II.</w:t>
      </w:r>
    </w:p>
    <w:p>
      <w:pPr>
        <w:pStyle w:val="CaseBody"/>
      </w:pPr>
      <w:r>
        <w:t xml:space="preserve">To obtain a preliminary injunction, a plaintiff must demonstrate both a reasonable probability of success on the merits and some irreparable harm which will occur absent the injunction.</w:t>
      </w:r>
      <w:r>
        <w:t xml:space="preserve"> </w:t>
      </w:r>
      <w:r>
        <w:rPr>
          <w:iCs/>
          <w:i/>
        </w:rPr>
        <w:t xml:space="preserve">Gimbel v. Signal Companies,</w:t>
      </w:r>
      <w:r>
        <w:t xml:space="preserve"> </w:t>
      </w:r>
      <w:r>
        <w:t xml:space="preserve">Del.Ch., 316 A.2d 599, 602 (1974),</w:t>
      </w:r>
      <w:r>
        <w:t xml:space="preserve"> </w:t>
      </w:r>
      <w:r>
        <w:rPr>
          <w:iCs/>
          <w:i/>
        </w:rPr>
        <w:t xml:space="preserve">aff'd,</w:t>
      </w:r>
      <w:r>
        <w:t xml:space="preserve"> </w:t>
      </w:r>
      <w:r>
        <w:t xml:space="preserve">Del.Supr., 316 A.2d 619 (1974). Additionally, the Court shall balance the conveniences of and possible injuries to the parties.</w:t>
      </w:r>
      <w:r>
        <w:t xml:space="preserve"> </w:t>
      </w:r>
      <w:r>
        <w:rPr>
          <w:iCs/>
          <w:i/>
        </w:rPr>
        <w:t xml:space="preserve">Id.</w:t>
      </w:r>
    </w:p>
    <w:bookmarkEnd w:id="278"/>
    <w:bookmarkStart w:id="279" w:name="a.-1"/>
    <w:p>
      <w:pPr>
        <w:pStyle w:val="Heading2"/>
      </w:pPr>
      <w:r>
        <w:t xml:space="preserve">A.</w:t>
      </w:r>
    </w:p>
    <w:p>
      <w:pPr>
        <w:pStyle w:val="CaseBody"/>
      </w:pPr>
      <w:r>
        <w:t xml:space="preserve">We turn first to Pantry Pride's probability of success on the merits. The ultimate responsibility for managing the business and affairs of a corporation falls on its board of directors. 8</w:t>
      </w:r>
      <w:r>
        <w:t xml:space="preserve"> </w:t>
      </w:r>
      <w:r>
        <w:rPr>
          <w:iCs/>
          <w:i/>
        </w:rPr>
        <w:t xml:space="preserve">Del.C.</w:t>
      </w:r>
      <w:r>
        <w:t xml:space="preserve"> </w:t>
      </w:r>
      <w:r>
        <w:t xml:space="preserve">§ 141(a).</w:t>
      </w:r>
      <w:hyperlink w:anchor="Xe3574bd867cc07f65f365ba96f1696077a22fbe">
        <w:r>
          <w:rPr>
            <w:rStyle w:val="Hyperlink"/>
            <w:vertAlign w:val="superscript"/>
          </w:rPr>
          <w:t xml:space="preserve">[8]</w:t>
        </w:r>
      </w:hyperlink>
      <w:r>
        <w:t xml:space="preserve"> </w:t>
      </w:r>
      <w:r>
        <w:t xml:space="preserve">In discharging this function the directors owe fiduciary duties of care and loyalty to the corporation and its shareholders.</w:t>
      </w:r>
      <w:r>
        <w:t xml:space="preserve"> </w:t>
      </w:r>
      <w:r>
        <w:rPr>
          <w:iCs/>
          <w:i/>
        </w:rPr>
        <w:t xml:space="preserve">Guth v. Loft, Inc.,</w:t>
      </w:r>
      <w:r>
        <w:t xml:space="preserve"> </w:t>
      </w:r>
      <w:r>
        <w:t xml:space="preserve">23 Del.Supr. 255, 5 A.2d 503, 510 (1939);</w:t>
      </w:r>
      <w:r>
        <w:t xml:space="preserve"> </w:t>
      </w:r>
      <w:r>
        <w:rPr>
          <w:iCs/>
          <w:i/>
        </w:rPr>
        <w:t xml:space="preserve">Aronson v. Lewis,</w:t>
      </w:r>
      <w:r>
        <w:t xml:space="preserve"> </w:t>
      </w:r>
      <w:r>
        <w:t xml:space="preserve">Del.Supr., 473 A.2d 805, 811 (1984). These principles apply with equal force when a board approves a corporate merger pursuant to 8</w:t>
      </w:r>
      <w:r>
        <w:t xml:space="preserve"> </w:t>
      </w:r>
      <w:r>
        <w:rPr>
          <w:iCs/>
          <w:i/>
        </w:rPr>
        <w:t xml:space="preserve">Del.C.</w:t>
      </w:r>
      <w:r>
        <w:t xml:space="preserve"> </w:t>
      </w:r>
      <w:r>
        <w:t xml:space="preserve">§ 251(b);</w:t>
      </w:r>
      <w:hyperlink w:anchor="X8b02c4660cf44a57ffb5306e5ecd12fc4d408f3">
        <w:r>
          <w:rPr>
            <w:rStyle w:val="Hyperlink"/>
            <w:vertAlign w:val="superscript"/>
          </w:rPr>
          <w:t xml:space="preserve">[9]</w:t>
        </w:r>
      </w:hyperlink>
      <w:r>
        <w:rPr>
          <w:iCs/>
          <w:i/>
        </w:rPr>
        <w:t xml:space="preserve">Smith v. Van Gorkom,</w:t>
      </w:r>
      <w:r>
        <w:t xml:space="preserve"> </w:t>
      </w:r>
      <w:r>
        <w:t xml:space="preserve">Del.Supr., 488 A.2d 858, 873 (1985); and of course they are the bedrock of our law regarding corporate takeover issues.</w:t>
      </w:r>
      <w:r>
        <w:t xml:space="preserve"> </w:t>
      </w:r>
      <w:r>
        <w:rPr>
          <w:iCs/>
          <w:i/>
        </w:rPr>
        <w:t xml:space="preserve">Pogostin v. Rice,</w:t>
      </w:r>
      <w:r>
        <w:t xml:space="preserve"> </w:t>
      </w:r>
      <w:r>
        <w:t xml:space="preserve">Del.Supr., 480 A.2d 619, 624 (1984);</w:t>
      </w:r>
      <w:r>
        <w:t xml:space="preserve"> </w:t>
      </w:r>
      <w:r>
        <w:rPr>
          <w:iCs/>
          <w:i/>
        </w:rPr>
        <w:t xml:space="preserve">Unocal Corp. v. Mesa</w:t>
      </w:r>
      <w:r>
        <w:t xml:space="preserve"> </w:t>
      </w:r>
      <w:r>
        <w:t xml:space="preserve">[180]</w:t>
      </w:r>
      <w:r>
        <w:t xml:space="preserve"> </w:t>
      </w:r>
      <w:r>
        <w:rPr>
          <w:iCs/>
          <w:i/>
        </w:rPr>
        <w:t xml:space="preserve">Petroleum Co.,</w:t>
      </w:r>
      <w:r>
        <w:t xml:space="preserve"> </w:t>
      </w:r>
      <w:r>
        <w:t xml:space="preserve">Del.Supr., 493 A.2d 946, 953, 955 (1985);</w:t>
      </w:r>
      <w:r>
        <w:t xml:space="preserve"> </w:t>
      </w:r>
      <w:r>
        <w:rPr>
          <w:iCs/>
          <w:i/>
        </w:rPr>
        <w:t xml:space="preserve">Moran v. Household International, Inc.,</w:t>
      </w:r>
      <w:r>
        <w:t xml:space="preserve"> </w:t>
      </w:r>
      <w:r>
        <w:t xml:space="preserve">Del.Supr., 500 A.2d 1346, 1350 (1985). While the business judgment rule may be applicable to the actions of corporate directors responding to takeover threats, the principles upon which it is founded — care, loyalty and independence — must first be satisfied.</w:t>
      </w:r>
      <w:hyperlink w:anchor="X4d4d3a3be1849ae39980e8c6b1a819040d850b2">
        <w:r>
          <w:rPr>
            <w:rStyle w:val="Hyperlink"/>
            <w:vertAlign w:val="superscript"/>
          </w:rPr>
          <w:t xml:space="preserve">[10]</w:t>
        </w:r>
      </w:hyperlink>
      <w:r>
        <w:rPr>
          <w:iCs/>
          <w:i/>
        </w:rPr>
        <w:t xml:space="preserve">Aronson v. Lewis,</w:t>
      </w:r>
      <w:r>
        <w:t xml:space="preserve"> </w:t>
      </w:r>
      <w:r>
        <w:t xml:space="preserve">473 A.2d at 812.</w:t>
      </w:r>
    </w:p>
    <w:p>
      <w:pPr>
        <w:pStyle w:val="CaseBody"/>
      </w:pPr>
      <w:r>
        <w:t xml:space="preserve">If the business judgment rule applies, there is a "presumption that in making a business decision the directors of a corporation acted on an informed basis, in good faith and in the honest belief that the action taken was in the best interests of the company."</w:t>
      </w:r>
      <w:r>
        <w:t xml:space="preserve"> </w:t>
      </w:r>
      <w:r>
        <w:rPr>
          <w:iCs/>
          <w:i/>
        </w:rPr>
        <w:t xml:space="preserve">Aronson v. Lewis,</w:t>
      </w:r>
      <w:r>
        <w:t xml:space="preserve"> </w:t>
      </w:r>
      <w:r>
        <w:t xml:space="preserve">473 A.2d at 812. However, when a board implements anti-takeover measures there arises "the omnipresent specter that a board may be acting primarily in its own interests, rather than those of the corporation and its shareholders ..."</w:t>
      </w:r>
      <w:r>
        <w:t xml:space="preserve"> </w:t>
      </w:r>
      <w:r>
        <w:rPr>
          <w:iCs/>
          <w:i/>
        </w:rPr>
        <w:t xml:space="preserve">Unocal Corp. v. Mesa Petroleum Co.,</w:t>
      </w:r>
      <w:r>
        <w:t xml:space="preserve"> </w:t>
      </w:r>
      <w:r>
        <w:t xml:space="preserve">493 A.2d at 954. This potential for conflict places upon the directors the burden of proving that they had reasonable grounds for believing there was a danger to corporate policy and effectiveness, a burden satisfied by a showing of good faith and reasonable investigation.</w:t>
      </w:r>
      <w:r>
        <w:t xml:space="preserve"> </w:t>
      </w:r>
      <w:r>
        <w:rPr>
          <w:iCs/>
          <w:i/>
        </w:rPr>
        <w:t xml:space="preserve">Id.</w:t>
      </w:r>
      <w:r>
        <w:t xml:space="preserve"> </w:t>
      </w:r>
      <w:r>
        <w:t xml:space="preserve">at 955. In addition, the directors must analyze the nature of the takeover and its effect on the corporation in order to ensure balance — that the responsive action taken is reasonable in relation to the threat posed.</w:t>
      </w:r>
      <w:r>
        <w:t xml:space="preserve"> </w:t>
      </w:r>
      <w:r>
        <w:rPr>
          <w:iCs/>
          <w:i/>
        </w:rPr>
        <w:t xml:space="preserve">Id.</w:t>
      </w:r>
    </w:p>
    <w:bookmarkEnd w:id="279"/>
    <w:bookmarkStart w:id="280" w:name="b.-1"/>
    <w:p>
      <w:pPr>
        <w:pStyle w:val="Heading2"/>
      </w:pPr>
      <w:r>
        <w:t xml:space="preserve">B.</w:t>
      </w:r>
    </w:p>
    <w:p>
      <w:pPr>
        <w:pStyle w:val="CaseBody"/>
      </w:pPr>
      <w:r>
        <w:t xml:space="preserve">The first relevant defensive measure adopted by the Revlon board was the Rights Plan, which would be considered a "poison pill" in the current language of corporate takeovers — a plan by which shareholders receive the right to be bought out by the corporation at a substantial premium on the occurrence of a stated triggering event.</w:t>
      </w:r>
      <w:r>
        <w:t xml:space="preserve"> </w:t>
      </w:r>
      <w:r>
        <w:rPr>
          <w:iCs/>
          <w:i/>
        </w:rPr>
        <w:t xml:space="preserve">See generally</w:t>
      </w:r>
      <w:r>
        <w:t xml:space="preserve"> </w:t>
      </w:r>
      <w:r>
        <w:rPr>
          <w:iCs/>
          <w:i/>
        </w:rPr>
        <w:t xml:space="preserve">Moran v. Household International, Inc.,</w:t>
      </w:r>
      <w:r>
        <w:t xml:space="preserve"> </w:t>
      </w:r>
      <w:r>
        <w:t xml:space="preserve">Del.Supr., 500 A.2d 1346 (1985). By 8</w:t>
      </w:r>
      <w:r>
        <w:t xml:space="preserve"> </w:t>
      </w:r>
      <w:r>
        <w:rPr>
          <w:iCs/>
          <w:i/>
        </w:rPr>
        <w:t xml:space="preserve">Del.C.</w:t>
      </w:r>
      <w:r>
        <w:t xml:space="preserve"> </w:t>
      </w:r>
      <w:r>
        <w:t xml:space="preserve">§§ 141 and 122(13),</w:t>
      </w:r>
      <w:hyperlink w:anchor="X5b5f7c8a508930aa9bed1c97d9a45ec8afeefd2">
        <w:r>
          <w:rPr>
            <w:rStyle w:val="Hyperlink"/>
            <w:vertAlign w:val="superscript"/>
          </w:rPr>
          <w:t xml:space="preserve">[11]</w:t>
        </w:r>
      </w:hyperlink>
      <w:r>
        <w:t xml:space="preserve"> </w:t>
      </w:r>
      <w:r>
        <w:t xml:space="preserve">the board clearly had the power to adopt the measure.</w:t>
      </w:r>
      <w:r>
        <w:t xml:space="preserve"> </w:t>
      </w:r>
      <w:r>
        <w:rPr>
          <w:iCs/>
          <w:i/>
        </w:rPr>
        <w:t xml:space="preserve">See</w:t>
      </w:r>
      <w:r>
        <w:t xml:space="preserve"> </w:t>
      </w:r>
      <w:r>
        <w:rPr>
          <w:iCs/>
          <w:i/>
        </w:rPr>
        <w:t xml:space="preserve">Moran v. Household International, Inc.,</w:t>
      </w:r>
      <w:r>
        <w:t xml:space="preserve"> </w:t>
      </w:r>
      <w:r>
        <w:t xml:space="preserve">500 A.2d at 1351. Thus, the focus becomes one of reasonableness and purpose.</w:t>
      </w:r>
    </w:p>
    <w:p>
      <w:pPr>
        <w:pStyle w:val="CaseBody"/>
      </w:pPr>
      <w:r>
        <w:t xml:space="preserve">The Revlon board approved the Rights Plan in the face of an impending hostile takeover bid by Pantry Pride at $45 per share, a price which Revlon reasonably concluded was grossly inadequate. Lazard Freres had so advised the directors, and had also informed them that Pantry Pride was a small, highly leveraged company bent on a "bust-up" takeover by using "junk bond" financing to buy Revlon cheaply, sell the acquired assets to pay the [181] debts incurred, and retain the profit for itself.</w:t>
      </w:r>
      <w:hyperlink w:anchor="X14597e3584ebd57e02ca8bcb51eadc997932833">
        <w:r>
          <w:rPr>
            <w:rStyle w:val="Hyperlink"/>
            <w:vertAlign w:val="superscript"/>
          </w:rPr>
          <w:t xml:space="preserve">[12]</w:t>
        </w:r>
      </w:hyperlink>
      <w:r>
        <w:t xml:space="preserve"> </w:t>
      </w:r>
      <w:r>
        <w:t xml:space="preserve">In adopting the Plan, the board protected the shareholders from a hostile takeover at a price below the company's intrinsic value, while retaining sufficient flexibility to address any proposal deemed to be in the stockholders' best interests.</w:t>
      </w:r>
    </w:p>
    <w:p>
      <w:pPr>
        <w:pStyle w:val="CaseBody"/>
      </w:pPr>
      <w:r>
        <w:t xml:space="preserve">To that extent the board acted in good faith and upon reasonable investigation. Under the circumstances it cannot be said that the Rights Plan as employed was unreasonable, considering the threat posed. Indeed, the Plan was a factor in causing Pantry Pride to raise its bids from a low of $42 to an eventual high of $58. At the time of its adoption the Rights Plan afforded a measure of protection consistent with the directors' fiduciary duty in facing a takeover threat perceived as detrimental to corporate interests.</w:t>
      </w:r>
      <w:r>
        <w:t xml:space="preserve"> </w:t>
      </w:r>
      <w:r>
        <w:rPr>
          <w:iCs/>
          <w:i/>
        </w:rPr>
        <w:t xml:space="preserve">Unocal,</w:t>
      </w:r>
      <w:r>
        <w:t xml:space="preserve"> </w:t>
      </w:r>
      <w:r>
        <w:t xml:space="preserve">493 A.2d at 954-55. Far from being a "show-stopper," as the plaintiffs had contended in</w:t>
      </w:r>
      <w:r>
        <w:t xml:space="preserve"> </w:t>
      </w:r>
      <w:r>
        <w:rPr>
          <w:iCs/>
          <w:i/>
        </w:rPr>
        <w:t xml:space="preserve">Moran,</w:t>
      </w:r>
      <w:r>
        <w:t xml:space="preserve"> </w:t>
      </w:r>
      <w:r>
        <w:t xml:space="preserve">the measure spurred the bidding to new heights, a proper result of its implementation.</w:t>
      </w:r>
      <w:r>
        <w:t xml:space="preserve"> </w:t>
      </w:r>
      <w:r>
        <w:rPr>
          <w:iCs/>
          <w:i/>
        </w:rPr>
        <w:t xml:space="preserve">See</w:t>
      </w:r>
      <w:r>
        <w:t xml:space="preserve"> </w:t>
      </w:r>
      <w:r>
        <w:rPr>
          <w:iCs/>
          <w:i/>
        </w:rPr>
        <w:t xml:space="preserve">Moran,</w:t>
      </w:r>
      <w:r>
        <w:t xml:space="preserve"> </w:t>
      </w:r>
      <w:r>
        <w:t xml:space="preserve">500 A.2d at 1354, 1356-67.</w:t>
      </w:r>
    </w:p>
    <w:p>
      <w:pPr>
        <w:pStyle w:val="CaseBody"/>
      </w:pPr>
      <w:r>
        <w:t xml:space="preserve">Although we consider adoption of the Plan to have been valid under the circumstances, its continued usefulness was rendered moot by the directors' actions on October 3 and October 12. At the October 3 meeting the board redeemed the Rights conditioned upon consummation of a merger with Forstmann, but further acknowledged that they would also be redeemed to facilitate any more favorable offer. On October 12, the board unanimously passed a resolution redeeming the Rights in connection with any cash proposal of $57.25 or more per share. Because all the pertinent offers eventually equalled or surpassed that amount, the Rights clearly were no longer any impediment in the contest for Revlon. This mooted any question of their propriety under</w:t>
      </w:r>
      <w:r>
        <w:t xml:space="preserve"> </w:t>
      </w:r>
      <w:r>
        <w:rPr>
          <w:iCs/>
          <w:i/>
        </w:rPr>
        <w:t xml:space="preserve">Moran</w:t>
      </w:r>
      <w:r>
        <w:t xml:space="preserve"> </w:t>
      </w:r>
      <w:r>
        <w:t xml:space="preserve">or</w:t>
      </w:r>
      <w:r>
        <w:t xml:space="preserve"> </w:t>
      </w:r>
      <w:r>
        <w:rPr>
          <w:iCs/>
          <w:i/>
        </w:rPr>
        <w:t xml:space="preserve">Unocal.</w:t>
      </w:r>
    </w:p>
    <w:bookmarkEnd w:id="280"/>
    <w:bookmarkStart w:id="281" w:name="c."/>
    <w:p>
      <w:pPr>
        <w:pStyle w:val="Heading2"/>
      </w:pPr>
      <w:r>
        <w:t xml:space="preserve">C.</w:t>
      </w:r>
    </w:p>
    <w:p>
      <w:pPr>
        <w:pStyle w:val="CaseBody"/>
      </w:pPr>
      <w:r>
        <w:t xml:space="preserve">The second defensive measure adopted by Revlon to thwart a Pantry Pride takeover was the company's own exchange offer for 10 million of its shares. The directors' general broad powers to manage the business and affairs of the corporation are augmented by the specific authority conferred under 8</w:t>
      </w:r>
      <w:r>
        <w:t xml:space="preserve"> </w:t>
      </w:r>
      <w:r>
        <w:rPr>
          <w:iCs/>
          <w:i/>
        </w:rPr>
        <w:t xml:space="preserve">Del.C.</w:t>
      </w:r>
      <w:r>
        <w:t xml:space="preserve"> </w:t>
      </w:r>
      <w:r>
        <w:t xml:space="preserve">§ 160(a), permitting the company to deal in its own stock.</w:t>
      </w:r>
      <w:hyperlink w:anchor="X7861b53e90084bd3737058f64a5d373abbdfc5f">
        <w:r>
          <w:rPr>
            <w:rStyle w:val="Hyperlink"/>
            <w:vertAlign w:val="superscript"/>
          </w:rPr>
          <w:t xml:space="preserve">[13]</w:t>
        </w:r>
      </w:hyperlink>
      <w:r>
        <w:rPr>
          <w:iCs/>
          <w:i/>
        </w:rPr>
        <w:t xml:space="preserve">Unocal,</w:t>
      </w:r>
      <w:r>
        <w:t xml:space="preserve"> </w:t>
      </w:r>
      <w:r>
        <w:t xml:space="preserve">493 A.2d at 953-54;</w:t>
      </w:r>
      <w:r>
        <w:t xml:space="preserve"> </w:t>
      </w:r>
      <w:r>
        <w:rPr>
          <w:iCs/>
          <w:i/>
        </w:rPr>
        <w:t xml:space="preserve">Cheff v. Mathes,</w:t>
      </w:r>
      <w:r>
        <w:t xml:space="preserve"> </w:t>
      </w:r>
      <w:r>
        <w:t xml:space="preserve">41 Del.Supr. 494, 199 A.2d 548, 554 (1964);</w:t>
      </w:r>
      <w:r>
        <w:t xml:space="preserve"> </w:t>
      </w:r>
      <w:r>
        <w:rPr>
          <w:iCs/>
          <w:i/>
        </w:rPr>
        <w:t xml:space="preserve">Kors v. Carey,</w:t>
      </w:r>
      <w:r>
        <w:t xml:space="preserve"> </w:t>
      </w:r>
      <w:r>
        <w:t xml:space="preserve">39 Del.Ch. 47, 158 A.2d 136, 140 (1960). However, when exercising that power in an effort to forestall a hostile takeover, the board's actions are strictly held to the fiduciary standards outlined in</w:t>
      </w:r>
      <w:r>
        <w:t xml:space="preserve"> </w:t>
      </w:r>
      <w:r>
        <w:rPr>
          <w:iCs/>
          <w:i/>
        </w:rPr>
        <w:t xml:space="preserve">Unocal.</w:t>
      </w:r>
      <w:r>
        <w:t xml:space="preserve"> </w:t>
      </w:r>
      <w:r>
        <w:t xml:space="preserve">These standards require the directors to determine the best interests of the corporation and its stockholders, and impose an enhanced duty to abjure any action that is motivated by considerations other than a good faith concern for such interests.</w:t>
      </w:r>
      <w:r>
        <w:t xml:space="preserve"> </w:t>
      </w:r>
      <w:r>
        <w:rPr>
          <w:iCs/>
          <w:i/>
        </w:rPr>
        <w:t xml:space="preserve">Unocal,</w:t>
      </w:r>
      <w:r>
        <w:t xml:space="preserve"> </w:t>
      </w:r>
      <w:r>
        <w:t xml:space="preserve">493 A.2d at 954-55;</w:t>
      </w:r>
      <w:r>
        <w:t xml:space="preserve"> </w:t>
      </w:r>
      <w:r>
        <w:rPr>
          <w:iCs/>
          <w:i/>
        </w:rPr>
        <w:t xml:space="preserve">see</w:t>
      </w:r>
      <w:r>
        <w:t xml:space="preserve"> </w:t>
      </w:r>
      <w:r>
        <w:rPr>
          <w:iCs/>
          <w:i/>
        </w:rPr>
        <w:t xml:space="preserve">Bennett v. Propp,</w:t>
      </w:r>
      <w:r>
        <w:t xml:space="preserve"> </w:t>
      </w:r>
      <w:r>
        <w:t xml:space="preserve">41 Del.Supr. 14, 187 A.2d 405, 409 (1962).</w:t>
      </w:r>
    </w:p>
    <w:p>
      <w:pPr>
        <w:pStyle w:val="CaseBody"/>
      </w:pPr>
      <w:r>
        <w:t xml:space="preserve">The Revlon directors concluded that Pantry Pride's $47.50 offer was grossly inadequate. In that regard the board acted in good faith, and on an informed basis, with reasonable grounds to believe that there existed a harmful threat to the corporate enterprise. The adoption of a defensive measure, reasonable in relation to the threat posed, was proper and fully accorded with the powers, duties, and responsibilities conferred upon directors under our law.</w:t>
      </w:r>
      <w:r>
        <w:t xml:space="preserve"> </w:t>
      </w:r>
      <w:r>
        <w:rPr>
          <w:iCs/>
          <w:i/>
        </w:rPr>
        <w:t xml:space="preserve">Unocal,</w:t>
      </w:r>
      <w:r>
        <w:t xml:space="preserve"> </w:t>
      </w:r>
      <w:r>
        <w:t xml:space="preserve">493 A.2d at 954;</w:t>
      </w:r>
      <w:r>
        <w:t xml:space="preserve"> </w:t>
      </w:r>
      <w:r>
        <w:rPr>
          <w:iCs/>
          <w:i/>
        </w:rPr>
        <w:t xml:space="preserve">Pogostin v. Rice,</w:t>
      </w:r>
      <w:r>
        <w:t xml:space="preserve"> </w:t>
      </w:r>
      <w:r>
        <w:t xml:space="preserve">480 A.2d at 627.</w:t>
      </w:r>
    </w:p>
    <w:bookmarkEnd w:id="281"/>
    <w:bookmarkStart w:id="282" w:name="d."/>
    <w:p>
      <w:pPr>
        <w:pStyle w:val="Heading2"/>
      </w:pPr>
      <w:r>
        <w:t xml:space="preserve">[182] D.</w:t>
      </w:r>
    </w:p>
    <w:p>
      <w:pPr>
        <w:pStyle w:val="CaseBody"/>
      </w:pPr>
      <w:r>
        <w:t xml:space="preserve">However, when Pantry Pride increased its offer to $50 per share, and then to $53, it became apparent to all that the break-up of the company was inevitable. The Revlon board's authorization permitting management to negotiate a merger or buyout with a third party was a recognition that the company was for sale. The duty of the board had thus changed from the preservation of Revlon as a corporate entity to the maximization of the company's value at a sale for the stockholders' benefit. This significantly altered the board's responsibilities under the</w:t>
      </w:r>
      <w:r>
        <w:t xml:space="preserve"> </w:t>
      </w:r>
      <w:r>
        <w:rPr>
          <w:iCs/>
          <w:i/>
        </w:rPr>
        <w:t xml:space="preserve">Unocal</w:t>
      </w:r>
      <w:r>
        <w:t xml:space="preserve"> </w:t>
      </w:r>
      <w:r>
        <w:t xml:space="preserve">standards. It no longer faced threats to corporate policy and effectiveness, or to the stockholders' interests, from a grossly inadequate bid. The whole question of defensive measures became moot. The directors' role changed from defenders of the corporate bastion to auctioneers charged with getting the best price for the stockholders at a sale of the company.</w:t>
      </w:r>
    </w:p>
    <w:bookmarkEnd w:id="282"/>
    <w:bookmarkStart w:id="283" w:name="iii.-4"/>
    <w:p>
      <w:pPr>
        <w:pStyle w:val="Heading2"/>
      </w:pPr>
      <w:r>
        <w:t xml:space="preserve">III.</w:t>
      </w:r>
    </w:p>
    <w:p>
      <w:pPr>
        <w:pStyle w:val="CaseBody"/>
      </w:pPr>
      <w:r>
        <w:t xml:space="preserve">This brings us to the lock-up with Forstmann and its emphasis on shoring up the sagging market value of the Notes in the face of threatened litigation by their holders. Such a focus was inconsistent with the changed concept of the directors' responsibilities at this stage of the developments. The impending waiver of the Notes covenants had caused the value of the Notes to fall, and the board was aware of the noteholders' ire as well as their subsequent threats of suit. The directors thus made support of the Notes an integral part of the company's dealings with Forstmann, even though their primary responsibility at this stage was to the equity owners.</w:t>
      </w:r>
    </w:p>
    <w:p>
      <w:pPr>
        <w:pStyle w:val="CaseBody"/>
      </w:pPr>
      <w:r>
        <w:t xml:space="preserve">The original threat posed by Pantry Pride — the break-up of the company — had become a reality which even the directors embraced. Selective dealing to fend off a hostile but determined bidder was no longer a proper objective. Instead, obtaining the highest price for the benefit of the stockholders should have been the central theme guiding director action. Thus, the Revlon board could not make the requisite showing of good faith by preferring the noteholders and ignoring its duty of loyalty to the shareholders. The rights of the former already were fixed by contract.</w:t>
      </w:r>
      <w:r>
        <w:t xml:space="preserve"> </w:t>
      </w:r>
      <w:r>
        <w:rPr>
          <w:iCs/>
          <w:i/>
        </w:rPr>
        <w:t xml:space="preserve">Wolfensohn v. Madison Fund, Inc.,</w:t>
      </w:r>
      <w:r>
        <w:t xml:space="preserve"> </w:t>
      </w:r>
      <w:r>
        <w:t xml:space="preserve">Del.Supr., 253 A.2d 72, 75 (1969);</w:t>
      </w:r>
      <w:r>
        <w:t xml:space="preserve"> </w:t>
      </w:r>
      <w:r>
        <w:rPr>
          <w:iCs/>
          <w:i/>
        </w:rPr>
        <w:t xml:space="preserve">Harff v. Kerkorian,</w:t>
      </w:r>
      <w:r>
        <w:t xml:space="preserve"> </w:t>
      </w:r>
      <w:r>
        <w:t xml:space="preserve">Del.Ch., 324 A.2d 215 (1974). The noteholders required no further protection, and when the Revlon board entered into an auction-ending lock-up agreement with Forstmann on the basis of impermissible considerations at the expense of the shareholders, the directors breached their primary duty of loyalty.</w:t>
      </w:r>
    </w:p>
    <w:p>
      <w:pPr>
        <w:pStyle w:val="CaseBody"/>
      </w:pPr>
      <w:r>
        <w:t xml:space="preserve">The Revlon board argued that it acted in good faith in protecting the noteholders because</w:t>
      </w:r>
      <w:r>
        <w:t xml:space="preserve"> </w:t>
      </w:r>
      <w:r>
        <w:rPr>
          <w:iCs/>
          <w:i/>
        </w:rPr>
        <w:t xml:space="preserve">Unocal</w:t>
      </w:r>
      <w:r>
        <w:t xml:space="preserve"> </w:t>
      </w:r>
      <w:r>
        <w:t xml:space="preserve">permits consideration of other corporate constituencies. Although such considerations may be permissible, there are fundamental limitations upon that prerogative. A board may have regard for various constituencies in discharging its responsibilities, provided there are rationally related benefits accruing to the stockholders.</w:t>
      </w:r>
      <w:r>
        <w:t xml:space="preserve"> </w:t>
      </w:r>
      <w:r>
        <w:rPr>
          <w:iCs/>
          <w:i/>
        </w:rPr>
        <w:t xml:space="preserve">Unocal,</w:t>
      </w:r>
      <w:r>
        <w:t xml:space="preserve"> </w:t>
      </w:r>
      <w:r>
        <w:t xml:space="preserve">493 A.2d at 955. However, such concern for non-stockholder interests is inappropriate when an auction among active bidders is in progress, and the object no longer is to protect or maintain the corporate enterprise but to sell it to the highest bidder.</w:t>
      </w:r>
    </w:p>
    <w:p>
      <w:pPr>
        <w:pStyle w:val="CaseBody"/>
      </w:pPr>
      <w:r>
        <w:t xml:space="preserve">Revlon also contended that by</w:t>
      </w:r>
      <w:r>
        <w:t xml:space="preserve"> </w:t>
      </w:r>
      <w:r>
        <w:rPr>
          <w:iCs/>
          <w:i/>
        </w:rPr>
        <w:t xml:space="preserve">Gilbert v. El Paso Co.,</w:t>
      </w:r>
      <w:r>
        <w:t xml:space="preserve"> </w:t>
      </w:r>
      <w:r>
        <w:t xml:space="preserve">Del. Ch., 490 A.2d 1050, 1054-55 (1984), it had contractual and good faith obligations to consider the noteholders. However, any such duties are limited to the principle that one may not interfere with contractual relationships by improper actions. Here, the rights of the noteholders were fixed by agreement, and there is nothing of substance to suggest that any of those terms were violated. The Notes covenants specifically contemplated a waiver to permit sale of the company at a fair price. The Notes were accepted by the holders on that basis, including the risk of an adverse market effect stemming from a waiver. Thus, nothing remained for Revlon [183] to legitimately protect, and no rationally related benefit thereby accrued to the stockholders. Under such circumstances we must conclude that the merger agreement with Forstmann was unreasonable in relation to the threat posed.</w:t>
      </w:r>
    </w:p>
    <w:p>
      <w:pPr>
        <w:pStyle w:val="CaseBody"/>
      </w:pPr>
      <w:r>
        <w:t xml:space="preserve">A lock-up is not</w:t>
      </w:r>
      <w:r>
        <w:t xml:space="preserve"> </w:t>
      </w:r>
      <w:r>
        <w:rPr>
          <w:iCs/>
          <w:i/>
        </w:rPr>
        <w:t xml:space="preserve">per se</w:t>
      </w:r>
      <w:r>
        <w:t xml:space="preserve"> </w:t>
      </w:r>
      <w:r>
        <w:t xml:space="preserve">illegal under Delaware law. Its use has been approved in an earlier case.</w:t>
      </w:r>
      <w:r>
        <w:t xml:space="preserve"> </w:t>
      </w:r>
      <w:r>
        <w:rPr>
          <w:iCs/>
          <w:i/>
        </w:rPr>
        <w:t xml:space="preserve">Thompson v. Enstar Corp.,</w:t>
      </w:r>
      <w:r>
        <w:t xml:space="preserve"> </w:t>
      </w:r>
      <w:r>
        <w:t xml:space="preserve">Del. Ch., ___ A.2d ___ (1984). Such options can entice other bidders to enter a contest for control of the corporation, creating an auction for the company and maximizing shareholder profit. Current economic conditions in the takeover market are such that a "white knight" like Forstmann might only enter the bidding for the target company if it receives some form of compensation to cover the risks and costs involved. Note,</w:t>
      </w:r>
      <w:r>
        <w:t xml:space="preserve"> </w:t>
      </w:r>
      <w:r>
        <w:rPr>
          <w:iCs/>
          <w:i/>
        </w:rPr>
        <w:t xml:space="preserve">Corporations-Mergers — "Lock-up" Enjoined Under</w:t>
      </w:r>
      <w:r>
        <w:t xml:space="preserve"> </w:t>
      </w:r>
      <w:r>
        <w:rPr>
          <w:iCs/>
          <w:i/>
        </w:rPr>
        <w:t xml:space="preserve">Section 14(e) of Securities Exchange Act — Mobil Corp. v. Marathon Oil Co., 669 F.2d 366 (6th Cir.1981),</w:t>
      </w:r>
      <w:r>
        <w:t xml:space="preserve"> </w:t>
      </w:r>
      <w:r>
        <w:t xml:space="preserve">12 Seton Hall L.Rev. 881, 892 (1982). However, while those lock-ups which draw bidders into the battle benefit shareholders, similar measures which end an active auction and foreclose further bidding operate to the shareholders' detriment. Note,</w:t>
      </w:r>
      <w:r>
        <w:t xml:space="preserve"> </w:t>
      </w:r>
      <w:r>
        <w:rPr>
          <w:iCs/>
          <w:i/>
        </w:rPr>
        <w:t xml:space="preserve">Lock-up Options: Toward a State Law Standard,</w:t>
      </w:r>
      <w:r>
        <w:t xml:space="preserve"> </w:t>
      </w:r>
      <w:r>
        <w:t xml:space="preserve">96 Harv. L. Rev. 1068, 1081 (1983).</w:t>
      </w:r>
      <w:hyperlink w:anchor="Xa892776d341c32940a7c000168955763554b5d6">
        <w:r>
          <w:rPr>
            <w:rStyle w:val="Hyperlink"/>
            <w:vertAlign w:val="superscript"/>
          </w:rPr>
          <w:t xml:space="preserve">[14]</w:t>
        </w:r>
      </w:hyperlink>
    </w:p>
    <w:p>
      <w:pPr>
        <w:pStyle w:val="CaseBody"/>
      </w:pPr>
      <w:r>
        <w:t xml:space="preserve">Recently, the United States Court of Appeals for the Second Circuit invalidated a lock-up on fiduciary duty grounds similar to those here.</w:t>
      </w:r>
      <w:hyperlink w:anchor="Xf4f100ea9e096e9574210583f8d8f0a444ebd94">
        <w:r>
          <w:rPr>
            <w:rStyle w:val="Hyperlink"/>
            <w:vertAlign w:val="superscript"/>
          </w:rPr>
          <w:t xml:space="preserve">[15]</w:t>
        </w:r>
      </w:hyperlink>
      <w:r>
        <w:rPr>
          <w:iCs/>
          <w:i/>
        </w:rPr>
        <w:t xml:space="preserve">Hanson Trust PLC, et al. v. ML SCM Acquisition Inc., et al.,</w:t>
      </w:r>
      <w:r>
        <w:t xml:space="preserve"> </w:t>
      </w:r>
      <w:r>
        <w:t xml:space="preserve">781 F.2d 264 (2nd Cir.1986). Citing</w:t>
      </w:r>
      <w:r>
        <w:t xml:space="preserve"> </w:t>
      </w:r>
      <w:r>
        <w:rPr>
          <w:iCs/>
          <w:i/>
        </w:rPr>
        <w:t xml:space="preserve">Thompson v. Enstar Corp., supra,</w:t>
      </w:r>
      <w:r>
        <w:t xml:space="preserve"> </w:t>
      </w:r>
      <w:r>
        <w:t xml:space="preserve">with approval, the court stated:</w:t>
      </w:r>
    </w:p>
    <w:p>
      <w:pPr>
        <w:pStyle w:val="BlockText"/>
      </w:pPr>
      <w:r>
        <w:t xml:space="preserve">In this regard, we are especially mindful that some lock-up options may be beneficial to the shareholders, such as those that induce a bidder to compete for control of a corporation, while others may be harmful, such as those that effectively preclude bidders from competing with the optionee bidder. 781 F.2d at 274.</w:t>
      </w:r>
    </w:p>
    <w:p>
      <w:pPr>
        <w:pStyle w:val="CaseBody"/>
      </w:pPr>
      <w:r>
        <w:t xml:space="preserve">In</w:t>
      </w:r>
      <w:r>
        <w:t xml:space="preserve"> </w:t>
      </w:r>
      <w:r>
        <w:rPr>
          <w:iCs/>
          <w:i/>
        </w:rPr>
        <w:t xml:space="preserve">Hanson Trust,</w:t>
      </w:r>
      <w:r>
        <w:t xml:space="preserve"> </w:t>
      </w:r>
      <w:r>
        <w:t xml:space="preserve">the bidder, Hanson, sought control of SCM by a hostile cash tender offer. SCM management joined with Merrill Lynch to propose a leveraged buy-out of the company at a higher price, and Hanson in turn increased its offer. Then, despite very little improvement in its subsequent bid, the management group sought a lock-up option to purchase SCM's two main assets at a substantial discount. The SCM directors granted the lock-up without adequate information as to the size of the discount or the effect the transaction would have on the company. Their action effectively ended a competitive bidding situation. The Hanson Court invalidated the lock-up because the directors failed to fully inform themselves about the value of a transaction in which management had a strong self-interest. "In short, the Board appears to have failed to ensure that negotiations for alternative bids were conducted by those whose only loyalty was to the shareholders."</w:t>
      </w:r>
      <w:r>
        <w:t xml:space="preserve"> </w:t>
      </w:r>
      <w:r>
        <w:rPr>
          <w:iCs/>
          <w:i/>
        </w:rPr>
        <w:t xml:space="preserve">Id.</w:t>
      </w:r>
      <w:r>
        <w:t xml:space="preserve"> </w:t>
      </w:r>
      <w:r>
        <w:t xml:space="preserve">at 277.</w:t>
      </w:r>
    </w:p>
    <w:p>
      <w:pPr>
        <w:pStyle w:val="CaseBody"/>
      </w:pPr>
      <w:r>
        <w:t xml:space="preserve">The Forstmann option had a similar destructive effect on the auction process. Forstmann had already been drawn into the contest on a preferred basis, so the result of the lock-up was not to foster bidding, but to destroy it. The board's stated reasons for approving the transactions were: (1) better financing, (2) noteholder [184] protection, and (3) higher price. As the Court of Chancery found, and we agree, any distinctions between the rival bidders' methods of financing the proposal were nominal at best, and such a consideration has little or no significance in a cash offer for any and all shares. The principal object, contrary to the board's duty of care, appears to have been protection of the noteholders over the shareholders' interests.</w:t>
      </w:r>
    </w:p>
    <w:p>
      <w:pPr>
        <w:pStyle w:val="CaseBody"/>
      </w:pPr>
      <w:r>
        <w:t xml:space="preserve">While Forstmann's $57.25 offer was objectively higher than Pantry Pride's $56.25 bid, the margin of superiority is less when the Forstmann price is adjusted for the time value of money. In reality, the Revlon board ended the auction in return for very little actual improvement in the final bid. The principal benefit went to the directors, who avoided personal liability to a class of creditors to whom the board owed no further duty under the circumstances. Thus, when a board ends an intense bidding contest on an insubstantial basis, and where a significant by-product of that action is to protect the directors against a perceived threat of personal liability for consequences stemming from the adoption of previous defensive measures, the action cannot withstand the enhanced scrutiny which</w:t>
      </w:r>
      <w:r>
        <w:t xml:space="preserve"> </w:t>
      </w:r>
      <w:r>
        <w:rPr>
          <w:iCs/>
          <w:i/>
        </w:rPr>
        <w:t xml:space="preserve">Unocal</w:t>
      </w:r>
      <w:r>
        <w:t xml:space="preserve"> </w:t>
      </w:r>
      <w:r>
        <w:t xml:space="preserve">requires of director conduct.</w:t>
      </w:r>
      <w:r>
        <w:t xml:space="preserve"> </w:t>
      </w:r>
      <w:r>
        <w:rPr>
          <w:iCs/>
          <w:i/>
        </w:rPr>
        <w:t xml:space="preserve">See</w:t>
      </w:r>
      <w:r>
        <w:t xml:space="preserve"> </w:t>
      </w:r>
      <w:r>
        <w:rPr>
          <w:iCs/>
          <w:i/>
        </w:rPr>
        <w:t xml:space="preserve">Unocal,</w:t>
      </w:r>
      <w:r>
        <w:t xml:space="preserve"> </w:t>
      </w:r>
      <w:r>
        <w:t xml:space="preserve">493 A.2d at 954-55.</w:t>
      </w:r>
    </w:p>
    <w:p>
      <w:pPr>
        <w:pStyle w:val="CaseBody"/>
      </w:pPr>
      <w:r>
        <w:t xml:space="preserve">In addition to the lock-up option, the Court of Chancery enjoined the no-shop provision as part of the attempt to foreclose further bidding by Pantry Pride.</w:t>
      </w:r>
      <w:r>
        <w:t xml:space="preserve"> </w:t>
      </w:r>
      <w:r>
        <w:rPr>
          <w:iCs/>
          <w:i/>
        </w:rPr>
        <w:t xml:space="preserve">MacAndrews &amp; Forbes Holdings, Inc. v. Revlon, Inc.,</w:t>
      </w:r>
      <w:r>
        <w:t xml:space="preserve"> </w:t>
      </w:r>
      <w:r>
        <w:t xml:space="preserve">501 A.2d at 1251. The no-shop provision, like the lock-up option, while not</w:t>
      </w:r>
      <w:r>
        <w:t xml:space="preserve"> </w:t>
      </w:r>
      <w:r>
        <w:rPr>
          <w:iCs/>
          <w:i/>
        </w:rPr>
        <w:t xml:space="preserve">per se</w:t>
      </w:r>
      <w:r>
        <w:t xml:space="preserve"> </w:t>
      </w:r>
      <w:r>
        <w:t xml:space="preserve">illegal, is impermissible under the</w:t>
      </w:r>
      <w:r>
        <w:t xml:space="preserve"> </w:t>
      </w:r>
      <w:r>
        <w:rPr>
          <w:iCs/>
          <w:i/>
        </w:rPr>
        <w:t xml:space="preserve">Unocal</w:t>
      </w:r>
      <w:r>
        <w:t xml:space="preserve"> </w:t>
      </w:r>
      <w:r>
        <w:t xml:space="preserve">standards when a board's primary duty becomes that of an auctioneer responsible for selling the company to the highest bidder. The agreement to negotiate only with Forstmann ended rather than intensified the board's involvement in the bidding contest.</w:t>
      </w:r>
    </w:p>
    <w:p>
      <w:pPr>
        <w:pStyle w:val="CaseBody"/>
      </w:pPr>
      <w:r>
        <w:t xml:space="preserve">It is ironic that the parties even considered a no-shop agreement when Revlon had dealt preferentially, and almost exclusively, with Forstmann throughout the contest. After the directors authorized management to negotiate with other parties, Forstmann was given every negotiating advantage that Pantry Pride had been denied: cooperation from management, access to financial data, and the exclusive opportunity to present merger proposals directly to the board of directors. Favoritism for a white knight to the total exclusion of a hostile bidder might be justifiable when the latter's offer adversely affects shareholder interests, but when bidders make relatively similar offers, or dissolution of the company becomes inevitable, the directors cannot fulfill their enhanced</w:t>
      </w:r>
      <w:r>
        <w:t xml:space="preserve"> </w:t>
      </w:r>
      <w:r>
        <w:rPr>
          <w:iCs/>
          <w:i/>
        </w:rPr>
        <w:t xml:space="preserve">Unocal</w:t>
      </w:r>
      <w:r>
        <w:t xml:space="preserve"> </w:t>
      </w:r>
      <w:r>
        <w:t xml:space="preserve">duties by playing favorites with the contending factions. Market forces must be allowed to operate freely to bring the target's shareholders the best price available for their equity.</w:t>
      </w:r>
      <w:hyperlink w:anchor="X14bf67d5207f4da379c62ed0f58332e77fe04e2">
        <w:r>
          <w:rPr>
            <w:rStyle w:val="Hyperlink"/>
            <w:vertAlign w:val="superscript"/>
          </w:rPr>
          <w:t xml:space="preserve">[16]</w:t>
        </w:r>
      </w:hyperlink>
      <w:r>
        <w:t xml:space="preserve"> </w:t>
      </w:r>
      <w:r>
        <w:t xml:space="preserve">Thus, as the trial court ruled, the shareholders' interests necessitated that the board remain free to negotiate in the fulfillment of that duty.</w:t>
      </w:r>
    </w:p>
    <w:p>
      <w:pPr>
        <w:pStyle w:val="CaseBody"/>
      </w:pPr>
      <w:r>
        <w:t xml:space="preserve">The court below similarly enjoined the payment of the cancellation fee, pending a resolution of the merits, because the fee was part of the overall plan to thwart Pantry Pride's efforts. We find no abuse of discretion in that ruling.</w:t>
      </w:r>
    </w:p>
    <w:bookmarkEnd w:id="283"/>
    <w:bookmarkStart w:id="284" w:name="iv.-3"/>
    <w:p>
      <w:pPr>
        <w:pStyle w:val="Heading2"/>
      </w:pPr>
      <w:r>
        <w:t xml:space="preserve">IV.</w:t>
      </w:r>
    </w:p>
    <w:p>
      <w:pPr>
        <w:pStyle w:val="CaseBody"/>
      </w:pPr>
      <w:r>
        <w:t xml:space="preserve">Having concluded that Pantry Pride has shown a reasonable probability of success on the merits, we address the issue of irreparable harm. The Court of Chancery ruled that unless the lock-up and other aspects of the agreement were enjoined, Pantry Pride's opportunity to bid for Revlon was lost. The court also held that the need for both bidders to compete [185] in the marketplace outweighed any injury to Forstmann. Given the complexity of the proposed transaction between Revlon and Forstmann, the obstacles to Pantry Pride obtaining a meaningful legal remedy are immense. We are satisfied that the plaintiff has shown the need for an injunction to protect it from irreparable harm, which need outweighs any harm to the defendants.</w:t>
      </w:r>
    </w:p>
    <w:bookmarkEnd w:id="284"/>
    <w:bookmarkStart w:id="285" w:name="v.-2"/>
    <w:p>
      <w:pPr>
        <w:pStyle w:val="Heading2"/>
      </w:pPr>
      <w:r>
        <w:t xml:space="preserve">V.</w:t>
      </w:r>
    </w:p>
    <w:p>
      <w:pPr>
        <w:pStyle w:val="CaseBody"/>
      </w:pPr>
      <w:r>
        <w:t xml:space="preserve">In conclusion, the Revlon board was confronted with a situation not uncommon in the current wave of corporate takeovers. A hostile and determined bidder sought the company at a price the board was convinced was inadequate. The initial defensive tactics worked to the benefit of the shareholders, and thus the board was able to sustain its</w:t>
      </w:r>
      <w:r>
        <w:t xml:space="preserve"> </w:t>
      </w:r>
      <w:r>
        <w:rPr>
          <w:iCs/>
          <w:i/>
        </w:rPr>
        <w:t xml:space="preserve">Unocal</w:t>
      </w:r>
      <w:r>
        <w:t xml:space="preserve"> </w:t>
      </w:r>
      <w:r>
        <w:t xml:space="preserve">burdens in justifying those measures. However, in granting an asset option lock-up to Forstmann, we must conclude that under all the circumstances the directors allowed considerations other than the maximization of shareholder profit to affect their judgment, and followed a course that ended the auction for Revlon, absent court intervention, to the ultimate detriment of its shareholders. No such defensive measure can be sustained when it represents a breach of the directors' fundamental duty of care.</w:t>
      </w:r>
      <w:r>
        <w:t xml:space="preserve"> </w:t>
      </w:r>
      <w:r>
        <w:rPr>
          <w:iCs/>
          <w:i/>
        </w:rPr>
        <w:t xml:space="preserve">See</w:t>
      </w:r>
      <w:r>
        <w:t xml:space="preserve"> </w:t>
      </w:r>
      <w:r>
        <w:rPr>
          <w:iCs/>
          <w:i/>
        </w:rPr>
        <w:t xml:space="preserve">Smith v. Van Gorkom,</w:t>
      </w:r>
      <w:r>
        <w:t xml:space="preserve"> </w:t>
      </w:r>
      <w:r>
        <w:t xml:space="preserve">Del.Supr., 488 A.2d 858, 874 (1985). In that context the board's action is not entitled to the deference accorded it by the business judgment rule. The measures were properly enjoined. The decision of the Court of Chancery, therefore, is</w:t>
      </w:r>
    </w:p>
    <w:p>
      <w:pPr>
        <w:pStyle w:val="CaseBody"/>
      </w:pPr>
      <w:r>
        <w:t xml:space="preserve">AFFIRMED.</w:t>
      </w:r>
    </w:p>
    <w:p>
      <w:pPr>
        <w:pStyle w:val="CaseBody"/>
      </w:pPr>
      <w:hyperlink w:anchor="X2e04aced21ab305a93156b959d054e352aba1e0">
        <w:r>
          <w:rPr>
            <w:rStyle w:val="Hyperlink"/>
          </w:rPr>
          <w:t xml:space="preserve">[1]</w:t>
        </w:r>
      </w:hyperlink>
      <w:r>
        <w:t xml:space="preserve"> </w:t>
      </w:r>
      <w:r>
        <w:t xml:space="preserve">The nominal plaintiff, MacAndrews &amp; Forbes Holdings, Inc., is the controlling stockholder of Pantry Pride. For all practical purposes their interests in this litigation are virtually identical, and we hereafter will refer to Pantry Pride as the plaintiff.</w:t>
      </w:r>
    </w:p>
    <w:p>
      <w:pPr>
        <w:pStyle w:val="CaseBody"/>
      </w:pPr>
      <w:hyperlink w:anchor="Xfc786b5b5ae8d4146a0ff9d0a6bc0429a086c9b">
        <w:r>
          <w:rPr>
            <w:rStyle w:val="Hyperlink"/>
          </w:rPr>
          <w:t xml:space="preserve">[2]</w:t>
        </w:r>
      </w:hyperlink>
      <w:r>
        <w:t xml:space="preserve"> </w:t>
      </w:r>
      <w:r>
        <w:t xml:space="preserve">This appeal was heard on an expedited basis in light of the pending Pantry Pride offer and the Revlon-Forstmann transactions. We accepted the appeal on Friday, October 25, 1985, received the parties' opening briefs on October 28, their reply briefs on October 29, and heard argument on Thursday, October 31. We announced our decision to affirm in an oral ruling in open court at 9:00 a.m. on Friday, November 1, with the proviso that this more detailed written opinion would follow in due course.</w:t>
      </w:r>
    </w:p>
    <w:p>
      <w:pPr>
        <w:pStyle w:val="CaseBody"/>
      </w:pPr>
      <w:hyperlink w:anchor="Xec914023f3b16e847b593c6dde3f30600686fd4">
        <w:r>
          <w:rPr>
            <w:rStyle w:val="Hyperlink"/>
          </w:rPr>
          <w:t xml:space="preserve">[3]</w:t>
        </w:r>
      </w:hyperlink>
      <w:r>
        <w:t xml:space="preserve"> </w:t>
      </w:r>
      <w:r>
        <w:t xml:space="preserve">There were 14 directors on the Revlon board. Six of them held senior management positions with the company, and two others held significant blocks of its stock. Four of the remaining six directors were associated at some point with entities that had various business relationships with Revlon. On the basis of this limited record, however, we cannot conclude that this board is entitled to certain presumptions that generally attach to the decisions of a board whose majority consists of truly outside independent directors.</w:t>
      </w:r>
      <w:r>
        <w:t xml:space="preserve"> </w:t>
      </w:r>
      <w:r>
        <w:rPr>
          <w:iCs/>
          <w:i/>
        </w:rPr>
        <w:t xml:space="preserve">See Polk v. Good &amp; Texaco,</w:t>
      </w:r>
      <w:r>
        <w:t xml:space="preserve"> </w:t>
      </w:r>
      <w:r>
        <w:t xml:space="preserve">Del.Supr., ___ A.2d ___, ___ (1986);</w:t>
      </w:r>
      <w:r>
        <w:t xml:space="preserve"> </w:t>
      </w:r>
      <w:r>
        <w:rPr>
          <w:iCs/>
          <w:i/>
        </w:rPr>
        <w:t xml:space="preserve">Moran v. Household International, Inc.,</w:t>
      </w:r>
      <w:r>
        <w:t xml:space="preserve"> </w:t>
      </w:r>
      <w:r>
        <w:t xml:space="preserve">Del.Supr., 500 A.2d 1346, 1356 (1985);</w:t>
      </w:r>
      <w:r>
        <w:t xml:space="preserve"> </w:t>
      </w:r>
      <w:r>
        <w:rPr>
          <w:iCs/>
          <w:i/>
        </w:rPr>
        <w:t xml:space="preserve">Unocal Corp. v. Mesa Petroleum Co.,</w:t>
      </w:r>
      <w:r>
        <w:t xml:space="preserve"> </w:t>
      </w:r>
      <w:r>
        <w:t xml:space="preserve">Del.Supr., 493 A.2d 946, 955 (1985);</w:t>
      </w:r>
      <w:r>
        <w:t xml:space="preserve"> </w:t>
      </w:r>
      <w:r>
        <w:rPr>
          <w:iCs/>
          <w:i/>
        </w:rPr>
        <w:t xml:space="preserve">Aronson v. Lewis,</w:t>
      </w:r>
      <w:r>
        <w:t xml:space="preserve"> </w:t>
      </w:r>
      <w:r>
        <w:t xml:space="preserve">Del.Supr., 473 A.2d 805, 812, 815 (1984);</w:t>
      </w:r>
      <w:r>
        <w:t xml:space="preserve"> </w:t>
      </w:r>
      <w:r>
        <w:rPr>
          <w:iCs/>
          <w:i/>
        </w:rPr>
        <w:t xml:space="preserve">Puma v. Marriott,</w:t>
      </w:r>
      <w:r>
        <w:t xml:space="preserve"> </w:t>
      </w:r>
      <w:r>
        <w:t xml:space="preserve">Del. Ch., 283 A.2d 693, 695 (1971).</w:t>
      </w:r>
    </w:p>
    <w:p>
      <w:pPr>
        <w:pStyle w:val="CaseBody"/>
      </w:pPr>
      <w:hyperlink w:anchor="Xc43180e818949393e995605811da827df5ea3ac">
        <w:r>
          <w:rPr>
            <w:rStyle w:val="Hyperlink"/>
          </w:rPr>
          <w:t xml:space="preserve">[4]</w:t>
        </w:r>
      </w:hyperlink>
      <w:r>
        <w:t xml:space="preserve"> </w:t>
      </w:r>
      <w:r>
        <w:t xml:space="preserve">Like bonds, the Notes actually were issued in denominations of $1,000 and integral multiples thereof. A separate certificate was issued in a total principal amount equal to the remaining sum to which a stockholder was entitled. Likewise, in the esoteric parlance of bond dealers, a Note trading at par ($1,000) would be quoted on the market at 100.</w:t>
      </w:r>
    </w:p>
    <w:p>
      <w:pPr>
        <w:pStyle w:val="CaseBody"/>
      </w:pPr>
      <w:hyperlink w:anchor="Xc3b1b00591cad6826dc6addacd40c8dd33bcee1">
        <w:r>
          <w:rPr>
            <w:rStyle w:val="Hyperlink"/>
          </w:rPr>
          <w:t xml:space="preserve">[5]</w:t>
        </w:r>
      </w:hyperlink>
      <w:r>
        <w:t xml:space="preserve"> </w:t>
      </w:r>
      <w:r>
        <w:t xml:space="preserve">In the takeover context "golden parachutes" generally are understood to be termination agreements providing substantial bonuses and other benefits for managers and certain directors upon a change in control of a company.</w:t>
      </w:r>
    </w:p>
    <w:p>
      <w:pPr>
        <w:pStyle w:val="CaseBody"/>
      </w:pPr>
      <w:hyperlink w:anchor="Xda02a531e4f44048efb3898ee99a0a4c2632757">
        <w:r>
          <w:rPr>
            <w:rStyle w:val="Hyperlink"/>
          </w:rPr>
          <w:t xml:space="preserve">[6]</w:t>
        </w:r>
      </w:hyperlink>
      <w:r>
        <w:t xml:space="preserve"> </w:t>
      </w:r>
      <w:r>
        <w:t xml:space="preserve">Forstmann's $57.25 offer ostensibly is worth $1 more than Pantry Pride's $56.25 bid. However, the Pantry Pride offer was immediate, while the Forstmann proposal must be discounted for the time value of money because of the delay in approving the merger and consummating the transaction. The exact difference between the two bids was an unsettled point of contention even at oral argument.</w:t>
      </w:r>
    </w:p>
    <w:p>
      <w:pPr>
        <w:pStyle w:val="CaseBody"/>
      </w:pPr>
      <w:hyperlink w:anchor="Xd56552d127090f9fd6e8bc5e9a381bfce251f47">
        <w:r>
          <w:rPr>
            <w:rStyle w:val="Hyperlink"/>
          </w:rPr>
          <w:t xml:space="preserve">[7]</w:t>
        </w:r>
      </w:hyperlink>
      <w:r>
        <w:t xml:space="preserve"> </w:t>
      </w:r>
      <w:r>
        <w:t xml:space="preserve">Actually, at this time about $400 million of Forstmann's funding was still subject to two investment banks using their "best efforts" to organize a syndicate to provide the balance. Pantry Pride's entire financing was not firmly committed at this point either, although Pantry Pride represented in an October 11 letter to Lazard Freres that its investment banker, Drexel Burnham Lambert, was highly confident of its ability to raise the balance of $350 million. Drexel Burnham had a firm commitment for this sum by October 18.</w:t>
      </w:r>
    </w:p>
    <w:p>
      <w:pPr>
        <w:pStyle w:val="CaseBody"/>
      </w:pPr>
      <w:hyperlink w:anchor="X50404fc9c43e47523e578a55b952a11eb6bc94a">
        <w:r>
          <w:rPr>
            <w:rStyle w:val="Hyperlink"/>
          </w:rPr>
          <w:t xml:space="preserve">[8]</w:t>
        </w:r>
      </w:hyperlink>
      <w:r>
        <w:t xml:space="preserve"> </w:t>
      </w:r>
      <w:r>
        <w:t xml:space="preserve">The pertinent provision of the statute is:</w:t>
      </w:r>
    </w:p>
    <w:p>
      <w:pPr>
        <w:pStyle w:val="BlockText"/>
      </w:pPr>
      <w:r>
        <w:t xml:space="preserve">(a) The business and affairs of every corporation organized under this chapter shall be managed by or under the direction of a board of directors, except as may be otherwise provided in this chapter or in its certificate of incorporation. 8</w:t>
      </w:r>
      <w:r>
        <w:t xml:space="preserve"> </w:t>
      </w:r>
      <w:r>
        <w:rPr>
          <w:iCs/>
          <w:i/>
        </w:rPr>
        <w:t xml:space="preserve">Del.C.</w:t>
      </w:r>
      <w:r>
        <w:t xml:space="preserve"> </w:t>
      </w:r>
      <w:r>
        <w:t xml:space="preserve">§ 141(a).</w:t>
      </w:r>
    </w:p>
    <w:p>
      <w:pPr>
        <w:pStyle w:val="CaseBody"/>
      </w:pPr>
      <w:hyperlink w:anchor="Xacd4a4893e6f3eb7a2b4f65fd4427e0f8888b06">
        <w:r>
          <w:rPr>
            <w:rStyle w:val="Hyperlink"/>
          </w:rPr>
          <w:t xml:space="preserve">[9]</w:t>
        </w:r>
      </w:hyperlink>
      <w:r>
        <w:t xml:space="preserve"> </w:t>
      </w:r>
      <w:r>
        <w:t xml:space="preserve">The statute provides in pertinent part:</w:t>
      </w:r>
    </w:p>
    <w:p>
      <w:pPr>
        <w:pStyle w:val="BlockText"/>
      </w:pPr>
      <w:r>
        <w:t xml:space="preserve">(b) The board of directors of each corporation which desires to merge or consolidate shall adopt a resolution approving an agreement of merger or consolidation. 8</w:t>
      </w:r>
      <w:r>
        <w:t xml:space="preserve"> </w:t>
      </w:r>
      <w:r>
        <w:rPr>
          <w:iCs/>
          <w:i/>
        </w:rPr>
        <w:t xml:space="preserve">Del.C.</w:t>
      </w:r>
      <w:r>
        <w:t xml:space="preserve"> </w:t>
      </w:r>
      <w:r>
        <w:t xml:space="preserve">§ 251(b).</w:t>
      </w:r>
    </w:p>
    <w:p>
      <w:pPr>
        <w:pStyle w:val="CaseBody"/>
      </w:pPr>
      <w:hyperlink w:anchor="X32c65c6e2fe6100806df6f8a4d484b552426933">
        <w:r>
          <w:rPr>
            <w:rStyle w:val="Hyperlink"/>
          </w:rPr>
          <w:t xml:space="preserve">[10]</w:t>
        </w:r>
      </w:hyperlink>
      <w:r>
        <w:t xml:space="preserve"> </w:t>
      </w:r>
      <w:r>
        <w:t xml:space="preserve">One eminent corporate commentator has drawn a distinction between the business judgment rule, which insulates directors and management from personal liability for their business decisions, and the business judgment doctrine, which protects the decision itself from attack. The principles upon which the rule and doctrine operate are identical, while the objects of their protection are different.</w:t>
      </w:r>
      <w:r>
        <w:t xml:space="preserve"> </w:t>
      </w:r>
      <w:r>
        <w:rPr>
          <w:iCs/>
          <w:i/>
        </w:rPr>
        <w:t xml:space="preserve">See</w:t>
      </w:r>
      <w:r>
        <w:t xml:space="preserve"> </w:t>
      </w:r>
      <w:r>
        <w:t xml:space="preserve">Hinsey,</w:t>
      </w:r>
      <w:r>
        <w:t xml:space="preserve"> </w:t>
      </w:r>
      <w:r>
        <w:rPr>
          <w:iCs/>
          <w:i/>
        </w:rPr>
        <w:t xml:space="preserve">Business Judgment and the American Law Institute's Corporate Governance Project: The Rule, the Doctrine and the Reality,</w:t>
      </w:r>
      <w:r>
        <w:t xml:space="preserve"> </w:t>
      </w:r>
      <w:r>
        <w:t xml:space="preserve">52 Geo. Wash. L.Rev. 609, 611-13 (1984). In the transactional justification cases, where the doctrine is said to apply, our decisions have not observed the distinction in such terminology.</w:t>
      </w:r>
      <w:r>
        <w:t xml:space="preserve"> </w:t>
      </w:r>
      <w:r>
        <w:rPr>
          <w:iCs/>
          <w:i/>
        </w:rPr>
        <w:t xml:space="preserve">See Polk v. Good &amp; Texaco,</w:t>
      </w:r>
      <w:r>
        <w:t xml:space="preserve"> </w:t>
      </w:r>
      <w:r>
        <w:t xml:space="preserve">Del.Supr., ___ A.2d ___, ___ (1986);</w:t>
      </w:r>
      <w:r>
        <w:t xml:space="preserve"> </w:t>
      </w:r>
      <w:r>
        <w:rPr>
          <w:iCs/>
          <w:i/>
        </w:rPr>
        <w:t xml:space="preserve">Moran v. Household International, Inc.,</w:t>
      </w:r>
      <w:r>
        <w:t xml:space="preserve"> </w:t>
      </w:r>
      <w:r>
        <w:t xml:space="preserve">Del. Supr., 500 A.2d 1346, 1356 (1985);</w:t>
      </w:r>
      <w:r>
        <w:t xml:space="preserve"> </w:t>
      </w:r>
      <w:r>
        <w:rPr>
          <w:iCs/>
          <w:i/>
        </w:rPr>
        <w:t xml:space="preserve">Unocal Corp. v. Mesa Petroleum Co.,</w:t>
      </w:r>
      <w:r>
        <w:t xml:space="preserve"> </w:t>
      </w:r>
      <w:r>
        <w:t xml:space="preserve">Del.Supr., 493 A.2d 946, 953-55 (1985);</w:t>
      </w:r>
      <w:r>
        <w:t xml:space="preserve"> </w:t>
      </w:r>
      <w:r>
        <w:rPr>
          <w:iCs/>
          <w:i/>
        </w:rPr>
        <w:t xml:space="preserve">Rosenblatt v. Getty Oil Co.,</w:t>
      </w:r>
      <w:r>
        <w:t xml:space="preserve"> </w:t>
      </w:r>
      <w:r>
        <w:t xml:space="preserve">Del. Supr., 493 A.2d 929, 943 (1985). Under the circumstances we do not alter our earlier practice of referring only to the business judgment rule, although in transactional justification matters such reference may be understood to embrace the concept of the doctrine.</w:t>
      </w:r>
    </w:p>
    <w:p>
      <w:pPr>
        <w:pStyle w:val="CaseBody"/>
      </w:pPr>
      <w:hyperlink w:anchor="X850b3c704f24af1fb5ebf6c3442f0ddabcea7ab">
        <w:r>
          <w:rPr>
            <w:rStyle w:val="Hyperlink"/>
          </w:rPr>
          <w:t xml:space="preserve">[11]</w:t>
        </w:r>
      </w:hyperlink>
      <w:r>
        <w:t xml:space="preserve"> </w:t>
      </w:r>
      <w:r>
        <w:t xml:space="preserve">The relevant provision of Section 122 is:</w:t>
      </w:r>
    </w:p>
    <w:p>
      <w:pPr>
        <w:pStyle w:val="BlockText"/>
      </w:pPr>
      <w:r>
        <w:t xml:space="preserve">Every corporation created under this chapter shall have power to:</w:t>
      </w:r>
    </w:p>
    <w:p>
      <w:pPr>
        <w:pStyle w:val="BlockText"/>
      </w:pPr>
      <w:r>
        <w:t xml:space="preserve">(13) Make contracts, including contracts of guaranty and suretyship, incur liabilities, borrow money at such rates of interest as the corporation may determine, issue its notes, bonds and other obligations, and secure any of its obligations by mortgage, pledge or other encumbrance of all or any of its property, franchises and income, ...". 8</w:t>
      </w:r>
      <w:r>
        <w:t xml:space="preserve"> </w:t>
      </w:r>
      <w:r>
        <w:rPr>
          <w:iCs/>
          <w:i/>
        </w:rPr>
        <w:t xml:space="preserve">Del.C.</w:t>
      </w:r>
      <w:r>
        <w:t xml:space="preserve"> </w:t>
      </w:r>
      <w:r>
        <w:t xml:space="preserve">§ 122(13).</w:t>
      </w:r>
    </w:p>
    <w:p>
      <w:pPr>
        <w:pStyle w:val="CaseBody"/>
      </w:pPr>
      <w:r>
        <w:t xml:space="preserve">See Section 141(a) in n. 8,</w:t>
      </w:r>
      <w:r>
        <w:t xml:space="preserve"> </w:t>
      </w:r>
      <w:r>
        <w:rPr>
          <w:iCs/>
          <w:i/>
        </w:rPr>
        <w:t xml:space="preserve">supra.</w:t>
      </w:r>
      <w:r>
        <w:t xml:space="preserve"> </w:t>
      </w:r>
      <w:r>
        <w:t xml:space="preserve">See also Section 160(a), n. 13,</w:t>
      </w:r>
      <w:r>
        <w:t xml:space="preserve"> </w:t>
      </w:r>
      <w:r>
        <w:rPr>
          <w:iCs/>
          <w:i/>
        </w:rPr>
        <w:t xml:space="preserve">infra.</w:t>
      </w:r>
    </w:p>
    <w:p>
      <w:pPr>
        <w:pStyle w:val="CaseBody"/>
      </w:pPr>
      <w:hyperlink w:anchor="Xfe9183eb77a788947cda359a04fac952e1196bb">
        <w:r>
          <w:rPr>
            <w:rStyle w:val="Hyperlink"/>
          </w:rPr>
          <w:t xml:space="preserve">[12]</w:t>
        </w:r>
      </w:hyperlink>
      <w:r>
        <w:t xml:space="preserve"> </w:t>
      </w:r>
      <w:r>
        <w:t xml:space="preserve">As we noted in</w:t>
      </w:r>
      <w:r>
        <w:t xml:space="preserve"> </w:t>
      </w:r>
      <w:r>
        <w:rPr>
          <w:iCs/>
          <w:i/>
        </w:rPr>
        <w:t xml:space="preserve">Moran,</w:t>
      </w:r>
      <w:r>
        <w:t xml:space="preserve"> </w:t>
      </w:r>
      <w:r>
        <w:t xml:space="preserve">a "bust-up" takeover generally refers to a situation in which one seeks to finance an acquisition by selling off pieces of the acquired company, presumably at a substantial profit.</w:t>
      </w:r>
      <w:r>
        <w:t xml:space="preserve"> </w:t>
      </w:r>
      <w:r>
        <w:rPr>
          <w:iCs/>
          <w:i/>
        </w:rPr>
        <w:t xml:space="preserve">See</w:t>
      </w:r>
      <w:r>
        <w:t xml:space="preserve"> </w:t>
      </w:r>
      <w:r>
        <w:rPr>
          <w:iCs/>
          <w:i/>
        </w:rPr>
        <w:t xml:space="preserve">Moran,</w:t>
      </w:r>
      <w:r>
        <w:t xml:space="preserve"> </w:t>
      </w:r>
      <w:r>
        <w:t xml:space="preserve">500 A.2d at 1349, n. 4.</w:t>
      </w:r>
    </w:p>
    <w:p>
      <w:pPr>
        <w:pStyle w:val="CaseBody"/>
      </w:pPr>
      <w:hyperlink w:anchor="X788000da24b0a20dca85b17e3e444af9983e089">
        <w:r>
          <w:rPr>
            <w:rStyle w:val="Hyperlink"/>
          </w:rPr>
          <w:t xml:space="preserve">[13]</w:t>
        </w:r>
      </w:hyperlink>
      <w:r>
        <w:t xml:space="preserve"> </w:t>
      </w:r>
      <w:r>
        <w:t xml:space="preserve">The pertinent provision of this statute is:</w:t>
      </w:r>
    </w:p>
    <w:p>
      <w:pPr>
        <w:pStyle w:val="CaseBody"/>
      </w:pPr>
      <w:r>
        <w:t xml:space="preserve">(a) Every corporation may purchase, redeem, receive, take or otherwise acquire, own and hold, sell, lend, exchange, transfer or otherwise dispose of, pledge, use and otherwise deal in and with its own shares. 8</w:t>
      </w:r>
      <w:r>
        <w:t xml:space="preserve"> </w:t>
      </w:r>
      <w:r>
        <w:rPr>
          <w:iCs/>
          <w:i/>
        </w:rPr>
        <w:t xml:space="preserve">Del.C.</w:t>
      </w:r>
      <w:r>
        <w:t xml:space="preserve"> </w:t>
      </w:r>
      <w:r>
        <w:t xml:space="preserve">§ 160(a).</w:t>
      </w:r>
    </w:p>
    <w:p>
      <w:pPr>
        <w:pStyle w:val="CaseBody"/>
      </w:pPr>
      <w:hyperlink w:anchor="Xfe4d9b70bb6a5e452ac4647bac4eb5bfc7e7d53">
        <w:r>
          <w:rPr>
            <w:rStyle w:val="Hyperlink"/>
          </w:rPr>
          <w:t xml:space="preserve">[14]</w:t>
        </w:r>
      </w:hyperlink>
      <w:r>
        <w:t xml:space="preserve"> </w:t>
      </w:r>
      <w:r>
        <w:t xml:space="preserve">For further discussion of the benefits and detriments of lock-up options, also see: Nelson,</w:t>
      </w:r>
      <w:r>
        <w:t xml:space="preserve"> </w:t>
      </w:r>
      <w:r>
        <w:rPr>
          <w:iCs/>
          <w:i/>
        </w:rPr>
        <w:t xml:space="preserve">Mobil Corp. v. Marathon Oil Co. — The Decision and Its Implications for Future Tender Offers,</w:t>
      </w:r>
      <w:r>
        <w:t xml:space="preserve"> </w:t>
      </w:r>
      <w:r>
        <w:t xml:space="preserve">7 Corp. L.Rev. 233, 265-68 (1984); Note,</w:t>
      </w:r>
      <w:r>
        <w:t xml:space="preserve"> </w:t>
      </w:r>
      <w:r>
        <w:rPr>
          <w:iCs/>
          <w:i/>
        </w:rPr>
        <w:t xml:space="preserve">Swallowing the Key to Lock-up Options: Mobil Corp. v. Marathon Oil Co.,</w:t>
      </w:r>
      <w:r>
        <w:t xml:space="preserve"> </w:t>
      </w:r>
      <w:r>
        <w:t xml:space="preserve">14 U.Tol.L.Rev. 1055, 1081-83 (1983).</w:t>
      </w:r>
    </w:p>
    <w:p>
      <w:pPr>
        <w:pStyle w:val="CaseBody"/>
      </w:pPr>
      <w:hyperlink w:anchor="Xff91809a29eadb5e271affad43fd39f9f04f890">
        <w:r>
          <w:rPr>
            <w:rStyle w:val="Hyperlink"/>
          </w:rPr>
          <w:t xml:space="preserve">[15]</w:t>
        </w:r>
      </w:hyperlink>
      <w:r>
        <w:t xml:space="preserve"> </w:t>
      </w:r>
      <w:r>
        <w:t xml:space="preserve">The federal courts generally have declined to enjoin lock-up options despite arguments that lock-ups constitute impermissible "manipulative" conduct forbidden by Section 14(e) of the Williams Act [15 U.S.C. § 78n(e)].</w:t>
      </w:r>
      <w:r>
        <w:t xml:space="preserve"> </w:t>
      </w:r>
      <w:r>
        <w:rPr>
          <w:iCs/>
          <w:i/>
        </w:rPr>
        <w:t xml:space="preserve">See</w:t>
      </w:r>
      <w:r>
        <w:t xml:space="preserve"> </w:t>
      </w:r>
      <w:r>
        <w:rPr>
          <w:iCs/>
          <w:i/>
        </w:rPr>
        <w:t xml:space="preserve">Buffalo Forge Co. v. Ogden Corp.,</w:t>
      </w:r>
      <w:r>
        <w:t xml:space="preserve"> </w:t>
      </w:r>
      <w:r>
        <w:t xml:space="preserve">717 F.2d 757 (2nd Cir.1983),</w:t>
      </w:r>
      <w:r>
        <w:t xml:space="preserve"> </w:t>
      </w:r>
      <w:r>
        <w:rPr>
          <w:iCs/>
          <w:i/>
        </w:rPr>
        <w:t xml:space="preserve">cert. denied,</w:t>
      </w:r>
      <w:r>
        <w:t xml:space="preserve"> </w:t>
      </w:r>
      <w:r>
        <w:t xml:space="preserve">464 U.S. 1018, 104 S.Ct. 550, 78 L.Ed.2d 724 (1983);</w:t>
      </w:r>
      <w:r>
        <w:t xml:space="preserve"> </w:t>
      </w:r>
      <w:r>
        <w:rPr>
          <w:iCs/>
          <w:i/>
        </w:rPr>
        <w:t xml:space="preserve">Data Probe Acquisition Corp. v. Datatab, Inc.,</w:t>
      </w:r>
      <w:r>
        <w:t xml:space="preserve"> </w:t>
      </w:r>
      <w:r>
        <w:t xml:space="preserve">722 F.2d 1 (2nd Cir.1983);</w:t>
      </w:r>
      <w:r>
        <w:t xml:space="preserve"> </w:t>
      </w:r>
      <w:r>
        <w:rPr>
          <w:iCs/>
          <w:i/>
        </w:rPr>
        <w:t xml:space="preserve">cert. denied</w:t>
      </w:r>
      <w:r>
        <w:t xml:space="preserve"> </w:t>
      </w:r>
      <w:r>
        <w:t xml:space="preserve">465 U.S. 1052, 104 S.Ct. 1326, 79 L.Ed.2d 722 (1984);</w:t>
      </w:r>
      <w:r>
        <w:t xml:space="preserve"> </w:t>
      </w:r>
      <w:r>
        <w:rPr>
          <w:iCs/>
          <w:i/>
        </w:rPr>
        <w:t xml:space="preserve">but see</w:t>
      </w:r>
      <w:r>
        <w:t xml:space="preserve"> </w:t>
      </w:r>
      <w:r>
        <w:rPr>
          <w:iCs/>
          <w:i/>
        </w:rPr>
        <w:t xml:space="preserve">Mobil Corp. v. Marathon Oil Co.,</w:t>
      </w:r>
      <w:r>
        <w:t xml:space="preserve"> </w:t>
      </w:r>
      <w:r>
        <w:t xml:space="preserve">669 F.2d 366 (6th Cir.1981). The cases are all federal in nature and were not decided on state law grounds.</w:t>
      </w:r>
    </w:p>
    <w:p>
      <w:pPr>
        <w:pStyle w:val="CaseBody"/>
      </w:pPr>
      <w:hyperlink w:anchor="Xe7f8cba1f9985a9ba020eff55b582166ec18858">
        <w:r>
          <w:rPr>
            <w:rStyle w:val="Hyperlink"/>
          </w:rPr>
          <w:t xml:space="preserve">[16]</w:t>
        </w:r>
      </w:hyperlink>
      <w:r>
        <w:t xml:space="preserve"> </w:t>
      </w:r>
      <w:r>
        <w:t xml:space="preserve">By this we do not embrace the "passivity" thesis rejected in</w:t>
      </w:r>
      <w:r>
        <w:t xml:space="preserve"> </w:t>
      </w:r>
      <w:r>
        <w:rPr>
          <w:iCs/>
          <w:i/>
        </w:rPr>
        <w:t xml:space="preserve">Unocal. See</w:t>
      </w:r>
      <w:r>
        <w:t xml:space="preserve"> </w:t>
      </w:r>
      <w:r>
        <w:t xml:space="preserve">493 A.2d at 954-55, nn. 8-10. The directors' role remains an active one, changed only in the respect that they are charged with the duty of selling the company at the highest price attainable for the stockholders' benefit.</w:t>
      </w:r>
    </w:p>
    <w:bookmarkEnd w:id="285"/>
    <w:p>
      <w:pPr>
        <w:pStyle w:val="NodeEnd"/>
      </w:pPr>
      <w:r>
        <w:t xml:space="preserve"> </w:t>
      </w:r>
    </w:p>
    <w:p>
      <w:pPr>
        <w:pStyle w:val="NodeStart"/>
      </w:pPr>
      <w:r>
        <w:t xml:space="preserve"> </w:t>
      </w:r>
    </w:p>
    <w:p>
      <w:pPr>
        <w:pStyle w:val="HeadSeparator"/>
      </w:pPr>
      <w:r>
        <w:t xml:space="preserve"> </w:t>
      </w:r>
    </w:p>
    <w:bookmarkStart w:id="122" w:name="_auto_toc_122"/>
    <w:bookmarkEnd w:id="122"/>
    <w:p>
      <w:pPr>
        <w:pStyle w:val="ResourceNumber"/>
      </w:pPr>
      <w:r>
        <w:t xml:space="preserve">10.1.5</w:t>
      </w:r>
    </w:p>
    <w:p>
      <w:pPr>
        <w:pStyle w:val="ResourceTitle"/>
      </w:pPr>
      <w:r>
        <w:t xml:space="preserve">Lyondell Chemical Co. v. Ryan</w:t>
      </w:r>
    </w:p>
    <w:p>
      <w:pPr>
        <w:pStyle w:val="HeadEnd"/>
      </w:pPr>
      <w:r>
        <w:t xml:space="preserve"> </w:t>
      </w:r>
    </w:p>
    <w:p>
      <w:pPr>
        <w:pStyle w:val="CaseHeader"/>
      </w:pPr>
      <w:r>
        <w:t xml:space="preserve">Delaware Supreme Court</w:t>
      </w:r>
    </w:p>
    <w:p>
      <w:pPr>
        <w:pStyle w:val="CaseHeader"/>
      </w:pPr>
      <w:r>
        <w:t xml:space="preserve">970 A.2d 235</w:t>
      </w:r>
    </w:p>
    <w:p>
      <w:pPr>
        <w:pStyle w:val="CaseHeader"/>
      </w:pPr>
      <w:r>
        <w:t xml:space="preserve">No. 401, 2008</w:t>
      </w:r>
    </w:p>
    <w:p>
      <w:pPr>
        <w:pStyle w:val="CaseHeader"/>
      </w:pPr>
      <w:r>
        <w:t xml:space="preserve">2009-03-25</w:t>
      </w:r>
    </w:p>
    <w:p>
      <w:pPr>
        <w:pStyle w:val="CaseBody"/>
      </w:pPr>
      <w:r>
        <w:t xml:space="preserve">Submitted: Jan. 14, 2009.</w:t>
      </w:r>
    </w:p>
    <w:p>
      <w:pPr>
        <w:pStyle w:val="CaseBody"/>
      </w:pPr>
      <w:r>
        <w:t xml:space="preserve">Revised: April 16, 2009.</w:t>
      </w:r>
    </w:p>
    <w:p>
      <w:pPr>
        <w:pStyle w:val="CaseBody"/>
      </w:pPr>
      <w:r>
        <w:t xml:space="preserve">Jesse A. Finkelstein, Esquire, Thomas A. Beck, Esquire, Daniel A. Dreisbach, Esquire (argued), Harry Tashjian, IV, Esquire, Blake Rohrbacher, Esquire, Meredith M. Stewart, Esquire, and David Schmerfeld, Esquire, of Richards, Layton and Finger, P.A., Wilmington, Delaware; Of Counsel: David D. Sterling, Esquire and Paul R. Elliott, Esquire of Baker Botts L.L.P., Houston, Texas for Appellants Dan F. Smith, Carol A. Anderson, Susan K. Carter, Stephen I. Chazen, Travis Engen, Paul S. Halata, Danny W. Huff, David J. Lesar, David J.P. Meachin, Daniel J. Murphy and William R. Spivey.</w:t>
      </w:r>
    </w:p>
    <w:p>
      <w:pPr>
        <w:pStyle w:val="CaseBody"/>
      </w:pPr>
      <w:r>
        <w:t xml:space="preserve">Edward P. Welch, Esquire, Edward B. Micheletti, Esquire, Jenness E. Parker, Esquire, Rachel J. Barnett, Esquire of Skadden, Arps, Slate, Meagher &amp; Flom LLP, Wilmington, Delaware for Appellant Lyondell Chemical Company.</w:t>
      </w:r>
    </w:p>
    <w:p>
      <w:pPr>
        <w:pStyle w:val="CaseBody"/>
      </w:pPr>
      <w:r>
        <w:t xml:space="preserve">Pamela S. Tikellis, Esquire, Robert J. Kriner, Jr., Esquire (argued), A. Zachary Naylor, Esquire, Scott M. Tucker, Esquire, Tiffany J. Cramer, Esquire of Chi-micles &amp; Tikellis, LLP, Wilmington, Delaware; Of Counsel: Clinton A. Krislov, Esquire and Jeffrey M. Salas, Esquire of Krislov &amp; Associates, Ltd., Chicago, Illinois for Appellee Walter E. Ryan, Jr.</w:t>
      </w:r>
    </w:p>
    <w:p>
      <w:pPr>
        <w:pStyle w:val="CaseBody"/>
      </w:pPr>
      <w:r>
        <w:t xml:space="preserve">Before STEELE, Chief Justice, HOLLAND, BERGER, JACOBS and RIDGELY, Justices, constituting the Court en Banc.</w:t>
      </w:r>
    </w:p>
    <w:p>
      <w:pPr>
        <w:pStyle w:val="CaseBody"/>
      </w:pPr>
      <w:r>
        <w:t xml:space="preserve">BERGER, Justice.</w:t>
      </w:r>
    </w:p>
    <w:p>
      <w:pPr>
        <w:pStyle w:val="CaseBody"/>
      </w:pPr>
      <w:r>
        <w:t xml:space="preserve">We accepted this interlocutory appeal to consider a claim that directors failed to act in good faith in conducting the sale of their company. The Court of Chancery decided that “unexplained inaction” permits a reasonable inference that the directors may have consciously disregarded their fiduciary duties. The trial court expressed concern about the speed with which the transaction was consummated; the directors’ failure to negotiate better terms; and them failure to seek potentially superior deals. But the record establishes that the directors were disinterested and independent; that they were generally aware of the company’s value and its prospects; and that they considered the offer, under the time constraints imposed by the buyer, with the assistance of financial and legal advisors. At most, this record creates a triable issue of fact on the question of whether the directors exercised due care. There is no evidence, however, from which to infer that the directors knowingly ignored their responsibilities, thereby breaching their duty of loyalty. Accordingly, the directors are entitled to the entry of summary judgment.</w:t>
      </w:r>
    </w:p>
    <w:p>
      <w:pPr>
        <w:pStyle w:val="CaseBody"/>
      </w:pPr>
      <w:r>
        <w:t xml:space="preserve">FACTUAL AND PROCEDURAL BACKGROUND</w:t>
      </w:r>
    </w:p>
    <w:p>
      <w:pPr>
        <w:pStyle w:val="CaseBody"/>
      </w:pPr>
      <w:r>
        <w:t xml:space="preserve">Before the merger at issue, Lyondell Chemical Company (“Lyondell”) was the third largest independent, publicly traded chemical company in North America. Dan Smith (“Smith”) was Lyondell’s Chairman and CEO. Lyondell’s other ten directors were independent and many were, or had been, CEOs of other large, publicly traded companies. Basell AF (“Basell”) is a privately held Luxembourg company owned by Leonard Blavatnik (“Blavatnik”) through his ownership of Access Industries. Basell is in the business of polyole-fin technology, production and marketing.</w:t>
      </w:r>
    </w:p>
    <w:p>
      <w:pPr>
        <w:pStyle w:val="CaseBody"/>
      </w:pPr>
      <w:r>
        <w:t xml:space="preserve">In April 2006, Blavatnik told Smith that Basell was interested in acquiring Lyon-dell. A few months later, Basell sent a letter to Lyondell’s board offering $26.50-$28.50 per share. Lyondell determined that the price was inadequate and that it was not interested in selling. During the next year, Lyondell prospered and no potential acquirors expressed interest in the company. In May 2007, an Access affiliate filed a Schedule 13D with the Securities and Exchange Commission disclosing its right to acquire an 8.3% block of Lyondell stock owned by Occidental Petroleum Corporation. The Schedule 13D also disclosed Blavatnik’s interest in possible transactions with Lyondell.</w:t>
      </w:r>
    </w:p>
    <w:p>
      <w:pPr>
        <w:pStyle w:val="CaseBody"/>
      </w:pPr>
      <w:r>
        <w:t xml:space="preserve">In response to the Schedule 13D, the Lyondell board immediately convened a special meeting. The board recognized that the 13D signaled to the market that the company was “in play,”</w:t>
      </w:r>
      <w:r>
        <w:t xml:space="preserve"> </w:t>
      </w:r>
      <w:r>
        <w:rPr>
          <w:rStyle w:val="FootnoteReference"/>
        </w:rPr>
        <w:footnoteReference w:customMarkFollows="1" w:id="30"/>
        <w:t xml:space="preserve">1</w:t>
      </w:r>
      <w:r>
        <w:t xml:space="preserve"> </w:t>
      </w:r>
      <w:r>
        <w:t xml:space="preserve">but the directors decided to take a “wait and see” approach. A few days later, Apollo Management, L.P. contacted Smith to suggest a management-led LBO, but Smith rejected that proposal. In late June 2007, Ba-sell announced that it had entered into a $9.6 billion merger agreement with Huntsman Corporation (“Huntsman”), a specialty chemical company. Basell apparently reconsidered, however, after Hexion Specialty Chemicals, Inc. made a topping bid for Huntsman. Faced with competition for Huntsman, Blavatnik returned his attention to Lyondell.</w:t>
      </w:r>
    </w:p>
    <w:p>
      <w:pPr>
        <w:pStyle w:val="CaseBody"/>
      </w:pPr>
      <w:r>
        <w:t xml:space="preserve">On July 9, 2007, Blavatnik met with Smith to discuss an all-cash deal at $40 per share. Smith responded that $40 was too low, and Blavatnik raised his offer to $44-$45 per share. Smith told Blavatnik that he would present the proposal to the board, but that he thought the board would reject it. Smith advised Blavatnik to give Lyondell his best offer, since Lyon-dell really was not on the market. The meeting ended at that point, but Blavatnik asked Smith to call him later in the day. When Smith called, Blavatnik offered to pay $48 per share. Under Blavatnik’s proposal, Basell would require no financing contingency, but Lyondell would have to agree to a $400 million break-up fee and sign a merger agreement by July 16, 2007.</w:t>
      </w:r>
    </w:p>
    <w:p>
      <w:pPr>
        <w:pStyle w:val="CaseBody"/>
      </w:pPr>
      <w:r>
        <w:t xml:space="preserve">Smith called a special meeting of the Lyondell board on July 10, 2007 to review and consider Basell’s offer. The meeting lasted slightly less than one hour, during which time the board reviewed valuation material that had been prepared by Lyon-dell management for presentation at the regular board meeting, which was scheduled for the following day. The board also discussed the Basell offer, the status of the Huntsman merger, and the likelihood that another party might be interested in Lyon-dell. The board instructed Smith to obtain a written offer from Basell and more details about Basell’s financing.</w:t>
      </w:r>
    </w:p>
    <w:p>
      <w:pPr>
        <w:pStyle w:val="CaseBody"/>
      </w:pPr>
      <w:r>
        <w:t xml:space="preserve">Blavatnik agreed to the board’s request, but also made an additional demand. Ba-sell had until July 11 to make a higher bid for Huntsman, so Blavatnik asked Smith to find out whether the Lyondell board would provide a firm indication of interest in his proposal by the end of that day. The Lyondell board met on July 11, again for less than one hour, to consider the Basell proposal and how it compared to the benefits of remaining independent. The board decided that it was interested, authorized the retention of Deutsche Bank Securities, Inc. (“Deutsche Bank”) as its financial advisor, and instructed Smith to negotiate with Blavatnik.</w:t>
      </w:r>
    </w:p>
    <w:p>
      <w:pPr>
        <w:pStyle w:val="CaseBody"/>
      </w:pPr>
      <w:r>
        <w:t xml:space="preserve">Basell then announced that it would not raise its offer for Huntsman, and Huntsman terminated the Basell merger agreement. From July 12-July 15 the parties negotiated the terms of a Lyondell merger agreement; Basell conducted due diligence; Deutsche Bank prepared a “fairness” opinion; and Lyondell conducted its regularly scheduled board meeting. The Lyondell board discussed the Basell proposal again on July 12, and later instructed Smith to try to negotiate better terms. Specifically, the board wanted a higher price, a go-shop provision</w:t>
      </w:r>
      <w:r>
        <w:rPr>
          <w:rStyle w:val="FootnoteReference"/>
        </w:rPr>
        <w:footnoteReference w:customMarkFollows="1" w:id="59"/>
        <w:t xml:space="preserve">2</w:t>
      </w:r>
      <w:r>
        <w:t xml:space="preserve">, and a reduced break-up fee. As the trial court noted, Blavatnik was “incredulous.” He had offered his best price, which was a substantial premium, and the deal had to be concluded on his schedule. As a sign of good faith, however, Blavatnik agreed to reduce the break-up fee from $400 million to $385 million.</w:t>
      </w:r>
    </w:p>
    <w:p>
      <w:pPr>
        <w:pStyle w:val="CaseBody"/>
      </w:pPr>
      <w:r>
        <w:t xml:space="preserve">On July 16, 2007, the board met to consider the Basell merger agreement. Lyondell’s management, as well as its financial and legal advisers, presented reports analyzing the merits of the deal. The advisors explained that, notwithstanding the no-shop provision in the merger agreement, Lyondell would be able to consider any superior proposals that might be made because of the “fiduciary out” provision. In addition, Deutsche Bank reviewed valuation models derived from “bullish” and more conservative financial projections. Several of those valuations yielded a range that did not even reach $48 per share, and Deutsche Bank opined that the proposed merger price was fair. Indeed, the bank’s managing director described the merger price as “an absolute home run.”</w:t>
      </w:r>
      <w:r>
        <w:rPr>
          <w:rStyle w:val="FootnoteReference"/>
        </w:rPr>
        <w:footnoteReference w:customMarkFollows="1" w:id="85"/>
        <w:t xml:space="preserve">3</w:t>
      </w:r>
      <w:r>
        <w:t xml:space="preserve"> </w:t>
      </w:r>
      <w:r>
        <w:t xml:space="preserve">Deutsche Bank also identified other possible acquirors and explained why it believed no other entity would top Basell’s offer. After considering the presentations, the Lyondell board voted to approve the merger and recommend it to the stockholders. At a special stockholders’ meeting held on November 20, 2007, the merger was approved by more than</w:t>
      </w:r>
      <w:r>
        <w:t xml:space="preserve"> </w:t>
      </w:r>
      <w:r>
        <w:rPr>
          <w:iCs/>
          <w:i/>
        </w:rPr>
        <w:t xml:space="preserve">99%</w:t>
      </w:r>
      <w:r>
        <w:t xml:space="preserve"> </w:t>
      </w:r>
      <w:r>
        <w:t xml:space="preserve">of the voted shares.</w:t>
      </w:r>
    </w:p>
    <w:p>
      <w:pPr>
        <w:pStyle w:val="CaseBody"/>
      </w:pPr>
      <w:r>
        <w:t xml:space="preserve">The first stockholders to litigate this merger filed suit in Texas on July 23, 2007. Walter E. Ryan, Jr., the plaintiff in this action, participated in the Texas litigation and filed suit in Delaware on August 20, 2007. The Texas court denied an application for a preliminary injunction on November 13, 2007, while the defendants in Delaware were briefing their motion for summary judgment. The Court of Chancery issued its opinion on July 29, 2008, denying summary judgment as to the</w:t>
      </w:r>
      <w:r>
        <w:t xml:space="preserve"> </w:t>
      </w:r>
      <w:r>
        <w:rPr>
          <w:iCs/>
          <w:i/>
        </w:rPr>
        <w:t xml:space="preserve">“Revlon</w:t>
      </w:r>
      <w:r>
        <w:t xml:space="preserve"> </w:t>
      </w:r>
      <w:r>
        <w:t xml:space="preserve">” and the “deal protection” claims. This Court accepted the Lyondell directors’ application for certification of an interlocutory appeal on September 15, 2008.</w:t>
      </w:r>
    </w:p>
    <w:p>
      <w:pPr>
        <w:pStyle w:val="CaseBody"/>
      </w:pPr>
      <w:r>
        <w:t xml:space="preserve">DISCUSSION</w:t>
      </w:r>
    </w:p>
    <w:p>
      <w:pPr>
        <w:pStyle w:val="CaseBody"/>
      </w:pPr>
      <w:r>
        <w:t xml:space="preserve">The class action complaint challenging this $13 billion cash merger alleges that the Lyondell directors breached their “fiduciary duties of care, loyalty and candor ... and ... put their personal interests ahead of the interests of the Lyondell shareholders.”</w:t>
      </w:r>
      <w:r>
        <w:rPr>
          <w:rStyle w:val="FootnoteReference"/>
        </w:rPr>
        <w:footnoteReference w:customMarkFollows="1" w:id="109"/>
        <w:t xml:space="preserve">4</w:t>
      </w:r>
      <w:r>
        <w:t xml:space="preserve"> </w:t>
      </w:r>
      <w:r>
        <w:t xml:space="preserve">Specifically, the complaint alleges that: 1) the merger price was grossly insufficient; 2) the directors were motivated to approve the merger for their own self-interest;</w:t>
      </w:r>
      <w:r>
        <w:rPr>
          <w:rStyle w:val="FootnoteReference"/>
        </w:rPr>
        <w:footnoteReference w:customMarkFollows="1" w:id="132"/>
        <w:t xml:space="preserve">5</w:t>
      </w:r>
      <w:r>
        <w:t xml:space="preserve"> </w:t>
      </w:r>
      <w:r>
        <w:t xml:space="preserve">3) the process by which the merger was negotiated was flawed; 4) the directors agreed to unreasonable deal protection provisions; and 5) the preliminary proxy statement omitted numerous material facts. The trial court rejected all claims except those directed at the process by which the directors sold the company and the deal protection provisions in the merger agreement.</w:t>
      </w:r>
    </w:p>
    <w:p>
      <w:pPr>
        <w:pStyle w:val="CaseBody"/>
      </w:pPr>
      <w:r>
        <w:t xml:space="preserve">The remaining claims are but two aspects of a single claim, under</w:t>
      </w:r>
      <w:r>
        <w:t xml:space="preserve"> </w:t>
      </w:r>
      <w:r>
        <w:rPr>
          <w:iCs/>
          <w:i/>
        </w:rPr>
        <w:t xml:space="preserve">Revlon v. MacAndrews &amp; Forbes Holdings, Inc.,</w:t>
      </w:r>
      <w:r>
        <w:t xml:space="preserve"> </w:t>
      </w:r>
      <w:r>
        <w:t xml:space="preserve"> </w:t>
      </w:r>
      <w:r>
        <w:t xml:space="preserve"> </w:t>
      </w:r>
      <w:r>
        <w:t xml:space="preserve">that the directors failed to obtain the best available price in selling the company. As the trial court correctly noted,</w:t>
      </w:r>
      <w:r>
        <w:t xml:space="preserve"> </w:t>
      </w:r>
      <w:r>
        <w:rPr>
          <w:iCs/>
          <w:i/>
        </w:rPr>
        <w:t xml:space="preserve">Revlon</w:t>
      </w:r>
      <w:r>
        <w:t xml:space="preserve"> </w:t>
      </w:r>
      <w:r>
        <w:t xml:space="preserve">did not create any new fiduciary duties. It simply held that the “board must perform its fiduciary duties in the service of a specific objective: maximizing the sale price of the enterprise.”</w:t>
      </w:r>
      <w:r>
        <w:t xml:space="preserve"> </w:t>
      </w:r>
      <w:r>
        <w:rPr>
          <w:rStyle w:val="FootnoteReference"/>
        </w:rPr>
        <w:footnoteReference w:customMarkFollows="1" w:id="174"/>
        <w:t xml:space="preserve">7</w:t>
      </w:r>
      <w:r>
        <w:t xml:space="preserve"> </w:t>
      </w:r>
      <w:r>
        <w:t xml:space="preserve">The trial court reviewed the record, and found that Ryan might be able to prevail at trial on a claim that the Lyondell directors breached their duty of care. But Lyondell’s charter includes an exculpatory provision, pursuant to 8</w:t>
      </w:r>
      <w:r>
        <w:t xml:space="preserve"> </w:t>
      </w:r>
      <w:r>
        <w:rPr>
          <w:iCs/>
          <w:i/>
        </w:rPr>
        <w:t xml:space="preserve">Del. C.</w:t>
      </w:r>
      <w:r>
        <w:t xml:space="preserve"> </w:t>
      </w:r>
      <w:r>
        <w:t xml:space="preserve">§ 102(b)(7), protecting the directors from personal liability for breaches of the duty of care. Thus, this case turns on whether any arguable shortcomings on the part of the Lyondell directors also implicate their duty of loyalty, a breach of which is not exculpated. Because the trial court determined that the board was independent and was not motivated by self-interest or ill will, the sole issue is whether the directors are entitled to summary judgment on the claim that they breached their duty of loyalty by failing to act in good faith.</w:t>
      </w:r>
    </w:p>
    <w:p>
      <w:pPr>
        <w:pStyle w:val="CaseBody"/>
      </w:pPr>
      <w:r>
        <w:t xml:space="preserve">This Court examined “good faith”</w:t>
      </w:r>
      <w:r>
        <w:rPr>
          <w:rStyle w:val="FootnoteReference"/>
        </w:rPr>
        <w:footnoteReference w:customMarkFollows="1" w:id="193"/>
        <w:t xml:space="preserve">8</w:t>
      </w:r>
      <w:r>
        <w:t xml:space="preserve"> </w:t>
      </w:r>
      <w:r>
        <w:t xml:space="preserve">in two recent decisions. In</w:t>
      </w:r>
      <w:r>
        <w:t xml:space="preserve"> </w:t>
      </w:r>
      <w:r>
        <w:rPr>
          <w:iCs/>
          <w:i/>
        </w:rPr>
        <w:t xml:space="preserve">In re Walt Disney Co. Deriv. Litig.,</w:t>
      </w:r>
      <w:r>
        <w:t xml:space="preserve"> </w:t>
      </w:r>
      <w:r>
        <w:t xml:space="preserve"> </w:t>
      </w:r>
      <w:r>
        <w:t xml:space="preserve"> </w:t>
      </w:r>
      <w:r>
        <w:t xml:space="preserve">the Court discussed the range of conduct that might be characterized as bad faith, and concluded that bad faith encompasses not only an intent to harm but also intentional dereliction of duty:</w:t>
      </w:r>
    </w:p>
    <w:p>
      <w:pPr>
        <w:pStyle w:val="BlockText"/>
      </w:pPr>
      <w:r>
        <w:t xml:space="preserve">[A]t least three different categories of fiduciary behavior are candidates for the “bad faith” pejorative label. The first category involves so-called “subjective bad faith,” that is, fiduciary conduct motivated by an actual intent to do harm.... [Sjuch conduct constitutes classic, quintessential bad faith....</w:t>
      </w:r>
    </w:p>
    <w:p>
      <w:pPr>
        <w:pStyle w:val="BlockText"/>
      </w:pPr>
      <w:r>
        <w:t xml:space="preserve">The second category of conduct, which is at the opposite end of the spectrum, involves lack of due care — that is, fiduciary action taken solely by reason of gross negligence and without any malevolent intent.... [W]e address the issue of whether gross negligence (including failure to inform one’s self of available material facts), without more, can also constitute bad faith. The answer is clearly no.</w:t>
      </w:r>
    </w:p>
    <w:p>
      <w:pPr>
        <w:pStyle w:val="BlockText"/>
      </w:pPr>
      <w:r>
        <w:t xml:space="preserve">* * :|&lt;</w:t>
      </w:r>
    </w:p>
    <w:p>
      <w:pPr>
        <w:pStyle w:val="BlockText"/>
      </w:pPr>
      <w:r>
        <w:t xml:space="preserve">That leaves the third category of fiduciary conduct, which falls in between the first two categories.... This third category is what the Chancellor’s definition of bad faith — intentional dereliction of duty, a conscious disregard for one’s responsibilities — is intended to capture. The question is whether such misconduct is properly treated as a non-excul-pable, nonindemnifiable violation of the fiduciary duty to act in good faith. In our view, it must be....</w:t>
      </w:r>
      <w:r>
        <w:t xml:space="preserve"> </w:t>
      </w:r>
      <w:r>
        <w:rPr>
          <w:rStyle w:val="FootnoteReference"/>
        </w:rPr>
        <w:footnoteReference w:customMarkFollows="1" w:id="230"/>
        <w:t xml:space="preserve">10</w:t>
      </w:r>
    </w:p>
    <w:p>
      <w:pPr>
        <w:pStyle w:val="CaseBody"/>
      </w:pPr>
      <w:r>
        <w:t xml:space="preserve">The</w:t>
      </w:r>
      <w:r>
        <w:t xml:space="preserve"> </w:t>
      </w:r>
      <w:r>
        <w:rPr>
          <w:iCs/>
          <w:i/>
        </w:rPr>
        <w:t xml:space="preserve">Disney</w:t>
      </w:r>
      <w:r>
        <w:t xml:space="preserve"> </w:t>
      </w:r>
      <w:r>
        <w:t xml:space="preserve">decision expressly disavowed any attempt to provide a comprehensive or exclusive definition of “bad faith.”</w:t>
      </w:r>
    </w:p>
    <w:p>
      <w:pPr>
        <w:pStyle w:val="CaseBody"/>
      </w:pPr>
      <w:r>
        <w:t xml:space="preserve">A few months later, in</w:t>
      </w:r>
      <w:r>
        <w:t xml:space="preserve"> </w:t>
      </w:r>
      <w:r>
        <w:rPr>
          <w:iCs/>
          <w:i/>
        </w:rPr>
        <w:t xml:space="preserve">Stone v. Ritter,</w:t>
      </w:r>
      <w:r>
        <w:t xml:space="preserve"> </w:t>
      </w:r>
      <w:r>
        <w:t xml:space="preserve"> </w:t>
      </w:r>
      <w:r>
        <w:t xml:space="preserve"> </w:t>
      </w:r>
      <w:r>
        <w:t xml:space="preserve">this Court addressed the concept of bad faith in the context of an “oversight” claim. We adopted the standard articulated ten years earlier, in</w:t>
      </w:r>
      <w:r>
        <w:t xml:space="preserve"> </w:t>
      </w:r>
      <w:r>
        <w:rPr>
          <w:iCs/>
          <w:i/>
        </w:rPr>
        <w:t xml:space="preserve">In re Caremark Int’l Deriv. Litig.:</w:t>
      </w:r>
      <w:r>
        <w:t xml:space="preserve"> </w:t>
      </w:r>
    </w:p>
    <w:p>
      <w:pPr>
        <w:pStyle w:val="BlockText"/>
      </w:pPr>
      <w:r>
        <w:t xml:space="preserve">[Wjhere a claim of directorial liability for corporate loss is predicated upon ignorance of liability creating activities within the corporation ... only a sustained or systematic failure of the board to exercise oversight — such as an utter failure to attempt to assure a reasonable information and reporting system exists — will establish the lack of good faith that is a necessary condition to liability.</w:t>
      </w:r>
    </w:p>
    <w:p>
      <w:pPr>
        <w:pStyle w:val="CaseBody"/>
      </w:pPr>
      <w:r>
        <w:t xml:space="preserve">The</w:t>
      </w:r>
      <w:r>
        <w:t xml:space="preserve"> </w:t>
      </w:r>
      <w:r>
        <w:rPr>
          <w:iCs/>
          <w:i/>
        </w:rPr>
        <w:t xml:space="preserve">Stone</w:t>
      </w:r>
      <w:r>
        <w:t xml:space="preserve"> </w:t>
      </w:r>
      <w:r>
        <w:t xml:space="preserve">Court explained that the</w:t>
      </w:r>
      <w:r>
        <w:t xml:space="preserve"> </w:t>
      </w:r>
      <w:r>
        <w:rPr>
          <w:iCs/>
          <w:i/>
        </w:rPr>
        <w:t xml:space="preserve">Care-mark</w:t>
      </w:r>
      <w:r>
        <w:t xml:space="preserve"> </w:t>
      </w:r>
      <w:r>
        <w:t xml:space="preserve">standard is fully consistent with the</w:t>
      </w:r>
      <w:r>
        <w:t xml:space="preserve"> </w:t>
      </w:r>
      <w:r>
        <w:rPr>
          <w:iCs/>
          <w:i/>
        </w:rPr>
        <w:t xml:space="preserve">Disney</w:t>
      </w:r>
      <w:r>
        <w:t xml:space="preserve"> </w:t>
      </w:r>
      <w:r>
        <w:t xml:space="preserve">definition of bad faith.</w:t>
      </w:r>
      <w:r>
        <w:t xml:space="preserve"> </w:t>
      </w:r>
      <w:r>
        <w:rPr>
          <w:iCs/>
          <w:i/>
        </w:rPr>
        <w:t xml:space="preserve">Stone</w:t>
      </w:r>
      <w:r>
        <w:t xml:space="preserve"> </w:t>
      </w:r>
      <w:r>
        <w:t xml:space="preserve">also clarified any possible ambiguity about the directors’ mental state, holding that “imposition of liability requires a showing that the directors knew that they were not discharging their fiduciary obligations.”</w:t>
      </w:r>
      <w:r>
        <w:rPr>
          <w:rStyle w:val="FootnoteReference"/>
        </w:rPr>
        <w:footnoteReference w:customMarkFollows="1" w:id="279"/>
        <w:t xml:space="preserve">13</w:t>
      </w:r>
    </w:p>
    <w:p>
      <w:pPr>
        <w:pStyle w:val="CaseBody"/>
      </w:pPr>
      <w:r>
        <w:t xml:space="preserve">The Court of Chancery recognized these legal principles, but it denied summary judgment in order to obtain a more complete record before deciding whether the directors had acted in bad faith.</w:t>
      </w:r>
      <w:r>
        <w:rPr>
          <w:rStyle w:val="FootnoteReference"/>
        </w:rPr>
        <w:footnoteReference w:customMarkFollows="1" w:id="295"/>
        <w:t xml:space="preserve">14</w:t>
      </w:r>
      <w:r>
        <w:t xml:space="preserve"> </w:t>
      </w:r>
      <w:r>
        <w:t xml:space="preserve">Under other circumstances, deferring a decision to expand the record would be appropriate.</w:t>
      </w:r>
      <w:r>
        <w:rPr>
          <w:rStyle w:val="FootnoteReference"/>
        </w:rPr>
        <w:footnoteReference w:customMarkFollows="1" w:id="310"/>
        <w:t xml:space="preserve">15</w:t>
      </w:r>
      <w:r>
        <w:t xml:space="preserve"> </w:t>
      </w:r>
      <w:r>
        <w:t xml:space="preserve">Here, however, the trial court reviewed the existing record under a mistaken view of the applicable law. Three factors contributed to that mistake. First, the trial court imposed</w:t>
      </w:r>
      <w:r>
        <w:t xml:space="preserve"> </w:t>
      </w:r>
      <w:r>
        <w:rPr>
          <w:iCs/>
          <w:i/>
        </w:rPr>
        <w:t xml:space="preserve">Revlon</w:t>
      </w:r>
      <w:r>
        <w:t xml:space="preserve"> </w:t>
      </w:r>
      <w:r>
        <w:t xml:space="preserve">duties on the Lyondell directors before they either had decided to sell, or before the sale had become inevitable. Second, the court read</w:t>
      </w:r>
      <w:r>
        <w:t xml:space="preserve"> </w:t>
      </w:r>
      <w:r>
        <w:rPr>
          <w:iCs/>
          <w:i/>
        </w:rPr>
        <w:t xml:space="preserve">Revlon</w:t>
      </w:r>
      <w:r>
        <w:t xml:space="preserve"> </w:t>
      </w:r>
      <w:r>
        <w:t xml:space="preserve">and its progeny as creating a set of requirements that must be satisfied during the sale process. Third, the trial court equated an arguably imperfect attempt to carry out Revlon duties with a knowing disregard of one’s duties that constitutes bad faith.</w:t>
      </w:r>
    </w:p>
    <w:p>
      <w:pPr>
        <w:pStyle w:val="CaseBody"/>
      </w:pPr>
      <w:r>
        <w:t xml:space="preserve">Summai-y judgment may be granted if there are no material issues of fact in dispute and the moving party is entitled to judgment as a matter of law. The facts, and all reasonable inferences, must be considered in the light most favorable to the non-moving party.</w:t>
      </w:r>
      <w:r>
        <w:rPr>
          <w:rStyle w:val="FootnoteReference"/>
        </w:rPr>
        <w:footnoteReference w:customMarkFollows="1" w:id="324"/>
        <w:t xml:space="preserve">16</w:t>
      </w:r>
      <w:r>
        <w:t xml:space="preserve"> </w:t>
      </w:r>
      <w:r>
        <w:t xml:space="preserve">The Court of Chancery identified several undisputed facts that would support the entry of judgment in favor of the Lyondell directors: the directors were “active, sophisticated, and generally aware of the value of the Company and the conditions of the markets in which the Company operated.”</w:t>
      </w:r>
      <w:r>
        <w:rPr>
          <w:rStyle w:val="FootnoteReference"/>
        </w:rPr>
        <w:footnoteReference w:customMarkFollows="1" w:id="338"/>
        <w:t xml:space="preserve">17</w:t>
      </w:r>
      <w:r>
        <w:t xml:space="preserve"> </w:t>
      </w:r>
      <w:r>
        <w:t xml:space="preserve">They had reason to believe that no other bidders would emerge, given the price Based had offered and the limited universe of companies that might be interested in acquiring Lyondell’s unique assets. Smith negotiated the price up from $40 to $48 per share — a price that Deutsche Bank opined was fair. Finally, no other acqui-ror expressed interest during the four months between the merger announcement and the stockholder vote.</w:t>
      </w:r>
    </w:p>
    <w:p>
      <w:pPr>
        <w:pStyle w:val="CaseBody"/>
      </w:pPr>
      <w:r>
        <w:t xml:space="preserve">Other facts, however, led the trial court to “question the adequacy of the Board’s knowledge and efforts....”</w:t>
      </w:r>
      <w:r>
        <w:rPr>
          <w:rStyle w:val="FootnoteReference"/>
        </w:rPr>
        <w:footnoteReference w:customMarkFollows="1" w:id="351"/>
        <w:t xml:space="preserve">18</w:t>
      </w:r>
      <w:r>
        <w:t xml:space="preserve"> </w:t>
      </w:r>
      <w:r>
        <w:t xml:space="preserve">After the Schedule 13D was filed in May, the directors apparently took no action to prepare for a possible acquisition proposal. The merger was negotiated and finalized in less than one week, during which time the directors met for a total of only seven hours to consider the matter. The directors did not seriously press Blavatnik for a better price, nor did they conduct even a limited market check. Moreover, although the deal protections were not unusual or preclusive, the trial court was troubled by “the Board’s decision to grant considerable protection to a deal that may not have been adequately vetted under Revlon.”</w:t>
      </w:r>
      <w:r>
        <w:rPr>
          <w:rStyle w:val="FootnoteReference"/>
        </w:rPr>
        <w:footnoteReference w:customMarkFollows="1" w:id="364"/>
        <w:t xml:space="preserve">19</w:t>
      </w:r>
    </w:p>
    <w:p>
      <w:pPr>
        <w:pStyle w:val="CaseBody"/>
      </w:pPr>
      <w:r>
        <w:t xml:space="preserve">The trial court found the directors’ failure to act during the two months after the filing of the Basell Schedule 13D critical to its analysis of their good faith. The court pointedly referred to the directors’ “two months of slothful indifference despite</w:t>
      </w:r>
      <w:r>
        <w:t xml:space="preserve"> </w:t>
      </w:r>
      <w:r>
        <w:rPr>
          <w:iCs/>
          <w:i/>
        </w:rPr>
        <w:t xml:space="preserve">knowing</w:t>
      </w:r>
      <w:r>
        <w:t xml:space="preserve"> </w:t>
      </w:r>
      <w:r>
        <w:t xml:space="preserve">that the Company was in play,”</w:t>
      </w:r>
      <w:r>
        <w:rPr>
          <w:rStyle w:val="FootnoteReference"/>
        </w:rPr>
        <w:footnoteReference w:customMarkFollows="1" w:id="377"/>
        <w:t xml:space="preserve">20</w:t>
      </w:r>
      <w:r>
        <w:t xml:space="preserve"> </w:t>
      </w:r>
      <w:r>
        <w:t xml:space="preserve">and the fact that they “languidly awaited overtures from potential suitors... .”</w:t>
      </w:r>
      <w:r>
        <w:rPr>
          <w:rStyle w:val="FootnoteReference"/>
        </w:rPr>
        <w:footnoteReference w:customMarkFollows="1" w:id="390"/>
        <w:t xml:space="preserve">21</w:t>
      </w:r>
      <w:r>
        <w:t xml:space="preserve"> </w:t>
      </w:r>
      <w:r>
        <w:t xml:space="preserve">In the end, the trial court found that it was this “failing” that warranted denial of their motion for summary judgment:</w:t>
      </w:r>
    </w:p>
    <w:p>
      <w:pPr>
        <w:pStyle w:val="BlockText"/>
      </w:pPr>
      <w:r>
        <w:t xml:space="preserve">[T]he Opinion clearly questions whether the Defendants “engaged” in the sale process.... This is where the 13D filing in May 2007 and the subsequent two months of (apparent) Board inactivity become critical.... [T]he Directors made</w:t>
      </w:r>
      <w:r>
        <w:t xml:space="preserve"> </w:t>
      </w:r>
      <w:r>
        <w:rPr>
          <w:iCs/>
          <w:i/>
        </w:rPr>
        <w:t xml:space="preserve">no apparent effort</w:t>
      </w:r>
      <w:r>
        <w:t xml:space="preserve"> </w:t>
      </w:r>
      <w:r>
        <w:t xml:space="preserve">to arm themselves with</w:t>
      </w:r>
      <w:r>
        <w:t xml:space="preserve"> </w:t>
      </w:r>
      <w:r>
        <w:rPr>
          <w:iCs/>
          <w:i/>
        </w:rPr>
        <w:t xml:space="preserve">specific knowledge</w:t>
      </w:r>
      <w:r>
        <w:t xml:space="preserve"> </w:t>
      </w:r>
      <w:r>
        <w:t xml:space="preserve">about the present value of the Company in the May through July 2007 time period, despite</w:t>
      </w:r>
      <w:r>
        <w:t xml:space="preserve"> </w:t>
      </w:r>
      <w:r>
        <w:rPr>
          <w:iCs/>
          <w:i/>
        </w:rPr>
        <w:t xml:space="preserve">admittedly knowing</w:t>
      </w:r>
      <w:r>
        <w:t xml:space="preserve"> </w:t>
      </w:r>
      <w:r>
        <w:t xml:space="preserve">that the 13D filing ... effectively put the Company “in play,” and, therefore, presumably, also knowing that an offer for the sale of the Company could occur at any time. It is these facts that raise the specter of “bad faith” in the present summary judgment record....</w:t>
      </w:r>
      <w:r>
        <w:rPr>
          <w:rStyle w:val="FootnoteReference"/>
        </w:rPr>
        <w:footnoteReference w:customMarkFollows="1" w:id="403"/>
        <w:t xml:space="preserve">22</w:t>
      </w:r>
    </w:p>
    <w:p>
      <w:pPr>
        <w:pStyle w:val="CaseBody"/>
      </w:pPr>
      <w:r>
        <w:t xml:space="preserve">The problem with the trial court’s analysis is that</w:t>
      </w:r>
      <w:r>
        <w:t xml:space="preserve"> </w:t>
      </w:r>
      <w:r>
        <w:rPr>
          <w:iCs/>
          <w:i/>
        </w:rPr>
        <w:t xml:space="preserve">Revlon</w:t>
      </w:r>
      <w:r>
        <w:t xml:space="preserve"> </w:t>
      </w:r>
      <w:r>
        <w:t xml:space="preserve">duties do not arise simply because a company is “in play.”</w:t>
      </w:r>
      <w:r>
        <w:rPr>
          <w:rStyle w:val="FootnoteReference"/>
        </w:rPr>
        <w:footnoteReference w:customMarkFollows="1" w:id="415"/>
        <w:t xml:space="preserve">23</w:t>
      </w:r>
      <w:r>
        <w:t xml:space="preserve"> </w:t>
      </w:r>
      <w:r>
        <w:t xml:space="preserve">The duty to seek the best available price applies only when a company embarks on a transaction — on its own initiative or in response to an unsolicited offer — that will result in a change of control.</w:t>
      </w:r>
      <w:r>
        <w:rPr>
          <w:rStyle w:val="FootnoteReference"/>
        </w:rPr>
        <w:footnoteReference w:customMarkFollows="1" w:id="427"/>
        <w:t xml:space="preserve">24</w:t>
      </w:r>
      <w:r>
        <w:t xml:space="preserve"> </w:t>
      </w:r>
      <w:r>
        <w:t xml:space="preserve">Basell’s Schedule 13D did put the Lyondell directors, and the market in general, on notice that Basell was interested in acquiring Lyondell. The directors responded by promptly holding a special meeting to consider whether Lyondell should take any action. The directors decided that they would neither put the company up for sale nor institute defensive measures to fend off a possible hostile offer. Instead, they decided to take a “wait and see” approach. That decision was an entirely appropriate exercise of the directors’ business judgment. The time for action under</w:t>
      </w:r>
      <w:r>
        <w:t xml:space="preserve"> </w:t>
      </w:r>
      <w:r>
        <w:rPr>
          <w:iCs/>
          <w:i/>
        </w:rPr>
        <w:t xml:space="preserve">Revlon</w:t>
      </w:r>
      <w:r>
        <w:t xml:space="preserve"> </w:t>
      </w:r>
      <w:r>
        <w:t xml:space="preserve">did not begin until July 10, 2007, when the directors began negotiating the sale of Lyondell.</w:t>
      </w:r>
    </w:p>
    <w:p>
      <w:pPr>
        <w:pStyle w:val="CaseBody"/>
      </w:pPr>
      <w:r>
        <w:t xml:space="preserve">The Court of Chancery focused on the directors’ two months of inaction, when it should have focused on the one week during which they considered Basell’s offer. During that one week, the directors met several times; their CEO tried to negotiate better terms; they evaluated Lyon-dell’s value, the price offered and the likelihood of obtaining a better price; and then the directors approved the merger. The trial court acknowledged that the directors’ conduct during those seven days might not demonstrate anything more than lack of due care.</w:t>
      </w:r>
      <w:r>
        <w:rPr>
          <w:rStyle w:val="FootnoteReference"/>
        </w:rPr>
        <w:footnoteReference w:customMarkFollows="1" w:id="438"/>
        <w:t xml:space="preserve">25</w:t>
      </w:r>
      <w:r>
        <w:t xml:space="preserve"> </w:t>
      </w:r>
      <w:r>
        <w:t xml:space="preserve">But the court remained skeptical about the directors’ good faith— at least on the present record. That lingering concern was based on the trial court’s synthesis of the</w:t>
      </w:r>
      <w:r>
        <w:t xml:space="preserve"> </w:t>
      </w:r>
      <w:r>
        <w:rPr>
          <w:iCs/>
          <w:i/>
        </w:rPr>
        <w:t xml:space="preserve">Revlon</w:t>
      </w:r>
      <w:r>
        <w:t xml:space="preserve"> </w:t>
      </w:r>
      <w:r>
        <w:t xml:space="preserve">line of cases, which led it to the erroneous conclusion that directors must follow one of several courses of action to satisfy their</w:t>
      </w:r>
      <w:r>
        <w:t xml:space="preserve"> </w:t>
      </w:r>
      <w:r>
        <w:rPr>
          <w:iCs/>
          <w:i/>
        </w:rPr>
        <w:t xml:space="preserve">Revlon</w:t>
      </w:r>
      <w:r>
        <w:t xml:space="preserve"> </w:t>
      </w:r>
      <w:r>
        <w:t xml:space="preserve">duties.</w:t>
      </w:r>
    </w:p>
    <w:p>
      <w:pPr>
        <w:pStyle w:val="CaseBody"/>
      </w:pPr>
      <w:r>
        <w:t xml:space="preserve">There is only one</w:t>
      </w:r>
      <w:r>
        <w:t xml:space="preserve"> </w:t>
      </w:r>
      <w:r>
        <w:rPr>
          <w:iCs/>
          <w:i/>
        </w:rPr>
        <w:t xml:space="preserve">Revlon</w:t>
      </w:r>
      <w:r>
        <w:t xml:space="preserve"> </w:t>
      </w:r>
      <w:r>
        <w:t xml:space="preserve">duty— to “[get] the best price for the stockholders at a sale of the company.”</w:t>
      </w:r>
      <w:r>
        <w:rPr>
          <w:rStyle w:val="FootnoteReference"/>
        </w:rPr>
        <w:footnoteReference w:customMarkFollows="1" w:id="449"/>
        <w:t xml:space="preserve">26</w:t>
      </w:r>
      <w:r>
        <w:t xml:space="preserve"> </w:t>
      </w:r>
      <w:r>
        <w:t xml:space="preserve">No court can tell directors exactly how to accomplish that goal, because they will be facing a unique combination of circumstances, many of which will be outside their control. As we noted in</w:t>
      </w:r>
      <w:r>
        <w:t xml:space="preserve"> </w:t>
      </w:r>
      <w:r>
        <w:rPr>
          <w:iCs/>
          <w:i/>
        </w:rPr>
        <w:t xml:space="preserve">Barkan v. Amsted Industries, Inc.,</w:t>
      </w:r>
      <w:r>
        <w:t xml:space="preserve"> </w:t>
      </w:r>
      <w:r>
        <w:t xml:space="preserve">“there is no single blueprint that a board must follow to fulfill its duties.”</w:t>
      </w:r>
      <w:r>
        <w:rPr>
          <w:rStyle w:val="FootnoteReference"/>
        </w:rPr>
        <w:footnoteReference w:customMarkFollows="1" w:id="460"/>
        <w:t xml:space="preserve">27</w:t>
      </w:r>
      <w:r>
        <w:t xml:space="preserve"> </w:t>
      </w:r>
      <w:r>
        <w:t xml:space="preserve">That said, our courts have highlighted both the positive and negative aspects of various boards’ conduct under Revlon.</w:t>
      </w:r>
      <w:r>
        <w:rPr>
          <w:rStyle w:val="FootnoteReference"/>
        </w:rPr>
        <w:footnoteReference w:customMarkFollows="1" w:id="470"/>
        <w:t xml:space="preserve">28</w:t>
      </w:r>
      <w:r>
        <w:t xml:space="preserve"> </w:t>
      </w:r>
      <w:r>
        <w:t xml:space="preserve">The trial court drew several principles from those cases: directors must “engage actively in the sale process,”</w:t>
      </w:r>
      <w:r>
        <w:t xml:space="preserve"> </w:t>
      </w:r>
      <w:r>
        <w:rPr>
          <w:rStyle w:val="FootnoteReference"/>
        </w:rPr>
        <w:footnoteReference w:customMarkFollows="1" w:id="479"/>
        <w:t xml:space="preserve">29</w:t>
      </w:r>
      <w:r>
        <w:t xml:space="preserve"> </w:t>
      </w:r>
      <w:r>
        <w:t xml:space="preserve">and they must confirm that they have obtained the best available price either by conducting an auction, by conducting a market check, or by demonstrating “an impeccable knowledge of the market.”</w:t>
      </w:r>
      <w:r>
        <w:t xml:space="preserve"> </w:t>
      </w:r>
      <w:r>
        <w:rPr>
          <w:rStyle w:val="FootnoteReference"/>
        </w:rPr>
        <w:footnoteReference w:customMarkFollows="1" w:id="487"/>
        <w:t xml:space="preserve">30</w:t>
      </w:r>
    </w:p>
    <w:p>
      <w:pPr>
        <w:pStyle w:val="CaseBody"/>
      </w:pPr>
      <w:r>
        <w:t xml:space="preserve">The Lyondell directors did not conduct an auction or a market check, and they did not satisfy the trial court that they had the “impeccable” market knowledge that the court believed was necessary to excuse their failure to pursue one of the first two alternatives. As a result, the Court of Chancery was unable to conclude that the directors had met their burden under</w:t>
      </w:r>
      <w:r>
        <w:t xml:space="preserve"> </w:t>
      </w:r>
      <w:r>
        <w:rPr>
          <w:iCs/>
          <w:i/>
        </w:rPr>
        <w:t xml:space="preserve">Revlon.</w:t>
      </w:r>
      <w:r>
        <w:t xml:space="preserve"> </w:t>
      </w:r>
      <w:r>
        <w:t xml:space="preserve">In evaluating the totality of the circumstances, even on this limited record, we would be inclined to hold otherwise. But we would not question the trial court’s decision to seek additional evidence if the issue were whether the directors had exercised due care. Where, as here, the issue is whether the directors failed to act in good faith, the analysis is very different, and the existing record mandates the entry of judgment in favor of the directors.</w:t>
      </w:r>
    </w:p>
    <w:p>
      <w:pPr>
        <w:pStyle w:val="CaseBody"/>
      </w:pPr>
      <w:r>
        <w:t xml:space="preserve">As discussed above, bad faith will be found if a “fiduciary intentionally fails to act in the face of a known duty to act, demonstrating a conscious disregard for his duties.”</w:t>
      </w:r>
      <w:r>
        <w:rPr>
          <w:rStyle w:val="FootnoteReference"/>
        </w:rPr>
        <w:footnoteReference w:customMarkFollows="1" w:id="495"/>
        <w:t xml:space="preserve">31</w:t>
      </w:r>
      <w:r>
        <w:t xml:space="preserve"> </w:t>
      </w:r>
      <w:r>
        <w:t xml:space="preserve">The trial court decided that the</w:t>
      </w:r>
      <w:r>
        <w:t xml:space="preserve"> </w:t>
      </w:r>
      <w:r>
        <w:rPr>
          <w:iCs/>
          <w:i/>
        </w:rPr>
        <w:t xml:space="preserve">Revlon</w:t>
      </w:r>
      <w:r>
        <w:t xml:space="preserve"> </w:t>
      </w:r>
      <w:r>
        <w:t xml:space="preserve">sale process must follow one of three courses, and that the Lyondell directors did not discharge that “known set of [Revlon] ‘duties’.”</w:t>
      </w:r>
      <w:r>
        <w:rPr>
          <w:rStyle w:val="FootnoteReference"/>
        </w:rPr>
        <w:footnoteReference w:customMarkFollows="1" w:id="503"/>
        <w:t xml:space="preserve">32</w:t>
      </w:r>
      <w:r>
        <w:t xml:space="preserve"> </w:t>
      </w:r>
      <w:r>
        <w:t xml:space="preserve">But, as noted, there are no legally prescribed steps that directors must follow to satisfy their</w:t>
      </w:r>
      <w:r>
        <w:t xml:space="preserve"> </w:t>
      </w:r>
      <w:r>
        <w:rPr>
          <w:iCs/>
          <w:i/>
        </w:rPr>
        <w:t xml:space="preserve">Revlon</w:t>
      </w:r>
      <w:r>
        <w:t xml:space="preserve"> </w:t>
      </w:r>
      <w:r>
        <w:t xml:space="preserve">duties. Thus, the directors’ failure to take any specific steps during the sale process could not have demonstrated a conscious disregard of their duties. More importantly, there is a vast difference between an inadequate or flawed effort to carry out fiduciary duties and a conscious disregard for those duties.</w:t>
      </w:r>
    </w:p>
    <w:p>
      <w:pPr>
        <w:pStyle w:val="CaseBody"/>
      </w:pPr>
      <w:r>
        <w:t xml:space="preserve">Directors’ decisions must be reasonable, not perfect.</w:t>
      </w:r>
      <w:r>
        <w:rPr>
          <w:rStyle w:val="FootnoteReference"/>
        </w:rPr>
        <w:footnoteReference w:customMarkFollows="1" w:id="511"/>
        <w:t xml:space="preserve">33</w:t>
      </w:r>
      <w:r>
        <w:t xml:space="preserve"> </w:t>
      </w:r>
      <w:r>
        <w:t xml:space="preserve">“In the transactional context, [an] extreme set of facts [is] required to sustain a disloyalty claim premised on the notion that disinterested directors were intentionally disregarding their duties.”</w:t>
      </w:r>
      <w:r>
        <w:rPr>
          <w:rStyle w:val="FootnoteReference"/>
        </w:rPr>
        <w:footnoteReference w:customMarkFollows="1" w:id="519"/>
        <w:t xml:space="preserve">34</w:t>
      </w:r>
      <w:r>
        <w:t xml:space="preserve"> </w:t>
      </w:r>
      <w:r>
        <w:t xml:space="preserve">The trial court denied summary judgment because the Lyondell directors’ “unexplained inaction” prevented the court from determining that they had acted in good faith.</w:t>
      </w:r>
      <w:r>
        <w:rPr>
          <w:rStyle w:val="FootnoteReference"/>
        </w:rPr>
        <w:footnoteReference w:customMarkFollows="1" w:id="527"/>
        <w:t xml:space="preserve">35</w:t>
      </w:r>
      <w:r>
        <w:t xml:space="preserve"> </w:t>
      </w:r>
      <w:r>
        <w:t xml:space="preserve">But, if the directors failed to do all that they should have under the circumstances, they breached their duty of care. Only if they knowingly and completely failed to undertake their responsibilities would they breach their duty of loyalty. The trial court approached the record from the wrong perspective. Instead of questioning whether disinterested, independent directors did everything that they (arguably) should have done to obtain the best sale price, the inquiry should have been whether those directors utterly failed to attempt to obtain the best sale price.</w:t>
      </w:r>
      <w:r>
        <w:rPr>
          <w:rStyle w:val="FootnoteReference"/>
        </w:rPr>
        <w:footnoteReference w:customMarkFollows="1" w:id="535"/>
        <w:t xml:space="preserve">36</w:t>
      </w:r>
    </w:p>
    <w:p>
      <w:pPr>
        <w:pStyle w:val="CaseBody"/>
      </w:pPr>
      <w:r>
        <w:t xml:space="preserve">Viewing the record in this manner leads to only one possible conclusion. The Lyondell directors met several times to consider Basell’s premium offer. They were generally aware of the value of their company and they knew the chemical company market. The directors solicited and followed the advice of their financial and legal advisors. They attempted to negotiate a higher offer even though all the evidence indicates that Basell had offered a “blowout” price.</w:t>
      </w:r>
      <w:r>
        <w:rPr>
          <w:rStyle w:val="FootnoteReference"/>
        </w:rPr>
        <w:footnoteReference w:customMarkFollows="1" w:id="542"/>
        <w:t xml:space="preserve">37</w:t>
      </w:r>
      <w:r>
        <w:t xml:space="preserve"> </w:t>
      </w:r>
      <w:r>
        <w:t xml:space="preserve">Finally, they approved the merger agreement, because “it was simply too good not to pass along [to the stockholders] for their consideration.”</w:t>
      </w:r>
      <w:r>
        <w:t xml:space="preserve"> </w:t>
      </w:r>
      <w:r>
        <w:rPr>
          <w:rStyle w:val="FootnoteReference"/>
        </w:rPr>
        <w:footnoteReference w:customMarkFollows="1" w:id="549"/>
        <w:t xml:space="preserve">38</w:t>
      </w:r>
      <w:r>
        <w:t xml:space="preserve"> </w:t>
      </w:r>
      <w:r>
        <w:t xml:space="preserve">We assume, as we must on summary judgment, that the Lyondell directors did absolutely nothing to prepare for Basell’s offer, and that they did not even consider conducting a market check before agreeing to the merger. Even so, this record clearly establishes that the Lyondell directors did not breach their duty of loyalty by failing to act in good faith. In concluding otherwise, the Court of Chancery reversibly erred.</w:t>
      </w:r>
    </w:p>
    <w:p>
      <w:pPr>
        <w:pStyle w:val="CaseBody"/>
      </w:pPr>
      <w:r>
        <w:t xml:space="preserve">CONCLUSION</w:t>
      </w:r>
    </w:p>
    <w:p>
      <w:pPr>
        <w:pStyle w:val="CaseBody"/>
      </w:pPr>
      <w:r>
        <w:t xml:space="preserve">Based on the foregoing, the decision of the Court of Chancery is reversed and this matter is remanded for entry of judgment in favor of the Lyondell directors. Jurisdiction is not retained.</w:t>
      </w:r>
    </w:p>
    <w:bookmarkStart w:id="123" w:name="_auto_toc_123"/>
    <w:bookmarkEnd w:id="123"/>
    <w:p>
      <w:pPr>
        <w:pStyle w:val="ResourceNumber"/>
      </w:pPr>
      <w:r>
        <w:t xml:space="preserve">10.1.6</w:t>
      </w:r>
    </w:p>
    <w:p>
      <w:pPr>
        <w:pStyle w:val="ResourceTitle"/>
      </w:pPr>
      <w:r>
        <w:t xml:space="preserve">C &amp; J Energy Services, Inc. v. City of Miami General Employees'</w:t>
      </w:r>
    </w:p>
    <w:p>
      <w:pPr>
        <w:pStyle w:val="HeadEnd"/>
      </w:pPr>
      <w:r>
        <w:t xml:space="preserve"> </w:t>
      </w:r>
    </w:p>
    <w:p>
      <w:pPr>
        <w:pStyle w:val="CaseHeader"/>
      </w:pPr>
      <w:r>
        <w:t xml:space="preserve">Delaware Supreme Court</w:t>
      </w:r>
    </w:p>
    <w:p>
      <w:pPr>
        <w:pStyle w:val="CaseHeader"/>
      </w:pPr>
      <w:r>
        <w:t xml:space="preserve">107 A.3d 1049</w:t>
      </w:r>
    </w:p>
    <w:p>
      <w:pPr>
        <w:pStyle w:val="CaseHeader"/>
      </w:pPr>
      <w:r>
        <w:t xml:space="preserve">No. 655/657, 2014</w:t>
      </w:r>
    </w:p>
    <w:p>
      <w:pPr>
        <w:pStyle w:val="CaseHeader"/>
      </w:pPr>
      <w:r>
        <w:t xml:space="preserve">2014-12-19</w:t>
      </w:r>
    </w:p>
    <w:p>
      <w:pPr>
        <w:pStyle w:val="CaseBody"/>
      </w:pPr>
      <w:r>
        <w:t xml:space="preserve">Submitted: December 17, 2014</w:t>
      </w:r>
    </w:p>
    <w:p>
      <w:pPr>
        <w:pStyle w:val="CaseBody"/>
      </w:pPr>
      <w:r>
        <w:t xml:space="preserve">Stephen C. Norman, Esquire, Michael A. Pittenger, Esquire, Jaclyn C. Levy, Esquire, Potter Anderson &amp; Corroon LLP, Wilmington, Delaware; Michael C. Holmes, Esquire (argued), Elizabeth C. Brandon, Esquire, Vinson</w:t>
      </w:r>
      <w:r>
        <w:t xml:space="preserve"> </w:t>
      </w:r>
      <w:r>
        <w:rPr>
          <w:iCs/>
          <w:i/>
        </w:rPr>
        <w:t xml:space="preserve">&amp;</w:t>
      </w:r>
      <w:r>
        <w:t xml:space="preserve"> </w:t>
      </w:r>
      <w:r>
        <w:t xml:space="preserve">Elkins LLP, Dallas, Texas, Attorneys for Appellants C &amp; J Energy Services, Inc., Joshua E. Com-stock, Randall C. McMullen, Darren M. Friedman, Adrianna Ma, Michael Roemer, C. James Stewart, III, and H.H. “Tripp” Wommack, III.</w:t>
      </w:r>
    </w:p>
    <w:p>
      <w:pPr>
        <w:pStyle w:val="CaseBody"/>
      </w:pPr>
      <w:r>
        <w:t xml:space="preserve">William M. Lafferty, Esquire, Leslie A. Polizoti, Esquire, Eric S. Klinger-Wilen-sky, Esquire, Lindsay M. Kwoka, Esquire, Morris, Nichols, Arsht &amp; Tunnell LLP, Wilmington, Delaware; Alan J. Stone, Esquire (argued), Hailey DeKraker, Esquire, Milbank, Tweed, Hadley &amp; McCloy LLP, New York, New York, for Appellants Na-bors Industries Ltd. and Nabors Red Lion Limited.</w:t>
      </w:r>
    </w:p>
    <w:p>
      <w:pPr>
        <w:pStyle w:val="CaseBody"/>
      </w:pPr>
      <w:r>
        <w:t xml:space="preserve">Stuart M. Grant, Esquire, James J. Sa-bella, Esquire, Mary S. Thomas, Esquire, Jonathan M. Kass, Esquire, Grant &amp; Ei-senhofer P.A., Wilmington, Delaware; Mark Lebovitch, Esquire, Jeroen van Kwawegen, Esquire (argued), Abe Alexander, Esquire, Bernstein Litowitz Berger &amp; Grossmann LLP, New York, New York, Attorneys for Appellee City of Miami General Employees’ and Sanitation Employees’ Retirement Trust.</w:t>
      </w:r>
    </w:p>
    <w:p>
      <w:pPr>
        <w:pStyle w:val="CaseBody"/>
      </w:pPr>
      <w:r>
        <w:t xml:space="preserve">Before STRINE; Chief Justice; HOLLAND, RIDGELY, VALIHURA, and VAUGHN, Justices, constituting the Court en Banc.</w:t>
      </w:r>
    </w:p>
    <w:p>
      <w:pPr>
        <w:pStyle w:val="CaseBody"/>
      </w:pPr>
      <w:r>
        <w:t xml:space="preserve">STRINE, Chief Justice:</w:t>
      </w:r>
    </w:p>
    <w:p>
      <w:pPr>
        <w:pStyle w:val="CaseBody"/>
      </w:pPr>
      <w:r>
        <w:t xml:space="preserve">I. INTRODUCTION</w:t>
      </w:r>
    </w:p>
    <w:p>
      <w:pPr>
        <w:pStyle w:val="CaseBody"/>
      </w:pPr>
      <w:r>
        <w:t xml:space="preserve">This is an expedited appeal from the Court of Chancery’s imposition of an unusual preliminary injunction.</w:t>
      </w:r>
      <w:r>
        <w:rPr>
          <w:rStyle w:val="FootnoteReference"/>
        </w:rPr>
        <w:footnoteReference w:customMarkFollows="1" w:id="31"/>
        <w:t xml:space="preserve">1</w:t>
      </w:r>
      <w:r>
        <w:t xml:space="preserve"> </w:t>
      </w:r>
      <w:r>
        <w:t xml:space="preserve">City of Miami General Employees’ and Sanitation Employees’ Retirement Trust (“the plaintiffs”) brought a class action on behalf of itself and other stockholders in C &amp; J Energy Services, Inc. (“C &amp; J”) to enjoin a merger between C &amp; J and a division of its competitor, Nabors Industries Ltd. (“Na-bors”). The proposed transaction is itself unusual in that C &amp; J, a U.S. corporation, will acquire a subsidiary of Nabors, which is domiciled in Bermuda, but Nabors will retain a majority of the equity in the surviving company. To obtain more favorable tax rates, the surviving entity, C &amp; J Energy Services, Ltd. (“New C</w:t>
      </w:r>
      <w:r>
        <w:t xml:space="preserve"> </w:t>
      </w:r>
      <w:r>
        <w:rPr>
          <w:iCs/>
          <w:i/>
        </w:rPr>
        <w:t xml:space="preserve">&amp;</w:t>
      </w:r>
      <w:r>
        <w:t xml:space="preserve"> </w:t>
      </w:r>
      <w:r>
        <w:t xml:space="preserve">J”), will be based in Bermuda, and thus subject to lower corporate tax rates than C &amp; J currently pays.</w:t>
      </w:r>
    </w:p>
    <w:p>
      <w:pPr>
        <w:pStyle w:val="CaseBody"/>
      </w:pPr>
      <w:r>
        <w:t xml:space="preserve">To temper Nabors’ majority voting control of the surviving company, C &amp; J negotiated for certain protections, including a bye-law</w:t>
      </w:r>
      <w:r>
        <w:rPr>
          <w:rStyle w:val="FootnoteReference"/>
        </w:rPr>
        <w:footnoteReference w:customMarkFollows="1" w:id="60"/>
        <w:t xml:space="preserve">2</w:t>
      </w:r>
      <w:r>
        <w:t xml:space="preserve"> </w:t>
      </w:r>
      <w:r>
        <w:t xml:space="preserve">guaranteeing that all stockholders would share</w:t>
      </w:r>
      <w:r>
        <w:t xml:space="preserve"> </w:t>
      </w:r>
      <w:r>
        <w:rPr>
          <w:iCs/>
          <w:i/>
        </w:rPr>
        <w:t xml:space="preserve">pro rata</w:t>
      </w:r>
      <w:r>
        <w:t xml:space="preserve"> </w:t>
      </w:r>
      <w:r>
        <w:t xml:space="preserve">in any future sale of New C &amp; J, which can only be repealed by a unanimous stockholder vote. C &amp; J also bargained for a “fiduciary out” if a superior proposal was to emerge during a lengthy passive market check, an unusual request for the buyer in a change of control transaction. And during that market check, a potential competing bidder faced only modest deal protection barriers.</w:t>
      </w:r>
    </w:p>
    <w:p>
      <w:pPr>
        <w:pStyle w:val="CaseBody"/>
      </w:pPr>
      <w:r>
        <w:t xml:space="preserve">Although the Court of Chancery found that the C &amp; J board harbored no conflict of interest and was fully informed about its own company’s value, the court determined there was a “plausible” violation of the board’s</w:t>
      </w:r>
      <w:r>
        <w:t xml:space="preserve"> </w:t>
      </w:r>
      <w:r>
        <w:rPr>
          <w:iCs/>
          <w:i/>
        </w:rPr>
        <w:t xml:space="preserve">Revlon</w:t>
      </w:r>
      <w:r>
        <w:t xml:space="preserve"> </w:t>
      </w:r>
      <w:r>
        <w:t xml:space="preserve">duties</w:t>
      </w:r>
      <w:r>
        <w:rPr>
          <w:rStyle w:val="FootnoteReference"/>
        </w:rPr>
        <w:footnoteReference w:customMarkFollows="1" w:id="86"/>
        <w:t xml:space="preserve">3</w:t>
      </w:r>
      <w:r>
        <w:t xml:space="preserve"> </w:t>
      </w:r>
      <w:r>
        <w:t xml:space="preserve">because the board did not affirmatively shop the company either before or after signing.</w:t>
      </w:r>
      <w:r>
        <w:rPr>
          <w:rStyle w:val="FootnoteReference"/>
        </w:rPr>
        <w:footnoteReference w:customMarkFollows="1" w:id="110"/>
        <w:t xml:space="preserve">4</w:t>
      </w:r>
      <w:r>
        <w:t xml:space="preserve"> </w:t>
      </w:r>
      <w:r>
        <w:t xml:space="preserve">On that basis, the Court of Chancery enjoined the stockholder vote for 80 days, despite finding no reason to believe that C &amp; J stockholders — who must vote to approve the transaction — would not have a fair opportunity to evaluate the deal for themselves on its economic merits.</w:t>
      </w:r>
    </w:p>
    <w:p>
      <w:pPr>
        <w:pStyle w:val="CaseBody"/>
      </w:pPr>
      <w:r>
        <w:t xml:space="preserve">The Court of Chancery’s order also required C &amp; J to- shop itself in violation of the merger agreement between C&amp;J and Nabors, which prohibited C&amp;J from soliciting other bids. The order dealt with this issue by stating “[t]he solicitation of proposals consistent with this Order and any subsequent negotiations of any alternative proposal that emerges will not constitute a breach of the Merger Agreement in any respect.”</w:t>
      </w:r>
      <w:r>
        <w:rPr>
          <w:rStyle w:val="FootnoteReference"/>
        </w:rPr>
        <w:footnoteReference w:customMarkFollows="1" w:id="133"/>
        <w:t xml:space="preserve">5</w:t>
      </w:r>
    </w:p>
    <w:p>
      <w:pPr>
        <w:pStyle w:val="CaseBody"/>
      </w:pPr>
      <w:r>
        <w:t xml:space="preserve">But the Court of Chancery did not rely on undisputed facts showing a reasonable probability that the board had breached its fiduciary duties when it imposed this mandatory, affirmative injunction. Instead, it is undisputed that a deal with Nabors made strategic business sense and offered substantial benefits for C &amp; J’s stockholders. Moreover, the order stripped Nabors of its contractual rights even though the Court of Chancery did not make any finding that Nabors was an aider and abettor, or even a finding that there was a reasonable probability of a breach by C &amp; J’s board that Nabors could have aided and abetted.</w:t>
      </w:r>
    </w:p>
    <w:p>
      <w:pPr>
        <w:pStyle w:val="CaseBody"/>
      </w:pPr>
      <w:r>
        <w:t xml:space="preserve">We assume for the sake of analysis that</w:t>
      </w:r>
      <w:r>
        <w:t xml:space="preserve"> </w:t>
      </w:r>
      <w:r>
        <w:rPr>
          <w:iCs/>
          <w:i/>
        </w:rPr>
        <w:t xml:space="preserve">Revlon</w:t>
      </w:r>
      <w:r>
        <w:t xml:space="preserve"> </w:t>
      </w:r>
      <w:r>
        <w:t xml:space="preserve">was invoked by the pending transaction because Nabors will acquire a majority of New C &amp; J’s voting shares. But we nonetheless conclude that the Court of Chancery’s injunction cannot stand. A preliminary injunction must be supported by a finding by the Court of Chancery that the plaintiffs have demonstrated a reasonable probability of success on the merits.</w:t>
      </w:r>
      <w:r>
        <w:rPr>
          <w:rStyle w:val="FootnoteReference"/>
        </w:rPr>
        <w:footnoteReference w:customMarkFollows="1" w:id="155"/>
        <w:t xml:space="preserve">6</w:t>
      </w:r>
      <w:r>
        <w:t xml:space="preserve"> </w:t>
      </w:r>
      <w:r>
        <w:t xml:space="preserve">The Court of Chancery made no such finding here, and the analysis that it conducted rested on the erroneous proposition that a company selling itself in a change of control transaction is required to shop itself to fulfill its duty to seek the highest immediate value. ' But</w:t>
      </w:r>
      <w:r>
        <w:t xml:space="preserve"> </w:t>
      </w:r>
      <w:r>
        <w:rPr>
          <w:iCs/>
          <w:i/>
        </w:rPr>
        <w:t xml:space="preserve">Revlon</w:t>
      </w:r>
      <w:r>
        <w:t xml:space="preserve"> </w:t>
      </w:r>
      <w:r>
        <w:t xml:space="preserve">and its progeny do not set out a specific route that a board must follow when fulfilling its fiduciary duties, and an independent board is entitled to use its business judgment to decide to enter into a strategic transaction that promises great benefit, even when it creates certain risks.</w:t>
      </w:r>
      <w:r>
        <w:rPr>
          <w:rStyle w:val="FootnoteReference"/>
        </w:rPr>
        <w:footnoteReference w:customMarkFollows="1" w:id="175"/>
        <w:t xml:space="preserve">7</w:t>
      </w:r>
      <w:r>
        <w:t xml:space="preserve"> </w:t>
      </w:r>
      <w:r>
        <w:t xml:space="preserve">When -a board exercises its judgment in good faith, tests the transaction through a viable passive market check, and gives its stockholders a fully informed, uncoerced opportunity to vote to accept the deal, we cannot conclude that the board likely violated its</w:t>
      </w:r>
      <w:r>
        <w:t xml:space="preserve"> </w:t>
      </w:r>
      <w:r>
        <w:rPr>
          <w:iCs/>
          <w:i/>
        </w:rPr>
        <w:t xml:space="preserve">Revlon,</w:t>
      </w:r>
      <w:r>
        <w:t xml:space="preserve"> </w:t>
      </w:r>
      <w:r>
        <w:t xml:space="preserve">duties. It is too often forgotten that</w:t>
      </w:r>
      <w:r>
        <w:t xml:space="preserve"> </w:t>
      </w:r>
      <w:r>
        <w:rPr>
          <w:iCs/>
          <w:i/>
        </w:rPr>
        <w:t xml:space="preserve">Revlon,</w:t>
      </w:r>
      <w:r>
        <w:t xml:space="preserve"> </w:t>
      </w:r>
      <w:r>
        <w:t xml:space="preserve">and later eases like</w:t>
      </w:r>
      <w:r>
        <w:t xml:space="preserve"> </w:t>
      </w:r>
      <w:r>
        <w:rPr>
          <w:iCs/>
          <w:i/>
        </w:rPr>
        <w:t xml:space="preserve">QVC,</w:t>
      </w:r>
      <w:r>
        <w:t xml:space="preserve"> </w:t>
      </w:r>
      <w:r>
        <w:t xml:space="preserve"> </w:t>
      </w:r>
      <w:r>
        <w:t xml:space="preserve"> </w:t>
      </w:r>
      <w:r>
        <w:t xml:space="preserve">primarily involved board resistance to a competing bid after the board had agreed to a change of control, which threatened to impede the emergence of another higher-priced deal. No hint of such a defensive, entrenching motive emerges from this record.</w:t>
      </w:r>
    </w:p>
    <w:p>
      <w:pPr>
        <w:pStyle w:val="CaseBody"/>
      </w:pPr>
      <w:r>
        <w:t xml:space="preserve">Furthermore, the Court of Chancery’s unusual injunction cannot stand for other important reasons. Mandatory injunctions should only issue with the confidence of findings made after a trial or on undisputed facts.</w:t>
      </w:r>
      <w:r>
        <w:rPr>
          <w:rStyle w:val="FootnoteReference"/>
        </w:rPr>
        <w:footnoteReference w:customMarkFollows="1" w:id="213"/>
        <w:t xml:space="preserve">9</w:t>
      </w:r>
      <w:r>
        <w:t xml:space="preserve"> </w:t>
      </w:r>
      <w:r>
        <w:t xml:space="preserve">Such an injunction cannot strip an innocent third party of its contractual rights while simultaneously binding that party to consummate the transaction.</w:t>
      </w:r>
      <w:r>
        <w:rPr>
          <w:rStyle w:val="FootnoteReference"/>
        </w:rPr>
        <w:footnoteReference w:customMarkFollows="1" w:id="231"/>
        <w:t xml:space="preserve">10</w:t>
      </w:r>
      <w:r>
        <w:t xml:space="preserve"> </w:t>
      </w:r>
      <w:r>
        <w:t xml:space="preserve">To blue-pencil a contract as the Court of Chancery did here is not an appropriate exercise of equitable authority in a preliminary injunction order. That is especially true because the Court of Chancery made no finding that Nabors had aided and abetted any breach of fiduciary duty, and the Court of Chancery could not even find that it was reasonably likely such a breach by C</w:t>
      </w:r>
      <w:r>
        <w:t xml:space="preserve"> </w:t>
      </w:r>
      <w:r>
        <w:rPr>
          <w:iCs/>
          <w:i/>
        </w:rPr>
        <w:t xml:space="preserve">&amp;</w:t>
      </w:r>
      <w:r>
        <w:t xml:space="preserve"> </w:t>
      </w:r>
      <w:r>
        <w:t xml:space="preserve">J’s board would be found after trial. Accordingly, the judgment of the Court of Chancery is reversed.</w:t>
      </w:r>
    </w:p>
    <w:p>
      <w:pPr>
        <w:pStyle w:val="CaseBody"/>
      </w:pPr>
      <w:r>
        <w:t xml:space="preserve">II. FACTS</w:t>
      </w:r>
    </w:p>
    <w:p>
      <w:pPr>
        <w:pStyle w:val="CaseBody"/>
      </w:pPr>
      <w:r>
        <w:t xml:space="preserve">A</w:t>
      </w:r>
      <w:r>
        <w:t xml:space="preserve"> </w:t>
      </w:r>
      <w:r>
        <w:rPr>
          <w:iCs/>
          <w:i/>
        </w:rPr>
        <w:t xml:space="preserve">The Competing Contentions of the Parties</w:t>
      </w:r>
    </w:p>
    <w:p>
      <w:pPr>
        <w:pStyle w:val="CaseBody"/>
      </w:pPr>
      <w:r>
        <w:t xml:space="preserve">This expedited case has come before us without a formal opinion from the Court of Chancery making detailed fact findings under the standards that govern a preliminary injunction. We therefore are required to craft our own factual recitation in the first instance as to most aspects of the process. Our recitation will reflect this reality and our reluctance to make initial findings of fact on issues that were not fully developed below and that did not motivate the Court of Chancery to issue an injunction.</w:t>
      </w:r>
    </w:p>
    <w:p>
      <w:pPr>
        <w:pStyle w:val="CaseBody"/>
      </w:pPr>
      <w:r>
        <w:t xml:space="preserve">To frame our discussion of the facts, it is useful to set forth the basic contending positions of the parties. The plaintiffs argue that C &amp; J’s board entered into a change of control transaction without recognizing that it was doing so. With the mindset that it was acquiring an asset, the board never conducted an active market check to see if there were other buyers for C &amp; J. The plaintiffs argue that the C &amp; J board, despite having five independent members, was overly influenced by the CEO, chairman, and founder, Joshua Com-stock, who was allegedly looking to acquire Nabors CPS to secure a new employment package for himself, and was therefore willing to cause C &amp; J to pay more than it should. Furthermore, the plaintiffs point out that C &amp; J’s banker, Citigroup Global Markets, Inc. (“Citi”), had worked with Nabors previously and was suggested by Anthony Petrello, Nabors’ CEO and board chairman, because Petrello wanted to employ C &amp; J’s preferred banker, Goldman Sachs, as his advisor on the deal. The plaintiffs contend that Citi acted as a banker for a preferred deal between two companies that it regarded as clients, rather than as an advisor solely focused on C &amp; J’s best interests.</w:t>
      </w:r>
    </w:p>
    <w:p>
      <w:pPr>
        <w:pStyle w:val="CaseBody"/>
      </w:pPr>
      <w:r>
        <w:t xml:space="preserve">The plaintiffs further argue that Com-stock failed to keep the board adequately informed, did not take advantage of Na-bors CPS’ declining performance over the course of the negotiations, and had the board approve a poorly priced deal in order to secure a lavish pay package for himself. Most fundamentally, the plaintiffs argue that the board failed to fulfill its fiduciary duties under</w:t>
      </w:r>
      <w:r>
        <w:t xml:space="preserve"> </w:t>
      </w:r>
      <w:r>
        <w:rPr>
          <w:iCs/>
          <w:i/>
        </w:rPr>
        <w:t xml:space="preserve">Revlon</w:t>
      </w:r>
      <w:r>
        <w:t xml:space="preserve"> </w:t>
      </w:r>
      <w:r>
        <w:t xml:space="preserve">in approving a transaction where Nabors would end up with majority voting control of C &amp; J. Rather than engage in an active market check, the board signed up its favorite deal with the inadequate protections of a passive market check and certain bye-law provisions, which the plaintiffs characterize as protections for Comstock and his managers, not for C &amp; J stockholders. Accordingly, the plaintiffs characterize the injunction below as a modest one that requires the board to conduct the shopping process it should have done in the first place.</w:t>
      </w:r>
    </w:p>
    <w:p>
      <w:pPr>
        <w:pStyle w:val="CaseBody"/>
      </w:pPr>
      <w:r>
        <w:t xml:space="preserve">The defendants counter that this is a highly favorable, strategic transaction that was approved by a board whose disinterestedness was not questioned by the Court of Chancery. Although the board authorized Comstock to lead the negotiations, the defendants stress that Comstock owned a 10% stake in C &amp; J, and had no incentive to do anything to harm the value of those shares. Nor, say the defendants, did Comstock have any self-interested, non-business-related reason to favor the Na-bors deal over any of the others that C&amp;J had considered, even if he wanted a better compensation package. As important, the defendants argue that the entire board was apprised of the process throughout and approved the deal because it was beneficial to stockholders. They highlight the frequent communication between Com-stock and the independent directors, especially Adrianna Ma, whose employer, General Atlantic, is a private equity firm that owned 10% of C &amp; J’s stock.</w:t>
      </w:r>
      <w:r>
        <w:rPr>
          <w:rStyle w:val="FootnoteReference"/>
        </w:rPr>
        <w:footnoteReference w:customMarkFollows="1" w:id="248"/>
        <w:t xml:space="preserve">11</w:t>
      </w:r>
      <w:r>
        <w:t xml:space="preserve"> </w:t>
      </w:r>
      <w:r>
        <w:t xml:space="preserve">The defendants argue that</w:t>
      </w:r>
      <w:r>
        <w:t xml:space="preserve"> </w:t>
      </w:r>
      <w:r>
        <w:rPr>
          <w:iCs/>
          <w:i/>
        </w:rPr>
        <w:t xml:space="preserve">Revlon</w:t>
      </w:r>
      <w:r>
        <w:t xml:space="preserve"> </w:t>
      </w:r>
      <w:r>
        <w:t xml:space="preserve">does not apply, but even if it did, the board satisfied its requirement to “aet[ ] reasonably ... to secure the transaction offering the best value reasonably possible.”</w:t>
      </w:r>
      <w:r>
        <w:rPr>
          <w:rStyle w:val="FootnoteReference"/>
        </w:rPr>
        <w:footnoteReference w:customMarkFollows="1" w:id="264"/>
        <w:t xml:space="preserve">12</w:t>
      </w:r>
      <w:r>
        <w:t xml:space="preserve"> </w:t>
      </w:r>
      <w:r>
        <w:t xml:space="preserve">They state that the Court of Chancery misapplied the standard for a preliminary injunction and also misinterpreted</w:t>
      </w:r>
      <w:r>
        <w:t xml:space="preserve"> </w:t>
      </w:r>
      <w:r>
        <w:rPr>
          <w:iCs/>
          <w:i/>
        </w:rPr>
        <w:t xml:space="preserve">Revlon</w:t>
      </w:r>
      <w:r>
        <w:t xml:space="preserve"> </w:t>
      </w:r>
      <w:r>
        <w:t xml:space="preserve">when it granted one and required the C &amp; J board to shop the deal.</w:t>
      </w:r>
    </w:p>
    <w:p>
      <w:pPr>
        <w:pStyle w:val="CaseBody"/>
      </w:pPr>
      <w:r>
        <w:t xml:space="preserve">With those contentions in mind, we summarize the most relevant facts from the record below and the briefing by the parties.</w:t>
      </w:r>
    </w:p>
    <w:p>
      <w:pPr>
        <w:pStyle w:val="CaseBody"/>
      </w:pPr>
      <w:r>
        <w:rPr>
          <w:iCs/>
          <w:i/>
        </w:rPr>
        <w:t xml:space="preserve">B. The Key Players in the Deal Dynamic</w:t>
      </w:r>
    </w:p>
    <w:p>
      <w:pPr>
        <w:pStyle w:val="CaseBody"/>
      </w:pPr>
      <w:r>
        <w:t xml:space="preserve">C &amp; J, a Delaware corporation founded in 1997, is an oilfield services provider. The company went public in 2011 and currently has a market capitalization of over $730 million.</w:t>
      </w:r>
      <w:r>
        <w:rPr>
          <w:rStyle w:val="FootnoteReference"/>
        </w:rPr>
        <w:footnoteReference w:customMarkFollows="1" w:id="280"/>
        <w:t xml:space="preserve">13</w:t>
      </w:r>
      <w:r>
        <w:t xml:space="preserve"> </w:t>
      </w:r>
      <w:r>
        <w:t xml:space="preserve">C &amp; J’s board has seven directors, five of whom are independent. The only management directors are C &amp; J’s founder, chairman, and CEO, Com-stock, and its CFO, Randy McMullen. Nabors, which has a total market capitalization of over $3 billion, is a Bermuda exempt company that also provides oilfield services.</w:t>
      </w:r>
      <w:r>
        <w:rPr>
          <w:rStyle w:val="FootnoteReference"/>
        </w:rPr>
        <w:footnoteReference w:customMarkFollows="1" w:id="296"/>
        <w:t xml:space="preserve">14</w:t>
      </w:r>
      <w:r>
        <w:t xml:space="preserve"> </w:t>
      </w:r>
      <w:r>
        <w:t xml:space="preserve">As noted, Nabors’ CEO and chairman is Anthony Petrello. Nabors has two primary divisions: a completions and productions services division (“Nabors CPS”) and a drilling and rig services division. None of C &amp; J’s board members had any prior affiliation with Nabors before beginning discussions about the transaction challenged in this litigation.</w:t>
      </w:r>
    </w:p>
    <w:p>
      <w:pPr>
        <w:pStyle w:val="CaseBody"/>
      </w:pPr>
      <w:r>
        <w:t xml:space="preserve">C.</w:t>
      </w:r>
      <w:r>
        <w:t xml:space="preserve"> </w:t>
      </w:r>
      <w:r>
        <w:rPr>
          <w:iCs/>
          <w:i/>
        </w:rPr>
        <w:t xml:space="preserve">Citi’s Trauber Introduces Nabors’ Petrello and C &amp; J’s Comstock</w:t>
      </w:r>
    </w:p>
    <w:p>
      <w:pPr>
        <w:pStyle w:val="CaseBody"/>
      </w:pPr>
      <w:r>
        <w:t xml:space="preserve">In 2013, C &amp; J’s board began to explore strategic acquisitions to grow its business, and authorized Comstock to lead the search. By the end of the year, Comstock had identified at least three potential “strategic partners” and made an offer for one company, but no discussions advanced beyond the initial stages.</w:t>
      </w:r>
      <w:r>
        <w:rPr>
          <w:rStyle w:val="FootnoteReference"/>
        </w:rPr>
        <w:footnoteReference w:customMarkFollows="1" w:id="311"/>
        <w:t xml:space="preserve">15</w:t>
      </w:r>
    </w:p>
    <w:p>
      <w:pPr>
        <w:pStyle w:val="CaseBody"/>
      </w:pPr>
      <w:r>
        <w:t xml:space="preserve">In January 2014, Stephen Trauber, Vice Chairman and Global Head of Energy Investment Banking at Citi, approached Comstock with an unsolicited pitch book, suggesting Nabors CPS as a target. Na-bors was at that point considering different options for Nabors CPS, including selling it or taking it public.</w:t>
      </w:r>
      <w:r>
        <w:rPr>
          <w:rStyle w:val="FootnoteReference"/>
        </w:rPr>
        <w:footnoteReference w:customMarkFollows="1" w:id="325"/>
        <w:t xml:space="preserve">16</w:t>
      </w:r>
      <w:r>
        <w:t xml:space="preserve"> </w:t>
      </w:r>
      <w:r>
        <w:t xml:space="preserve">Citi had previously worked as a financial advisor to Nabors, and Trauber was a social acquaintance of Petrello’s.</w:t>
      </w:r>
      <w:r>
        <w:rPr>
          <w:rStyle w:val="FootnoteReference"/>
        </w:rPr>
        <w:footnoteReference w:customMarkFollows="1" w:id="339"/>
        <w:t xml:space="preserve">17</w:t>
      </w:r>
      <w:r>
        <w:t xml:space="preserve"> </w:t>
      </w:r>
      <w:r>
        <w:t xml:space="preserve">Before identifying Nabors CPS as a target, C &amp; J’s primary financial advisor was Goldman Sachs,</w:t>
      </w:r>
      <w:r>
        <w:rPr>
          <w:rStyle w:val="FootnoteReference"/>
        </w:rPr>
        <w:footnoteReference w:customMarkFollows="1" w:id="352"/>
        <w:t xml:space="preserve">18</w:t>
      </w:r>
      <w:r>
        <w:t xml:space="preserve"> </w:t>
      </w:r>
      <w:r>
        <w:t xml:space="preserve">but when the companies began negotiating, Petrello told Comstock that Nabors’ board wanted to use Goldman, and suggested that Comstock work with Citi instead.</w:t>
      </w:r>
      <w:r>
        <w:rPr>
          <w:rStyle w:val="FootnoteReference"/>
        </w:rPr>
        <w:footnoteReference w:customMarkFollows="1" w:id="365"/>
        <w:t xml:space="preserve">19</w:t>
      </w:r>
      <w:r>
        <w:t xml:space="preserve"> </w:t>
      </w:r>
      <w:r>
        <w:t xml:space="preserve">Comstock complied, asserting that it was “the right thing to do” because Citi had surfaced the deal for C &amp; J to consider.</w:t>
      </w:r>
      <w:r>
        <w:rPr>
          <w:rStyle w:val="FootnoteReference"/>
        </w:rPr>
        <w:footnoteReference w:customMarkFollows="1" w:id="378"/>
        <w:t xml:space="preserve">20</w:t>
      </w:r>
      <w:r>
        <w:t xml:space="preserve"> </w:t>
      </w:r>
      <w:r>
        <w:t xml:space="preserve">But Comstock testified at his deposition that he would have otherwise chosen to work with Goldman because Goldman ‘.‘really knows [the] business well.”</w:t>
      </w:r>
      <w:r>
        <w:rPr>
          <w:rStyle w:val="FootnoteReference"/>
        </w:rPr>
        <w:footnoteReference w:customMarkFollows="1" w:id="391"/>
        <w:t xml:space="preserve">21</w:t>
      </w:r>
      <w:r>
        <w:t xml:space="preserve"> </w:t>
      </w:r>
      <w:r>
        <w:t xml:space="preserve">Ma further explained that the board did not consider engaging other bankers because Comstock “wanted to keep it confidential and not let [the deal] leak to other banks in the industry,” and the other directors agreed that the deal was “a highly confidential situation” and that “any leak could meaningfully change the economics of the transaction.”</w:t>
      </w:r>
      <w:r>
        <w:rPr>
          <w:rStyle w:val="FootnoteReference"/>
        </w:rPr>
        <w:footnoteReference w:customMarkFollows="1" w:id="404"/>
        <w:t xml:space="preserve">22</w:t>
      </w:r>
    </w:p>
    <w:p>
      <w:pPr>
        <w:pStyle w:val="CaseBody"/>
      </w:pPr>
      <w:r>
        <w:t xml:space="preserve">In May 2014, C &amp; J’s board asked Citi to provide C &amp; J with financing for the transaction in addition to serving as the financial advisor. The directors recognized the conflict that would result, so they asked Tudor, Pickering, Holt &amp; Co. Securities, Inc. (“Tudor”) for another independent fairness opinion.</w:t>
      </w:r>
    </w:p>
    <w:p>
      <w:pPr>
        <w:pStyle w:val="CaseBody"/>
      </w:pPr>
      <w:r>
        <w:t xml:space="preserve">As mentioned, the plaintiffs argue that Citi’s Trauber seemed to act more as a banker for the deal than for C &amp; J. Com-stock testified during his deposition that he believed Trauber was communicating with Petrello without Comstock’s authorization: “I felt like Mr. Trauber was giving feedback to Tony [Petrello]. So if I was negotiating with Mr. Trauber, I was negotiating with Tony.”</w:t>
      </w:r>
      <w:r>
        <w:rPr>
          <w:rStyle w:val="FootnoteReference"/>
        </w:rPr>
        <w:footnoteReference w:customMarkFollows="1" w:id="416"/>
        <w:t xml:space="preserve">23</w:t>
      </w:r>
      <w:r>
        <w:t xml:space="preserve"> </w:t>
      </w:r>
      <w:r>
        <w:t xml:space="preserve">Comstock’s perception of needing to “negotiate” with his own financial advisor gives color to the plaintiffs’ allegation that the deal process fell short of the ideal.</w:t>
      </w:r>
    </w:p>
    <w:p>
      <w:pPr>
        <w:pStyle w:val="CaseBody"/>
      </w:pPr>
      <w:r>
        <w:rPr>
          <w:iCs/>
          <w:i/>
        </w:rPr>
        <w:t xml:space="preserve">D. Negotiating the Deal</w:t>
      </w:r>
    </w:p>
    <w:p>
      <w:pPr>
        <w:pStyle w:val="CaseBody"/>
      </w:pPr>
      <w:r>
        <w:t xml:space="preserve">Consistent with the plaintiffs’ depiction of Trauber as a banker for the deal, the transaction process began with a January 2014 meeting between Comstock and McMullen, on behalf of C &amp; J, and Petrel-lo, on behalf of Nabors, with Trauber in an as-yet-undefined role.</w:t>
      </w:r>
      <w:r>
        <w:rPr>
          <w:rStyle w:val="FootnoteReference"/>
        </w:rPr>
        <w:footnoteReference w:customMarkFollows="1" w:id="428"/>
        <w:t xml:space="preserve">24</w:t>
      </w:r>
      <w:r>
        <w:t xml:space="preserve"> </w:t>
      </w:r>
      <w:r>
        <w:t xml:space="preserve">After that meeting, Comstock believed that a transaction was worth pursuing: he perceived that Nabors CPS was underutilized by Nabors because the company was focused on its other division, and he thought that Nabors CPS would be a “good fit ... operationally, culturally, and strategically.”</w:t>
      </w:r>
      <w:r>
        <w:rPr>
          <w:rStyle w:val="FootnoteReference"/>
        </w:rPr>
        <w:footnoteReference w:customMarkFollows="1" w:id="439"/>
        <w:t xml:space="preserve">25</w:t>
      </w:r>
    </w:p>
    <w:p>
      <w:pPr>
        <w:pStyle w:val="CaseBody"/>
      </w:pPr>
      <w:r>
        <w:t xml:space="preserve">Discussions between Comstock and Pe-trello continued over the next several months. On March 5, C &amp; J’s senior management met with Petrello and other Nabors executives to analyze the transaction, including the possibility of structuring the deal so that the surviving company would be domiciled outside of the U.S. and thus pay tax at lower rates, through what is now widely called a “corporate inversion.”</w:t>
      </w:r>
      <w:r>
        <w:rPr>
          <w:rStyle w:val="FootnoteReference"/>
        </w:rPr>
        <w:footnoteReference w:customMarkFollows="1" w:id="450"/>
        <w:t xml:space="preserve">26</w:t>
      </w:r>
      <w:r>
        <w:t xml:space="preserve"> </w:t>
      </w:r>
      <w:r>
        <w:t xml:space="preserve">Because Nabors is a Bermuda-based company, C&amp;J could avoid paying U.S. corporate taxes by merging into Na-bors and re-domiciling in Bermuda. The tax benefits from structuring the transaction in this way are substantial — Citi estimated the savings as worth $200 million in net present value.</w:t>
      </w:r>
      <w:r>
        <w:rPr>
          <w:rStyle w:val="FootnoteReference"/>
        </w:rPr>
        <w:footnoteReference w:customMarkFollows="1" w:id="461"/>
        <w:t xml:space="preserve">27</w:t>
      </w:r>
    </w:p>
    <w:p>
      <w:pPr>
        <w:pStyle w:val="CaseBody"/>
      </w:pPr>
      <w:r>
        <w:t xml:space="preserve">Both parties agreed that Comstock and C &amp; J’s management team would manage the combined entity. But for the re-domiciling to be effective for tax purposes, Na-bors would need to own a majority of the new company. On April 3, 2014, Comstock convened a special board meeting to discuss the potential deal. Comstock had previously discussed acquiring Nabors CPS with some of the directors, but the April 3 meeting appears from the record to be the first time he received formal approval to negotiate</w:t>
      </w:r>
      <w:r>
        <w:rPr>
          <w:rStyle w:val="FootnoteReference"/>
        </w:rPr>
        <w:footnoteReference w:customMarkFollows="1" w:id="471"/>
        <w:t xml:space="preserve">28</w:t>
      </w:r>
      <w:r>
        <w:t xml:space="preserve"> </w:t>
      </w:r>
      <w:r>
        <w:t xml:space="preserve">C &amp; J’s board conveyed excitement about the substantial tax benefits that re-domiciling in Bermuda would provide, in addition to the other deal synergies, but also expressed worry about losing control because Nabors would own a majority of the stock in the surviving entity.</w:t>
      </w:r>
      <w:r>
        <w:rPr>
          <w:rStyle w:val="FootnoteReference"/>
        </w:rPr>
        <w:footnoteReference w:customMarkFollows="1" w:id="480"/>
        <w:t xml:space="preserve">29</w:t>
      </w:r>
      <w:r>
        <w:t xml:space="preserve"> </w:t>
      </w:r>
      <w:r>
        <w:t xml:space="preserve">Director Ma testified in her deposition that the board was aware of the importance of a change of control because legal counsel had explained during a board call “what the</w:t>
      </w:r>
      <w:r>
        <w:t xml:space="preserve"> </w:t>
      </w:r>
      <w:r>
        <w:rPr>
          <w:iCs/>
          <w:i/>
        </w:rPr>
        <w:t xml:space="preserve">Revlon</w:t>
      </w:r>
      <w:r>
        <w:t xml:space="preserve"> </w:t>
      </w:r>
      <w:r>
        <w:t xml:space="preserve">rules were.”</w:t>
      </w:r>
      <w:r>
        <w:rPr>
          <w:rStyle w:val="FootnoteReference"/>
        </w:rPr>
        <w:footnoteReference w:customMarkFollows="1" w:id="488"/>
        <w:t xml:space="preserve">30</w:t>
      </w:r>
    </w:p>
    <w:p>
      <w:pPr>
        <w:pStyle w:val="CaseBody"/>
      </w:pPr>
      <w:r>
        <w:t xml:space="preserve">After discussing the tradeoffs between losing control and tax savings, C &amp; J’s directors unanimously approved a nonbinding offer of $2.6 billion, which Com-stock delivered in a letter to Petrello dated April 4.</w:t>
      </w:r>
    </w:p>
    <w:p>
      <w:pPr>
        <w:pStyle w:val="CaseBody"/>
      </w:pPr>
      <w:r>
        <w:rPr>
          <w:iCs/>
          <w:i/>
        </w:rPr>
        <w:t xml:space="preserve">E. Pricing the Deal</w:t>
      </w:r>
    </w:p>
    <w:p>
      <w:pPr>
        <w:pStyle w:val="CaseBody"/>
      </w:pPr>
      <w:r>
        <w:t xml:space="preserve">Petrello rejected the April 4 offer, asserting that Nabors CPS was worth a minimum of $3.2 billion. The parties continued to negotiate over price while Comstock arid his team conducted due diligence on Nabors CPS. The plaintiffs contend that these negotiations were tainted by Com-stock’s self-interest, because Petrello made overtures assuring Comstock that he would receive a lucrative compensation package if the deal was completed.</w:t>
      </w:r>
      <w:r>
        <w:rPr>
          <w:rStyle w:val="FootnoteReference"/>
        </w:rPr>
        <w:footnoteReference w:customMarkFollows="1" w:id="496"/>
        <w:t xml:space="preserve">31</w:t>
      </w:r>
    </w:p>
    <w:p>
      <w:pPr>
        <w:pStyle w:val="CaseBody"/>
      </w:pPr>
      <w:r>
        <w:t xml:space="preserve">After Petrello rejected Comstock’s offer, Comstock emailed the other directors on April 14 to inform them of his intention to raise C &amp; J’s offer to $2.75 billion to keep the deal alive. He explained that he believed “[t]he upside potential here is like no other M &amp; A deal we have come across.”</w:t>
      </w:r>
      <w:r>
        <w:rPr>
          <w:rStyle w:val="FootnoteReference"/>
        </w:rPr>
        <w:footnoteReference w:customMarkFollows="1" w:id="504"/>
        <w:t xml:space="preserve">32</w:t>
      </w:r>
      <w:r>
        <w:t xml:space="preserve"> </w:t>
      </w:r>
      <w:r>
        <w:t xml:space="preserve">But he acknowledged concerns from board members about “the slippery slope up on pricing,” and the need to “be very vigilant” in proving “the possibility of ... results in due diligence.”</w:t>
      </w:r>
      <w:r>
        <w:rPr>
          <w:rStyle w:val="FootnoteReference"/>
        </w:rPr>
        <w:footnoteReference w:customMarkFollows="1" w:id="512"/>
        <w:t xml:space="preserve">33</w:t>
      </w:r>
      <w:r>
        <w:t xml:space="preserve"> </w:t>
      </w:r>
      <w:r>
        <w:t xml:space="preserve">The other board members agreed to raise the offer.</w:t>
      </w:r>
      <w:r>
        <w:rPr>
          <w:rStyle w:val="FootnoteReference"/>
        </w:rPr>
        <w:footnoteReference w:customMarkFollows="1" w:id="520"/>
        <w:t xml:space="preserve">34</w:t>
      </w:r>
      <w:r>
        <w:t xml:space="preserve"> </w:t>
      </w:r>
      <w:r>
        <w:t xml:space="preserve">Accordingly, Comstock sent a second letter to Petrello on April 16, offering $2.75 billion, which represented a multiple of 6.9 over 2014 EBITDA.</w:t>
      </w:r>
    </w:p>
    <w:p>
      <w:pPr>
        <w:pStyle w:val="CaseBody"/>
      </w:pPr>
      <w:r>
        <w:t xml:space="preserve">On April 22, Nabors released its first quarter results for 2014, which were lower than Nabors expected and worse than Comstock or C &amp; J’s board had anticipated.</w:t>
      </w:r>
      <w:r>
        <w:rPr>
          <w:rStyle w:val="FootnoteReference"/>
        </w:rPr>
        <w:footnoteReference w:customMarkFollows="1" w:id="528"/>
        <w:t xml:space="preserve">35</w:t>
      </w:r>
      <w:r>
        <w:t xml:space="preserve"> </w:t>
      </w:r>
      <w:r>
        <w:t xml:space="preserve">Comstock expressed concern that Nabors CPS was unlikely to generate its forecasted EBITDA for 2014, which would threaten the proposed valuation for the deal.</w:t>
      </w:r>
      <w:r>
        <w:rPr>
          <w:rStyle w:val="FootnoteReference"/>
        </w:rPr>
        <w:footnoteReference w:customMarkFollows="1" w:id="536"/>
        <w:t xml:space="preserve">36</w:t>
      </w:r>
      <w:r>
        <w:t xml:space="preserve"> </w:t>
      </w:r>
      <w:r>
        <w:t xml:space="preserve">At the same time, Comstock questioned the credibility of Nabors’ financial results, although he stated in his deposition that he was reacting to what turned out to be an error in Nabors’ proprietary accounting system.</w:t>
      </w:r>
      <w:r>
        <w:rPr>
          <w:rStyle w:val="FootnoteReference"/>
        </w:rPr>
        <w:footnoteReference w:customMarkFollows="1" w:id="543"/>
        <w:t xml:space="preserve">37</w:t>
      </w:r>
    </w:p>
    <w:p>
      <w:pPr>
        <w:pStyle w:val="CaseBody"/>
      </w:pPr>
      <w:r>
        <w:t xml:space="preserve">Notwithstanding these negative developments for Nabors, Petrello rejected the $2.75 billion offer on April 23, arguing that the proposal did not reflect the full intrinsic value of Nabors CPS, or the value of the synergies the combination would create.</w:t>
      </w:r>
      <w:r>
        <w:rPr>
          <w:rStyle w:val="FootnoteReference"/>
        </w:rPr>
        <w:footnoteReference w:customMarkFollows="1" w:id="550"/>
        <w:t xml:space="preserve">38</w:t>
      </w:r>
      <w:r>
        <w:t xml:space="preserve"> </w:t>
      </w:r>
      <w:r>
        <w:t xml:space="preserve">According to Nabors Red Lion Ltd.’s Form S^l filing with the SEC, C &amp; J’s board members discussed Petrello’s demands, but there is no evidence of these discussions in the record before us. Com-stock responded to Petrello in a letter dated April 25, noting his fear that Nabors CPS would be unable to achieve the level of EBITDA projected earlier in the month. But rather than reduce the valuation he was using as a basis for price negotiations, Comstock agreed to use more favorable forward-looking projections into 2015 and “stretch” the multiple from 6 to 6.5.</w:t>
      </w:r>
      <w:r>
        <w:rPr>
          <w:rStyle w:val="FootnoteReference"/>
        </w:rPr>
        <w:footnoteReference w:customMarkFollows="1" w:id="556"/>
        <w:t xml:space="preserve">39</w:t>
      </w:r>
      <w:r>
        <w:t xml:space="preserve"> </w:t>
      </w:r>
      <w:r>
        <w:t xml:space="preserve">The April 25 letter set a maximum value for Nabors CPS at $2.9 billion.</w:t>
      </w:r>
      <w:r>
        <w:rPr>
          <w:rStyle w:val="FootnoteReference"/>
        </w:rPr>
        <w:footnoteReference w:customMarkFollows="1" w:id="562"/>
        <w:t xml:space="preserve">40</w:t>
      </w:r>
    </w:p>
    <w:p>
      <w:pPr>
        <w:pStyle w:val="CaseBody"/>
      </w:pPr>
      <w:r>
        <w:t xml:space="preserve">Because there is no evidence that this new offer was approved by the board in advance, there is at least some support for the plaintiffs’ contention that Comstock at times proceeded on an “ask for forgiveness, rather than permission” basis. But as the defendants hasten to point out, the board gave Comstock broad authority to negotiate, and he kept them apprised of major developments, even if he did not seek approval at every stage of the process.</w:t>
      </w:r>
      <w:r>
        <w:rPr>
          <w:rStyle w:val="FootnoteReference"/>
        </w:rPr>
        <w:footnoteReference w:customMarkFollows="1" w:id="568"/>
        <w:t xml:space="preserve">41</w:t>
      </w:r>
    </w:p>
    <w:p>
      <w:pPr>
        <w:pStyle w:val="CaseBody"/>
      </w:pPr>
      <w:r>
        <w:t xml:space="preserve">To wit, on April 29, C &amp; J’s board met for its regularly scheduled meeting. According to the minutes, Comstock presented an update on the negotiations with Na-bors, including Petrello’s response to the April 23 offer.</w:t>
      </w:r>
      <w:r>
        <w:rPr>
          <w:rStyle w:val="FootnoteReference"/>
        </w:rPr>
        <w:footnoteReference w:customMarkFollows="1" w:id="574"/>
        <w:t xml:space="preserve">42</w:t>
      </w:r>
      <w:r>
        <w:t xml:space="preserve"> </w:t>
      </w:r>
      <w:r>
        <w:t xml:space="preserve">That evening, • after the board meeting, Comstock and Petrello agreed to a deal based on a valuation of $2,925 billion for Nabors CPS during a telephone conversation. The plaintiffs accurately contend that Petrello used this conversation to assure Comstock that he and his fellow C&amp;J managers would receive aggressive employment agreements. But the record also reflects that Comstock did not follow up on these overtures to discuss specifics during the negotiation process.</w:t>
      </w:r>
    </w:p>
    <w:p>
      <w:pPr>
        <w:pStyle w:val="CaseBody"/>
      </w:pPr>
      <w:r>
        <w:t xml:space="preserve">The plaintiffs allege that the valuation adjustments made following the announcement of Nabors CPS’ decline in performance demonstrate that the C&amp;J stockholders got a bad deal. But there is also a colorable basis to believe that Comstock was playing the negotiation game skillfully when he reacted to the downward movement in Nabors CPS’ performance as he did.</w:t>
      </w:r>
      <w:r>
        <w:rPr>
          <w:rStyle w:val="FootnoteReference"/>
        </w:rPr>
        <w:footnoteReference w:customMarkFollows="1" w:id="580"/>
        <w:t xml:space="preserve">43</w:t>
      </w:r>
      <w:r>
        <w:t xml:space="preserve"> </w:t>
      </w:r>
      <w:r>
        <w:t xml:space="preserve">The record contains evidence that Comstock attempted to protect C &amp; J stockholders using strategic negotiating tactics; for example, Comstock made clear throughout the process that he was willing to cease negotiations if terms protecting C &amp; J’s stockholders were not reflected in the final deal.</w:t>
      </w:r>
      <w:r>
        <w:rPr>
          <w:rStyle w:val="FootnoteReference"/>
        </w:rPr>
        <w:footnoteReference w:customMarkFollows="1" w:id="586"/>
        <w:t xml:space="preserve">44</w:t>
      </w:r>
      <w:r>
        <w:t xml:space="preserve"> </w:t>
      </w:r>
      <w:r>
        <w:t xml:space="preserve">He also revealed in internal emails with McMullen and other C &amp; J directors that he thought focusing on Na-bors CPS’ declining performance would be an effective negotiating strategy to keep the price low, and that the deal was worthwhile because of the value he and his management team could bring to the combined entity.</w:t>
      </w:r>
      <w:r>
        <w:rPr>
          <w:rStyle w:val="FootnoteReference"/>
        </w:rPr>
        <w:footnoteReference w:customMarkFollows="1" w:id="592"/>
        <w:t xml:space="preserve">45</w:t>
      </w:r>
      <w:r>
        <w:t xml:space="preserve"> </w:t>
      </w:r>
      <w:r>
        <w:t xml:space="preserve">In other words, the record can be reasonably read to suggest that Comstock believed in good faith that he should not pile onto Nabors’ woes, but rather use the evidence of Nabors CPS’ declining performance to keep the price negotiations at a positive value for C &amp; J while ensuring that, in the end, the company secured an asset whose acquisition he believed would generate valuable benefits for C &amp; J’s stockholders. We also note that Comstock ultimately lowered C &amp; J’s offer to $2.86 billion days before closing because C</w:t>
      </w:r>
      <w:r>
        <w:t xml:space="preserve"> </w:t>
      </w:r>
      <w:r>
        <w:rPr>
          <w:iCs/>
          <w:i/>
        </w:rPr>
        <w:t xml:space="preserve">&amp;</w:t>
      </w:r>
      <w:r>
        <w:t xml:space="preserve"> </w:t>
      </w:r>
      <w:r>
        <w:t xml:space="preserve">J’s “diligence only proved” some of Nabors CPS’ projected EBIT-DA.</w:t>
      </w:r>
      <w:r>
        <w:rPr>
          <w:rStyle w:val="FootnoteReference"/>
        </w:rPr>
        <w:footnoteReference w:customMarkFollows="1" w:id="598"/>
        <w:t xml:space="preserve">46</w:t>
      </w:r>
    </w:p>
    <w:p>
      <w:pPr>
        <w:pStyle w:val="CaseBody"/>
      </w:pPr>
      <w:r>
        <w:t xml:space="preserve">Moreover, we note that Comstock continually shared the details of the valuation changes and negotiations with the C &amp; J board,</w:t>
      </w:r>
      <w:r>
        <w:rPr>
          <w:rStyle w:val="FootnoteReference"/>
        </w:rPr>
        <w:footnoteReference w:customMarkFollows="1" w:id="603"/>
        <w:t xml:space="preserve">47</w:t>
      </w:r>
      <w:r>
        <w:t xml:space="preserve"> </w:t>
      </w:r>
      <w:r>
        <w:t xml:space="preserve">which was majority-independent, and which had the final say in approving the deal before it went to a stockholder vote. Although it authorized Comstock to continue negotiations on its behalf in the April 3 meeting, C &amp; J’s board remained engaged in the process. By way of example, the board met seven times between April 3 and June 24. The truncated record contains several emails from Comstock to the other directors during that time, keeping them apprised of relevant findings from his diligence, including the declining state of Nabors CPS’ business. Ma confirmed in her affidavit and deposition that the board broadly authorized Cbmstock to negotiate a deal and he “briefled] us all along the way.”</w:t>
      </w:r>
      <w:r>
        <w:rPr>
          <w:rStyle w:val="FootnoteReference"/>
        </w:rPr>
        <w:footnoteReference w:customMarkFollows="1" w:id="608"/>
        <w:t xml:space="preserve">48</w:t>
      </w:r>
      <w:r>
        <w:t xml:space="preserve"> </w:t>
      </w:r>
      <w:r>
        <w:t xml:space="preserve">During the negotiating process, Trauber remarked in an email to Comstock that in his “26 years” of doing “hundreds” of deals, he had “never seen a CEO have to provide their board so much data day-to-day and have to constantly answer emails from the board.”</w:t>
      </w:r>
      <w:r>
        <w:rPr>
          <w:rStyle w:val="FootnoteReference"/>
        </w:rPr>
        <w:footnoteReference w:customMarkFollows="1" w:id="613"/>
        <w:t xml:space="preserve">49</w:t>
      </w:r>
      <w:r>
        <w:t xml:space="preserve"> </w:t>
      </w:r>
      <w:r>
        <w:t xml:space="preserve">Even if the board was not aware of every “blow by blow,”</w:t>
      </w:r>
      <w:r>
        <w:rPr>
          <w:rStyle w:val="FootnoteReference"/>
        </w:rPr>
        <w:footnoteReference w:customMarkFollows="1" w:id="618"/>
        <w:t xml:space="preserve">50</w:t>
      </w:r>
      <w:r>
        <w:t xml:space="preserve"> </w:t>
      </w:r>
      <w:r>
        <w:t xml:space="preserve">the record suggests that the board was informed about the transaction they would eventually vote to approve, especially the final terms of the deal.</w:t>
      </w:r>
      <w:r>
        <w:rPr>
          <w:rStyle w:val="FootnoteReference"/>
        </w:rPr>
        <w:footnoteReference w:customMarkFollows="1" w:id="623"/>
        <w:t xml:space="preserve">51</w:t>
      </w:r>
    </w:p>
    <w:p>
      <w:pPr>
        <w:pStyle w:val="CaseBody"/>
      </w:pPr>
      <w:r>
        <w:t xml:space="preserve">The board also considered whether to actively shop C &amp; J to potential buyers. Ma testified at her deposition that the board asked Citi whether “other strategic bidders” would be interested in C &amp; J, and the board “considered potential strategic bidders for C &amp; J as part of our ability and certainty in closing the Nabors transaction.”</w:t>
      </w:r>
      <w:r>
        <w:t xml:space="preserve"> </w:t>
      </w:r>
      <w:r>
        <w:rPr>
          <w:rStyle w:val="FootnoteReference"/>
        </w:rPr>
        <w:footnoteReference w:customMarkFollows="1" w:id="628"/>
        <w:t xml:space="preserve">52</w:t>
      </w:r>
      <w:r>
        <w:t xml:space="preserve"> </w:t>
      </w:r>
      <w:r>
        <w:t xml:space="preserve">She noted that Citi assessed the probability of engagement from other potential buyers as “low.”</w:t>
      </w:r>
      <w:r>
        <w:rPr>
          <w:rStyle w:val="FootnoteReference"/>
        </w:rPr>
        <w:footnoteReference w:customMarkFollows="1" w:id="633"/>
        <w:t xml:space="preserve">53</w:t>
      </w:r>
    </w:p>
    <w:p>
      <w:pPr>
        <w:pStyle w:val="CaseBody"/>
      </w:pPr>
      <w:r>
        <w:rPr>
          <w:iCs/>
          <w:i/>
        </w:rPr>
        <w:t xml:space="preserve">F. The Final Deal Terms</w:t>
      </w:r>
    </w:p>
    <w:p>
      <w:pPr>
        <w:pStyle w:val="CaseBody"/>
      </w:pPr>
      <w:r>
        <w:t xml:space="preserve">After these extensive negotiations, Com-stock and Petrello agreed to a valuation for Nabors CPS of $2.86 billion, which was premised on a forecast of Nabors CPS’ 2015 EBITDA of $445 million</w:t>
      </w:r>
      <w:r>
        <w:rPr>
          <w:rStyle w:val="FootnoteReference"/>
        </w:rPr>
        <w:footnoteReference w:customMarkFollows="1" w:id="638"/>
        <w:t xml:space="preserve">54</w:t>
      </w:r>
      <w:r>
        <w:t xml:space="preserve"> </w:t>
      </w:r>
      <w:r>
        <w:t xml:space="preserve">and an implied multiple of 6.4.</w:t>
      </w:r>
      <w:r>
        <w:rPr>
          <w:rStyle w:val="FootnoteReference"/>
        </w:rPr>
        <w:footnoteReference w:customMarkFollows="1" w:id="643"/>
        <w:t xml:space="preserve">55</w:t>
      </w:r>
      <w:r>
        <w:t xml:space="preserve"> </w:t>
      </w:r>
      <w:r>
        <w:t xml:space="preserve">This price was lower than Petrello’s initial ask of $3.2 billion, but higher than C &amp; J’s initial offer of $2.6.</w:t>
      </w:r>
    </w:p>
    <w:p>
      <w:pPr>
        <w:pStyle w:val="CaseBody"/>
      </w:pPr>
      <w:r>
        <w:t xml:space="preserve">To consummate the transaction, Nabors would create a new subsidiary, Red Lion, into which it would transfer its CPS business. C&amp;J would then merge with Red Lion. C &amp; J’s former stockholders would own 47% of the combined entity, and their shares would be converted into Red Lion common stock on a 1:1 basis in a tax-free transaction. Nabors would own the remaining 53%, and receive approximately $938 million in cash.</w:t>
      </w:r>
      <w:r>
        <w:rPr>
          <w:rStyle w:val="FootnoteReference"/>
        </w:rPr>
        <w:footnoteReference w:customMarkFollows="1" w:id="648"/>
        <w:t xml:space="preserve">56</w:t>
      </w:r>
      <w:r>
        <w:t xml:space="preserve"> </w:t>
      </w:r>
      <w:r>
        <w:t xml:space="preserve">The entity would then be renamed C &amp; J Energy Services, Ltd., and be listed under C &amp; J’s current ticker, CJES, on the New York Stock Exchange. Because New C &amp; J would be a Bermuda corporation, the rights of its stockholders would be governed by Bermuda law, rather than Delaware law.</w:t>
      </w:r>
    </w:p>
    <w:p>
      <w:pPr>
        <w:pStyle w:val="CaseBody"/>
      </w:pPr>
      <w:r>
        <w:t xml:space="preserve">To ensure that C &amp; J’s stockholders would retain some control over New C &amp; J, C &amp; J’s board also insisted on several corporate governance protections. Under the merger agreement, C &amp; J stockholders would have the power to designate four board members, including Comstock as the chairman of the board.</w:t>
      </w:r>
      <w:r>
        <w:rPr>
          <w:rStyle w:val="FootnoteReference"/>
        </w:rPr>
        <w:footnoteReference w:customMarkFollows="1" w:id="653"/>
        <w:t xml:space="preserve">57</w:t>
      </w:r>
      <w:r>
        <w:t xml:space="preserve"> </w:t>
      </w:r>
      <w:r>
        <w:t xml:space="preserve">Comstock would become CEO and McMullen would become President and CFO. To ensure that C</w:t>
      </w:r>
      <w:r>
        <w:t xml:space="preserve"> </w:t>
      </w:r>
      <w:r>
        <w:rPr>
          <w:iCs/>
          <w:i/>
        </w:rPr>
        <w:t xml:space="preserve">&amp;</w:t>
      </w:r>
      <w:r>
        <w:t xml:space="preserve"> </w:t>
      </w:r>
      <w:r>
        <w:t xml:space="preserve">J retained a controlling interest in the entity, C &amp; J also negotiated the following requirements:</w:t>
      </w:r>
    </w:p>
    <w:p>
      <w:pPr>
        <w:pStyle w:val="BlockText"/>
      </w:pPr>
      <w:r>
        <w:t xml:space="preserve">(i) For a period of five years, a two-thirds vote of the stockholders of the combined entity will be required to amend the bye-laws (unless approved by Comstock and at least three directors not nominated by Nabors); sell the company; issue stock; or repurchase more than 15% of the outstanding shares of the company in a given year;</w:t>
      </w:r>
    </w:p>
    <w:p>
      <w:pPr>
        <w:pStyle w:val="BlockText"/>
      </w:pPr>
      <w:r>
        <w:t xml:space="preserve">(ii)</w:t>
      </w:r>
      <w:r>
        <w:t xml:space="preserve"> </w:t>
      </w:r>
      <w:r>
        <w:rPr>
          <w:iCs/>
          <w:i/>
        </w:rPr>
        <w:t xml:space="preserve">In the event of a sale of the company or major assets, all stockholders will receive consideration of the same type and of the same amount calculated on a per share basis. This bye-law provision cannot be amended without a unanimous stockholder vote;</w:t>
      </w:r>
    </w:p>
    <w:p>
      <w:pPr>
        <w:pStyle w:val="BlockText"/>
      </w:pPr>
      <w:r>
        <w:t xml:space="preserve">(iii) From the closing date until the earlier of the five year anniversary of the effective date or the date that Na-bors owns less than 15% of the combined entity’s shares (the “standstill” period), Nabors will be prohibited (without a two-thirds board vote) from acquiring additional shares beyond its ownership stake as of closing; soliciting or encouraging any proposal for a business combination; soliciting or becoming a participant in the solicitation of any proxy related to any vote, or agreeing to vote with any person undertaking a “solicitation”; participating in a “group” with respect to securities of the combined entity; granting proxies to any third party (other than as recommended by the board) or entering into any understanding or agreement with respect to the voting of equity securities of the combined entity; seeking additional representation on, or proposing any changes to the size of, the board of directors;</w:t>
      </w:r>
    </w:p>
    <w:p>
      <w:pPr>
        <w:pStyle w:val="BlockText"/>
      </w:pPr>
      <w:r>
        <w:t xml:space="preserve">(iv) Board members will be nominated by a three-member nominating committee, two of whom will be current C &amp; J directors. The board will be classified with current C</w:t>
      </w:r>
      <w:r>
        <w:t xml:space="preserve"> </w:t>
      </w:r>
      <w:r>
        <w:rPr>
          <w:iCs/>
          <w:i/>
        </w:rPr>
        <w:t xml:space="preserve">&amp;</w:t>
      </w:r>
      <w:r>
        <w:t xml:space="preserve"> </w:t>
      </w:r>
      <w:r>
        <w:t xml:space="preserve">J directors in each class;</w:t>
      </w:r>
    </w:p>
    <w:p>
      <w:pPr>
        <w:pStyle w:val="BlockText"/>
      </w:pPr>
      <w:r>
        <w:t xml:space="preserve">(v) Without a two-thirds vote of the combined entity’s board, and during the standstill period, Nabors can only sell its stock to a person or group that is not subject to SEC Rule 13d,</w:t>
      </w:r>
      <w:r>
        <w:t xml:space="preserve"> </w:t>
      </w:r>
      <w:r>
        <w:rPr>
          <w:iCs/>
          <w:i/>
        </w:rPr>
        <w:t xml:space="preserve">i.e.,</w:t>
      </w:r>
      <w:r>
        <w:t xml:space="preserve"> </w:t>
      </w:r>
      <w:r>
        <w:t xml:space="preserve">the transferee cannot (i) hold the securities with the “purpose, or with the effect of, changing or influencing the control” or (ii) own more than 20% of the combined entity.</w:t>
      </w:r>
      <w:r>
        <w:t xml:space="preserve"> </w:t>
      </w:r>
      <w:r>
        <w:rPr>
          <w:iCs/>
          <w:i/>
        </w:rPr>
        <w:t xml:space="preserve">If Nabors chooses to sell more than 10% of the outstanding shares to a person or group, the combined entity will have a right of first refusal. Na-</w:t>
      </w:r>
      <w:r>
        <w:t xml:space="preserve"> </w:t>
      </w:r>
      <w:r>
        <w:rPr>
          <w:iCs/>
          <w:i/>
        </w:rPr>
        <w:t xml:space="preserve">bors will be prohibited from selling its stock to certain competitors. If any other company wishes to buy a controlling stake in the combined entity, they will be required to make an offer for the whole company,</w:t>
      </w:r>
      <w:r>
        <w:t xml:space="preserve"> </w:t>
      </w:r>
      <w:r>
        <w:t xml:space="preserve">and</w:t>
      </w:r>
    </w:p>
    <w:p>
      <w:pPr>
        <w:pStyle w:val="BlockText"/>
      </w:pPr>
      <w:r>
        <w:t xml:space="preserve">(vi) If Nabors violates any of the standstill provisions of the merger agreement, the violation will provide a basis to terminate the employment of certain members of the post-merger management team who are currently affiliated with Nabors.</w:t>
      </w:r>
      <w:r>
        <w:rPr>
          <w:rStyle w:val="FootnoteReference"/>
        </w:rPr>
        <w:footnoteReference w:customMarkFollows="1" w:id="658"/>
        <w:t xml:space="preserve">58</w:t>
      </w:r>
      <w:r>
        <w:t xml:space="preserve"> </w:t>
      </w:r>
      <w:r>
        <w:t xml:space="preserve">.</w:t>
      </w:r>
    </w:p>
    <w:p>
      <w:pPr>
        <w:pStyle w:val="CaseBody"/>
      </w:pPr>
      <w:r>
        <w:t xml:space="preserve">C&amp;J also bargained for a no-solicitation clause with a “fiduciary out” to allow C &amp; J to negotiate with third parties under Certain circumstances; a “fiduciary out” allowing C &amp; J to terminate the deal in favor of a superior proposal; and a modest $65 million termination fee (2.27% of the deal value). ' And although Comstock signed a voting support agreement committing his shares to vote for the merger, he would be released from that agreement if the C&amp;J board changed its recommendation in favor of the deal or otherwise exercised its “fiduciary out.”</w:t>
      </w:r>
      <w:r>
        <w:rPr>
          <w:rStyle w:val="FootnoteReference"/>
        </w:rPr>
        <w:footnoteReference w:customMarkFollows="1" w:id="663"/>
        <w:t xml:space="preserve">59</w:t>
      </w:r>
    </w:p>
    <w:p>
      <w:pPr>
        <w:pStyle w:val="CaseBody"/>
      </w:pPr>
      <w:r>
        <w:t xml:space="preserve">C &amp; J’s board considered the formal terms of the transaction at a special board meeting on June 24. Citi and Tudor both presented valuation analyses and fairness opinions to the board. Both financial ad-visors found that the transaction would be fair to stockholders, and that it would add value to C &amp; J’s stock.</w:t>
      </w:r>
      <w:r>
        <w:rPr>
          <w:rStyle w:val="FootnoteReference"/>
        </w:rPr>
        <w:footnoteReference w:customMarkFollows="1" w:id="668"/>
        <w:t xml:space="preserve">60</w:t>
      </w:r>
    </w:p>
    <w:p>
      <w:pPr>
        <w:pStyle w:val="CaseBody"/>
      </w:pPr>
      <w:r>
        <w:t xml:space="preserve">Following discussions, the board unanimously approved the transaction, subject to the approval of C &amp; J stockholders, with the intention to close before the end of 2014. The deal was publicly announced the following day, on June 25. The stock market reacted positively to the news: shares of both companies’ stock rose, and analyst coverage largely viewed the transaction as favorable to C &amp; J’s stockholders.</w:t>
      </w:r>
      <w:r>
        <w:rPr>
          <w:rStyle w:val="FootnoteReference"/>
        </w:rPr>
        <w:footnoteReference w:customMarkFollows="1" w:id="673"/>
        <w:t xml:space="preserve">61</w:t>
      </w:r>
    </w:p>
    <w:p>
      <w:pPr>
        <w:pStyle w:val="CaseBody"/>
      </w:pPr>
      <w:r>
        <w:rPr>
          <w:iCs/>
          <w:i/>
        </w:rPr>
        <w:t xml:space="preserve">G. Comstock’s Compensation Package</w:t>
      </w:r>
    </w:p>
    <w:p>
      <w:pPr>
        <w:pStyle w:val="CaseBody"/>
      </w:pPr>
      <w:r>
        <w:t xml:space="preserve">C &amp; J’s attorneys advised the current board that it would be “best from a fiduciary perspective to negotiate the deal terms and get those settled and agreed to before introducing the employment agreements.”</w:t>
      </w:r>
      <w:r>
        <w:t xml:space="preserve"> </w:t>
      </w:r>
      <w:r>
        <w:rPr>
          <w:rStyle w:val="FootnoteReference"/>
        </w:rPr>
        <w:footnoteReference w:customMarkFollows="1" w:id="679"/>
        <w:t xml:space="preserve">62</w:t>
      </w:r>
      <w:r>
        <w:t xml:space="preserve"> </w:t>
      </w:r>
      <w:r>
        <w:t xml:space="preserve">Consistent with this approach, Comstock deferred negotiating about the specifics until late June.</w:t>
      </w:r>
      <w:r>
        <w:rPr>
          <w:rStyle w:val="FootnoteReference"/>
        </w:rPr>
        <w:footnoteReference w:customMarkFollows="1" w:id="684"/>
        <w:t xml:space="preserve">63</w:t>
      </w:r>
      <w:r>
        <w:t xml:space="preserve"> </w:t>
      </w:r>
      <w:r>
        <w:t xml:space="preserve">But as the plaintiffs point out, Petrello had assured Com-stock throughout the process . that he would be aggressive in protecting Com-stock’s financial interests if a deal was consummated.</w:t>
      </w:r>
    </w:p>
    <w:p>
      <w:pPr>
        <w:pStyle w:val="CaseBody"/>
      </w:pPr>
      <w:r>
        <w:t xml:space="preserve">At approximately the same time that C &amp; J’s board approved the-deal, Comstock asked Petrello to sign a side letter affirming that C &amp; J’s management would run the surviving entity and endorsing a generous compensation package. Comstock negotiated for: a $1.1 million annual base salary, in addition to a bonus targeted at 200-300% of that amount; a lump-sum $3.3 million “success cash bonus”; and a “success equity bonus” of 500,000 restricted stock units, vested over three years, worth approximately $15.8 million.</w:t>
      </w:r>
      <w:r>
        <w:rPr>
          <w:rStyle w:val="FootnoteReference"/>
        </w:rPr>
        <w:footnoteReference w:customMarkFollows="1" w:id="689"/>
        <w:t xml:space="preserve">64</w:t>
      </w:r>
      <w:r>
        <w:t xml:space="preserve"> </w:t>
      </w:r>
      <w:r>
        <w:t xml:space="preserve">He would also be paid approximately $173 million in severance if his employment was terminated without cause.</w:t>
      </w:r>
      <w:r>
        <w:rPr>
          <w:rStyle w:val="FootnoteReference"/>
        </w:rPr>
        <w:footnoteReference w:customMarkFollows="1" w:id="694"/>
        <w:t xml:space="preserve">65</w:t>
      </w:r>
      <w:r>
        <w:t xml:space="preserve"> </w:t>
      </w:r>
      <w:r>
        <w:t xml:space="preserve">By comparison, Comstock’s base salary in 2014 is $875,000, with a target bonus range of 100-200%. He also received a grant of restricted stock worth $3.27 million.</w:t>
      </w:r>
      <w:r>
        <w:rPr>
          <w:rStyle w:val="FootnoteReference"/>
        </w:rPr>
        <w:footnoteReference w:customMarkFollows="1" w:id="699"/>
        <w:t xml:space="preserve">66</w:t>
      </w:r>
      <w:r>
        <w:t xml:space="preserve"> </w:t>
      </w:r>
      <w:r>
        <w:t xml:space="preserve">Comstock’s current severance package is also less generous, in part because it was premised on a lower salary level, but also by its own terms.</w:t>
      </w:r>
      <w:r>
        <w:rPr>
          <w:rStyle w:val="FootnoteReference"/>
        </w:rPr>
        <w:footnoteReference w:customMarkFollows="1" w:id="704"/>
        <w:t xml:space="preserve">67</w:t>
      </w:r>
      <w:r>
        <w:t xml:space="preserve"> </w:t>
      </w:r>
      <w:r>
        <w:t xml:space="preserve">His current compensation package at C &amp; J is thus more modest than what he stands to receive as CEO of New C &amp; J if the deal is consummated.</w:t>
      </w:r>
    </w:p>
    <w:p>
      <w:pPr>
        <w:pStyle w:val="CaseBody"/>
      </w:pPr>
      <w:r>
        <w:t xml:space="preserve">When Petrello hesitated to sign the letter, objecting to some of Comstock’s demands, Comstock threatened to “not sign ... and not announce the transaction.”</w:t>
      </w:r>
      <w:r>
        <w:rPr>
          <w:rStyle w:val="FootnoteReference"/>
        </w:rPr>
        <w:footnoteReference w:customMarkFollows="1" w:id="709"/>
        <w:t xml:space="preserve">68</w:t>
      </w:r>
      <w:r>
        <w:t xml:space="preserve"> </w:t>
      </w:r>
      <w:r>
        <w:t xml:space="preserve">Comstock emailed the other directors to keep them informed of what he characterized as Petrello’s “last minute gamesmanship.”</w:t>
      </w:r>
      <w:r>
        <w:t xml:space="preserve"> </w:t>
      </w:r>
      <w:r>
        <w:rPr>
          <w:rStyle w:val="FootnoteReference"/>
        </w:rPr>
        <w:footnoteReference w:customMarkFollows="1" w:id="714"/>
        <w:t xml:space="preserve">69</w:t>
      </w:r>
      <w:r>
        <w:t xml:space="preserve"> </w:t>
      </w:r>
      <w:r>
        <w:t xml:space="preserve">But a few hours later, Petrello agreed to sign the letter with some modifications,</w:t>
      </w:r>
      <w:r>
        <w:rPr>
          <w:rStyle w:val="FootnoteReference"/>
        </w:rPr>
        <w:footnoteReference w:customMarkFollows="1" w:id="719"/>
        <w:t xml:space="preserve">70</w:t>
      </w:r>
      <w:r>
        <w:t xml:space="preserve"> </w:t>
      </w:r>
      <w:r>
        <w:t xml:space="preserve">and the deal was announced as planned.</w:t>
      </w:r>
      <w:r>
        <w:rPr>
          <w:rStyle w:val="FootnoteReference"/>
        </w:rPr>
        <w:footnoteReference w:customMarkFollows="1" w:id="724"/>
        <w:t xml:space="preserve">71</w:t>
      </w:r>
    </w:p>
    <w:p>
      <w:pPr>
        <w:pStyle w:val="CaseBody"/>
      </w:pPr>
      <w:r>
        <w:t xml:space="preserve">The evidence from the record thus provides some support for the arguments made by both sides in this case. The evidence showing that Comstock was focused on his compensation casts shade on his motivations, as he ultimately secured a generous package. That said, the Court of Chancery did not find that Comstock likely breached his duty of loyalty or faced a certain conflict of interest,</w:t>
      </w:r>
      <w:r>
        <w:rPr>
          <w:rStyle w:val="FootnoteReference"/>
        </w:rPr>
        <w:footnoteReference w:customMarkFollows="1" w:id="729"/>
        <w:t xml:space="preserve">72</w:t>
      </w:r>
      <w:r>
        <w:t xml:space="preserve"> </w:t>
      </w:r>
      <w:r>
        <w:t xml:space="preserve">and we cannot do so ourselves as a factual matter on this record.</w:t>
      </w:r>
    </w:p>
    <w:p>
      <w:pPr>
        <w:pStyle w:val="CaseBody"/>
      </w:pPr>
      <w:r>
        <w:t xml:space="preserve">Although Comstock appeared interested in improving his compensation, there is no basis in the record or market dynamics to suggest that a deal with Nabors was necessary for him to achieve that objective. Selling to a private equity buyer or purchasing another substantial asset, which C &amp; J had considered in late 2018, would have the potential to generate similar benefits for him. As important, Comstock faced no threat to his tenure, held 10% of C &amp; J’s stock, and had a strong interest in maximizing the value of those shares. Given that Nabors would own a majority of New C &amp; J’s stock, there was also a logical reason for him and his management team to seek strong protection against removal, especially because C &amp; J’s deal thesis was premised on the higher valuation its team could achieve in managing Nabors CPS’ underutilized assets.</w:t>
      </w:r>
      <w:r>
        <w:rPr>
          <w:rStyle w:val="FootnoteReference"/>
        </w:rPr>
        <w:footnoteReference w:customMarkFollows="1" w:id="734"/>
        <w:t xml:space="preserve">73</w:t>
      </w:r>
    </w:p>
    <w:p>
      <w:pPr>
        <w:pStyle w:val="CaseBody"/>
      </w:pPr>
      <w:r>
        <w:t xml:space="preserve">Additionally, C&amp;J stockholders have the opportunity to vote, on a non-binding, advisory basis, on the compensation proposals for C &amp; J executives as part of the same proxy as the binding vote to approve the merger agreement. And the employment agreement Comstock negotiated is not binding on the board of New C&amp;J, which must approve any compensation package. Most important of all, any potential conflict must be balanced against the numerous meetings that the C&amp;J board held during the process, the board’s close involvement and communications with Comstock throughout, and the reality that the board’s favorable view of the transaction was validated by the stock market reaction.</w:t>
      </w:r>
    </w:p>
    <w:p>
      <w:pPr>
        <w:pStyle w:val="CaseBody"/>
      </w:pPr>
      <w:r>
        <w:t xml:space="preserve">Likewise, the plaintiffs’ argument that the board lacked awareness of the change in control implications of the deal is belied by the protective provisions built into the merger agreement. That agreement not only ensured that C&amp;J stockholders would share</w:t>
      </w:r>
      <w:r>
        <w:t xml:space="preserve"> </w:t>
      </w:r>
      <w:r>
        <w:rPr>
          <w:iCs/>
          <w:i/>
        </w:rPr>
        <w:t xml:space="preserve">pro rata</w:t>
      </w:r>
      <w:r>
        <w:t xml:space="preserve"> </w:t>
      </w:r>
      <w:r>
        <w:t xml:space="preserve">in any future control premium if New C &amp; J is sold, but also contained an unusual buy-side “fiduciary out” allowing for a lengthy and viable post-signing market check.</w:t>
      </w:r>
    </w:p>
    <w:p>
      <w:pPr>
        <w:pStyle w:val="CaseBody"/>
      </w:pPr>
      <w:r>
        <w:t xml:space="preserve">It is therefore unsurprising that the Court of Chancery was unable to find a reasonable probability of success on the merits or that any member of the board was conflicted.</w:t>
      </w:r>
      <w:r>
        <w:rPr>
          <w:rStyle w:val="FootnoteReference"/>
        </w:rPr>
        <w:footnoteReference w:customMarkFollows="1" w:id="739"/>
        <w:t xml:space="preserve">74</w:t>
      </w:r>
      <w:r>
        <w:t xml:space="preserve"> </w:t>
      </w:r>
      <w:r>
        <w:t xml:space="preserve">Although the record before us reveals a board process that sometimes fell short of ideal,</w:t>
      </w:r>
      <w:r>
        <w:t xml:space="preserve"> </w:t>
      </w:r>
      <w:r>
        <w:rPr>
          <w:iCs/>
          <w:i/>
        </w:rPr>
        <w:t xml:space="preserve">Revlon</w:t>
      </w:r>
      <w:r>
        <w:t xml:space="preserve"> </w:t>
      </w:r>
      <w:r>
        <w:t xml:space="preserve">requires us to examine whether a board’s overall course of action was reasonable under the circumstances as a good faith attempt to secure the highest value reasonably attainable.</w:t>
      </w:r>
      <w:r>
        <w:rPr>
          <w:rStyle w:val="FootnoteReference"/>
        </w:rPr>
        <w:footnoteReference w:customMarkFollows="1" w:id="744"/>
        <w:t xml:space="preserve">75</w:t>
      </w:r>
      <w:r>
        <w:t xml:space="preserve"> </w:t>
      </w:r>
      <w:r>
        <w:t xml:space="preserve">When that standard is applied to this record, we cannot conclude that the plaintiffs have proven that the majority-independent C &amp; J board acted unreasonably in negotiating a logical strategic transaction, with undisputed business and tax advantages, simply because that transaction had change of control implications.</w:t>
      </w:r>
    </w:p>
    <w:p>
      <w:pPr>
        <w:pStyle w:val="CaseBody"/>
      </w:pPr>
      <w:r>
        <w:t xml:space="preserve">III. ANALYSIS</w:t>
      </w:r>
    </w:p>
    <w:p>
      <w:pPr>
        <w:pStyle w:val="CaseBody"/>
      </w:pPr>
      <w:r>
        <w:t xml:space="preserve">A. The Court Of Chancery Applied The Wrong Standard Of Proof And Evi-dentiary Burden For A Preliminary Injunction</w:t>
      </w:r>
    </w:p>
    <w:p>
      <w:pPr>
        <w:pStyle w:val="CaseBody"/>
      </w:pPr>
      <w:r>
        <w:t xml:space="preserve">To obtain a preliminary injunction, the plaintiffs must demonstrate: (1) a reasonable probability of success on the merits; (2) that they will suffer irreparable injury without an injunction; and (3) that their harm without an injunction outweighs the harm to the defendants that will result from the injunction.</w:t>
      </w:r>
      <w:r>
        <w:rPr>
          <w:rStyle w:val="FootnoteReference"/>
        </w:rPr>
        <w:footnoteReference w:customMarkFollows="1" w:id="749"/>
        <w:t xml:space="preserve">76</w:t>
      </w:r>
      <w:r>
        <w:t xml:space="preserve"> </w:t>
      </w:r>
      <w:r>
        <w:t xml:space="preserve">Delaware courts have emphasized that in cases like this, where the plaintiff seeks to enjoin a corporate transaction, the showing of a reasonable probability of success must be “particularly strong” when “no other bidder has emerged despite relatively mild deal protection devices.”</w:t>
      </w:r>
      <w:r>
        <w:rPr>
          <w:rStyle w:val="FootnoteReference"/>
        </w:rPr>
        <w:footnoteReference w:customMarkFollows="1" w:id="753"/>
        <w:t xml:space="preserve">77</w:t>
      </w:r>
    </w:p>
    <w:p>
      <w:pPr>
        <w:pStyle w:val="CaseBody"/>
      </w:pPr>
      <w:r>
        <w:t xml:space="preserve">In this case, although the Court of Chancery correctly identified the standard of review for a preliminary injunction, it misapplied that standard when it found that there was “a</w:t>
      </w:r>
      <w:r>
        <w:t xml:space="preserve"> </w:t>
      </w:r>
      <w:r>
        <w:rPr>
          <w:iCs/>
          <w:i/>
        </w:rPr>
        <w:t xml:space="preserve">plausible</w:t>
      </w:r>
      <w:r>
        <w:t xml:space="preserve"> </w:t>
      </w:r>
      <w:r>
        <w:t xml:space="preserve">showing of a likelihood of success on the merits as to a breach of the duty of care, and that goes to an absence of an effort to sell.”</w:t>
      </w:r>
      <w:r>
        <w:rPr>
          <w:rStyle w:val="FootnoteReference"/>
        </w:rPr>
        <w:footnoteReference w:customMarkFollows="1" w:id="757"/>
        <w:t xml:space="preserve">78</w:t>
      </w:r>
      <w:r>
        <w:t xml:space="preserve"> </w:t>
      </w:r>
      <w:r>
        <w:t xml:space="preserve">The court also stated that the question “is a very close call,”</w:t>
      </w:r>
      <w:r>
        <w:rPr>
          <w:rStyle w:val="FootnoteReference"/>
        </w:rPr>
        <w:footnoteReference w:customMarkFollows="1" w:id="761"/>
        <w:t xml:space="preserve">79</w:t>
      </w:r>
      <w:r>
        <w:t xml:space="preserve"> </w:t>
      </w:r>
      <w:r>
        <w:t xml:space="preserve">outlined substantial arguments against granting the injunction, admitted that the principle that stockholders are entitled to a particular sales process was</w:t>
      </w:r>
      <w:r>
        <w:t xml:space="preserve"> </w:t>
      </w:r>
      <w:r>
        <w:rPr>
          <w:iCs/>
          <w:i/>
        </w:rPr>
        <w:t xml:space="preserve">“not</w:t>
      </w:r>
      <w:r>
        <w:t xml:space="preserve"> </w:t>
      </w:r>
      <w:r>
        <w:t xml:space="preserve">a particularly satisfying one,”</w:t>
      </w:r>
      <w:r>
        <w:rPr>
          <w:rStyle w:val="FootnoteReference"/>
        </w:rPr>
        <w:footnoteReference w:customMarkFollows="1" w:id="765"/>
        <w:t xml:space="preserve">80</w:t>
      </w:r>
      <w:r>
        <w:t xml:space="preserve"> </w:t>
      </w:r>
      <w:r>
        <w:t xml:space="preserve">and highlighted that no rival bidders had emerged in the five months since the announcement despite modest deal protections.</w:t>
      </w:r>
      <w:r>
        <w:rPr>
          <w:rStyle w:val="FootnoteReference"/>
        </w:rPr>
        <w:footnoteReference w:customMarkFollows="1" w:id="769"/>
        <w:t xml:space="preserve">81</w:t>
      </w:r>
      <w:r>
        <w:t xml:space="preserve"> </w:t>
      </w:r>
      <w:r>
        <w:t xml:space="preserve">A party showing a “reasonable probability” of success must demonstrate “that it "will prove that it is more likely than not entitled to relief.”</w:t>
      </w:r>
      <w:r>
        <w:rPr>
          <w:rStyle w:val="FootnoteReference"/>
        </w:rPr>
        <w:footnoteReference w:customMarkFollows="1" w:id="773"/>
        <w:t xml:space="preserve">82</w:t>
      </w:r>
      <w:r>
        <w:t xml:space="preserve"> </w:t>
      </w:r>
      <w:r>
        <w:t xml:space="preserve">The Court of Chancery’s own decision indicates that the plaintiffs did not carry that burden in this case, but the Court of Chancery failed to apply the correct standard of review when it nevertheless awarded the plaintiffs’ requested injunctive relief.</w:t>
      </w:r>
    </w:p>
    <w:p>
      <w:pPr>
        <w:pStyle w:val="CaseBody"/>
      </w:pPr>
      <w:r>
        <w:t xml:space="preserve">B. The Plaintiffs Have Not Demonstrated A Reasonable Probability Of Success On The Merits</w:t>
      </w:r>
    </w:p>
    <w:p>
      <w:pPr>
        <w:pStyle w:val="CaseBody"/>
      </w:pPr>
      <w:r>
        <w:rPr>
          <w:iCs/>
          <w:i/>
        </w:rPr>
        <w:t xml:space="preserve">1. The Court of Chancery’s Ruling Rested on an Erroneous Understanding of What</w:t>
      </w:r>
      <w:r>
        <w:t xml:space="preserve"> </w:t>
      </w:r>
      <w:r>
        <w:t xml:space="preserve">Revlon</w:t>
      </w:r>
      <w:r>
        <w:t xml:space="preserve"> </w:t>
      </w:r>
      <w:r>
        <w:rPr>
          <w:iCs/>
          <w:i/>
        </w:rPr>
        <w:t xml:space="preserve">Requires of a Board of Directors</w:t>
      </w:r>
    </w:p>
    <w:p>
      <w:pPr>
        <w:pStyle w:val="CaseBody"/>
      </w:pPr>
      <w:r>
        <w:t xml:space="preserve">Not only did the Court of Chancery fail to apply the appropriate standard of review, its ruling rested on an erroneous understanding of what</w:t>
      </w:r>
      <w:r>
        <w:t xml:space="preserve"> </w:t>
      </w:r>
      <w:r>
        <w:rPr>
          <w:iCs/>
          <w:i/>
        </w:rPr>
        <w:t xml:space="preserve">Revlon</w:t>
      </w:r>
      <w:r>
        <w:t xml:space="preserve"> </w:t>
      </w:r>
      <w:r>
        <w:t xml:space="preserve">requires.</w:t>
      </w:r>
      <w:r>
        <w:t xml:space="preserve"> </w:t>
      </w:r>
      <w:r>
        <w:rPr>
          <w:iCs/>
          <w:i/>
        </w:rPr>
        <w:t xml:space="preserve">Revlon</w:t>
      </w:r>
      <w:r>
        <w:t xml:space="preserve"> </w:t>
      </w:r>
      <w:r>
        <w:t xml:space="preserve">involved a decision by a board of directors to chill the emergence of a higher offer from a bidder because the board’s CEO disliked the new bidder, after the target board had agreed to sell the company for cash.</w:t>
      </w:r>
      <w:r>
        <w:t xml:space="preserve"> </w:t>
      </w:r>
      <w:r>
        <w:rPr>
          <w:iCs/>
          <w:i/>
        </w:rPr>
        <w:t xml:space="preserve">Revlon</w:t>
      </w:r>
      <w:r>
        <w:t xml:space="preserve"> </w:t>
      </w:r>
      <w:r>
        <w:t xml:space="preserve">made clear that when a board engages in a change of control transaction, it must not take actions inconsistent with achieving the highest immediate value reasonably attainable.</w:t>
      </w:r>
      <w:r>
        <w:rPr>
          <w:rStyle w:val="FootnoteReference"/>
        </w:rPr>
        <w:footnoteReference w:customMarkFollows="1" w:id="777"/>
        <w:t xml:space="preserve">83</w:t>
      </w:r>
    </w:p>
    <w:p>
      <w:pPr>
        <w:pStyle w:val="CaseBody"/>
      </w:pPr>
      <w:r>
        <w:t xml:space="preserve">But</w:t>
      </w:r>
      <w:r>
        <w:t xml:space="preserve"> </w:t>
      </w:r>
      <w:r>
        <w:rPr>
          <w:iCs/>
          <w:i/>
        </w:rPr>
        <w:t xml:space="preserve">Revlon</w:t>
      </w:r>
      <w:r>
        <w:t xml:space="preserve"> </w:t>
      </w:r>
      <w:r>
        <w:t xml:space="preserve">does not require a board to set aside its own view of what is best for the corporation’s stockholders and run an auction whenever the board approves a change of control transaction. As this Court has made clear, “there is no single blueprint that a board must follow to fulfill its duties,”</w:t>
      </w:r>
      <w:r>
        <w:rPr>
          <w:rStyle w:val="FootnoteReference"/>
        </w:rPr>
        <w:footnoteReference w:customMarkFollows="1" w:id="781"/>
        <w:t xml:space="preserve">84</w:t>
      </w:r>
      <w:r>
        <w:t xml:space="preserve"> </w:t>
      </w:r>
      <w:r>
        <w:t xml:space="preserve">and a court applying</w:t>
      </w:r>
      <w:r>
        <w:t xml:space="preserve"> </w:t>
      </w:r>
      <w:r>
        <w:rPr>
          <w:iCs/>
          <w:i/>
        </w:rPr>
        <w:t xml:space="preserve">Revlon’s</w:t>
      </w:r>
      <w:r>
        <w:t xml:space="preserve"> </w:t>
      </w:r>
      <w:r>
        <w:t xml:space="preserve">enhanced scrutiny must decide “whether the directors made a</w:t>
      </w:r>
      <w:r>
        <w:t xml:space="preserve"> </w:t>
      </w:r>
      <w:r>
        <w:rPr>
          <w:iCs/>
          <w:i/>
        </w:rPr>
        <w:t xml:space="preserve">reasonable</w:t>
      </w:r>
      <w:r>
        <w:t xml:space="preserve"> </w:t>
      </w:r>
      <w:r>
        <w:t xml:space="preserve">decision, not a</w:t>
      </w:r>
      <w:r>
        <w:t xml:space="preserve"> </w:t>
      </w:r>
      <w:r>
        <w:rPr>
          <w:iCs/>
          <w:i/>
        </w:rPr>
        <w:t xml:space="preserve">perfect</w:t>
      </w:r>
      <w:r>
        <w:t xml:space="preserve"> </w:t>
      </w:r>
      <w:r>
        <w:t xml:space="preserve">decision.”</w:t>
      </w:r>
      <w:r>
        <w:rPr>
          <w:rStyle w:val="FootnoteReference"/>
        </w:rPr>
        <w:footnoteReference w:customMarkFollows="1" w:id="785"/>
        <w:t xml:space="preserve">85</w:t>
      </w:r>
    </w:p>
    <w:p>
      <w:pPr>
        <w:pStyle w:val="CaseBody"/>
      </w:pPr>
      <w:r>
        <w:t xml:space="preserve">In a series of decisions in the wake of</w:t>
      </w:r>
      <w:r>
        <w:t xml:space="preserve"> </w:t>
      </w:r>
      <w:r>
        <w:rPr>
          <w:iCs/>
          <w:i/>
        </w:rPr>
        <w:t xml:space="preserve">Revlon,</w:t>
      </w:r>
      <w:r>
        <w:t xml:space="preserve"> </w:t>
      </w:r>
      <w:r>
        <w:t xml:space="preserve">Chancellor Allen correctly read its holding as permitting a board to pursue the transaction it reasonably views as most valuable to stockholders, so long as the transaction is subject to an effective market check under circumstances in which any bidder interested in paying more has a reasonable opportunity to do so.</w:t>
      </w:r>
      <w:r>
        <w:rPr>
          <w:rStyle w:val="FootnoteReference"/>
        </w:rPr>
        <w:footnoteReference w:customMarkFollows="1" w:id="789"/>
        <w:t xml:space="preserve">86</w:t>
      </w:r>
      <w:r>
        <w:t xml:space="preserve"> </w:t>
      </w:r>
      <w:r>
        <w:t xml:space="preserve">Such a market check does not have to involve an active solicitation, so long as interested bidders have a fair opportunity to present a higher-value alternative, and the board has the flexibility to eschew the original transaction and accept the higher-value deal.</w:t>
      </w:r>
      <w:r>
        <w:rPr>
          <w:rStyle w:val="FootnoteReference"/>
        </w:rPr>
        <w:footnoteReference w:customMarkFollows="1" w:id="793"/>
        <w:t xml:space="preserve">87</w:t>
      </w:r>
      <w:r>
        <w:t xml:space="preserve"> </w:t>
      </w:r>
      <w:r>
        <w:t xml:space="preserve">The ability of the stockholders themselves to freely accept or reject the board’s preferred course of action is also of great importance in this context.</w:t>
      </w:r>
      <w:r>
        <w:rPr>
          <w:rStyle w:val="FootnoteReference"/>
        </w:rPr>
        <w:footnoteReference w:customMarkFollows="1" w:id="797"/>
        <w:t xml:space="preserve">88</w:t>
      </w:r>
    </w:p>
    <w:p>
      <w:pPr>
        <w:pStyle w:val="CaseBody"/>
      </w:pPr>
      <w:r>
        <w:t xml:space="preserve">Here, the Court of Chancery seems to have believed that</w:t>
      </w:r>
      <w:r>
        <w:t xml:space="preserve"> </w:t>
      </w:r>
      <w:r>
        <w:rPr>
          <w:iCs/>
          <w:i/>
        </w:rPr>
        <w:t xml:space="preserve">Revlon</w:t>
      </w:r>
      <w:r>
        <w:t xml:space="preserve"> </w:t>
      </w:r>
      <w:r>
        <w:t xml:space="preserve">required C &amp; J’s board to conduct a pre-signing active solicitation process in order to satisfy its contextual fiduciary duties.</w:t>
      </w:r>
      <w:r>
        <w:rPr>
          <w:rStyle w:val="FootnoteReference"/>
        </w:rPr>
        <w:footnoteReference w:customMarkFollows="1" w:id="801"/>
        <w:t xml:space="preserve">89</w:t>
      </w:r>
      <w:r>
        <w:t xml:space="preserve"> </w:t>
      </w:r>
      <w:r>
        <w:t xml:space="preserve">It did so despite finding that C &amp; J’s board had no improper motive to sign a deal with Nabors</w:t>
      </w:r>
      <w:r>
        <w:rPr>
          <w:rStyle w:val="FootnoteReference"/>
        </w:rPr>
        <w:footnoteReference w:customMarkFollows="1" w:id="805"/>
        <w:t xml:space="preserve">90</w:t>
      </w:r>
      <w:r>
        <w:t xml:space="preserve"> </w:t>
      </w:r>
      <w:r>
        <w:t xml:space="preserve">and that the board was well-informed as to C &amp; J’s value,</w:t>
      </w:r>
      <w:r>
        <w:rPr>
          <w:rStyle w:val="FootnoteReference"/>
        </w:rPr>
        <w:footnoteReference w:customMarkFollows="1" w:id="809"/>
        <w:t xml:space="preserve">91</w:t>
      </w:r>
      <w:r>
        <w:t xml:space="preserve"> </w:t>
      </w:r>
      <w:r>
        <w:t xml:space="preserve">and despite the fact that Comstock, one of C &amp; J’s largest stockholders, had a strong motive to maximize the value of his shares, and had no reason to do a deal just to secure his (unthreatened) management future. Not only that, but the employer of one of C &amp; J’s directors, Ma, was a private equity firm that owned 10% of C &amp; J stock and was therefore unlikely to support a transaction that would compromise the value of its large equity position.</w:t>
      </w:r>
      <w:r>
        <w:rPr>
          <w:rStyle w:val="FootnoteReference"/>
        </w:rPr>
        <w:footnoteReference w:customMarkFollows="1" w:id="813"/>
        <w:t xml:space="preserve">92</w:t>
      </w:r>
    </w:p>
    <w:p>
      <w:pPr>
        <w:pStyle w:val="CaseBody"/>
      </w:pPr>
      <w:r>
        <w:t xml:space="preserve">The Court of Chancery imposed a pre-signing solicitation requirement because of its perception that C &amp; J’s board did not have “an impeccable knowledge of the value of the company that it is selling.”</w:t>
      </w:r>
      <w:r>
        <w:rPr>
          <w:rStyle w:val="FootnoteReference"/>
        </w:rPr>
        <w:footnoteReference w:customMarkFollows="1" w:id="817"/>
        <w:t xml:space="preserve">93</w:t>
      </w:r>
      <w:r>
        <w:t xml:space="preserve"> </w:t>
      </w:r>
      <w:r>
        <w:t xml:space="preserve">In so ruling, the Court of Chancery seemed to imply that</w:t>
      </w:r>
      <w:r>
        <w:t xml:space="preserve"> </w:t>
      </w:r>
      <w:r>
        <w:rPr>
          <w:iCs/>
          <w:i/>
        </w:rPr>
        <w:t xml:space="preserve">Revlon</w:t>
      </w:r>
      <w:r>
        <w:t xml:space="preserve"> </w:t>
      </w:r>
      <w:r>
        <w:t xml:space="preserve">required “impeccable knowledge,” and that there was only one reasonable way to comply, ie., requiring a company to actively shop itself, which ignores the Court of Chancery’s own well-reasoned precedent</w:t>
      </w:r>
      <w:r>
        <w:rPr>
          <w:rStyle w:val="FootnoteReference"/>
        </w:rPr>
        <w:footnoteReference w:customMarkFollows="1" w:id="821"/>
        <w:t xml:space="preserve">94</w:t>
      </w:r>
      <w:r>
        <w:t xml:space="preserve"> </w:t>
      </w:r>
      <w:r>
        <w:t xml:space="preserve">and that of this Court, including our recent decision in Lyondell,</w:t>
      </w:r>
      <w:r>
        <w:rPr>
          <w:rStyle w:val="FootnoteReference"/>
        </w:rPr>
        <w:footnoteReference w:customMarkFollows="1" w:id="825"/>
        <w:t xml:space="preserve">95</w:t>
      </w:r>
      <w:r>
        <w:t xml:space="preserve"> </w:t>
      </w:r>
      <w:r>
        <w:t xml:space="preserve">And the court’s perception that the board was not adequately informed was in tension with its other findings, grounded in the record, that C &amp; J’s directors were well-informed as to Nabors CPS’ value.</w:t>
      </w:r>
      <w:r>
        <w:rPr>
          <w:rStyle w:val="FootnoteReference"/>
        </w:rPr>
        <w:footnoteReference w:customMarkFollows="1" w:id="829"/>
        <w:t xml:space="preserve">96</w:t>
      </w:r>
    </w:p>
    <w:p>
      <w:pPr>
        <w:pStyle w:val="CaseBody"/>
      </w:pPr>
      <w:r>
        <w:t xml:space="preserve">Nor does the record indicate that C &amp; J’s board was unaware of the implications of structuring the deal so that Nabors would have majority voting control over the surviving entity.</w:t>
      </w:r>
      <w:r>
        <w:rPr>
          <w:rStyle w:val="FootnoteReference"/>
        </w:rPr>
        <w:footnoteReference w:customMarkFollows="1" w:id="833"/>
        <w:t xml:space="preserve">97</w:t>
      </w:r>
      <w:r>
        <w:t xml:space="preserve"> </w:t>
      </w:r>
      <w:r>
        <w:t xml:space="preserve">As the undisputed facts demonstrate, the C&amp;J board was aware that Nabors would own a majority of the voting stock of New C &amp; J, and indeed that such a shift in control was , required to effect the tax-motivated re-domiciling that the board believed would be beneficial to C &amp; J’s stockholders. The board took steps to mitigate the effects of that change in control, including by providing that a two-thirds vote will be required to amend the corporate bye-laws, sell the company, or issue stock for a period of five years; and preventing Nabors from acquiring additional shares or selling its shares for the five year standstill period. Most important, the board negotiated for a bye-law providing that all stockholders will receive</w:t>
      </w:r>
      <w:r>
        <w:t xml:space="preserve"> </w:t>
      </w:r>
      <w:r>
        <w:rPr>
          <w:iCs/>
          <w:i/>
        </w:rPr>
        <w:t xml:space="preserve">pro rata</w:t>
      </w:r>
      <w:r>
        <w:t xml:space="preserve"> </w:t>
      </w:r>
      <w:r>
        <w:t xml:space="preserve">consideration in any sale of the company or its assets, a bye-law that cannot be repealed without unanimous stockholder approval.</w:t>
      </w:r>
    </w:p>
    <w:p>
      <w:pPr>
        <w:pStyle w:val="CaseBody"/>
      </w:pPr>
      <w:r>
        <w:t xml:space="preserve">Although we are reluctant in the context of this expedited appeal to conclude that these provisions were, in themselves, sufficient to take the transaction out of the reach of</w:t>
      </w:r>
      <w:r>
        <w:t xml:space="preserve"> </w:t>
      </w:r>
      <w:r>
        <w:rPr>
          <w:iCs/>
          <w:i/>
        </w:rPr>
        <w:t xml:space="preserve">Revlon,</w:t>
      </w:r>
      <w:r>
        <w:t xml:space="preserve"> </w:t>
      </w:r>
      <w:r>
        <w:t xml:space="preserve">they do constitute important efforts by the C&amp;J directors to protect their stockholders and to ensure that the transaction was favorable to them.</w:t>
      </w:r>
      <w:r>
        <w:rPr>
          <w:rStyle w:val="FootnoteReference"/>
        </w:rPr>
        <w:footnoteReference w:customMarkFollows="1" w:id="837"/>
        <w:t xml:space="preserve">98</w:t>
      </w:r>
    </w:p>
    <w:p>
      <w:pPr>
        <w:pStyle w:val="CaseBody"/>
      </w:pPr>
      <w:r>
        <w:t xml:space="preserve">It is also important to note that there were no material barriers that would have prevented a rival bidder from making a superior offer. As discussed, the C &amp; J board negotiated for a broad “fiduciary out” that enabled the board to terminate the transaction with Nabors if a more favorable deal emerged. This was an unusual protection for a buyer of assets to secure, because sellers (for logical reasons) rarely give buyers such an out. Consistent with his fiduciary duties as a C &amp; J director, Comstock’s voting support agreement would fall away upon a decision by the C &amp; J board to exercise its out, leaving him free to vote in favor of a higher priced deal.</w:t>
      </w:r>
      <w:r>
        <w:rPr>
          <w:rStyle w:val="FootnoteReference"/>
        </w:rPr>
        <w:footnoteReference w:customMarkFollows="1" w:id="841"/>
        <w:t xml:space="preserve">99</w:t>
      </w:r>
      <w:r>
        <w:t xml:space="preserve"> </w:t>
      </w:r>
      <w:r>
        <w:t xml:space="preserve">Therefore, if a competing bidder emerged, it faced only the barrier of a $65 million termination fee.</w:t>
      </w:r>
      <w:r>
        <w:rPr>
          <w:rStyle w:val="FootnoteReference"/>
        </w:rPr>
        <w:footnoteReference w:customMarkFollows="1" w:id="845"/>
        <w:t xml:space="preserve">100</w:t>
      </w:r>
      <w:r>
        <w:t xml:space="preserve"> </w:t>
      </w:r>
      <w:r>
        <w:t xml:space="preserve">Further, the transaction was announced on July 25, and was not expected to be consummated until near the end of 2014, a period of time more than sufficient for a serious bidder to express interest and to formulate a binding offer for the C &amp; J board to accept.</w:t>
      </w:r>
    </w:p>
    <w:p>
      <w:pPr>
        <w:pStyle w:val="CaseBody"/>
      </w:pPr>
      <w:r>
        <w:t xml:space="preserve">In prior cases like</w:t>
      </w:r>
      <w:r>
        <w:t xml:space="preserve"> </w:t>
      </w:r>
      <w:r>
        <w:rPr>
          <w:iCs/>
          <w:i/>
        </w:rPr>
        <w:t xml:space="preserve">In re Fort Howard Corporation Shareholders Litigation,</w:t>
      </w:r>
      <w:r>
        <w:t xml:space="preserve"> </w:t>
      </w:r>
      <w:r>
        <w:t xml:space="preserve">this sort of passive market check was deemed sufficient to satisfy</w:t>
      </w:r>
      <w:r>
        <w:t xml:space="preserve"> </w:t>
      </w:r>
      <w:r>
        <w:rPr>
          <w:iCs/>
          <w:i/>
        </w:rPr>
        <w:t xml:space="preserve">Revlon.</w:t>
      </w:r>
      <w:r>
        <w:t xml:space="preserve"> </w:t>
      </w:r>
      <w:r>
        <w:t xml:space="preserve"> </w:t>
      </w:r>
      <w:r>
        <w:t xml:space="preserve"> </w:t>
      </w:r>
      <w:r>
        <w:t xml:space="preserve">But as the years go by, people seem to forget that</w:t>
      </w:r>
      <w:r>
        <w:t xml:space="preserve"> </w:t>
      </w:r>
      <w:r>
        <w:rPr>
          <w:iCs/>
          <w:i/>
        </w:rPr>
        <w:t xml:space="preserve">Revlon</w:t>
      </w:r>
      <w:r>
        <w:t xml:space="preserve"> </w:t>
      </w:r>
      <w:r>
        <w:t xml:space="preserve">was largely about a board’s resistance to a particular bidder and its subsequent attempts to prevent market forces from surfacing the highest bid.</w:t>
      </w:r>
      <w:r>
        <w:t xml:space="preserve"> </w:t>
      </w:r>
      <w:r>
        <w:rPr>
          <w:iCs/>
          <w:i/>
        </w:rPr>
        <w:t xml:space="preserve">QVC</w:t>
      </w:r>
      <w:r>
        <w:t xml:space="preserve"> </w:t>
      </w:r>
      <w:r>
        <w:t xml:space="preserve">was of a similar ilk.</w:t>
      </w:r>
      <w:r>
        <w:rPr>
          <w:rStyle w:val="FootnoteReference"/>
        </w:rPr>
        <w:footnoteReference w:customMarkFollows="1" w:id="853"/>
        <w:t xml:space="preserve">102</w:t>
      </w:r>
      <w:r>
        <w:t xml:space="preserve"> </w:t>
      </w:r>
      <w:r>
        <w:t xml:space="preserve">But in this case, there was no barrier to the emergence of another bidder and more than adequate time for such a bidder to emerge. The Court of Chancery was right to be “skeptical that another buyer would emerge.”</w:t>
      </w:r>
      <w:r>
        <w:rPr>
          <w:rStyle w:val="FootnoteReference"/>
        </w:rPr>
        <w:footnoteReference w:customMarkFollows="1" w:id="857"/>
        <w:t xml:space="preserve">103</w:t>
      </w:r>
      <w:r>
        <w:t xml:space="preserve"> </w:t>
      </w:r>
      <w:r>
        <w:t xml:space="preserve">As important, the majority of C &amp; J’s board is independent, and there is no apparent reason why the board would not be receptive to a transaction that was better for stockholders than the Nabors deal.</w:t>
      </w:r>
    </w:p>
    <w:p>
      <w:pPr>
        <w:pStyle w:val="CaseBody"/>
      </w:pPr>
      <w:r>
        <w:t xml:space="preserve">It is also contextually relevant that C &amp; J’s stockholders will have the chance to vote on whether to accept the benefits and risks that come with the transaction, or to reject the deal and have C &amp; J continue to be run on a stand-alone basis.</w:t>
      </w:r>
      <w:r>
        <w:rPr>
          <w:rStyle w:val="FootnoteReference"/>
        </w:rPr>
        <w:footnoteReference w:customMarkFollows="1" w:id="861"/>
        <w:t xml:space="preserve">104</w:t>
      </w:r>
      <w:r>
        <w:t xml:space="preserve"> </w:t>
      </w:r>
      <w:r>
        <w:t xml:space="preserve">Although the C &amp; J board had to satisfy itself that the transaction was the best course of action for stockholders, the board could also take into account that its stockholders would have a fair chance to evaluate the board’s decision for themselves. As the Court of Chancery noted, “[t]he shareholders are adequately informed.”</w:t>
      </w:r>
      <w:r>
        <w:rPr>
          <w:rStyle w:val="FootnoteReference"/>
        </w:rPr>
        <w:footnoteReference w:customMarkFollows="1" w:id="865"/>
        <w:t xml:space="preserve">105</w:t>
      </w:r>
    </w:p>
    <w:p>
      <w:pPr>
        <w:pStyle w:val="CaseBody"/>
      </w:pPr>
      <w:r>
        <w:t xml:space="preserve">Given these factors, we conclude that the Court of Chancery failed to apply the correct legal analysis when it imposed the injunction. Because the Court of Chancery could not find that the plaintiffs had met their burden while misapplying</w:t>
      </w:r>
      <w:r>
        <w:t xml:space="preserve"> </w:t>
      </w:r>
      <w:r>
        <w:rPr>
          <w:iCs/>
          <w:i/>
        </w:rPr>
        <w:t xml:space="preserve">Revlon</w:t>
      </w:r>
      <w:r>
        <w:t xml:space="preserve"> </w:t>
      </w:r>
      <w:r>
        <w:t xml:space="preserve">and reading it to require an active market check in all circumstances, it certainly could not have found a reasonable probability of success when applying</w:t>
      </w:r>
      <w:r>
        <w:t xml:space="preserve"> </w:t>
      </w:r>
      <w:r>
        <w:rPr>
          <w:iCs/>
          <w:i/>
        </w:rPr>
        <w:t xml:space="preserve">Revlon</w:t>
      </w:r>
      <w:r>
        <w:t xml:space="preserve"> </w:t>
      </w:r>
      <w:r>
        <w:t xml:space="preserve">faithfully.</w:t>
      </w:r>
    </w:p>
    <w:p>
      <w:pPr>
        <w:pStyle w:val="CaseBody"/>
      </w:pPr>
      <w:r>
        <w:rPr>
          <w:iCs/>
          <w:i/>
        </w:rPr>
        <w:t xml:space="preserve">2. The Court of Chancery Erred by Entering a Mandatory Injunction Without Applying the .Correct Procedural Standard</w:t>
      </w:r>
    </w:p>
    <w:p>
      <w:pPr>
        <w:pStyle w:val="CaseBody"/>
      </w:pPr>
      <w:r>
        <w:t xml:space="preserve">For these reasons, the Court of Chancery should not have issued any injunction at all. But the Court of Chancery also erred by entering a mandatory injunction without applying the correct procedural standard. The court order provides that C &amp; J is “ordered to solicit alternative proposals to purchase the Company... .”</w:t>
      </w:r>
      <w:r>
        <w:rPr>
          <w:rStyle w:val="FootnoteReference"/>
        </w:rPr>
        <w:footnoteReference w:customMarkFollows="1" w:id="869"/>
        <w:t xml:space="preserve">106</w:t>
      </w:r>
      <w:r>
        <w:t xml:space="preserve"> </w:t>
      </w:r>
      <w:r>
        <w:t xml:space="preserve">To issue a mandatory injunction requiring a party to take affirmative action — such as to engage in the go-shop process the Court of Chancery required— the Court of Chancery must either, hold a trial and make findings of fact, or base an injunction solely on undisputed facts.</w:t>
      </w:r>
      <w:r>
        <w:rPr>
          <w:rStyle w:val="FootnoteReference"/>
        </w:rPr>
        <w:footnoteReference w:customMarkFollows="1" w:id="873"/>
        <w:t xml:space="preserve">107</w:t>
      </w:r>
      <w:r>
        <w:t xml:space="preserve"> </w:t>
      </w:r>
      <w:r>
        <w:t xml:space="preserve">Here, the Court of Chancery issued a mandatory injunction on a paper record that surfaced a number of important factual disputes and that was only sufficient to convince the Court of Chancery that the plaintiffs had a plausible merits case. This was error. The plaintiffs here did not seek an expedited trial; they sought a preliminary injunction, and an unusual one at that. The injunction ordered C &amp; J to solicit and negotiate alternative proposals, and stated that doing so would not constitute a breach of the merger agreement, despite the plain language of Section 6.4 of the agreement to the contrary.</w:t>
      </w:r>
      <w:r>
        <w:rPr>
          <w:rStyle w:val="FootnoteReference"/>
        </w:rPr>
        <w:footnoteReference w:customMarkFollows="1" w:id="877"/>
        <w:t xml:space="preserve">108</w:t>
      </w:r>
    </w:p>
    <w:p>
      <w:pPr>
        <w:pStyle w:val="CaseBody"/>
      </w:pPr>
      <w:r>
        <w:t xml:space="preserve">Although the equitable authority of our Court of Chancery is broad, it is not uneabined and must be exercised with care and respect for the rights of litigants. The record below did not provide a basis for the Court of Chancery to force Nabors to endure a judicially-ordered infringement of its contractual rights that would, by judi-eial fíat, not even count as a breach of Nabors’ rights.</w:t>
      </w:r>
      <w:r>
        <w:rPr>
          <w:rStyle w:val="FootnoteReference"/>
        </w:rPr>
        <w:footnoteReference w:customMarkFollows="1" w:id="881"/>
        <w:t xml:space="preserve">109</w:t>
      </w:r>
      <w:r>
        <w:t xml:space="preserve"> </w:t>
      </w:r>
      <w:r>
        <w:t xml:space="preserve">The Court of Chancery-made no finding, even on a preliminary basis, that Nabors aided and abetted the C &amp; J’s board’s alleged breach of fiduciary duties.</w:t>
      </w:r>
      <w:r>
        <w:rPr>
          <w:rStyle w:val="FootnoteReference"/>
        </w:rPr>
        <w:footnoteReference w:customMarkFollows="1" w:id="885"/>
        <w:t xml:space="preserve">110</w:t>
      </w:r>
      <w:r>
        <w:t xml:space="preserve"> </w:t>
      </w:r>
      <w:r>
        <w:t xml:space="preserve">This was unsurprising, given that the plaintiffs did not even make a fair argument below to support attributing liability to Nabors.</w:t>
      </w:r>
      <w:r>
        <w:rPr>
          <w:rStyle w:val="FootnoteReference"/>
        </w:rPr>
        <w:footnoteReference w:customMarkFollows="1" w:id="889"/>
        <w:t xml:space="preserve">111</w:t>
      </w:r>
    </w:p>
    <w:p>
      <w:pPr>
        <w:pStyle w:val="CaseBody"/>
      </w:pPr>
      <w:r>
        <w:t xml:space="preserve">Preliminary injunctions are powerful tools, and their bluntness can be disconcerting to plaintiffs, defendants, and trial judges. But the traditional use of a preliminary injunction in the Court of Chancery is to preserve the</w:t>
      </w:r>
      <w:r>
        <w:t xml:space="preserve"> </w:t>
      </w:r>
      <w:r>
        <w:rPr>
          <w:iCs/>
          <w:i/>
        </w:rPr>
        <w:t xml:space="preserve">status</w:t>
      </w:r>
      <w:r>
        <w:t xml:space="preserve"> </w:t>
      </w:r>
      <w:r>
        <w:t xml:space="preserve">quo</w:t>
      </w:r>
      <w:r>
        <w:rPr>
          <w:rStyle w:val="FootnoteReference"/>
        </w:rPr>
        <w:footnoteReference w:customMarkFollows="1" w:id="893"/>
        <w:t xml:space="preserve">112</w:t>
      </w:r>
      <w:r>
        <w:t xml:space="preserve"> </w:t>
      </w:r>
      <w:r>
        <w:t xml:space="preserve">—for example, to enjoin a corporate transaction until there is a full trial if the court believes that there is a reasonable probability a fiduciary breach has occurred — not to divest third parties of their contractual rights. Even after a trial, a judicial decision holding a party to its contractual obligations while stripping it of bargained-for benefits should only be undertaken on the basis that the party ordered to perform was fairly required to do so, because it had, for example, aided and abetted a breach of fiduciary duty.</w:t>
      </w:r>
      <w:r>
        <w:rPr>
          <w:rStyle w:val="FootnoteReference"/>
        </w:rPr>
        <w:footnoteReference w:customMarkFollows="1" w:id="897"/>
        <w:t xml:space="preserve">113</w:t>
      </w:r>
      <w:r>
        <w:t xml:space="preserve"> </w:t>
      </w:r>
      <w:r>
        <w:t xml:space="preserve">To blue-pencil an agreement to excise a provision beneficial to a third party like Nabors on the basis of a provisional record and then declare that the third party could not regard the excision as a basis for relieving it of its own contractual duties involves an exercise of judicial power inconsistent with the standards that govern the award of mandatory injunctions under Delaware law.</w:t>
      </w:r>
      <w:r>
        <w:rPr>
          <w:rStyle w:val="FootnoteReference"/>
        </w:rPr>
        <w:footnoteReference w:customMarkFollows="1" w:id="901"/>
        <w:t xml:space="preserve">114</w:t>
      </w:r>
    </w:p>
    <w:p>
      <w:pPr>
        <w:pStyle w:val="CaseBody"/>
      </w:pPr>
      <w:r>
        <w:t xml:space="preserve">That is especially the case when the stockholders subject to irreparable harm are, as here, capable of addressing that harm themselves by the simple act of casting a “no” vote.</w:t>
      </w:r>
      <w:r>
        <w:rPr>
          <w:rStyle w:val="FootnoteReference"/>
        </w:rPr>
        <w:footnoteReference w:customMarkFollows="1" w:id="905"/>
        <w:t xml:space="preserve">115</w:t>
      </w:r>
      <w:r>
        <w:t xml:space="preserve"> </w:t>
      </w:r>
      <w:r>
        <w:t xml:space="preserve">In a situation like this one, where no rival bidder has emerged to complain that it was not given a fair opportunity to bid,</w:t>
      </w:r>
      <w:r>
        <w:rPr>
          <w:rStyle w:val="FootnoteReference"/>
        </w:rPr>
        <w:footnoteReference w:customMarkFollows="1" w:id="909"/>
        <w:t xml:space="preserve">116</w:t>
      </w:r>
      <w:r>
        <w:t xml:space="preserve"> </w:t>
      </w:r>
      <w:r>
        <w:t xml:space="preserve">and where there is. no reason to believe that stockholders are not adequately informed or will be coerced into accepting the transaction if they do not find it favorable, the Court of Chancery should be reluctant to take the decision out of their hands.</w:t>
      </w:r>
      <w:r>
        <w:rPr>
          <w:rStyle w:val="FootnoteReference"/>
        </w:rPr>
        <w:footnoteReference w:customMarkFollows="1" w:id="913"/>
        <w:t xml:space="preserve">117</w:t>
      </w:r>
      <w:r>
        <w:t xml:space="preserve"> </w:t>
      </w:r>
      <w:r>
        <w:t xml:space="preserve">Moreover, almost any judicial injunction, much less one of this unusual kind, creates a greater risk that the underlying transaction might not be available to the stockholders after the injunction is lifted.</w:t>
      </w:r>
      <w:r>
        <w:rPr>
          <w:rStyle w:val="FootnoteReference"/>
        </w:rPr>
        <w:footnoteReference w:customMarkFollows="1" w:id="917"/>
        <w:t xml:space="preserve">118</w:t>
      </w:r>
      <w:r>
        <w:t xml:space="preserve"> </w:t>
      </w:r>
      <w:r>
        <w:t xml:space="preserve">And there is also the important issue of whether C &amp; J’s breach of the no-solicitation clause of the contract would excuse Nabors from closing if it determined doing so was in its interests.</w:t>
      </w:r>
      <w:r>
        <w:rPr>
          <w:rStyle w:val="FootnoteReference"/>
        </w:rPr>
        <w:footnoteReference w:customMarkFollows="1" w:id="921"/>
        <w:t xml:space="preserve">119</w:t>
      </w:r>
    </w:p>
    <w:p>
      <w:pPr>
        <w:pStyle w:val="CaseBody"/>
      </w:pPr>
      <w:r>
        <w:t xml:space="preserve">We are mindful that an after-the-fact monetary damages case is an imperfect tool, and we acknowledge that there are colorable questions about the interests of certain key players in the transaction that have not been fully explored given the expedited nature of the proceedings. But, as noted, the Court of Chancery did not find that the plaintiffs’ duty of loyalty claims had any merit based on the record,</w:t>
      </w:r>
      <w:r>
        <w:rPr>
          <w:rStyle w:val="FootnoteReference"/>
        </w:rPr>
        <w:footnoteReference w:customMarkFollows="1" w:id="925"/>
        <w:t xml:space="preserve">120</w:t>
      </w:r>
      <w:r>
        <w:t xml:space="preserve"> </w:t>
      </w:r>
      <w:r>
        <w:t xml:space="preserve">and could not even find a reasonable probability of success as to any care-based breach of fiduciary duty claim. To rely on this insufficient premise to issue a powerful mandatory injunction, when no rival transaction was available, and when the stockholders can reject the deal for themselves if they do not find its terms to be-value-maximizing, was an error.</w:t>
      </w:r>
    </w:p>
    <w:p>
      <w:pPr>
        <w:pStyle w:val="CaseBody"/>
      </w:pPr>
      <w:r>
        <w:t xml:space="preserve">For all these reasons, the order of the Court of Chancery is hereby REVERSED. The mandate shall issue immediately.</w:t>
      </w:r>
    </w:p>
    <w:bookmarkStart w:id="124" w:name="_auto_toc_124"/>
    <w:bookmarkEnd w:id="124"/>
    <w:p>
      <w:pPr>
        <w:pStyle w:val="SectionNumber"/>
      </w:pPr>
      <w:r>
        <w:t xml:space="preserve">10.2</w:t>
      </w:r>
    </w:p>
    <w:p>
      <w:pPr>
        <w:pStyle w:val="SectionTitle"/>
      </w:pPr>
      <w:r>
        <w:t xml:space="preserve">Reference 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125" w:name="_auto_toc_125"/>
    <w:bookmarkEnd w:id="125"/>
    <w:p>
      <w:pPr>
        <w:pStyle w:val="ResourceNumber"/>
      </w:pPr>
      <w:r>
        <w:t xml:space="preserve">10.2.1</w:t>
      </w:r>
    </w:p>
    <w:p>
      <w:pPr>
        <w:pStyle w:val="ResourceTitle"/>
      </w:pPr>
      <w:r>
        <w:t xml:space="preserve">Moran v. Household International (Del. 1985)</w:t>
      </w:r>
    </w:p>
    <w:p>
      <w:pPr>
        <w:pStyle w:val="HeadFieldSeparator"/>
      </w:pPr>
      <w:r>
        <w:t xml:space="preserve"> </w:t>
      </w:r>
    </w:p>
    <w:p>
      <w:pPr>
        <w:pStyle w:val="ResourceHeadnote"/>
      </w:pPr>
      <w:r>
        <w:t xml:space="preserve">This decision approved the “rights plan” a/k/a “poison pill” invented by Martin Lipton. “Rights plan” may sound innocuous. But it completely transformed US takeover law and practice.</w:t>
      </w:r>
    </w:p>
    <w:p>
      <w:pPr>
        <w:pStyle w:val="ResourceHeadnote"/>
      </w:pPr>
      <w:r>
        <w:t xml:space="preserve">The pill has only one goal: to deter the acquisition of a substantial block of shares by anyone not approved by the board. It does so by diluting, or rather threatening to dilute, the acquired block. If anyone “triggers” the pill by acquiring more than the threshold percentage of shares (usually 15%), the corporation issues additional shares to all</w:t>
      </w:r>
      <w:r>
        <w:t xml:space="preserve"> </w:t>
      </w:r>
      <w:r>
        <w:rPr>
          <w:iCs/>
          <w:i/>
        </w:rPr>
        <w:t xml:space="preserve">other</w:t>
      </w:r>
      <w:r>
        <w:t xml:space="preserve"> </w:t>
      </w:r>
      <w:r>
        <w:t xml:space="preserve">shareholders. The number of additional shares is generally chosen so as to reduce the acquirer’s stake by about half. Needless to say, that would be painful – arguably prohibitively painful – to any would-be acquirer.</w:t>
      </w:r>
    </w:p>
    <w:p>
      <w:pPr>
        <w:pStyle w:val="BlockText"/>
      </w:pPr>
      <w:r>
        <w:t xml:space="preserve">Question: How does the pill compare to DGCL 203 – what are their respective trigger conditions, and what are their consequences for the acquirer if triggered? (I recommend that you consult the simplified version of section 203 on simplifiedcodes.com. Note that section 203 was completely overhauled in 1988; the Moran opinion quotes the old version.)</w:t>
      </w:r>
    </w:p>
    <w:p>
      <w:pPr>
        <w:pStyle w:val="ResourceHeadnote"/>
      </w:pPr>
      <w:r>
        <w:t xml:space="preserve">The pill ingeniously obscures this discriminatory mechanism in complicated warrants. The corporation declares a dividend of warrants to purchase additional stock or preferred stock. Initially, these warrants are neither tradeable nor exercisable. If anybody becomes an “acquiring person” by acquiring more than the threshold percentage, however, the warrants grant the right to buy corporate stock for prices below value. Of course, all shareholders will then rationally choose to exercise the warrant. So what is the point? The point is that by their terms, the</w:t>
      </w:r>
      <w:r>
        <w:t xml:space="preserve"> </w:t>
      </w:r>
      <w:r>
        <w:rPr>
          <w:iCs/>
          <w:i/>
        </w:rPr>
        <w:t xml:space="preserve">warrants held by the acquiring person</w:t>
      </w:r>
      <w:r>
        <w:t xml:space="preserve"> </w:t>
      </w:r>
      <w:r>
        <w:t xml:space="preserve">are automatically void.</w:t>
      </w:r>
    </w:p>
    <w:p>
      <w:pPr>
        <w:pStyle w:val="ResourceHeadnote"/>
      </w:pPr>
      <w:r>
        <w:t xml:space="preserve">(The description of the pill in</w:t>
      </w:r>
      <w:r>
        <w:t xml:space="preserve"> </w:t>
      </w:r>
      <w:r>
        <w:rPr>
          <w:iCs/>
          <w:i/>
        </w:rPr>
        <w:t xml:space="preserve">Moran</w:t>
      </w:r>
      <w:r>
        <w:t xml:space="preserve"> </w:t>
      </w:r>
      <w:r>
        <w:t xml:space="preserve">may read slightly differently. The reason is that the industry standard pill has evolved since</w:t>
      </w:r>
      <w:r>
        <w:t xml:space="preserve"> </w:t>
      </w:r>
      <w:r>
        <w:rPr>
          <w:iCs/>
          <w:i/>
        </w:rPr>
        <w:t xml:space="preserve">Moran</w:t>
      </w:r>
      <w:r>
        <w:t xml:space="preserve">. You can find a contemporary example</w:t>
      </w:r>
      <w:r>
        <w:t xml:space="preserve"> </w:t>
      </w:r>
      <w:hyperlink r:id="rId286">
        <w:r>
          <w:rPr>
            <w:rStyle w:val="Hyperlink"/>
          </w:rPr>
          <w:t xml:space="preserve">here</w:t>
        </w:r>
      </w:hyperlink>
      <w:r>
        <w:t xml:space="preserve">.)</w:t>
      </w:r>
    </w:p>
    <w:p>
      <w:pPr>
        <w:pStyle w:val="ResourceHeadnote"/>
      </w:pPr>
      <w:r>
        <w:t xml:space="preserve">The pill is extraordinarily powerful. In the 30 years since</w:t>
      </w:r>
      <w:r>
        <w:t xml:space="preserve"> </w:t>
      </w:r>
      <w:r>
        <w:rPr>
          <w:iCs/>
          <w:i/>
        </w:rPr>
        <w:t xml:space="preserve">Moran</w:t>
      </w:r>
      <w:r>
        <w:t xml:space="preserve">, only one bidder has dared triggering the pill, and that was one with a particularly low trigger of 5% (chosen to preserve a tax advantage). The exercise of the rights did not only dilute the acquirer but caused massive administrative problems (a lot of new stock had to be issued!), leading to a suspension of issuer stock from trading. The issuer, Selectica, also violated the listing rules. See</w:t>
      </w:r>
      <w:r>
        <w:t xml:space="preserve"> </w:t>
      </w:r>
      <w:hyperlink r:id="rId287">
        <w:r>
          <w:rPr>
            <w:rStyle w:val="Hyperlink"/>
          </w:rPr>
          <w:t xml:space="preserve">here</w:t>
        </w:r>
      </w:hyperlink>
      <w:r>
        <w:t xml:space="preserve">. What this shows is that the pill really is designed purely as a deterrent – it is intended never to be triggered. It’s MAD (Mutually Assured Destruction) intended to keep out the unwanted acquirer, nothing else.</w:t>
      </w:r>
    </w:p>
    <w:p>
      <w:pPr>
        <w:pStyle w:val="ResourceHeadnote"/>
      </w:pPr>
      <w:r>
        <w:t xml:space="preserve">The upshot is that nowadays no Delaware corporation can be acquired unless the board agrees to sell. The pill has stopped not only hostile two-tier bids, but all hostile bids. To be sure, a would-be acquirer could attempt to replace a reluctant board through a proxy fight. But one proxy fight may not be enough, if and because the corporation has a staggered board in its charter (cf.</w:t>
      </w:r>
      <w:r>
        <w:t xml:space="preserve"> </w:t>
      </w:r>
      <w:r>
        <w:rPr>
          <w:iCs/>
          <w:i/>
        </w:rPr>
        <w:t xml:space="preserve">Airgas</w:t>
      </w:r>
      <w:r>
        <w:t xml:space="preserve"> </w:t>
      </w:r>
      <w:r>
        <w:t xml:space="preserve">below). In any event, the point is that board acquiescence is ultimately indispensable. The acceptance of the pill was thus a fundamental power shift from shareholders to boards in dealing with “hostile” offers (read: offers that the</w:t>
      </w:r>
      <w:r>
        <w:t xml:space="preserve"> </w:t>
      </w:r>
      <w:r>
        <w:rPr>
          <w:iCs/>
          <w:i/>
        </w:rPr>
        <w:t xml:space="preserve">board</w:t>
      </w:r>
      <w:r>
        <w:t xml:space="preserve"> </w:t>
      </w:r>
      <w:r>
        <w:t xml:space="preserve">doesn’t like).</w:t>
      </w:r>
    </w:p>
    <w:p>
      <w:pPr>
        <w:pStyle w:val="ResourceHeadnote"/>
      </w:pPr>
      <w:r>
        <w:t xml:space="preserve">Perhaps understandably, the</w:t>
      </w:r>
      <w:r>
        <w:t xml:space="preserve"> </w:t>
      </w:r>
      <w:r>
        <w:rPr>
          <w:iCs/>
          <w:i/>
        </w:rPr>
        <w:t xml:space="preserve">Moran</w:t>
      </w:r>
      <w:r>
        <w:t xml:space="preserve"> </w:t>
      </w:r>
      <w:r>
        <w:t xml:space="preserve">court did not fully understand these implications. Or perhaps it didn’t want to? The SEC’s amicus brief certainly predicted as much. As it were, the Court gives mainly technical, statutory reasons for approving the pill. But as in</w:t>
      </w:r>
      <w:r>
        <w:t xml:space="preserve"> </w:t>
      </w:r>
      <w:r>
        <w:rPr>
          <w:iCs/>
          <w:i/>
        </w:rPr>
        <w:t xml:space="preserve">Schnell</w:t>
      </w:r>
      <w:r>
        <w:t xml:space="preserve">, the Court</w:t>
      </w:r>
      <w:r>
        <w:t xml:space="preserve"> </w:t>
      </w:r>
      <w:r>
        <w:rPr>
          <w:iCs/>
          <w:i/>
        </w:rPr>
        <w:t xml:space="preserve">could</w:t>
      </w:r>
      <w:r>
        <w:t xml:space="preserve"> </w:t>
      </w:r>
      <w:r>
        <w:t xml:space="preserve">have brushed those aside since “[t]he answer to that contention, of course, is that inequitable action does not become permissible simply because it is legally possible.” Why didn’t it? Should it have?</w:t>
      </w:r>
    </w:p>
    <w:p>
      <w:pPr>
        <w:pStyle w:val="HeadEnd"/>
      </w:pPr>
      <w:r>
        <w:t xml:space="preserve"> </w:t>
      </w:r>
    </w:p>
    <w:p>
      <w:pPr>
        <w:pStyle w:val="BodyText"/>
      </w:pPr>
      <w:r>
        <w:t xml:space="preserve">500 A.2d 1346 (1985)</w:t>
      </w:r>
    </w:p>
    <w:bookmarkStart w:id="288" w:name="X816059588c0db4b71679162abb6aee74cacdbe1"/>
    <w:p>
      <w:pPr>
        <w:pStyle w:val="Heading2"/>
      </w:pPr>
      <w:r>
        <w:t xml:space="preserve">John A. MORAN and the Dyson-Kissner-Moran Corporation, Plaintiffs Below-Appellants, and</w:t>
      </w:r>
      <w:r>
        <w:br/>
      </w:r>
      <w:r>
        <w:t xml:space="preserve">Gretl Golter, individually and in a derivative capacity, Plaintiff Intervenor Below-Appellant,</w:t>
      </w:r>
      <w:r>
        <w:br/>
      </w:r>
      <w:r>
        <w:t xml:space="preserve">v.</w:t>
      </w:r>
      <w:r>
        <w:br/>
      </w:r>
      <w:r>
        <w:t xml:space="preserve">HOUSEHOLD INTERNATIONAL, INC., a Delaware Corporation, Donald C. Clark, Thomas D. Flynn, Mary Johnston Evans, William D. Hendry, Joseph W. James, Mitchell P. Kartalia, Gordon P. Osler, Arthur E. Rasmussen, George W. Rauch, James M. Tait, Miller Upton, Bernard F. Brennan and Gary G. Dillon, Defendants Below-Appellees.</w:t>
      </w:r>
    </w:p>
    <w:p>
      <w:pPr>
        <w:pStyle w:val="FirstParagraph"/>
      </w:pPr>
      <w:r>
        <w:t xml:space="preserve">Supreme Court of Delaware.</w:t>
      </w:r>
      <w:r>
        <w:br/>
      </w:r>
      <w:r>
        <w:t xml:space="preserve">Submitted: May 21, 1985.</w:t>
      </w:r>
      <w:r>
        <w:br/>
      </w:r>
      <w:r>
        <w:t xml:space="preserve">Decided: November 19, 1985.</w:t>
      </w:r>
      <w:r>
        <w:br/>
      </w:r>
      <w:r>
        <w:t xml:space="preserve">As Amended: November 20, 1985.</w:t>
      </w:r>
    </w:p>
    <w:p>
      <w:pPr>
        <w:pStyle w:val="BodyText"/>
      </w:pPr>
      <w:r>
        <w:t xml:space="preserve">Irving S. Shapiro (argued), Rodman Ward, Jr., Stuart L. Shapiro, Stephen P. Lamb, Thomas J. Allingham II and Andrew J. Turezyn of Skadden, Arps, Slate, Meagher &amp; Flom, Wilmington, and Michael W. Mitchell, Jeffrey Glekel, Jeremy A. Berman and Joseph A. Guglielmelli of Skadden, Arps, Slate, Meagher &amp; Flom, New York City, for plaintiffs below-appellants.</w:t>
      </w:r>
    </w:p>
    <w:p>
      <w:pPr>
        <w:pStyle w:val="BodyText"/>
      </w:pPr>
      <w:r>
        <w:t xml:space="preserve">Joseph A. Rosenthal and Norman M. Monhait of Morris and Rosenthal, P.A., Wilmington, and Marshall Patner of Orlikoff, Flamm and Patner, Chicago, Frederick Brace of Brace &amp; O'Donnell, and Geoffrey P. Miller (argued), Chicago, Ill., of counsel, for plaintiff intervenor below-appellant.</w:t>
      </w:r>
    </w:p>
    <w:p>
      <w:pPr>
        <w:pStyle w:val="BodyText"/>
      </w:pPr>
      <w:r>
        <w:t xml:space="preserve">[1348] Charles E. Richards, Jr. (argued), Donald A. Bussard, Jesse A. Finkelstein, and Gregory P. Williams of Richards, Layton &amp; Finger, Wilmington, and George A. Katz, William C. Sterling, Jr., Michael W. Schwartz, Eric M. Roth, Warren R. Stern and Karen B. Shaer of Wachtell, Lipton, Rosen &amp; Katz, New York City, of counsel, for defendants below-appellees.</w:t>
      </w:r>
    </w:p>
    <w:p>
      <w:pPr>
        <w:pStyle w:val="BodyText"/>
      </w:pPr>
      <w:r>
        <w:t xml:space="preserve">Lawrence C. Ashby of Ashby, McKelvie &amp; Geddes, Wilmington, Marc P. Cherno, Harvey L. Pitt, Pamela Jarvis of Fried, Frank, Harris, Shriver &amp; Jacobson, New York City, amicus curiae, and Matthew P. Fink, Thomas D. Maher, Investment Co. Institute, Washington, D.C., of counsel, for Investment Co. Institute.</w:t>
      </w:r>
    </w:p>
    <w:p>
      <w:pPr>
        <w:pStyle w:val="BodyText"/>
      </w:pPr>
      <w:r>
        <w:t xml:space="preserve">Robert J. Katzenstein and Clark W. Furlow of Lassen, Smith, Katzenstein &amp; Furlow, Wilmington, and Kurt L. Schultz, Columbus R. Gangemi, Jr., Robert F. Wall, Jerome W. Pope of Winston &amp; Strawn, Chicago, Ill., amicus curiae, for the United Food and Commercial Workers Intern. Union.</w:t>
      </w:r>
    </w:p>
    <w:p>
      <w:pPr>
        <w:pStyle w:val="BodyText"/>
      </w:pPr>
      <w:r>
        <w:t xml:space="preserve">Joseph J. Farnan, Jr., U.S. Atty., Sue L. Robinson, Asst. U.S. Atty., Wilmington, Del., Daniel L. Goelzer, Jacob H. Stillman, Eric Summergrad, Gerard S. Citera, amicus curiae, and Paul Gonson, of counsel, for Securities and Exchange Com'n, Washington, D.C.</w:t>
      </w:r>
    </w:p>
    <w:p>
      <w:pPr>
        <w:pStyle w:val="BodyText"/>
      </w:pPr>
      <w:r>
        <w:t xml:space="preserve">Before CHRISTIE, Chief Justice, and McNEILLY and MOORE, JJ.</w:t>
      </w:r>
    </w:p>
    <w:bookmarkEnd w:id="288"/>
    <w:bookmarkStart w:id="289" w:name="mcneilly-justice"/>
    <w:p>
      <w:pPr>
        <w:pStyle w:val="Heading2"/>
      </w:pPr>
      <w:r>
        <w:t xml:space="preserve">[1347] McNEILLY, Justice:</w:t>
      </w:r>
    </w:p>
    <w:p>
      <w:pPr>
        <w:pStyle w:val="FirstParagraph"/>
      </w:pPr>
      <w:r>
        <w:t xml:space="preserve">This case presents to this Court for review the most recent defensive mechanism in the arsenal of corporate takeover weaponry— the Preferred Share Purchase Rights Plan ("Rights Plan" or "Plan"). The validity of this mechanism has attracted national attention.</w:t>
      </w:r>
      <w:r>
        <w:t xml:space="preserve"> </w:t>
      </w:r>
      <w:r>
        <w:rPr>
          <w:iCs/>
          <w:i/>
        </w:rPr>
        <w:t xml:space="preserve">Amici curiae</w:t>
      </w:r>
      <w:r>
        <w:t xml:space="preserve"> </w:t>
      </w:r>
      <w:r>
        <w:t xml:space="preserve">briefs have been filed in support of appellants by the Security and Exchange Commission ("SEC")</w:t>
      </w:r>
      <w:hyperlink w:anchor="X5bdd8877d1893560cd6321bbe09c3445817dcb6">
        <w:r>
          <w:rPr>
            <w:rStyle w:val="Hyperlink"/>
            <w:vertAlign w:val="superscript"/>
          </w:rPr>
          <w:t xml:space="preserve">[1]</w:t>
        </w:r>
      </w:hyperlink>
      <w:r>
        <w:t xml:space="preserve"> </w:t>
      </w:r>
      <w:r>
        <w:t xml:space="preserve">and the Investment Company Institute. An</w:t>
      </w:r>
      <w:r>
        <w:t xml:space="preserve"> </w:t>
      </w:r>
      <w:r>
        <w:rPr>
          <w:iCs/>
          <w:i/>
        </w:rPr>
        <w:t xml:space="preserve">amicus curiae</w:t>
      </w:r>
      <w:r>
        <w:t xml:space="preserve"> </w:t>
      </w:r>
      <w:r>
        <w:t xml:space="preserve">brief has been filed in support of appellees ("Household") by the United Food and Commercial Workers International Union.</w:t>
      </w:r>
    </w:p>
    <w:p>
      <w:pPr>
        <w:pStyle w:val="BodyText"/>
      </w:pPr>
      <w:r>
        <w:t xml:space="preserve">In a detailed opinion, the Court of Chancery upheld the Rights Plan as a legitimate exercise of business judgment by Household.</w:t>
      </w:r>
      <w:r>
        <w:t xml:space="preserve"> </w:t>
      </w:r>
      <w:r>
        <w:rPr>
          <w:iCs/>
          <w:i/>
        </w:rPr>
        <w:t xml:space="preserve">Moran v. Household International, Inc.,</w:t>
      </w:r>
      <w:r>
        <w:t xml:space="preserve"> </w:t>
      </w:r>
      <w:r>
        <w:t xml:space="preserve">Del.Ch., 490 A.2d 1059 (1985). We agree, and therefore, affirm the judgment below.</w:t>
      </w:r>
    </w:p>
    <w:bookmarkEnd w:id="289"/>
    <w:bookmarkStart w:id="290" w:name="i-6"/>
    <w:p>
      <w:pPr>
        <w:pStyle w:val="Heading2"/>
      </w:pPr>
      <w:r>
        <w:t xml:space="preserve">I</w:t>
      </w:r>
    </w:p>
    <w:p>
      <w:pPr>
        <w:pStyle w:val="FirstParagraph"/>
      </w:pPr>
      <w:r>
        <w:t xml:space="preserve">The facts giving rise to this case have been carefully delineated in the Court of Chancery's opinion.</w:t>
      </w:r>
      <w:r>
        <w:t xml:space="preserve"> </w:t>
      </w:r>
      <w:r>
        <w:rPr>
          <w:iCs/>
          <w:i/>
        </w:rPr>
        <w:t xml:space="preserve">Id.</w:t>
      </w:r>
      <w:r>
        <w:t xml:space="preserve"> </w:t>
      </w:r>
      <w:r>
        <w:t xml:space="preserve">at 1064-69. A review of the basic facts is necessary for a complete understanding of the issues.</w:t>
      </w:r>
    </w:p>
    <w:p>
      <w:pPr>
        <w:pStyle w:val="BodyText"/>
      </w:pPr>
      <w:r>
        <w:t xml:space="preserve">On August 14, 1984, the Board of Directors of Household International, Inc. adopted the Rights Plan by a fourteen to two vote.</w:t>
      </w:r>
      <w:hyperlink w:anchor="Xd3ad6a049184b2e3616dd72677b5f12ea0d1236">
        <w:r>
          <w:rPr>
            <w:rStyle w:val="Hyperlink"/>
            <w:vertAlign w:val="superscript"/>
          </w:rPr>
          <w:t xml:space="preserve">[2]</w:t>
        </w:r>
      </w:hyperlink>
      <w:r>
        <w:t xml:space="preserve"> </w:t>
      </w:r>
      <w:r>
        <w:t xml:space="preserve">The intricacies of the Rights Plan are contained in a 48-page document entitled "Rights Agreement". Basically, the Plan provides that Household common stockholders are entitled to the issuance of one Right per common share under certain triggering conditions. There are two triggering events that can activate the Rights. The first is the announcement of a tender offer for 30 percent of Household's shares ("30% trigger") and the second is the acquisition of 20 percent of Household's shares by any single entity or group ("20% trigger").</w:t>
      </w:r>
    </w:p>
    <w:p>
      <w:pPr>
        <w:pStyle w:val="BodyText"/>
      </w:pPr>
      <w:r>
        <w:t xml:space="preserve">[1349] If an announcement of a tender offer for 30 percent of Household's shares is made, the Rights are issued and are immediately exercisable to purchase 1/100 share of new preferred stock for $100 and are redeemable by the Board for $.50 per Right. If 20 percent of Household's shares are acquired by anyone, the Rights are issued and become non-redeemable and are exercisable to purchase 1/100 of a share of preferred. If a Right is not exercised for preferred, and thereafter, a merger or consolidation occurs, the Rights holder can exercise each Right to purchase $200 of the common stock of the tender offeror for $100. This "flip-over" provision of the Rights Plan is at the heart of this controversy.</w:t>
      </w:r>
    </w:p>
    <w:p>
      <w:pPr>
        <w:pStyle w:val="BodyText"/>
      </w:pPr>
      <w:r>
        <w:t xml:space="preserve">Household is a diversified holding company with its principal subsidiaries engaged in financial services, transportation and merchandising. HFC, National Car Rental and Vons Grocery are three of its wholly-owned entities.</w:t>
      </w:r>
    </w:p>
    <w:p>
      <w:pPr>
        <w:pStyle w:val="BodyText"/>
      </w:pPr>
      <w:r>
        <w:t xml:space="preserve">Household did not adopt its Rights Plan during a battle with a corporate raider, but as a preventive mechanism to ward off future advances. The Vice-Chancellor found that as early as February 1984, Household's management became concerned about the company's vulnerability as a takeover target and began considering amending its charter to render a takeover more difficult. After considering the matter, Household decided not to pursue a fair price amendment.</w:t>
      </w:r>
      <w:hyperlink w:anchor="X50c3b2347afb7881d6962a0deca428f168e502e">
        <w:r>
          <w:rPr>
            <w:rStyle w:val="Hyperlink"/>
            <w:vertAlign w:val="superscript"/>
          </w:rPr>
          <w:t xml:space="preserve">[3]</w:t>
        </w:r>
      </w:hyperlink>
    </w:p>
    <w:p>
      <w:pPr>
        <w:pStyle w:val="BodyText"/>
      </w:pPr>
      <w:r>
        <w:t xml:space="preserve">In the meantime, appellant Moran, one of Household's own Directors and also Chairman of the Dyson-Kissner-Moran Corporation, ("D-K-M") which is the largest single stockholder of Household, began discussions concerning a possible leveraged buyout of Household by D-K-M. D-K-M's financial studies showed that Household's stock was significantly undervalued in relation to the company's break-up value. It is uncontradicted that Moran's suggestion of a leveraged buy-out never progressed beyond the discussion stage.</w:t>
      </w:r>
    </w:p>
    <w:p>
      <w:pPr>
        <w:pStyle w:val="BodyText"/>
      </w:pPr>
      <w:r>
        <w:t xml:space="preserve">Concerned about Household's vulnerability to a raider in light of the current takeover climate, Household secured the services of Wachtell, Lipton, Rosen and Katz ("Wachtell, Lipton") and Goldman, Sachs &amp; Co. ("Goldman, Sachs") to formulate a takeover policy for recommendation to the Household Board at its August 14 meeting. After a July 31 meeting with a Household Board member and a pre-meeting distribution of material on the potential takeover problem and the proposed Rights Plan, the Board met on August 14, 1984.</w:t>
      </w:r>
    </w:p>
    <w:p>
      <w:pPr>
        <w:pStyle w:val="BodyText"/>
      </w:pPr>
      <w:r>
        <w:t xml:space="preserve">Representatives of Wachtell, Lipton and Goldman, Sachs attended the August 14 meeting. The minutes reflect that Mr. Lipton explained to the Board that his recommendation of the Plan was based on his understanding that the Board was concerned about the increasing frequency of "bust-up"</w:t>
      </w:r>
      <w:hyperlink w:anchor="X9a056aeae08bcdb08e01923b7818559c931803f">
        <w:r>
          <w:rPr>
            <w:rStyle w:val="Hyperlink"/>
            <w:vertAlign w:val="superscript"/>
          </w:rPr>
          <w:t xml:space="preserve">[4]</w:t>
        </w:r>
      </w:hyperlink>
      <w:r>
        <w:t xml:space="preserve"> </w:t>
      </w:r>
      <w:r>
        <w:t xml:space="preserve">takeovers, the increasing takeover activity in the financial service industry, such as Leucadia's attempt to take over Arco, and the possible adverse effect this type of activity could have on employees and others concerned with and vital to the continuing successful operation of Household even in the absence of any actual bust-up takeover attempt. Against this factual background, the Plan was approved.</w:t>
      </w:r>
    </w:p>
    <w:p>
      <w:pPr>
        <w:pStyle w:val="BodyText"/>
      </w:pPr>
      <w:r>
        <w:t xml:space="preserve">Thereafter, Moran and the company of which he is Chairman, D-K-M, filed this suit. On the eve of trial, Gretl Golter, the holder of 500 shares of Household, was permitted to intervene as an additional plaintiff. The trial was held, and the Court [1350] of Chancery ruled in favor of Household.</w:t>
      </w:r>
      <w:hyperlink w:anchor="Xb71491c9a1e96cec812e478d96a63a9c68eb54a">
        <w:r>
          <w:rPr>
            <w:rStyle w:val="Hyperlink"/>
            <w:vertAlign w:val="superscript"/>
          </w:rPr>
          <w:t xml:space="preserve">[5]</w:t>
        </w:r>
      </w:hyperlink>
      <w:r>
        <w:t xml:space="preserve"> </w:t>
      </w:r>
      <w:r>
        <w:t xml:space="preserve">Appellants now appeal from that ruling to this Court.</w:t>
      </w:r>
    </w:p>
    <w:bookmarkEnd w:id="290"/>
    <w:bookmarkStart w:id="291" w:name="ii-4"/>
    <w:p>
      <w:pPr>
        <w:pStyle w:val="Heading2"/>
      </w:pPr>
      <w:r>
        <w:t xml:space="preserve">II</w:t>
      </w:r>
    </w:p>
    <w:p>
      <w:pPr>
        <w:pStyle w:val="FirstParagraph"/>
      </w:pPr>
      <w:r>
        <w:t xml:space="preserve">The primary issue here is the applicability of the business judgment rule as the standard by which the adoption of the Rights Plan should be reviewed. Much of this issue has been decided by our recent decision in</w:t>
      </w:r>
      <w:r>
        <w:t xml:space="preserve"> </w:t>
      </w:r>
      <w:r>
        <w:rPr>
          <w:iCs/>
          <w:i/>
        </w:rPr>
        <w:t xml:space="preserve">Unocal Corp. v. Mesa Petroleum Co.,</w:t>
      </w:r>
      <w:r>
        <w:t xml:space="preserve"> </w:t>
      </w:r>
      <w:r>
        <w:t xml:space="preserve">Del.Supr., 493 A.2d 946 (1985). In</w:t>
      </w:r>
      <w:r>
        <w:t xml:space="preserve"> </w:t>
      </w:r>
      <w:r>
        <w:rPr>
          <w:iCs/>
          <w:i/>
        </w:rPr>
        <w:t xml:space="preserve">Unocal,</w:t>
      </w:r>
      <w:r>
        <w:t xml:space="preserve"> </w:t>
      </w:r>
      <w:r>
        <w:t xml:space="preserve">we applied the business judgment rule to analyze Unocal's discriminatory self-tender. We explained:</w:t>
      </w:r>
    </w:p>
    <w:p>
      <w:pPr>
        <w:pStyle w:val="BlockText"/>
      </w:pPr>
      <w:r>
        <w:t xml:space="preserve">When a board addresses a pending takeover bid it has an obligation to determine whether the offer is in the best interests of the corporation and its shareholders. In that respect a board's duty is no different from any other responsibility it shoulders, and its decisions should be no less entitled to the respect they otherwise would be accorded in the realm of business judgment.</w:t>
      </w:r>
    </w:p>
    <w:p>
      <w:pPr>
        <w:pStyle w:val="FirstParagraph"/>
      </w:pPr>
      <w:r>
        <w:rPr>
          <w:iCs/>
          <w:i/>
        </w:rPr>
        <w:t xml:space="preserve">Id.</w:t>
      </w:r>
      <w:r>
        <w:t xml:space="preserve"> </w:t>
      </w:r>
      <w:r>
        <w:t xml:space="preserve">at 954 (citation and footnote omitted).</w:t>
      </w:r>
    </w:p>
    <w:p>
      <w:pPr>
        <w:pStyle w:val="BodyText"/>
      </w:pPr>
      <w:r>
        <w:t xml:space="preserve">Other jurisdictions have also applied the business judgment rule to actions by which target companies have sought to forestall takeover activity they considered undesirable.</w:t>
      </w:r>
      <w:r>
        <w:t xml:space="preserve"> </w:t>
      </w:r>
      <w:r>
        <w:rPr>
          <w:iCs/>
          <w:i/>
        </w:rPr>
        <w:t xml:space="preserve">See</w:t>
      </w:r>
      <w:r>
        <w:t xml:space="preserve"> </w:t>
      </w:r>
      <w:r>
        <w:rPr>
          <w:iCs/>
          <w:i/>
        </w:rPr>
        <w:t xml:space="preserve">Gearhart Industries, Inc. v. Smith International,</w:t>
      </w:r>
      <w:r>
        <w:t xml:space="preserve"> </w:t>
      </w:r>
      <w:r>
        <w:t xml:space="preserve">5th Cir., 741 F.2d 707 (1984) (sale of discounted subordinate debentures containing springing warrants);</w:t>
      </w:r>
      <w:r>
        <w:t xml:space="preserve"> </w:t>
      </w:r>
      <w:r>
        <w:rPr>
          <w:iCs/>
          <w:i/>
        </w:rPr>
        <w:t xml:space="preserve">Treco, Inc. v. Land of Lincoln Savings and Loan,</w:t>
      </w:r>
      <w:r>
        <w:t xml:space="preserve"> </w:t>
      </w:r>
      <w:r>
        <w:t xml:space="preserve">7th Cir., 749 F.2d 374 (1984) (amendment to by-laws);</w:t>
      </w:r>
      <w:r>
        <w:t xml:space="preserve"> </w:t>
      </w:r>
      <w:r>
        <w:rPr>
          <w:iCs/>
          <w:i/>
        </w:rPr>
        <w:t xml:space="preserve">Panter v. Marshall Field,</w:t>
      </w:r>
      <w:r>
        <w:t xml:space="preserve"> </w:t>
      </w:r>
      <w:r>
        <w:t xml:space="preserve">7th Cir., 646 F.2d 271 (1981) (acquisitions to create antitrust problems);</w:t>
      </w:r>
      <w:r>
        <w:t xml:space="preserve"> </w:t>
      </w:r>
      <w:r>
        <w:rPr>
          <w:iCs/>
          <w:i/>
        </w:rPr>
        <w:t xml:space="preserve">Johnson v. Trueblood,</w:t>
      </w:r>
      <w:r>
        <w:t xml:space="preserve"> </w:t>
      </w:r>
      <w:r>
        <w:t xml:space="preserve">3d Cir., 629 F.2d 287 (1980),</w:t>
      </w:r>
      <w:r>
        <w:t xml:space="preserve"> </w:t>
      </w:r>
      <w:r>
        <w:rPr>
          <w:iCs/>
          <w:i/>
        </w:rPr>
        <w:t xml:space="preserve">cert. denied,</w:t>
      </w:r>
      <w:r>
        <w:t xml:space="preserve"> </w:t>
      </w:r>
      <w:r>
        <w:t xml:space="preserve">450 U.S. 999, 101 S.Ct. 1704, 68 L.Ed.2d 200 (1981) (refusal to tender);</w:t>
      </w:r>
      <w:r>
        <w:t xml:space="preserve"> </w:t>
      </w:r>
      <w:r>
        <w:rPr>
          <w:iCs/>
          <w:i/>
        </w:rPr>
        <w:t xml:space="preserve">Crouse-Hinds Co. v. InterNorth, Inc.,</w:t>
      </w:r>
      <w:r>
        <w:t xml:space="preserve"> </w:t>
      </w:r>
      <w:r>
        <w:t xml:space="preserve">2d Cir., 634 F.2d 690 (1980) (sale of stock to favored party);</w:t>
      </w:r>
      <w:r>
        <w:t xml:space="preserve"> </w:t>
      </w:r>
      <w:r>
        <w:rPr>
          <w:iCs/>
          <w:i/>
        </w:rPr>
        <w:t xml:space="preserve">Treadway v. Cane Corp.,</w:t>
      </w:r>
      <w:r>
        <w:t xml:space="preserve"> </w:t>
      </w:r>
      <w:r>
        <w:t xml:space="preserve">2d Cir., 638 F.2d 357 (1980) (sale to White Knight),</w:t>
      </w:r>
      <w:r>
        <w:t xml:space="preserve"> </w:t>
      </w:r>
      <w:r>
        <w:rPr>
          <w:iCs/>
          <w:i/>
        </w:rPr>
        <w:t xml:space="preserve">Enterra Corp. v. SGS Associates,</w:t>
      </w:r>
      <w:r>
        <w:t xml:space="preserve"> </w:t>
      </w:r>
      <w:r>
        <w:t xml:space="preserve">E.D.Pa., 600 F.Supp. 678 (1985) (standstill agreement);</w:t>
      </w:r>
      <w:r>
        <w:t xml:space="preserve"> </w:t>
      </w:r>
      <w:r>
        <w:rPr>
          <w:iCs/>
          <w:i/>
        </w:rPr>
        <w:t xml:space="preserve">Buffalo Forge Co. v. Ogden Corp.,</w:t>
      </w:r>
      <w:r>
        <w:t xml:space="preserve"> </w:t>
      </w:r>
      <w:r>
        <w:t xml:space="preserve">W.D.N.Y., 555 F.Supp. 892,</w:t>
      </w:r>
      <w:r>
        <w:t xml:space="preserve"> </w:t>
      </w:r>
      <w:r>
        <w:rPr>
          <w:iCs/>
          <w:i/>
        </w:rPr>
        <w:t xml:space="preserve">aff'd,</w:t>
      </w:r>
      <w:r>
        <w:t xml:space="preserve"> </w:t>
      </w:r>
      <w:r>
        <w:t xml:space="preserve">(2d Cir.) 717 F.2d 757,</w:t>
      </w:r>
      <w:r>
        <w:t xml:space="preserve"> </w:t>
      </w:r>
      <w:r>
        <w:rPr>
          <w:iCs/>
          <w:i/>
        </w:rPr>
        <w:t xml:space="preserve">cert. denied,</w:t>
      </w:r>
      <w:r>
        <w:t xml:space="preserve"> </w:t>
      </w:r>
      <w:r>
        <w:t xml:space="preserve">464 U.S. 1018, 104 S.Ct. 550, 78 L.Ed.2d 724 (1983) (sale of treasury shares and grant of stock option to White Knight);</w:t>
      </w:r>
      <w:r>
        <w:t xml:space="preserve"> </w:t>
      </w:r>
      <w:r>
        <w:rPr>
          <w:iCs/>
          <w:i/>
        </w:rPr>
        <w:t xml:space="preserve">Whittaker Corp. v. Edgar,</w:t>
      </w:r>
      <w:r>
        <w:t xml:space="preserve"> </w:t>
      </w:r>
      <w:r>
        <w:t xml:space="preserve">N.D.Ill., 535 F.Supp. 933 (1982) (disposal of valuable assets);</w:t>
      </w:r>
      <w:r>
        <w:t xml:space="preserve"> </w:t>
      </w:r>
      <w:r>
        <w:rPr>
          <w:iCs/>
          <w:i/>
        </w:rPr>
        <w:t xml:space="preserve">Martin Marietta Corp. v. Bendix Corp.,</w:t>
      </w:r>
      <w:r>
        <w:t xml:space="preserve"> </w:t>
      </w:r>
      <w:r>
        <w:t xml:space="preserve">D.Md., 549 F.Supp. 623 (1982) (PacMan defense).</w:t>
      </w:r>
      <w:hyperlink w:anchor="Xf1a8bc544ffd5c6bf2aa39f8a7e9dce7e1b86c8">
        <w:r>
          <w:rPr>
            <w:rStyle w:val="Hyperlink"/>
            <w:vertAlign w:val="superscript"/>
          </w:rPr>
          <w:t xml:space="preserve">[6]</w:t>
        </w:r>
      </w:hyperlink>
    </w:p>
    <w:p>
      <w:pPr>
        <w:pStyle w:val="BodyText"/>
      </w:pPr>
      <w:r>
        <w:t xml:space="preserve">This case is distinguishable from the ones cited, since here we have a defensive mechanism adopted to ward off possible future advances and not a mechanism adopted in reaction to a specific threat. This distinguishing factor does not result in the Directors losing the protection of the business judgment rule. To the contrary, pre-planning for the contingency of a hostile takeover might reduce the risk that, under the pressure of a takeover bid, management will fail to exercise reasonable judgment. Therefore, in reviewing a pre-planned defensive mechanism it seems even more appropriate to apply the business judgment rule.</w:t>
      </w:r>
      <w:r>
        <w:t xml:space="preserve"> </w:t>
      </w:r>
      <w:r>
        <w:rPr>
          <w:iCs/>
          <w:i/>
        </w:rPr>
        <w:t xml:space="preserve">See</w:t>
      </w:r>
      <w:r>
        <w:t xml:space="preserve"> </w:t>
      </w:r>
      <w:r>
        <w:rPr>
          <w:iCs/>
          <w:i/>
        </w:rPr>
        <w:t xml:space="preserve">Warner Communications v. Murdoch,</w:t>
      </w:r>
      <w:r>
        <w:t xml:space="preserve"> </w:t>
      </w:r>
      <w:r>
        <w:t xml:space="preserve">D.Del., 581 F.Supp. 1482, 1491 (1984).</w:t>
      </w:r>
    </w:p>
    <w:p>
      <w:pPr>
        <w:pStyle w:val="BodyText"/>
      </w:pPr>
      <w:r>
        <w:t xml:space="preserve">Of course, the business judgment rule can only sustain corporate decision making or transactions that are within the power or authority of the Board. Therefore, before the business judgment rule can be applied it must be determined whether the Directors were authorized to adopt the Rights Plan.</w:t>
      </w:r>
    </w:p>
    <w:bookmarkEnd w:id="291"/>
    <w:bookmarkStart w:id="292" w:name="iii-6"/>
    <w:p>
      <w:pPr>
        <w:pStyle w:val="Heading2"/>
      </w:pPr>
      <w:r>
        <w:t xml:space="preserve">[1351] III</w:t>
      </w:r>
    </w:p>
    <w:p>
      <w:pPr>
        <w:pStyle w:val="FirstParagraph"/>
      </w:pPr>
      <w:r>
        <w:t xml:space="preserve">Appellants vehemently contend that the Board of Directors was unauthorized to adopt the Rights Plan. First, appellants contend that no provision of the Delaware General Corporation Law authorizes the issuance of such Rights. Secondly, appellants, along with the SEC, contend that the Board is unauthorized to usurp stockholders' rights to receive hostile tender offers. Third, appellants and the SEC also contend that the Board is unauthorized to fundamentally restrict stockholders' rights to conduct a proxy contest. We address each of these contentions in turn.</w:t>
      </w:r>
    </w:p>
    <w:bookmarkEnd w:id="292"/>
    <w:bookmarkStart w:id="293" w:name="a.-2"/>
    <w:p>
      <w:pPr>
        <w:pStyle w:val="Heading2"/>
      </w:pPr>
      <w:r>
        <w:t xml:space="preserve">A.</w:t>
      </w:r>
    </w:p>
    <w:p>
      <w:pPr>
        <w:pStyle w:val="FirstParagraph"/>
      </w:pPr>
      <w:r>
        <w:t xml:space="preserve">While appellants contend that no provision of the Delaware General Corporation Law authorizes the Rights Plan, Household contends that the Rights Plan was issued pursuant to 8</w:t>
      </w:r>
      <w:r>
        <w:t xml:space="preserve"> </w:t>
      </w:r>
      <w:r>
        <w:rPr>
          <w:iCs/>
          <w:i/>
        </w:rPr>
        <w:t xml:space="preserve">Del.C.</w:t>
      </w:r>
      <w:r>
        <w:t xml:space="preserve"> </w:t>
      </w:r>
      <w:r>
        <w:t xml:space="preserve">§§ 151(g) and 157. It explains that the Rights are authorized by § 157</w:t>
      </w:r>
      <w:hyperlink w:anchor="X961179c867e47720125ac786c9dab31d86ab122">
        <w:r>
          <w:rPr>
            <w:rStyle w:val="Hyperlink"/>
            <w:vertAlign w:val="superscript"/>
          </w:rPr>
          <w:t xml:space="preserve">[7]</w:t>
        </w:r>
      </w:hyperlink>
      <w:r>
        <w:t xml:space="preserve"> </w:t>
      </w:r>
      <w:r>
        <w:t xml:space="preserve">and the issue of preferred stock underlying the Rights is authorized by § 151.</w:t>
      </w:r>
      <w:hyperlink w:anchor="Xe5fe5398446c413237399b6ad10ab86b42796c1">
        <w:r>
          <w:rPr>
            <w:rStyle w:val="Hyperlink"/>
            <w:vertAlign w:val="superscript"/>
          </w:rPr>
          <w:t xml:space="preserve">[8]</w:t>
        </w:r>
      </w:hyperlink>
      <w:r>
        <w:t xml:space="preserve"> </w:t>
      </w:r>
      <w:r>
        <w:t xml:space="preserve">Appellants respond by making several attacks upon the authority to issue the Rights pursuant to § 157.</w:t>
      </w:r>
    </w:p>
    <w:p>
      <w:pPr>
        <w:pStyle w:val="BodyText"/>
      </w:pPr>
      <w:r>
        <w:t xml:space="preserve">Appellants begin by contending that § 157 cannot authorize the Rights Plan since § 157 has never served the purpose of authorizing a takeover defense. Appellants contend that § 157 is a corporate financing statute, and that nothing in its legislative history suggests a purpose that has anything to do with corporate control or a takeover defense. Appellants are unable to demonstrate that the legislature, in its adoption of § 157, meant to limit the applicability of § 157 to only the issuance of Rights for the purposes of corporate financing. Without such affirmative evidence, we decline to impose such a limitation upon the section that the legislature has not.</w:t>
      </w:r>
      <w:r>
        <w:t xml:space="preserve"> </w:t>
      </w:r>
      <w:r>
        <w:rPr>
          <w:iCs/>
          <w:i/>
        </w:rPr>
        <w:t xml:space="preserve">Compare</w:t>
      </w:r>
      <w:r>
        <w:t xml:space="preserve"> </w:t>
      </w:r>
      <w:r>
        <w:rPr>
          <w:iCs/>
          <w:i/>
        </w:rPr>
        <w:t xml:space="preserve">Providence &amp; Worchester Co. v. Baker,</w:t>
      </w:r>
      <w:r>
        <w:t xml:space="preserve"> </w:t>
      </w:r>
      <w:r>
        <w:t xml:space="preserve">Del.Supr., 378 A.2d 121, 124 (1977) (refusal to read a bar to protective voting provisions into 8</w:t>
      </w:r>
      <w:r>
        <w:t xml:space="preserve"> </w:t>
      </w:r>
      <w:r>
        <w:rPr>
          <w:iCs/>
          <w:i/>
        </w:rPr>
        <w:t xml:space="preserve">Del.C.</w:t>
      </w:r>
      <w:r>
        <w:t xml:space="preserve"> </w:t>
      </w:r>
      <w:r>
        <w:t xml:space="preserve">§ 212(a)).</w:t>
      </w:r>
    </w:p>
    <w:p>
      <w:pPr>
        <w:pStyle w:val="BodyText"/>
      </w:pPr>
      <w:r>
        <w:t xml:space="preserve">As we noted in</w:t>
      </w:r>
      <w:r>
        <w:t xml:space="preserve"> </w:t>
      </w:r>
      <w:r>
        <w:rPr>
          <w:iCs/>
          <w:i/>
        </w:rPr>
        <w:t xml:space="preserve">Unocal:</w:t>
      </w:r>
    </w:p>
    <w:p>
      <w:pPr>
        <w:pStyle w:val="BlockText"/>
      </w:pPr>
      <w:r>
        <w:t xml:space="preserve">[O]ur corporate law is not static. It must grow and develop in response to, indeed in anticipation of, evolving concepts and needs. Merely because the General Corporation Law is silent as to a specific matter does not mean that it is prohibited.</w:t>
      </w:r>
    </w:p>
    <w:p>
      <w:pPr>
        <w:pStyle w:val="FirstParagraph"/>
      </w:pPr>
      <w:r>
        <w:t xml:space="preserve">493 A.2d at 957.</w:t>
      </w:r>
      <w:r>
        <w:t xml:space="preserve"> </w:t>
      </w:r>
      <w:r>
        <w:rPr>
          <w:iCs/>
          <w:i/>
        </w:rPr>
        <w:t xml:space="preserve">See also</w:t>
      </w:r>
      <w:r>
        <w:t xml:space="preserve"> </w:t>
      </w:r>
      <w:r>
        <w:rPr>
          <w:iCs/>
          <w:i/>
        </w:rPr>
        <w:t xml:space="preserve">Cheff v. Mathes,</w:t>
      </w:r>
      <w:r>
        <w:t xml:space="preserve"> </w:t>
      </w:r>
      <w:r>
        <w:t xml:space="preserve">Del.Supr., 199 A.2d 548 (1964).</w:t>
      </w:r>
    </w:p>
    <w:p>
      <w:pPr>
        <w:pStyle w:val="BodyText"/>
      </w:pPr>
      <w:r>
        <w:t xml:space="preserve">Secondly, appellants contend that § 157 does not authorize the issuance of sham rights such as the Rights Plan. They contend that the Rights were designed never to be exercised, and that the Plan has no economic value. In addition, they contend the preferred stock made subject to the Rights is also illusory, citing</w:t>
      </w:r>
      <w:r>
        <w:t xml:space="preserve"> </w:t>
      </w:r>
      <w:r>
        <w:rPr>
          <w:iCs/>
          <w:i/>
        </w:rPr>
        <w:t xml:space="preserve">Telvest, Inc.</w:t>
      </w:r>
      <w:r>
        <w:t xml:space="preserve"> </w:t>
      </w:r>
      <w:r>
        <w:t xml:space="preserve">[1352]</w:t>
      </w:r>
      <w:r>
        <w:t xml:space="preserve"> </w:t>
      </w:r>
      <w:r>
        <w:rPr>
          <w:iCs/>
          <w:i/>
        </w:rPr>
        <w:t xml:space="preserve">v. Olson,</w:t>
      </w:r>
      <w:r>
        <w:t xml:space="preserve"> </w:t>
      </w:r>
      <w:r>
        <w:t xml:space="preserve">Del.Ch., C.A. No. 5798, Brown, V.C. (March 8, 1979).</w:t>
      </w:r>
    </w:p>
    <w:p>
      <w:pPr>
        <w:pStyle w:val="BodyText"/>
      </w:pPr>
      <w:r>
        <w:t xml:space="preserve">Appellants' sham contention fails in both regards. As to the Rights, they can and will be exercised upon the happening of a triggering mechanism, as we have observed during the current struggle of Sir James Goldsmith to take control of Crown Zellerbach.</w:t>
      </w:r>
      <w:r>
        <w:t xml:space="preserve"> </w:t>
      </w:r>
      <w:r>
        <w:rPr>
          <w:iCs/>
          <w:i/>
        </w:rPr>
        <w:t xml:space="preserve">See</w:t>
      </w:r>
      <w:r>
        <w:t xml:space="preserve"> </w:t>
      </w:r>
      <w:r>
        <w:t xml:space="preserve">Wall Street Journal, July 26, 1985, at 3, 12. As to the preferred shares, we agree with the Court of Chancery that they are distinguishable from sham securities invalidated in</w:t>
      </w:r>
      <w:r>
        <w:t xml:space="preserve"> </w:t>
      </w:r>
      <w:r>
        <w:rPr>
          <w:iCs/>
          <w:i/>
        </w:rPr>
        <w:t xml:space="preserve">Telvest, supra.</w:t>
      </w:r>
      <w:r>
        <w:t xml:space="preserve"> </w:t>
      </w:r>
      <w:r>
        <w:t xml:space="preserve">The Household preferred, issuable upon the happening of a triggering event, have superior dividend and liquidation rights.</w:t>
      </w:r>
    </w:p>
    <w:p>
      <w:pPr>
        <w:pStyle w:val="BodyText"/>
      </w:pPr>
      <w:r>
        <w:t xml:space="preserve">Third, appellants contend that § 157 authorizes the issuance of Rights "entitling holders thereof to purchase from the corporation any shares of</w:t>
      </w:r>
      <w:r>
        <w:t xml:space="preserve"> </w:t>
      </w:r>
      <w:r>
        <w:rPr>
          <w:iCs/>
          <w:i/>
        </w:rPr>
        <w:t xml:space="preserve">its</w:t>
      </w:r>
      <w:r>
        <w:t xml:space="preserve"> </w:t>
      </w:r>
      <w:r>
        <w:t xml:space="preserve">capital stock of any class ..." (emphasis added). Therefore, their contention continues, the plain language of the statute does not authorize Household to issue rights to purchase another's capital stock upon a merger or consolidation.</w:t>
      </w:r>
    </w:p>
    <w:p>
      <w:pPr>
        <w:pStyle w:val="BodyText"/>
      </w:pPr>
      <w:r>
        <w:t xml:space="preserve">Household contends,</w:t>
      </w:r>
      <w:r>
        <w:t xml:space="preserve"> </w:t>
      </w:r>
      <w:r>
        <w:rPr>
          <w:iCs/>
          <w:i/>
        </w:rPr>
        <w:t xml:space="preserve">inter alia,</w:t>
      </w:r>
      <w:r>
        <w:t xml:space="preserve"> </w:t>
      </w:r>
      <w:r>
        <w:t xml:space="preserve">that the Rights Plan is analogous to "anti-destruction" or "anti-dilution" provisions which are customary features of a wide variety of corporate securities. While appellants seem to concede that "anti-destruction" provisions are valid under Delaware corporate law, they seek to distinguish the Rights Plan as not being incidental, as are most "anti-destruction" provisions, to a corporation's statutory power to finance itself. We find no merit to such a distinction. We have already rejected appellants' similar contention that § 157 could only be used for financing purposes. We also reject that distinction here.</w:t>
      </w:r>
    </w:p>
    <w:p>
      <w:pPr>
        <w:pStyle w:val="BodyText"/>
      </w:pPr>
      <w:r>
        <w:t xml:space="preserve">"Anti-destruction" clauses generally ensure holders of certain securities of the protection of their right of conversion in the event of a merger by giving them the right to convert their securities into whatever securities are to replace the stock of their company.</w:t>
      </w:r>
      <w:r>
        <w:t xml:space="preserve"> </w:t>
      </w:r>
      <w:r>
        <w:rPr>
          <w:iCs/>
          <w:i/>
        </w:rPr>
        <w:t xml:space="preserve">See</w:t>
      </w:r>
      <w:r>
        <w:t xml:space="preserve"> </w:t>
      </w:r>
      <w:r>
        <w:rPr>
          <w:iCs/>
          <w:i/>
        </w:rPr>
        <w:t xml:space="preserve">Broad v. Rockwell International Corp.,</w:t>
      </w:r>
      <w:r>
        <w:t xml:space="preserve"> </w:t>
      </w:r>
      <w:r>
        <w:t xml:space="preserve">5th Cir., 642 F.2d 929, 946,</w:t>
      </w:r>
      <w:r>
        <w:t xml:space="preserve"> </w:t>
      </w:r>
      <w:r>
        <w:rPr>
          <w:iCs/>
          <w:i/>
        </w:rPr>
        <w:t xml:space="preserve">cert. denied,</w:t>
      </w:r>
      <w:r>
        <w:t xml:space="preserve"> </w:t>
      </w:r>
      <w:r>
        <w:t xml:space="preserve">454 U.S. 965, 102 S.Ct. 506, 70 L.Ed.2d 380 (1981);</w:t>
      </w:r>
      <w:r>
        <w:t xml:space="preserve"> </w:t>
      </w:r>
      <w:r>
        <w:rPr>
          <w:iCs/>
          <w:i/>
        </w:rPr>
        <w:t xml:space="preserve">Wood v. Coastal States Gas Corp.,</w:t>
      </w:r>
      <w:r>
        <w:t xml:space="preserve"> </w:t>
      </w:r>
      <w:r>
        <w:t xml:space="preserve">Del.Supr., 401 A.2d 932, 937-39 (1979);</w:t>
      </w:r>
      <w:r>
        <w:t xml:space="preserve"> </w:t>
      </w:r>
      <w:r>
        <w:rPr>
          <w:iCs/>
          <w:i/>
        </w:rPr>
        <w:t xml:space="preserve">B.S.F. Co. v. Philadelphia National Bank,</w:t>
      </w:r>
      <w:r>
        <w:t xml:space="preserve"> </w:t>
      </w:r>
      <w:r>
        <w:t xml:space="preserve">Del.Supr., 204 A.2d 746, 750-51 (1964). The fact that the rights here have as their purpose the prevention of coercive two-tier tender offers does not invalidate th</w:t>
      </w:r>
      <w:r>
        <w:t xml:space="preserve">em.</w:t>
      </w:r>
    </w:p>
    <w:p>
      <w:pPr>
        <w:pStyle w:val="BodyText"/>
      </w:pPr>
      <w:r>
        <w:t xml:space="preserve">Fourth, appellants contend that Household's reliance upon § 157 is contradictory to 8</w:t>
      </w:r>
      <w:r>
        <w:t xml:space="preserve"> </w:t>
      </w:r>
      <w:r>
        <w:rPr>
          <w:iCs/>
          <w:i/>
        </w:rPr>
        <w:t xml:space="preserve">Del.C.</w:t>
      </w:r>
      <w:r>
        <w:t xml:space="preserve"> </w:t>
      </w:r>
      <w:r>
        <w:t xml:space="preserve">§</w:t>
      </w:r>
      <w:r>
        <w:t xml:space="preserve"> </w:t>
      </w:r>
      <w:r>
        <w:rPr>
          <w:rStyle w:val="FootnoteReference"/>
        </w:rPr>
        <w:footnoteReference w:customMarkFollows="1" w:id="6"/>
        <w:t xml:space="preserve">*</w:t>
      </w:r>
      <w:r>
        <w:t xml:space="preserve">203.</w:t>
      </w:r>
      <w:hyperlink w:anchor="Xff4227b0b2d3e362a9be9473085417f1498b3f1">
        <w:r>
          <w:rPr>
            <w:rStyle w:val="Hyperlink"/>
            <w:vertAlign w:val="superscript"/>
          </w:rPr>
          <w:t xml:space="preserve">[9]</w:t>
        </w:r>
      </w:hyperlink>
      <w:r>
        <w:t xml:space="preserve"> </w:t>
      </w:r>
      <w:r>
        <w:t xml:space="preserve">Section 203 is a "notice" statute which generally requires that [1353] timely notice be given to a target of an offeror's intention to make a tender offer. Appellants contend that the lack of stronger regulation by the State indicates a legislative intent to reject anything which would impose an impediment to the tender offer process. Such a contention is a</w:t>
      </w:r>
      <w:r>
        <w:t xml:space="preserve"> </w:t>
      </w:r>
      <w:r>
        <w:rPr>
          <w:iCs/>
          <w:i/>
        </w:rPr>
        <w:t xml:space="preserve">non sequitur.</w:t>
      </w:r>
      <w:r>
        <w:t xml:space="preserve"> </w:t>
      </w:r>
      <w:r>
        <w:t xml:space="preserve">The desire to have little state regulation of tender offers cannot be said to also indicate a desire to also have little private regulation. Furthermore, as we explain</w:t>
      </w:r>
      <w:r>
        <w:t xml:space="preserve"> </w:t>
      </w:r>
      <w:r>
        <w:rPr>
          <w:iCs/>
          <w:i/>
        </w:rPr>
        <w:t xml:space="preserve">infra,</w:t>
      </w:r>
      <w:r>
        <w:t xml:space="preserve"> </w:t>
      </w:r>
      <w:r>
        <w:t xml:space="preserve">we do not view the Rights Plan as much of an impediment on the tender offer process.</w:t>
      </w:r>
    </w:p>
    <w:p>
      <w:pPr>
        <w:pStyle w:val="BodyText"/>
      </w:pPr>
      <w:r>
        <w:t xml:space="preserve">Fifth, appellants contend that if § 157 authorizes the Rights Plan it would be unconstitutional pursuant to the Commerce Clause and Supremacy Clause of the United States Constitution. Household counters that appellants have failed to properly raise the issues in the Court of Chancery and are, therefore, precluded from raising them. Moreover, Household counters that appellants' contentions are without merit since the conduct complained of here is private conduct of corporate directors and not state regulation.</w:t>
      </w:r>
    </w:p>
    <w:p>
      <w:pPr>
        <w:pStyle w:val="BodyText"/>
      </w:pPr>
      <w:r>
        <w:t xml:space="preserve">It is commonly known that issues not properly raised in the trial court will not be considered in the first instance by this Court. Supreme Court Rule 8. We cannot conclude here that appellants have failed to adequately raise their constitutional issues in the Court of Chancery. Appellants raised the Commerce Clause and Supremacy Clause contentions in their "pretrial memo of points and authorities" and in their opening argument at trial. The fact that they did not again raise the issues in their post-trial briefing will not preclude them from raising the issues before this Court.</w:t>
      </w:r>
    </w:p>
    <w:p>
      <w:pPr>
        <w:pStyle w:val="BodyText"/>
      </w:pPr>
      <w:r>
        <w:t xml:space="preserve">Appellants contend that § 157 authorization for the Rights Plan violates the Commerce Clause and is void under the Supremacy Clause, since it is an obstacle to the accomplishment of the policies underlying the Williams Act. Appellants put heavy emphasis upon the case of</w:t>
      </w:r>
      <w:r>
        <w:t xml:space="preserve"> </w:t>
      </w:r>
      <w:r>
        <w:rPr>
          <w:iCs/>
          <w:i/>
        </w:rPr>
        <w:t xml:space="preserve">Edgar v. MITE Corp.,</w:t>
      </w:r>
      <w:r>
        <w:t xml:space="preserve"> </w:t>
      </w:r>
      <w:r>
        <w:t xml:space="preserve">457 U.S. 624, 102 S.Ct. 2629, 73 L.Ed.2d 269 (1982), in which the United States Supreme Court held that the Illinois Business Takeover Act was unconstitutional, in that it unduly burdened interstate commerce in violation of the Commerce Clause.</w:t>
      </w:r>
      <w:hyperlink w:anchor="X208b1f1cc1302f331d9b32f73a4098b57910eda">
        <w:r>
          <w:rPr>
            <w:rStyle w:val="Hyperlink"/>
            <w:vertAlign w:val="superscript"/>
          </w:rPr>
          <w:t xml:space="preserve">[10]</w:t>
        </w:r>
      </w:hyperlink>
      <w:r>
        <w:t xml:space="preserve"> </w:t>
      </w:r>
      <w:r>
        <w:t xml:space="preserve">We do not read the analysis in</w:t>
      </w:r>
      <w:r>
        <w:t xml:space="preserve"> </w:t>
      </w:r>
      <w:r>
        <w:rPr>
          <w:iCs/>
          <w:i/>
        </w:rPr>
        <w:t xml:space="preserve">Edgar</w:t>
      </w:r>
      <w:r>
        <w:t xml:space="preserve"> </w:t>
      </w:r>
      <w:r>
        <w:t xml:space="preserve">as applicable to the actions of private parties. The fact that directors of a corporation act pursuant to a state statute provides an insufficient nexus to the state for there to be state action which may violate the Commerce Clause or Supremacy Clause.</w:t>
      </w:r>
      <w:r>
        <w:t xml:space="preserve"> </w:t>
      </w:r>
      <w:r>
        <w:rPr>
          <w:iCs/>
          <w:i/>
        </w:rPr>
        <w:t xml:space="preserve">See</w:t>
      </w:r>
      <w:r>
        <w:t xml:space="preserve"> </w:t>
      </w:r>
      <w:r>
        <w:rPr>
          <w:iCs/>
          <w:i/>
        </w:rPr>
        <w:t xml:space="preserve">Data Probe Acquisition Corp. v. Datatab, Inc.,</w:t>
      </w:r>
      <w:r>
        <w:t xml:space="preserve"> </w:t>
      </w:r>
      <w:r>
        <w:t xml:space="preserve">2d Cir., 722 F.2d 1, 5 (1983).</w:t>
      </w:r>
    </w:p>
    <w:p>
      <w:pPr>
        <w:pStyle w:val="BodyText"/>
      </w:pPr>
      <w:r>
        <w:t xml:space="preserve">Having concluded that sufficient authority for the Rights Plan exists in 8</w:t>
      </w:r>
      <w:r>
        <w:t xml:space="preserve"> </w:t>
      </w:r>
      <w:r>
        <w:rPr>
          <w:iCs/>
          <w:i/>
        </w:rPr>
        <w:t xml:space="preserve">Del.C.</w:t>
      </w:r>
      <w:r>
        <w:t xml:space="preserve"> </w:t>
      </w:r>
      <w:r>
        <w:t xml:space="preserve">§ 157, we note the inherent powers of the Board conferred by 8</w:t>
      </w:r>
      <w:r>
        <w:t xml:space="preserve"> </w:t>
      </w:r>
      <w:r>
        <w:rPr>
          <w:iCs/>
          <w:i/>
        </w:rPr>
        <w:t xml:space="preserve">Del.C.</w:t>
      </w:r>
      <w:r>
        <w:t xml:space="preserve"> </w:t>
      </w:r>
      <w:r>
        <w:t xml:space="preserve">§ 141(a),</w:t>
      </w:r>
      <w:hyperlink w:anchor="X93bbeba140183624046f5fe0deddd87cc26b15b">
        <w:r>
          <w:rPr>
            <w:rStyle w:val="Hyperlink"/>
            <w:vertAlign w:val="superscript"/>
          </w:rPr>
          <w:t xml:space="preserve">[11]</w:t>
        </w:r>
      </w:hyperlink>
      <w:r>
        <w:t xml:space="preserve"> </w:t>
      </w:r>
      <w:r>
        <w:t xml:space="preserve">concerning the management of the corporation's "business and</w:t>
      </w:r>
      <w:r>
        <w:t xml:space="preserve"> </w:t>
      </w:r>
      <w:r>
        <w:rPr>
          <w:iCs/>
          <w:i/>
        </w:rPr>
        <w:t xml:space="preserve">affairs</w:t>
      </w:r>
      <w:r>
        <w:t xml:space="preserve">" (emphasis added), also provides the Board additional authority upon which to enact the Rights Plan.</w:t>
      </w:r>
      <w:r>
        <w:t xml:space="preserve"> </w:t>
      </w:r>
      <w:r>
        <w:rPr>
          <w:iCs/>
          <w:i/>
        </w:rPr>
        <w:t xml:space="preserve">Unocal,</w:t>
      </w:r>
      <w:r>
        <w:t xml:space="preserve"> </w:t>
      </w:r>
      <w:r>
        <w:t xml:space="preserve">493 A.2d at 953.</w:t>
      </w:r>
    </w:p>
    <w:bookmarkEnd w:id="293"/>
    <w:bookmarkStart w:id="294" w:name="b.-2"/>
    <w:p>
      <w:pPr>
        <w:pStyle w:val="Heading2"/>
      </w:pPr>
      <w:r>
        <w:t xml:space="preserve">B.</w:t>
      </w:r>
    </w:p>
    <w:p>
      <w:pPr>
        <w:pStyle w:val="FirstParagraph"/>
      </w:pPr>
      <w:r>
        <w:t xml:space="preserve">Appellants contend that the Board is unauthorized to usurp stockholders' [1354] rights to receive tender offers by changing Household's fundamental structure. We conclude that the Rights Plan does not prevent stockholders from receiving tender offers, and that the change of Household's structure was less than that which results from the implementation of other defensive mechanisms upheld by various courts.</w:t>
      </w:r>
    </w:p>
    <w:p>
      <w:pPr>
        <w:pStyle w:val="BodyText"/>
      </w:pPr>
      <w:r>
        <w:t xml:space="preserve">Appellants' contention that stockholders will lose their right to receive and accept tender offers seems to be premised upon an understanding of the Rights Plan which is illustrated by the SEC</w:t>
      </w:r>
      <w:r>
        <w:t xml:space="preserve"> </w:t>
      </w:r>
      <w:r>
        <w:rPr>
          <w:iCs/>
          <w:i/>
        </w:rPr>
        <w:t xml:space="preserve">amicus</w:t>
      </w:r>
      <w:r>
        <w:t xml:space="preserve"> </w:t>
      </w:r>
      <w:r>
        <w:t xml:space="preserve">brief which states: "The Chancery Court's decision seriously understates the impact of this plan. In fact, as we discuss below, the Rights Plan will deter not only two-tier offers, but virtually all hostile tender offer</w:t>
      </w:r>
      <w:r>
        <w:t xml:space="preserve">s."</w:t>
      </w:r>
    </w:p>
    <w:p>
      <w:pPr>
        <w:pStyle w:val="BodyText"/>
      </w:pPr>
      <w:r>
        <w:t xml:space="preserve">The fallacy of that contention is apparent when we look at the recent takeover of Crown Zellerbach, which has a similar Rights Plan, by Sir James Goldsmit</w:t>
      </w:r>
      <w:r>
        <w:rPr>
          <w:rStyle w:val="FootnoteReference"/>
        </w:rPr>
        <w:footnoteReference w:customMarkFollows="1" w:id="8"/>
        <w:t xml:space="preserve">**</w:t>
      </w:r>
      <w:r>
        <w:t xml:space="preserve">h. Wall Street Journal, July 26, 1985, at 3, 12. The evidence at trial also evidenced many methods around the Plan ranging from tendering with a condition that the Board redeem the Rights, tendering with a high minimum condition of shares and Rights, tendering and soliciting consents to remove the Board and redeem the Rights, to acquiring 50% of the shares and causing Household to self-tender for the Rights. One could also form a group of up to 19.9% and solicit proxies for consents to remove the Board and redeem the Rights. These are but a few of the methods by which Household can still be acquired by a hostile tender offer.</w:t>
      </w:r>
    </w:p>
    <w:p>
      <w:pPr>
        <w:pStyle w:val="BodyText"/>
      </w:pPr>
      <w:r>
        <w:t xml:space="preserve">In addition, the Rights Plan is not absolute. When the Household Board of Directors is faced with a tender offer and a request to redeem the Rights, they will not be able to arbitrarily reject the offer. They will be held to the same fiduciary standards any other board of directors would be held to in deciding to adopt a defensive mechanism, the same standard as they were held to in originally approving the Rights Plan.</w:t>
      </w:r>
      <w:r>
        <w:t xml:space="preserve"> </w:t>
      </w:r>
      <w:r>
        <w:rPr>
          <w:iCs/>
          <w:i/>
        </w:rPr>
        <w:t xml:space="preserve">See Unocol,</w:t>
      </w:r>
      <w:r>
        <w:t xml:space="preserve"> </w:t>
      </w:r>
      <w:r>
        <w:t xml:space="preserve">493 A.2d at 954-55, 958.</w:t>
      </w:r>
    </w:p>
    <w:p>
      <w:pPr>
        <w:pStyle w:val="BodyText"/>
      </w:pPr>
      <w:r>
        <w:t xml:space="preserve">In addition, appellants contend that the deterence of tender offers will be accomplished by what they label "a fundamental transfer of power from the stockholders to the directors." They contend that this transfer of power, in itself, is unauthorized.</w:t>
      </w:r>
    </w:p>
    <w:p>
      <w:pPr>
        <w:pStyle w:val="BodyText"/>
      </w:pPr>
      <w:r>
        <w:t xml:space="preserve">The Rights Plan will result in no more of a structural change than any other defensive mechanism adopted by a board of directors. The Rights Plan does not destroy the assets of the corporation. The implementation of the Plan neither results in any outflow of money from the corporation nor impairs its financial flexibility. It does not dilute earnings per share and does not have any adverse tax consequences for the corporation or its stockholders. The Plan has not adversely affected the market price of Household's stock.</w:t>
      </w:r>
    </w:p>
    <w:p>
      <w:pPr>
        <w:pStyle w:val="BodyText"/>
      </w:pPr>
      <w:r>
        <w:t xml:space="preserve">Comparing the Rights Plan with other defensive mechanisms, it does less harm to the value structure of the corporation than do the other mechanisms. Other mechanisms result in increased debt of the corporation.</w:t>
      </w:r>
      <w:r>
        <w:t xml:space="preserve"> </w:t>
      </w:r>
      <w:r>
        <w:rPr>
          <w:iCs/>
          <w:i/>
        </w:rPr>
        <w:t xml:space="preserve">See</w:t>
      </w:r>
      <w:r>
        <w:t xml:space="preserve"> </w:t>
      </w:r>
      <w:r>
        <w:rPr>
          <w:iCs/>
          <w:i/>
        </w:rPr>
        <w:t xml:space="preserve">Whittaker Corp. v. Edgar, supra</w:t>
      </w:r>
      <w:r>
        <w:t xml:space="preserve"> </w:t>
      </w:r>
      <w:r>
        <w:t xml:space="preserve">(sale of "prize asset"),</w:t>
      </w:r>
      <w:r>
        <w:t xml:space="preserve"> </w:t>
      </w:r>
      <w:r>
        <w:rPr>
          <w:iCs/>
          <w:i/>
        </w:rPr>
        <w:t xml:space="preserve">Cheff v. Mathes, supra,</w:t>
      </w:r>
      <w:r>
        <w:t xml:space="preserve"> </w:t>
      </w:r>
      <w:r>
        <w:t xml:space="preserve">(paying greenmail to eliminate a threat),</w:t>
      </w:r>
      <w:r>
        <w:t xml:space="preserve"> </w:t>
      </w:r>
      <w:r>
        <w:rPr>
          <w:iCs/>
          <w:i/>
        </w:rPr>
        <w:t xml:space="preserve">Unocal Corp. v. Mesa Petroleum Co., supra,</w:t>
      </w:r>
      <w:r>
        <w:t xml:space="preserve"> </w:t>
      </w:r>
      <w:r>
        <w:t xml:space="preserve">(discriminatory self-tender).</w:t>
      </w:r>
    </w:p>
    <w:p>
      <w:pPr>
        <w:pStyle w:val="BodyText"/>
      </w:pPr>
      <w:r>
        <w:t xml:space="preserve">There is little change in the governance structure as a result of the adoption of the Rights Plan. The Board does not now have unfettered discretion in refusing to redeem the Rights. The Board has no more discretion in refusing to redeem the Rights than it does in enacting any defensive mechanism.</w:t>
      </w:r>
    </w:p>
    <w:p>
      <w:pPr>
        <w:pStyle w:val="BodyText"/>
      </w:pPr>
      <w:r>
        <w:t xml:space="preserve">The contention that the Rights Plan alters the structure more than do other defensive mechanisms because it is so effective as to make the corporation completely safe from hostile tender offers is likewise without merit. As explained above, there [1355] are numerous methods to successfully launch a hostile tender offer.</w:t>
      </w:r>
    </w:p>
    <w:bookmarkEnd w:id="294"/>
    <w:bookmarkStart w:id="295" w:name="c.-1"/>
    <w:p>
      <w:pPr>
        <w:pStyle w:val="Heading2"/>
      </w:pPr>
      <w:r>
        <w:t xml:space="preserve">C.</w:t>
      </w:r>
    </w:p>
    <w:p>
      <w:pPr>
        <w:pStyle w:val="FirstParagraph"/>
      </w:pPr>
      <w:r>
        <w:t xml:space="preserve">Appellants' third contention is that the Board was unauthorized to fundamentally restrict stockholders' rights to conduct a proxy contest. Appellants contend that the "20% trigger" effectively prevents any stockholder from first acquiring 20% or more shares before conducting a proxy contest and further, it prevents stockholders from banding together into a group to solicit proxies if, collectively, they own 20% or more of the stock.</w:t>
      </w:r>
      <w:hyperlink w:anchor="X05e833fd8bf2f839946b8090628263e853be569">
        <w:r>
          <w:rPr>
            <w:rStyle w:val="Hyperlink"/>
            <w:vertAlign w:val="superscript"/>
          </w:rPr>
          <w:t xml:space="preserve">[12]</w:t>
        </w:r>
      </w:hyperlink>
      <w:r>
        <w:t xml:space="preserve"> </w:t>
      </w:r>
      <w:r>
        <w:t xml:space="preserve">In addition, at trial, appellants contended that read literally, the Rights Agreement triggers the Rights upon the mere acquisition of the right to vote 20% or more of the shares through a proxy solicitation, and thereby precludes any proxy contest from being waged.</w:t>
      </w:r>
      <w:hyperlink w:anchor="Xe56be699d0d809d653c5d27046b73da8a018f27">
        <w:r>
          <w:rPr>
            <w:rStyle w:val="Hyperlink"/>
            <w:vertAlign w:val="superscript"/>
          </w:rPr>
          <w:t xml:space="preserve">[13]</w:t>
        </w:r>
      </w:hyperlink>
    </w:p>
    <w:p>
      <w:pPr>
        <w:pStyle w:val="BodyText"/>
      </w:pPr>
      <w:r>
        <w:t xml:space="preserve">Appellants seem to have conceded this last contention in light of Household's response that the receipt of a proxy does not make the recipient the "beneficial owner" of the shares involved which would trigger the Rights. In essence, the Rights Agreement provides that the Rights are triggered when someone becomes the "beneficial owner" of 20% or more of Household stock. Although a literal reading of the Rights Agreement definition of "beneficial owner" would seem to include those shares which one has the right to vote, it has long been recognized that the relationship between grantor and recipient of a proxy is one of agency, and the agency is revocable by the grantor at any time. Henn,</w:t>
      </w:r>
      <w:r>
        <w:t xml:space="preserve"> </w:t>
      </w:r>
      <w:r>
        <w:rPr>
          <w:iCs/>
          <w:i/>
        </w:rPr>
        <w:t xml:space="preserve">Corporations</w:t>
      </w:r>
      <w:r>
        <w:t xml:space="preserve"> </w:t>
      </w:r>
      <w:r>
        <w:t xml:space="preserve">§ 196, at 518. Therefore, the holder of a proxy is not the "beneficial owner" of the stock. As a result, the mere acquisition of the right to vote 20% of the shares does not trigger the Rights.</w:t>
      </w:r>
    </w:p>
    <w:p>
      <w:pPr>
        <w:pStyle w:val="BodyText"/>
      </w:pPr>
      <w:r>
        <w:t xml:space="preserve">The issue, then, is whether the restriction upon individuals or groups from first acquiring 20% of shares before waging a proxy contest fundamentally restricts stockholders' right to conduct a proxy contest. Regarding this issue the Court of Chancery found:</w:t>
      </w:r>
    </w:p>
    <w:p>
      <w:pPr>
        <w:pStyle w:val="BlockText"/>
      </w:pPr>
      <w:r>
        <w:t xml:space="preserve">Thus, while the Rights Plan does deter the formation of proxy efforts of a certain magnitude, it does not limit the voting power of individual shares. On the evidence presented it is highly conjectural to assume that a particular effort to assert shareholder views in the election of directors or revisions of corporate policy will be frustrated by the proxy feature of the Plan. Household's witnesses, Troubh and Higgins described recent corporate takeover battles in which insurgents holding less than 10% stock ownership were able to secure corporate control through a proxy contest or the threat of one.</w:t>
      </w:r>
    </w:p>
    <w:p>
      <w:pPr>
        <w:pStyle w:val="FirstParagraph"/>
      </w:pPr>
      <w:r>
        <w:rPr>
          <w:iCs/>
          <w:i/>
        </w:rPr>
        <w:t xml:space="preserve">Moran,</w:t>
      </w:r>
      <w:r>
        <w:t xml:space="preserve"> </w:t>
      </w:r>
      <w:r>
        <w:t xml:space="preserve">490 A.2d at 1080.</w:t>
      </w:r>
    </w:p>
    <w:p>
      <w:pPr>
        <w:pStyle w:val="BodyText"/>
      </w:pPr>
      <w:r>
        <w:t xml:space="preserve">We conclude that there was sufficient evidence at trial to support the Vice-Chancellor's finding that the effect upon proxy contests will be minimal. Evidence at trial established that many proxy contests are won with an insurgent ownership of less than 20%, and that very large holdings are no guarantee of success. There was also testimony that the key variable in proxy contest success is the merit of an insurgent's issues, not the size of his holdings.</w:t>
      </w:r>
    </w:p>
    <w:bookmarkEnd w:id="295"/>
    <w:bookmarkStart w:id="296" w:name="iv-3"/>
    <w:p>
      <w:pPr>
        <w:pStyle w:val="Heading2"/>
      </w:pPr>
      <w:r>
        <w:t xml:space="preserve">IV</w:t>
      </w:r>
    </w:p>
    <w:p>
      <w:pPr>
        <w:pStyle w:val="FirstParagraph"/>
      </w:pPr>
      <w:r>
        <w:t xml:space="preserve">Having concluded that the adoption of the Rights Plan was within the authority of the Directors, we now look to whether the Directors have met their burden under the business judgment rule.</w:t>
      </w:r>
    </w:p>
    <w:p>
      <w:pPr>
        <w:pStyle w:val="BodyText"/>
      </w:pPr>
      <w:r>
        <w:t xml:space="preserve">[1356] The business judgment rule is a "presumption that in making a business decision the directors of a corporation acted on an informed basis, in good faith and in the honest belief that the action taken was in the best interests of the company."</w:t>
      </w:r>
      <w:r>
        <w:t xml:space="preserve"> </w:t>
      </w:r>
      <w:r>
        <w:rPr>
          <w:iCs/>
          <w:i/>
        </w:rPr>
        <w:t xml:space="preserve">Aronson v. Lewis,</w:t>
      </w:r>
      <w:r>
        <w:t xml:space="preserve"> </w:t>
      </w:r>
      <w:r>
        <w:t xml:space="preserve">Del.Supr., 473 A.2d 805, 812 (1984) (citations omitted). Notwithstanding, in</w:t>
      </w:r>
      <w:r>
        <w:t xml:space="preserve"> </w:t>
      </w:r>
      <w:r>
        <w:rPr>
          <w:iCs/>
          <w:i/>
        </w:rPr>
        <w:t xml:space="preserve">Unocal</w:t>
      </w:r>
      <w:r>
        <w:t xml:space="preserve"> </w:t>
      </w:r>
      <w:r>
        <w:t xml:space="preserve">we held that when the business judgment rule applies to adoption of a defensive mechanism, the initial burden will lie with the directors. The "directors must show that they had reasonable grounds for believing that a danger to corporate policy and effectiveness existed.... [T]hey satisfy that burden `by showing good faith and reasonable investigation....'"</w:t>
      </w:r>
      <w:r>
        <w:t xml:space="preserve"> </w:t>
      </w:r>
      <w:r>
        <w:rPr>
          <w:iCs/>
          <w:i/>
        </w:rPr>
        <w:t xml:space="preserve">Unocal,</w:t>
      </w:r>
      <w:r>
        <w:t xml:space="preserve"> </w:t>
      </w:r>
      <w:r>
        <w:t xml:space="preserve">493 A.2d at 955 (citing</w:t>
      </w:r>
      <w:r>
        <w:t xml:space="preserve"> </w:t>
      </w:r>
      <w:r>
        <w:rPr>
          <w:iCs/>
          <w:i/>
        </w:rPr>
        <w:t xml:space="preserve">Cheff v. Mathes,</w:t>
      </w:r>
      <w:r>
        <w:t xml:space="preserve"> </w:t>
      </w:r>
      <w:r>
        <w:t xml:space="preserve">199 A.2d at 554-55). In addition, the directors must show that the defensive mechanism was "reasonable in relation to the threat posed."</w:t>
      </w:r>
      <w:r>
        <w:t xml:space="preserve"> </w:t>
      </w:r>
      <w:r>
        <w:rPr>
          <w:iCs/>
          <w:i/>
        </w:rPr>
        <w:t xml:space="preserve">Unocal,</w:t>
      </w:r>
      <w:r>
        <w:t xml:space="preserve"> </w:t>
      </w:r>
      <w:r>
        <w:t xml:space="preserve">493 A.2d at 955. Moreover, that proof is materially enhanced, as we noted in</w:t>
      </w:r>
      <w:r>
        <w:t xml:space="preserve"> </w:t>
      </w:r>
      <w:r>
        <w:rPr>
          <w:iCs/>
          <w:i/>
        </w:rPr>
        <w:t xml:space="preserve">Unocal,</w:t>
      </w:r>
      <w:r>
        <w:t xml:space="preserve"> </w:t>
      </w:r>
      <w:r>
        <w:t xml:space="preserve">where, as here, a majority of the board favoring the proposal consisted of outside independent directors who have acted in accordance with the foregoing standards.</w:t>
      </w:r>
      <w:r>
        <w:t xml:space="preserve"> </w:t>
      </w:r>
      <w:r>
        <w:rPr>
          <w:iCs/>
          <w:i/>
        </w:rPr>
        <w:t xml:space="preserve">Unocal,</w:t>
      </w:r>
      <w:r>
        <w:t xml:space="preserve"> </w:t>
      </w:r>
      <w:r>
        <w:t xml:space="preserve">493 A.2d at 955;</w:t>
      </w:r>
      <w:r>
        <w:t xml:space="preserve"> </w:t>
      </w:r>
      <w:r>
        <w:rPr>
          <w:iCs/>
          <w:i/>
        </w:rPr>
        <w:t xml:space="preserve">Aronson,</w:t>
      </w:r>
      <w:r>
        <w:t xml:space="preserve"> </w:t>
      </w:r>
      <w:r>
        <w:t xml:space="preserve">473 A.2d at 815. Then, the burden shifts back to the plaintiffs who have the ultimate burden of persuasion to show a breach of the directors' fiduciary duties.</w:t>
      </w:r>
      <w:r>
        <w:t xml:space="preserve"> </w:t>
      </w:r>
      <w:r>
        <w:rPr>
          <w:iCs/>
          <w:i/>
        </w:rPr>
        <w:t xml:space="preserve">Unocal,</w:t>
      </w:r>
      <w:r>
        <w:t xml:space="preserve"> </w:t>
      </w:r>
      <w:r>
        <w:t xml:space="preserve">493 A.2d at 958.</w:t>
      </w:r>
    </w:p>
    <w:p>
      <w:pPr>
        <w:pStyle w:val="BodyText"/>
      </w:pPr>
      <w:r>
        <w:t xml:space="preserve">There are no allegations here of any bad faith on the part of the Directors' action in the adoption of the Rights Plan. There is no allegation that the Directors' action was taken for entrenchment purposes. Household has adequately demonstrated, as explained above, that the adoption of the Rights Plan was in reaction to what it perceived to be the threat in the market place of coercive two-tier tender offers. Appellants do contend, however, that the Board did not exercise informed business judgment in its adoption of the Plan.</w:t>
      </w:r>
    </w:p>
    <w:p>
      <w:pPr>
        <w:pStyle w:val="BodyText"/>
      </w:pPr>
      <w:r>
        <w:t xml:space="preserve">Appellants contend that the Household Board was uninformed since they were,</w:t>
      </w:r>
      <w:r>
        <w:t xml:space="preserve"> </w:t>
      </w:r>
      <w:r>
        <w:rPr>
          <w:iCs/>
          <w:i/>
        </w:rPr>
        <w:t xml:space="preserve">inter alia,</w:t>
      </w:r>
      <w:r>
        <w:t xml:space="preserve"> </w:t>
      </w:r>
      <w:r>
        <w:t xml:space="preserve">told the Plan would not inhibit a proxy contest, were not told the plan would preclude all hostile acquisitions of Household, and were told that Delaware counsel opined that the plan was within the business judgment of the Board.</w:t>
      </w:r>
    </w:p>
    <w:p>
      <w:pPr>
        <w:pStyle w:val="BodyText"/>
      </w:pPr>
      <w:r>
        <w:t xml:space="preserve">As to the first two contentions, as we explained above, the Rights Plan will not have a severe impact upon proxy contests and it will not preclude all hostile acquisitions of Household. Therefore, the Directors were not misinformed or uninformed on these facts.</w:t>
      </w:r>
    </w:p>
    <w:p>
      <w:pPr>
        <w:pStyle w:val="BodyText"/>
      </w:pPr>
      <w:r>
        <w:t xml:space="preserve">Appellants contend the Delaware counsel did not express an opinion on the flip-over provision of the Rights, rather only that the Rights would constitute validly issued and outstanding rights to subscribe to the preferred stock of the company.</w:t>
      </w:r>
    </w:p>
    <w:p>
      <w:pPr>
        <w:pStyle w:val="BodyText"/>
      </w:pPr>
      <w:r>
        <w:t xml:space="preserve">To determine whether a business judgment reached by a board of directors was an informed one, we determine whether the directors were grossly negligent.</w:t>
      </w:r>
      <w:r>
        <w:t xml:space="preserve"> </w:t>
      </w:r>
      <w:r>
        <w:rPr>
          <w:iCs/>
          <w:i/>
        </w:rPr>
        <w:t xml:space="preserve">Smith v. Van Gorkom,</w:t>
      </w:r>
      <w:r>
        <w:t xml:space="preserve"> </w:t>
      </w:r>
      <w:r>
        <w:t xml:space="preserve">Del.Supr., 488 A.2d 858, 873 (1985). Upon a review of this record, we conclude the Directors were not grossly negligent. The information supplied to the Board on August 14 provided the essentials of the Plan. The Directors were given beforehand a notebook which included a three-page summary of the Plan along with articles on the current takeover environment. The extended discussion between the Board and representatives of Wachtell, Lipton and Goldman, Sachs before approval of the Plan reflected a full and candid evaluation of the Plan. Moran's expression of his views at the meeting served to place before the Board a knowledgeable critique of the Plan. The factual happenings here are clearly distinguishable from the actions of the directors of Trans Union Corporation who displayed gross negligence in approving a cash-out merger.</w:t>
      </w:r>
      <w:r>
        <w:t xml:space="preserve"> </w:t>
      </w:r>
      <w:r>
        <w:rPr>
          <w:iCs/>
          <w:i/>
        </w:rPr>
        <w:t xml:space="preserve">Id.</w:t>
      </w:r>
    </w:p>
    <w:p>
      <w:pPr>
        <w:pStyle w:val="BodyText"/>
      </w:pPr>
      <w:r>
        <w:t xml:space="preserve">In addition, to meet their burden, the Directors must show that the defensive [1357] mechanism was "reasonable in relation to the threat posed". The record reflects a concern on the part of the Directors over the increasing frequency in the financial services industry of "boot-strap" and "bust-up" takeovers. The Directors were also concerned that such takeovers may take the form of two-tier offers.</w:t>
      </w:r>
      <w:hyperlink w:anchor="X92a5c6af5a8d963869304385fce88d164117bb9">
        <w:r>
          <w:rPr>
            <w:rStyle w:val="Hyperlink"/>
            <w:vertAlign w:val="superscript"/>
          </w:rPr>
          <w:t xml:space="preserve">[14]</w:t>
        </w:r>
      </w:hyperlink>
      <w:r>
        <w:t xml:space="preserve"> </w:t>
      </w:r>
      <w:r>
        <w:t xml:space="preserve">In addition, on August 14, the Household Board was aware of Moran's overture on behalf of D-K-M. In sum, the Directors reasonably believed Household was vulnerable to coercive acquisition techniques and adopted a reasonable defensive mechanism to protect itself.</w:t>
      </w:r>
    </w:p>
    <w:bookmarkEnd w:id="296"/>
    <w:bookmarkStart w:id="297" w:name="v-1"/>
    <w:p>
      <w:pPr>
        <w:pStyle w:val="Heading2"/>
      </w:pPr>
      <w:r>
        <w:t xml:space="preserve">V</w:t>
      </w:r>
    </w:p>
    <w:p>
      <w:pPr>
        <w:pStyle w:val="FirstParagraph"/>
      </w:pPr>
      <w:r>
        <w:t xml:space="preserve">In conclusion, the Household Directors receive the benefit of the business judgment rule in their adoption of the Rights Plan.</w:t>
      </w:r>
    </w:p>
    <w:p>
      <w:pPr>
        <w:pStyle w:val="BodyText"/>
      </w:pPr>
      <w:r>
        <w:t xml:space="preserve">The Directors adopted the Plan pursuant to statutory authority in 8</w:t>
      </w:r>
      <w:r>
        <w:t xml:space="preserve"> </w:t>
      </w:r>
      <w:r>
        <w:rPr>
          <w:iCs/>
          <w:i/>
        </w:rPr>
        <w:t xml:space="preserve">Del.C.</w:t>
      </w:r>
      <w:r>
        <w:t xml:space="preserve"> </w:t>
      </w:r>
      <w:r>
        <w:t xml:space="preserve">§§ 141, 151, 157. We reject appellants' contentions that the Rights Plan strips stockholders of their rights to receive tender offers, and that the Rights Plan fundamentally restricts proxy contests.</w:t>
      </w:r>
    </w:p>
    <w:p>
      <w:pPr>
        <w:pStyle w:val="BodyText"/>
      </w:pPr>
      <w:r>
        <w:t xml:space="preserve">The Directors adopted the Plan in the good faith belief that it was necessary to protect Household from coercive acquisition techniques. The Board was informed as to the details of the Plan. In addition, Household has demonstrated that the Plan is reasonable in relation to the threat posed. Appellants, on the other hand, have failed to convince us that the Directors breached any fiduciary duty in their adoption of the Rights Plan.</w:t>
      </w:r>
    </w:p>
    <w:p>
      <w:pPr>
        <w:pStyle w:val="BodyText"/>
      </w:pPr>
      <w:r>
        <w:t xml:space="preserve">While we conclude for present purposes that the Household Directors are protected by the business judgment rule, that does not end the matter. The ultimate response to an actual takeover bid must be judged by the Directors' actions at that time, and nothing we say here relieves them of their basic fundamental duties to the corporation and its stockholders.</w:t>
      </w:r>
      <w:r>
        <w:t xml:space="preserve"> </w:t>
      </w:r>
      <w:r>
        <w:rPr>
          <w:iCs/>
          <w:i/>
        </w:rPr>
        <w:t xml:space="preserve">Unocal,</w:t>
      </w:r>
      <w:r>
        <w:t xml:space="preserve"> </w:t>
      </w:r>
      <w:r>
        <w:t xml:space="preserve">493 A.2d at 954-55, 958;</w:t>
      </w:r>
      <w:r>
        <w:t xml:space="preserve"> </w:t>
      </w:r>
      <w:r>
        <w:rPr>
          <w:iCs/>
          <w:i/>
        </w:rPr>
        <w:t xml:space="preserve">Smith v. Van Gorkom,</w:t>
      </w:r>
      <w:r>
        <w:t xml:space="preserve"> </w:t>
      </w:r>
      <w:r>
        <w:t xml:space="preserve">488 A.2d at 872-73;</w:t>
      </w:r>
      <w:r>
        <w:t xml:space="preserve"> </w:t>
      </w:r>
      <w:r>
        <w:rPr>
          <w:iCs/>
          <w:i/>
        </w:rPr>
        <w:t xml:space="preserve">Aronson,</w:t>
      </w:r>
      <w:r>
        <w:t xml:space="preserve"> </w:t>
      </w:r>
      <w:r>
        <w:t xml:space="preserve">473 A.2d at 812-13;</w:t>
      </w:r>
      <w:r>
        <w:t xml:space="preserve"> </w:t>
      </w:r>
      <w:r>
        <w:rPr>
          <w:iCs/>
          <w:i/>
        </w:rPr>
        <w:t xml:space="preserve">Pogostin v. Rice,</w:t>
      </w:r>
      <w:r>
        <w:t xml:space="preserve"> </w:t>
      </w:r>
      <w:r>
        <w:t xml:space="preserve">Del.Supr., 480 A.2d 619, 627 (1984). Their use of the Plan will be evaluated when and if the issue arises.</w:t>
      </w:r>
    </w:p>
    <w:bookmarkEnd w:id="297"/>
    <w:bookmarkStart w:id="298" w:name="section-38"/>
    <w:p>
      <w:pPr>
        <w:pStyle w:val="Heading2"/>
      </w:pPr>
      <w:r>
        <w:t xml:space="preserve">* * *</w:t>
      </w:r>
    </w:p>
    <w:p>
      <w:pPr>
        <w:pStyle w:val="FirstParagraph"/>
      </w:pPr>
      <w:r>
        <w:t xml:space="preserve">AFFIRMED.</w:t>
      </w:r>
    </w:p>
    <w:p>
      <w:pPr>
        <w:pStyle w:val="BodyText"/>
      </w:pPr>
      <w:hyperlink w:anchor="X35ed10954b5f3698a1647847f137fdf35928b3a">
        <w:r>
          <w:rPr>
            <w:rStyle w:val="Hyperlink"/>
          </w:rPr>
          <w:t xml:space="preserve">[1]</w:t>
        </w:r>
      </w:hyperlink>
      <w:r>
        <w:t xml:space="preserve"> </w:t>
      </w:r>
      <w:r>
        <w:t xml:space="preserve">The SEC split 3-2 on whether to intervene in this case. The two dissenting Commissioners have publicly disagreed with the other three as to the merits of the Rights Plan. 17 Securities Regulation &amp; Law Report 400; The Wall Street Journal, March 20, 1985, at 6.</w:t>
      </w:r>
    </w:p>
    <w:p>
      <w:pPr>
        <w:pStyle w:val="BodyText"/>
      </w:pPr>
      <w:hyperlink w:anchor="Xa0ce896936f86d916eb9b3b93be49efa17436aa">
        <w:r>
          <w:rPr>
            <w:rStyle w:val="Hyperlink"/>
          </w:rPr>
          <w:t xml:space="preserve">[2]</w:t>
        </w:r>
      </w:hyperlink>
      <w:r>
        <w:t xml:space="preserve"> </w:t>
      </w:r>
      <w:r>
        <w:t xml:space="preserve">Household's Board has ten outside directors and six who are members of management. Messrs. Moran (appellant) and Whitehead voted against the Plan. The record reflects that Whitehead voted against the Plan not on its substance but because he thought it was novel and would bring unwanted publicity to Household.</w:t>
      </w:r>
    </w:p>
    <w:p>
      <w:pPr>
        <w:pStyle w:val="BodyText"/>
      </w:pPr>
      <w:hyperlink w:anchor="X3daa6335bf70e9fb0a86fada2e71597a0fd0f31">
        <w:r>
          <w:rPr>
            <w:rStyle w:val="Hyperlink"/>
          </w:rPr>
          <w:t xml:space="preserve">[3]</w:t>
        </w:r>
      </w:hyperlink>
      <w:r>
        <w:t xml:space="preserve"> </w:t>
      </w:r>
      <w:r>
        <w:t xml:space="preserve">A fair price amendment to a corporate charter generally requires supermajority approval for certain business combinations and sets minimum price criteria for mergers.</w:t>
      </w:r>
      <w:r>
        <w:t xml:space="preserve"> </w:t>
      </w:r>
      <w:r>
        <w:rPr>
          <w:iCs/>
          <w:i/>
        </w:rPr>
        <w:t xml:space="preserve">Moran,</w:t>
      </w:r>
      <w:r>
        <w:t xml:space="preserve"> </w:t>
      </w:r>
      <w:r>
        <w:t xml:space="preserve">490 A.2d at 1064, n. 1.</w:t>
      </w:r>
    </w:p>
    <w:p>
      <w:pPr>
        <w:pStyle w:val="BodyText"/>
      </w:pPr>
      <w:hyperlink w:anchor="X4dd1e8e82c4c25beda7cf841c5c484cf5b7e223">
        <w:r>
          <w:rPr>
            <w:rStyle w:val="Hyperlink"/>
          </w:rPr>
          <w:t xml:space="preserve">[4]</w:t>
        </w:r>
      </w:hyperlink>
      <w:r>
        <w:t xml:space="preserve"> </w:t>
      </w:r>
      <w:r>
        <w:t xml:space="preserve">"Bust-up" takeover generally refers to a situation in which one seeks to finance an acquisition by selling off pieces of the acquired company.</w:t>
      </w:r>
    </w:p>
    <w:p>
      <w:pPr>
        <w:pStyle w:val="BodyText"/>
      </w:pPr>
      <w:hyperlink w:anchor="Xa797c91ffab7db2db1d861ffad5994a7258a492">
        <w:r>
          <w:rPr>
            <w:rStyle w:val="Hyperlink"/>
          </w:rPr>
          <w:t xml:space="preserve">[5]</w:t>
        </w:r>
      </w:hyperlink>
      <w:r>
        <w:t xml:space="preserve"> </w:t>
      </w:r>
      <w:r>
        <w:t xml:space="preserve">The Vice-Chancellor did rule in favor of appellants on Household's counterclaim, but that ruling is not at issue in this appeal.</w:t>
      </w:r>
    </w:p>
    <w:p>
      <w:pPr>
        <w:pStyle w:val="BodyText"/>
      </w:pPr>
      <w:hyperlink w:anchor="X33fad9b67edaa27f9e373fcf8c10b7bcb697094">
        <w:r>
          <w:rPr>
            <w:rStyle w:val="Hyperlink"/>
          </w:rPr>
          <w:t xml:space="preserve">[6]</w:t>
        </w:r>
      </w:hyperlink>
      <w:r>
        <w:t xml:space="preserve"> </w:t>
      </w:r>
      <w:r>
        <w:t xml:space="preserve">The "Pac-Man" defense is generally a target company countering an unwanted tender offer by making its own tender offer for stock of the would-be acquirer. Block &amp; Miller,</w:t>
      </w:r>
      <w:r>
        <w:t xml:space="preserve"> </w:t>
      </w:r>
      <w:r>
        <w:rPr>
          <w:iCs/>
          <w:i/>
        </w:rPr>
        <w:t xml:space="preserve">The Responsibilities and Obligations of Corporate Directors in Takeover Contests,</w:t>
      </w:r>
      <w:r>
        <w:t xml:space="preserve"> </w:t>
      </w:r>
      <w:r>
        <w:t xml:space="preserve">11 Sec.Reg.L.J. 44, 64 (1983).</w:t>
      </w:r>
    </w:p>
    <w:p>
      <w:pPr>
        <w:pStyle w:val="BodyText"/>
      </w:pPr>
      <w:hyperlink w:anchor="X22972363f52c8b98f551436c3d10112f4845607">
        <w:r>
          <w:rPr>
            <w:rStyle w:val="Hyperlink"/>
          </w:rPr>
          <w:t xml:space="preserve">[7]</w:t>
        </w:r>
      </w:hyperlink>
      <w:r>
        <w:t xml:space="preserve"> </w:t>
      </w:r>
      <w:r>
        <w:t xml:space="preserve">The power to issue rights to purchase shares is conferred by 8</w:t>
      </w:r>
      <w:r>
        <w:t xml:space="preserve"> </w:t>
      </w:r>
      <w:r>
        <w:rPr>
          <w:iCs/>
          <w:i/>
        </w:rPr>
        <w:t xml:space="preserve">Del.C.</w:t>
      </w:r>
      <w:r>
        <w:t xml:space="preserve"> </w:t>
      </w:r>
      <w:r>
        <w:t xml:space="preserve">§ 157 which provides in relevant part:</w:t>
      </w:r>
    </w:p>
    <w:p>
      <w:pPr>
        <w:pStyle w:val="BodyText"/>
      </w:pPr>
      <w:r>
        <w:t xml:space="preserve">Subject to any provisions in the certificate of incorporation, every corporation may create and issue, whether or not in connection with the issue and sale of any shares of stock or other securities of the corporation, rights or options entitling the holders thereof to purchase from the corporation any shares of its capital stock of any class or classes, such rights or options to be evidenced by or in such instrument or instruments as shall be approved by the board of directors.</w:t>
      </w:r>
    </w:p>
    <w:p>
      <w:pPr>
        <w:pStyle w:val="BodyText"/>
      </w:pPr>
      <w:hyperlink w:anchor="X62540c4f9d798dec7cd2225078787db00d22c59">
        <w:r>
          <w:rPr>
            <w:rStyle w:val="Hyperlink"/>
          </w:rPr>
          <w:t xml:space="preserve">[8]</w:t>
        </w:r>
      </w:hyperlink>
      <w:r>
        <w:t xml:space="preserve"> </w:t>
      </w:r>
      <w:r>
        <w:t xml:space="preserve">8</w:t>
      </w:r>
      <w:r>
        <w:t xml:space="preserve"> </w:t>
      </w:r>
      <w:r>
        <w:rPr>
          <w:iCs/>
          <w:i/>
        </w:rPr>
        <w:t xml:space="preserve">Del.C.</w:t>
      </w:r>
      <w:r>
        <w:t xml:space="preserve"> </w:t>
      </w:r>
      <w:r>
        <w:t xml:space="preserve">§ 151(g) provides in relevant part:</w:t>
      </w:r>
    </w:p>
    <w:p>
      <w:pPr>
        <w:pStyle w:val="BodyText"/>
      </w:pPr>
      <w:r>
        <w:t xml:space="preserve">When any corporation desires to issue any shares of stock of any class or of any series of any class of which the voting powers, designations, preferences and relative, participating, optional or other rights, if any, or the qualifications, limitations or restrictions thereof, if any, shall not have been set forth in the certificate of incorporation or in any amendment thereto but shall be provided for in a resolution or resolutions adopted by the board of directors pursuant to authority expressly vested in it by the provisions of the certificate of incorporation or any amendment thereto, a certificate setting forth a copy of such resolution or resolutions and the number of shares of stock of such class or series shall be executed, acknowledged, filed, recorded, and shall become effective, in accordance with § 103 of this title.</w:t>
      </w:r>
    </w:p>
    <w:p>
      <w:pPr>
        <w:pStyle w:val="BodyText"/>
      </w:pPr>
      <w:hyperlink w:anchor="X388978e4afb91a3116e162a4a74fa1c0a0f4bcf">
        <w:r>
          <w:rPr>
            <w:rStyle w:val="Hyperlink"/>
          </w:rPr>
          <w:t xml:space="preserve">[9]</w:t>
        </w:r>
      </w:hyperlink>
      <w:r>
        <w:t xml:space="preserve"> </w:t>
      </w:r>
      <w:r>
        <w:t xml:space="preserve">8</w:t>
      </w:r>
      <w:r>
        <w:t xml:space="preserve"> </w:t>
      </w:r>
      <w:r>
        <w:rPr>
          <w:iCs/>
          <w:i/>
        </w:rPr>
        <w:t xml:space="preserve">Del.C.</w:t>
      </w:r>
      <w:r>
        <w:t xml:space="preserve"> </w:t>
      </w:r>
      <w:r>
        <w:t xml:space="preserve">§ 203 provides in relevant part:</w:t>
      </w:r>
    </w:p>
    <w:p>
      <w:pPr>
        <w:pStyle w:val="BlockText"/>
      </w:pPr>
      <w:r>
        <w:t xml:space="preserve">(a) No offeror shall make a tender offer unless:</w:t>
      </w:r>
    </w:p>
    <w:p>
      <w:pPr>
        <w:pStyle w:val="BlockText"/>
      </w:pPr>
      <w:r>
        <w:t xml:space="preserve">(1) Not less than 20 nor more than 60 days before the date the tender offer is to be made, the offeror shall deliver personally or by registered or certified mail to the corporation whose equity securities are to be subject to the tender offer, at its registered office in this State or at its principal place of business, a written statement of the offeror's intention to make the tender offer....</w:t>
      </w:r>
    </w:p>
    <w:p>
      <w:pPr>
        <w:pStyle w:val="BlockText"/>
      </w:pPr>
      <w:r>
        <w:t xml:space="preserve">(2) The tender offer shall remain open for a period of at least 20 days after it is first made to the holders of the equity securities, during which period any stockholder may withdraw any of the equity securities tendered to the offeror, and any revised or amended tender offer which changes the amount or type of consideration offered or the number of equity securities for which the offer is made shall remain open at least 10 days following the amendment; and</w:t>
      </w:r>
    </w:p>
    <w:p>
      <w:pPr>
        <w:pStyle w:val="BlockText"/>
      </w:pPr>
      <w:r>
        <w:t xml:space="preserve">(3) The offeror and any associate of the offeror will not purchase or pay for any tendered equity security for a period of at least 20 days after the tender offer is first made to the holders of the equity securities, and no such purchase or payment shall be made within 10 days after an amended or revised tender offer if the amendment or revision changes the amount or type of consideration offered or the number of equity securities for which the offer is made. If during the period the tender offer must remain open pursuant to this section, a greater number of equity securities is tendered than the offeror is bound or willing to purchase, the equity securities shall be purchased pro rata, as nearly as may be, according to the number of shares tendered during such period by each equity security holder.</w:t>
      </w:r>
    </w:p>
    <w:p>
      <w:pPr>
        <w:pStyle w:val="FirstParagraph"/>
      </w:pPr>
      <w:hyperlink w:anchor="X0db23b7b101f68687d286edd50e743db45b8316">
        <w:r>
          <w:rPr>
            <w:rStyle w:val="Hyperlink"/>
          </w:rPr>
          <w:t xml:space="preserve">[10]</w:t>
        </w:r>
      </w:hyperlink>
      <w:r>
        <w:t xml:space="preserve"> </w:t>
      </w:r>
      <w:r>
        <w:t xml:space="preserve">Justice White, joined by Chief Justice Burger and Justice Blackman also concluded that the Illinois Business Takeover Act was pre-empted by the Williams Act.</w:t>
      </w:r>
      <w:r>
        <w:t xml:space="preserve"> </w:t>
      </w:r>
      <w:r>
        <w:rPr>
          <w:iCs/>
          <w:i/>
        </w:rPr>
        <w:t xml:space="preserve">Edgar,</w:t>
      </w:r>
      <w:r>
        <w:t xml:space="preserve"> </w:t>
      </w:r>
      <w:r>
        <w:t xml:space="preserve">457 U.S. at 630, 102 S.Ct. at 2634.</w:t>
      </w:r>
    </w:p>
    <w:p>
      <w:pPr>
        <w:pStyle w:val="BodyText"/>
      </w:pPr>
      <w:hyperlink w:anchor="Xac9f5f773e17ec4008fcedcbb90f65ec96de97b">
        <w:r>
          <w:rPr>
            <w:rStyle w:val="Hyperlink"/>
          </w:rPr>
          <w:t xml:space="preserve">[11]</w:t>
        </w:r>
      </w:hyperlink>
      <w:r>
        <w:t xml:space="preserve"> </w:t>
      </w:r>
      <w:r>
        <w:t xml:space="preserve">8</w:t>
      </w:r>
      <w:r>
        <w:t xml:space="preserve"> </w:t>
      </w:r>
      <w:r>
        <w:rPr>
          <w:iCs/>
          <w:i/>
        </w:rPr>
        <w:t xml:space="preserve">Del.C.</w:t>
      </w:r>
      <w:r>
        <w:t xml:space="preserve"> </w:t>
      </w:r>
      <w:r>
        <w:t xml:space="preserve">§ 141(a) provides:</w:t>
      </w:r>
    </w:p>
    <w:p>
      <w:pPr>
        <w:pStyle w:val="BodyText"/>
      </w:pPr>
      <w:r>
        <w:t xml:space="preserve">(a) The business and affairs of every corporation organized under this chapter shall be managed by or under the direction of a board of directors, except as may be otherwise provided in this chapter or in its certificate of incorporation. If any such provision is made in the certificate of incorporation, the powers and duties conferred or imposed upon the board of directors by this chapter shall be exercised or performed to such extent and by such person or persons as shall be provided in the certificate of incorporation.</w:t>
      </w:r>
    </w:p>
    <w:p>
      <w:pPr>
        <w:pStyle w:val="BodyText"/>
      </w:pPr>
      <w:hyperlink w:anchor="X9a80f1ab67e35f5e81e6423f16cd1d96c199f1e">
        <w:r>
          <w:rPr>
            <w:rStyle w:val="Hyperlink"/>
          </w:rPr>
          <w:t xml:space="preserve">[12]</w:t>
        </w:r>
      </w:hyperlink>
      <w:r>
        <w:t xml:space="preserve"> </w:t>
      </w:r>
      <w:r>
        <w:t xml:space="preserve">Appellants explain that the acquisition of 20% of the shares trigger the Rights, making them non-redeemable, and thereby would prevent even a future friendly offer for the ten-year life of the Rights.</w:t>
      </w:r>
    </w:p>
    <w:p>
      <w:pPr>
        <w:pStyle w:val="BodyText"/>
      </w:pPr>
      <w:hyperlink w:anchor="X462a812adf900ca9e37ff2eb9571348ac489635">
        <w:r>
          <w:rPr>
            <w:rStyle w:val="Hyperlink"/>
          </w:rPr>
          <w:t xml:space="preserve">[13]</w:t>
        </w:r>
      </w:hyperlink>
      <w:r>
        <w:t xml:space="preserve"> </w:t>
      </w:r>
      <w:r>
        <w:t xml:space="preserve">The SEC still contends that the mere acquisition of the right to vote 20% of the shares through a proxy solicitation triggers the rights. We do not interpret the Rights Agreement in that manner.</w:t>
      </w:r>
    </w:p>
    <w:p>
      <w:pPr>
        <w:pStyle w:val="BodyText"/>
      </w:pPr>
      <w:hyperlink w:anchor="X27be417ee0ddad9e0a50356e255d52c3ed29b3e">
        <w:r>
          <w:rPr>
            <w:rStyle w:val="Hyperlink"/>
          </w:rPr>
          <w:t xml:space="preserve">[14]</w:t>
        </w:r>
      </w:hyperlink>
      <w:r>
        <w:t xml:space="preserve"> </w:t>
      </w:r>
      <w:r>
        <w:t xml:space="preserve">We have discussed the coercive nature of two-tier tender offers in</w:t>
      </w:r>
      <w:r>
        <w:t xml:space="preserve"> </w:t>
      </w:r>
      <w:r>
        <w:rPr>
          <w:iCs/>
          <w:i/>
        </w:rPr>
        <w:t xml:space="preserve">Unocal,</w:t>
      </w:r>
      <w:r>
        <w:t xml:space="preserve"> </w:t>
      </w:r>
      <w:r>
        <w:t xml:space="preserve">493 A.2d at 956, n. 12. We explained in</w:t>
      </w:r>
      <w:r>
        <w:t xml:space="preserve"> </w:t>
      </w:r>
      <w:r>
        <w:rPr>
          <w:iCs/>
          <w:i/>
        </w:rPr>
        <w:t xml:space="preserve">Unocal</w:t>
      </w:r>
      <w:r>
        <w:t xml:space="preserve"> </w:t>
      </w:r>
      <w:r>
        <w:t xml:space="preserve">that a discriminatory self-tender was reasonably related to the threat of two-tier tender offers and possible greenmail.</w:t>
      </w:r>
    </w:p>
    <w:bookmarkEnd w:id="298"/>
    <w:p>
      <w:pPr>
        <w:pStyle w:val="NodeEnd"/>
      </w:pPr>
      <w:r>
        <w:t xml:space="preserve"> </w:t>
      </w:r>
    </w:p>
    <w:p>
      <w:pPr>
        <w:pStyle w:val="NodeStart"/>
      </w:pPr>
      <w:r>
        <w:t xml:space="preserve"> </w:t>
      </w:r>
    </w:p>
    <w:p>
      <w:pPr>
        <w:pStyle w:val="HeadSeparator"/>
      </w:pPr>
      <w:r>
        <w:t xml:space="preserve"> </w:t>
      </w:r>
    </w:p>
    <w:bookmarkStart w:id="126" w:name="_auto_toc_126"/>
    <w:bookmarkEnd w:id="126"/>
    <w:p>
      <w:pPr>
        <w:pStyle w:val="ResourceNumber"/>
      </w:pPr>
      <w:r>
        <w:t xml:space="preserve">10.2.2</w:t>
      </w:r>
    </w:p>
    <w:p>
      <w:pPr>
        <w:pStyle w:val="ResourceTitle"/>
      </w:pPr>
      <w:r>
        <w:t xml:space="preserve">City Capital Associates Ltd. Partnership v. Interco Inc.</w:t>
      </w:r>
    </w:p>
    <w:p>
      <w:pPr>
        <w:pStyle w:val="HeadEnd"/>
      </w:pPr>
      <w:r>
        <w:t xml:space="preserve"> </w:t>
      </w:r>
    </w:p>
    <w:p>
      <w:pPr>
        <w:pStyle w:val="CaseHeader"/>
      </w:pPr>
      <w:r>
        <w:t xml:space="preserve">Delaware Court of Chancery</w:t>
      </w:r>
    </w:p>
    <w:p>
      <w:pPr>
        <w:pStyle w:val="CaseHeader"/>
      </w:pPr>
      <w:r>
        <w:t xml:space="preserve">551 A.2d 787</w:t>
      </w:r>
    </w:p>
    <w:p>
      <w:pPr>
        <w:pStyle w:val="CaseHeader"/>
      </w:pPr>
      <w:r>
        <w:t xml:space="preserve">Civ. A. No. 10105</w:t>
      </w:r>
    </w:p>
    <w:p>
      <w:pPr>
        <w:pStyle w:val="CaseHeader"/>
      </w:pPr>
      <w:r>
        <w:t xml:space="preserve">1988-11-01</w:t>
      </w:r>
    </w:p>
    <w:p>
      <w:pPr>
        <w:pStyle w:val="CaseBody"/>
      </w:pPr>
      <w:r>
        <w:t xml:space="preserve">Submitted: Oct. 24, 1988.</w:t>
      </w:r>
    </w:p>
    <w:p>
      <w:pPr>
        <w:pStyle w:val="CaseBody"/>
      </w:pPr>
      <w:r>
        <w:t xml:space="preserve">Rodman Ward, Jr., Stephen P. Lamb, Paul L. Regan, Robert E. Zimet, Jay B. Kasner, and Charles F. Walker, of Skad-den, Arps, Slate, Meagher &amp; Flom, Wilmington, and New York City, for plaintiffs.</w:t>
      </w:r>
    </w:p>
    <w:p>
      <w:pPr>
        <w:pStyle w:val="CaseBody"/>
      </w:pPr>
      <w:r>
        <w:t xml:space="preserve">Charles F. Richards, Jr., Samuel A. No-len, and Thomas A. Beck, of Richards, Lay-ton &amp; Finger, Wilmington, and Michael W. Schwartz, and Robert A. Ragazzo, of Wachtell, Lipton, Rosen &amp; Katz, New York City, for defendants.</w:t>
      </w:r>
    </w:p>
    <w:p>
      <w:pPr>
        <w:pStyle w:val="CaseBody"/>
      </w:pPr>
      <w:r>
        <w:t xml:space="preserve">OPINION</w:t>
      </w:r>
    </w:p>
    <w:p>
      <w:pPr>
        <w:pStyle w:val="CaseBody"/>
      </w:pPr>
      <w:r>
        <w:t xml:space="preserve">ALLEN, Chancellor.</w:t>
      </w:r>
    </w:p>
    <w:p>
      <w:pPr>
        <w:pStyle w:val="CaseBody"/>
      </w:pPr>
      <w:r>
        <w:t xml:space="preserve">This case, before the court on an application for a preliminary injunction, involves the question whether the directors of Inter-co Corporation are breaching their fiduciary duties to the stockholders of that company in failing to now redeem certain stock rights originally distributed as part of a defense against unsolicited attempts to take control of the company. In electing to leave Interco’s “poison pill” in effect, the board of Interco seeks to defeat a tender offer for all of the shares of Interco for $74 per share cash, extended by plaintiff Cardinal Acquisition Corporation. The $74 offer is for all shares and the offeror expresses an intent to do a back-end merger at the same price promptly if its offer is accepted. Thus, plaintiffs’ offer must be regarded as noncoercive.</w:t>
      </w:r>
    </w:p>
    <w:p>
      <w:pPr>
        <w:pStyle w:val="CaseBody"/>
      </w:pPr>
      <w:r>
        <w:t xml:space="preserve">As an alternative to the current tender offer, the board is endeavoring to implement a major restructuring of Interco that was formulated only recently. The board has grounds to conclude that the alternative restructuring transaction may have a value to shareholders of at least $76 per share. The restructuring does not involve a Company self-tender, a merger or other corporate action requiring shareholder action or approval.</w:t>
      </w:r>
    </w:p>
    <w:p>
      <w:pPr>
        <w:pStyle w:val="CaseBody"/>
      </w:pPr>
      <w:r>
        <w:t xml:space="preserve">It is significant that the question of the board’s responsibility to redeem or not to redeem the stock rights in this instance arises at what I will call the end-stage of this takeover contest. That is, the negotiating leverage that a poison pill confers upon this company’s board will, it is clear, not be further utilized by the board to increase the options available to shareholders or to improve the terms of those options. Rather, at this stage of this contest, the pill now serves the principal purpose of “protecting the restructuring” — that is, precluding the shareholders from choosing an alternative to the restructuring that the board finds less valuable to shareholders.</w:t>
      </w:r>
    </w:p>
    <w:p>
      <w:pPr>
        <w:pStyle w:val="CaseBody"/>
      </w:pPr>
      <w:r>
        <w:t xml:space="preserve">Accordingly, this case involves a further judicial effort to pick out the contours of a director’s fiduciary duty to the corporation and its shareholders when the board has deployed the recently innovated and powerful antitakeover device of flip-in or flip-over stock rights. That inquiry is, of course, necessarily a highly particularized one.</w:t>
      </w:r>
    </w:p>
    <w:p>
      <w:pPr>
        <w:pStyle w:val="CaseBody"/>
      </w:pPr>
      <w:r>
        <w:t xml:space="preserve">In</w:t>
      </w:r>
      <w:r>
        <w:t xml:space="preserve"> </w:t>
      </w:r>
      <w:r>
        <w:rPr>
          <w:iCs/>
          <w:i/>
        </w:rPr>
        <w:t xml:space="preserve">Moran v. Household International, Inc.,</w:t>
      </w:r>
      <w:r>
        <w:t xml:space="preserve"> </w:t>
      </w:r>
      <w:r>
        <w:t xml:space="preserve">Del.Supr.,</w:t>
      </w:r>
      <w:r>
        <w:t xml:space="preserve"> </w:t>
      </w:r>
      <w:r>
        <w:t xml:space="preserve">500 A.2d 1346</w:t>
      </w:r>
      <w:r>
        <w:t xml:space="preserve"> </w:t>
      </w:r>
      <w:r>
        <w:t xml:space="preserve">(1985), our Supreme Court acknowledged that a board of directors of a Delaware corporation has legal power to issue corporate securities that serve principally not to raise capital for the firm, but to create a powerful financial disincentive to accumulate shares of the firm’s stock. Involved in that case was a board “reaction to what [it] perceived to be the threat in the market place of coercive two-tier tender offers.”</w:t>
      </w:r>
      <w:r>
        <w:t xml:space="preserve"> </w:t>
      </w:r>
      <w:r>
        <w:t xml:space="preserve">500 A.2d at 1356</w:t>
      </w:r>
      <w:r>
        <w:t xml:space="preserve">. In upholding the board’s power under Sections 157 and 141 of our corporation law to issue such securities or rights, the court, however, noted that:</w:t>
      </w:r>
    </w:p>
    <w:p>
      <w:pPr>
        <w:pStyle w:val="BlockText"/>
      </w:pPr>
      <w:r>
        <w:t xml:space="preserve">When the Household Board of Directors is faced with a tender offer and a request to redeem rights, they will not be able to arbitrarily reject the offer. They will be held to the same fiduciary standards any other board of directors would be held to in deciding to adopt a defensive mechanism, the same standard they were held to in originally approving the Rights Plan.</w:t>
      </w:r>
      <w:r>
        <w:t xml:space="preserve"> </w:t>
      </w:r>
      <w:r>
        <w:rPr>
          <w:iCs/>
          <w:i/>
        </w:rPr>
        <w:t xml:space="preserve">See Unocal,</w:t>
      </w:r>
      <w:r>
        <w:t xml:space="preserve"> </w:t>
      </w:r>
      <w:r>
        <w:t xml:space="preserve">493 A.2d at 954-55, 958.</w:t>
      </w:r>
    </w:p>
    <w:p>
      <w:pPr>
        <w:pStyle w:val="CaseBody"/>
      </w:pPr>
      <w:r>
        <w:rPr>
          <w:iCs/>
          <w:i/>
        </w:rPr>
        <w:t xml:space="preserve">Moran v. Household International, Inc.,</w:t>
      </w:r>
      <w:r>
        <w:t xml:space="preserve"> </w:t>
      </w:r>
      <w:r>
        <w:t xml:space="preserve">Del.Supr.,</w:t>
      </w:r>
      <w:r>
        <w:t xml:space="preserve"> </w:t>
      </w:r>
      <w:r>
        <w:t xml:space="preserve">500 A.2d at 1354</w:t>
      </w:r>
      <w:r>
        <w:t xml:space="preserve">. Thus, the Supreme Court in</w:t>
      </w:r>
      <w:r>
        <w:t xml:space="preserve"> </w:t>
      </w:r>
      <w:r>
        <w:rPr>
          <w:iCs/>
          <w:i/>
        </w:rPr>
        <w:t xml:space="preserve">Moran</w:t>
      </w:r>
      <w:r>
        <w:t xml:space="preserve"> </w:t>
      </w:r>
      <w:r>
        <w:t xml:space="preserve">has directed us specifically to its decision in</w:t>
      </w:r>
      <w:r>
        <w:t xml:space="preserve"> </w:t>
      </w:r>
      <w:r>
        <w:rPr>
          <w:iCs/>
          <w:i/>
        </w:rPr>
        <w:t xml:space="preserve">Unocal Corp. v. Mesa Petroleum Co.,</w:t>
      </w:r>
      <w:r>
        <w:t xml:space="preserve"> </w:t>
      </w:r>
      <w:r>
        <w:t xml:space="preserve">Del.Supr.,</w:t>
      </w:r>
      <w:r>
        <w:t xml:space="preserve"> </w:t>
      </w:r>
      <w:r>
        <w:t xml:space="preserve">493 A.2d 946</w:t>
      </w:r>
      <w:r>
        <w:t xml:space="preserve"> </w:t>
      </w:r>
      <w:r>
        <w:t xml:space="preserve">(1985) as supplying the appropriate legal framework for evaluation of the principal question posed by this case.</w:t>
      </w:r>
      <w:r>
        <w:rPr>
          <w:rStyle w:val="FootnoteReference"/>
        </w:rPr>
        <w:footnoteReference w:customMarkFollows="1" w:id="32"/>
        <w:t xml:space="preserve">1</w:t>
      </w:r>
    </w:p>
    <w:p>
      <w:pPr>
        <w:pStyle w:val="CaseBody"/>
      </w:pPr>
      <w:r>
        <w:t xml:space="preserve">In addition to seeking an order requiring the Interco board to now redeem the Company’s outstanding stock rights, plaintiffs seek an order restraining any steps to implement the Company’s alternative restructuring transaction.</w:t>
      </w:r>
    </w:p>
    <w:p>
      <w:pPr>
        <w:pStyle w:val="CaseBody"/>
      </w:pPr>
      <w:r>
        <w:t xml:space="preserve">For the reasons that follow, I hold that the board’s determination to leave the stock rights in effect is a defensive step that, in the circumstances of this offer and at this stage of the contest for control of Interco, cannot be justified as reasonable in relationship to a threat to the corporation or its shareholders posed by the offer; that the restructuring itself does represent a reasonable response to the perception that the offering price is “inadequate;” and that the board, in proceeding as it has done, has not breached any duties derivable from the Supreme Court’s opinion in</w:t>
      </w:r>
      <w:r>
        <w:t xml:space="preserve"> </w:t>
      </w:r>
      <w:r>
        <w:rPr>
          <w:iCs/>
          <w:i/>
        </w:rPr>
        <w:t xml:space="preserve">Revlon v. MacAndrews &amp; Forbes Holdings, Inc.,</w:t>
      </w:r>
      <w:r>
        <w:t xml:space="preserve"> </w:t>
      </w:r>
      <w:r>
        <w:t xml:space="preserve">Del.Supr.,</w:t>
      </w:r>
      <w:r>
        <w:t xml:space="preserve"> </w:t>
      </w:r>
      <w:r>
        <w:t xml:space="preserve">506 A.2d 173</w:t>
      </w:r>
      <w:r>
        <w:t xml:space="preserve"> </w:t>
      </w:r>
      <w:r>
        <w:t xml:space="preserve">(1986).</w:t>
      </w:r>
    </w:p>
    <w:p>
      <w:pPr>
        <w:pStyle w:val="CaseBody"/>
      </w:pPr>
      <w:r>
        <w:t xml:space="preserve">I turn first to a description of the general background facts. The facts necessary for a determination of the issue relating to the stock rights are, however, set forth later with particularity.</w:t>
      </w:r>
      <w:r>
        <w:t xml:space="preserve"> </w:t>
      </w:r>
      <w:r>
        <w:rPr>
          <w:iCs/>
          <w:i/>
        </w:rPr>
        <w:t xml:space="preserve">(See</w:t>
      </w:r>
      <w:r>
        <w:t xml:space="preserve"> </w:t>
      </w:r>
      <w:r>
        <w:t xml:space="preserve">pp. 795-796).</w:t>
      </w:r>
    </w:p>
    <w:p>
      <w:pPr>
        <w:pStyle w:val="CaseBody"/>
      </w:pPr>
      <w:r>
        <w:t xml:space="preserve">I.</w:t>
      </w:r>
    </w:p>
    <w:p>
      <w:pPr>
        <w:pStyle w:val="CaseBody"/>
      </w:pPr>
      <w:r>
        <w:rPr>
          <w:iCs/>
          <w:i/>
        </w:rPr>
        <w:t xml:space="preserve">Interco Incorporated.</w:t>
      </w:r>
    </w:p>
    <w:p>
      <w:pPr>
        <w:pStyle w:val="CaseBody"/>
      </w:pPr>
      <w:r>
        <w:t xml:space="preserve">Interco is a diversified Delaware holding company that comprises 21 subsidiary corporations in four major business areas: furniture and home furnishings, footwear, apparel and general retail merchandising. Its principal offices are located in St. Louis, Missouri. The Company’s nationally recognized brand names include London Fog raincoats; Ethan Allen, Lane and Broyhill furniture; Converse All Star athletic shoes and Le Tigre and Christian Dior sportswear. The Company’s sales for fiscal 1988 were $3.34 billion, with earnings of $3.50 a share. It has approximately 36 million shares of common stock outstanding.</w:t>
      </w:r>
      <w:r>
        <w:rPr>
          <w:rStyle w:val="FootnoteReference"/>
        </w:rPr>
        <w:footnoteReference w:customMarkFollows="1" w:id="61"/>
        <w:t xml:space="preserve">2</w:t>
      </w:r>
    </w:p>
    <w:p>
      <w:pPr>
        <w:pStyle w:val="CaseBody"/>
      </w:pPr>
      <w:r>
        <w:t xml:space="preserve">The Company’s subsidiaries operate as autonomous units. Rather than seeing the subsidiaries as parts of an integrated whole, the constituent companies are viewed by Interco management as “a portfolio of assets whose investment merits have to be periodically reviewed.” (Salig-man Dep. at 12). Owing to the lack of integration between its operating divisions, the Company is, in management’s opinion, particularly vulnerable to a highly leveraged “bust-up” takeover of the kind that has become prevalent in recent years. To combat this perceived danger, the Company adopted a common stock rights plan, or poison pill, in late 1985, which included a “flip-in” provision.</w:t>
      </w:r>
    </w:p>
    <w:p>
      <w:pPr>
        <w:pStyle w:val="CaseBody"/>
      </w:pPr>
      <w:r>
        <w:t xml:space="preserve">The board of directors of Interco is comprised of 14 members, seven of whom are officers of the Company or its subsidiaries.</w:t>
      </w:r>
    </w:p>
    <w:p>
      <w:pPr>
        <w:pStyle w:val="CaseBody"/>
      </w:pPr>
      <w:r>
        <w:rPr>
          <w:iCs/>
          <w:i/>
        </w:rPr>
        <w:t xml:space="preserve">The Rales Brothers’ Accumulation of In-terco Stock; The Interco Board’s Response.</w:t>
      </w:r>
    </w:p>
    <w:p>
      <w:pPr>
        <w:pStyle w:val="CaseBody"/>
      </w:pPr>
      <w:r>
        <w:t xml:space="preserve">In May, 1988, Steven and Mitchell Rales began acquiring Interco stock through CCA. The stock had been trading in the low 40’s during that period. Alerted to the unusual trading activity taking place in the Company’s stock, the Interco board met on July 11,1988 to consider the implications of that news. At that meeting, the board redeemed the rights issued pursuant to the 1985 rights plan and adopted a new rights plan that contemplated both “flip-in” and “flip-over” rights.</w:t>
      </w:r>
    </w:p>
    <w:p>
      <w:pPr>
        <w:pStyle w:val="CaseBody"/>
      </w:pPr>
      <w:r>
        <w:t xml:space="preserve">In broad outline, the “flip-in” provision contained in the rights plan adopted on July 11 provides that, if a person reaches a threshold shareholding of 30% of Interco’s outstanding common stock, rights will be exercisable entitling each holder of a right to purchase from the Company that number of shares per right as, at the triggering time, have a market value of twice the exercise price of each right.</w:t>
      </w:r>
      <w:r>
        <w:rPr>
          <w:rStyle w:val="FootnoteReference"/>
        </w:rPr>
        <w:footnoteReference w:customMarkFollows="1" w:id="87"/>
        <w:t xml:space="preserve">3</w:t>
      </w:r>
      <w:r>
        <w:t xml:space="preserve"> </w:t>
      </w:r>
      <w:r>
        <w:t xml:space="preserve">The “flip-over” feature of the rights plan provides that, in the event of a merger of the Company or the acquisition of 50% or more of the Company’s assets or earning power, the rights may be exercised to acquire common stock of the acquiring company having a value of twice the exercise price of the right. The exercise price of each right is $160. The redemption price is $.01 per share.</w:t>
      </w:r>
    </w:p>
    <w:p>
      <w:pPr>
        <w:pStyle w:val="CaseBody"/>
      </w:pPr>
      <w:r>
        <w:t xml:space="preserve">On July 15, 1988, soon after the adoption of the new rights plan, a press release was issued announcing that the Chairman of the Company’s board, Mr. Harvey Salig-man, intended to recommend a major restructuring of Interco to the board at its next meeting.</w:t>
      </w:r>
    </w:p>
    <w:p>
      <w:pPr>
        <w:pStyle w:val="CaseBody"/>
      </w:pPr>
      <w:r>
        <w:t xml:space="preserve">On July 27,1988, the Rales brothers filed a Schedule 13D with the Securities and Exchange Commission disclosing that, as of July 11, they owned, directly or indirectly, 3,140,300 shares, or 8.7% of Interco’s common stock. On that day, CCA offered to acquire the Company by merger for a price of $64 per share in cash, conditioned upon the availability of financing. On August 8, before the Interco board had responded to this offer, CCA increased its offering price to $70 per share, still contingent upon receipt of the necessary financing.</w:t>
      </w:r>
    </w:p>
    <w:p>
      <w:pPr>
        <w:pStyle w:val="CaseBody"/>
      </w:pPr>
      <w:r>
        <w:t xml:space="preserve">At the Interco board’s regularly scheduled meeting on August 8, Wasserstein Perella, Interco’s investment banker, informed the board that, in its view, the $70 CCA offer was inadequate and not in the best interests of the Company and its shareholders. This opinion was based on a series of analyses, including discounted cash flow, comparable transaction analysis, and an analysis of premiums paid over existing stock prices for selected tender offers during early 1988. Wasserstein Per-ella also performed an analysis based upon selling certain Interco businesses and retaining and operating others. This analysis generated a “reference range” for the Company of $68-$80 per share. Based on all of these analyses, Wasserstein Perella concluded the offer was inadequate. The board then resolved to reject the proposal. Also at that meeting, the board voted to decrease the threshold percentage needed to trigger the flip-in provision of the rights plan from 30% to 15% and elected to explore a restructuring plan for the Company.</w:t>
      </w:r>
    </w:p>
    <w:p>
      <w:pPr>
        <w:pStyle w:val="CaseBody"/>
      </w:pPr>
      <w:r>
        <w:rPr>
          <w:iCs/>
          <w:i/>
        </w:rPr>
        <w:t xml:space="preserve">The Initial Tender Offer for Interco Stock.</w:t>
      </w:r>
    </w:p>
    <w:p>
      <w:pPr>
        <w:pStyle w:val="CaseBody"/>
      </w:pPr>
      <w:r>
        <w:t xml:space="preserve">On August 15, the Rales brothers announced a public tender offer for all of the outstanding stock of Interco at $70 cash per share. The offer was conditioned upon (1) receipt of financing, (2) the tender of sufficient shares to give the offeror a total holding of at least 75% of the Company’s common stock on a fully diluted basis at the close of the offer, (3) the redemption of the rights plan, and (4) a determination as to the inapplicability of 8</w:t>
      </w:r>
      <w:r>
        <w:t xml:space="preserve"> </w:t>
      </w:r>
      <w:r>
        <w:rPr>
          <w:iCs/>
          <w:i/>
        </w:rPr>
        <w:t xml:space="preserve">DelC.</w:t>
      </w:r>
      <w:r>
        <w:t xml:space="preserve"> </w:t>
      </w:r>
      <w:r>
        <w:t xml:space="preserve">§ 203.</w:t>
      </w:r>
      <w:r>
        <w:rPr>
          <w:rStyle w:val="FootnoteReference"/>
        </w:rPr>
        <w:footnoteReference w:customMarkFollows="1" w:id="111"/>
        <w:t xml:space="preserve">4</w:t>
      </w:r>
    </w:p>
    <w:p>
      <w:pPr>
        <w:pStyle w:val="CaseBody"/>
      </w:pPr>
      <w:r>
        <w:t xml:space="preserve">The board met to consider the tender offer at a special meeting a week later on August 22. Wasserstein Perella had engaged in further studies since the meeting two weeks earlier. It was prepared to give a further view about Interco’s value.</w:t>
      </w:r>
      <w:r>
        <w:t xml:space="preserve"> </w:t>
      </w:r>
      <w:r>
        <w:rPr>
          <w:iCs/>
          <w:i/>
        </w:rPr>
        <w:t xml:space="preserve">(See</w:t>
      </w:r>
      <w:r>
        <w:t xml:space="preserve"> </w:t>
      </w:r>
      <w:r>
        <w:t xml:space="preserve">Mohr Aff. ¶ 14). Now the studies showed a “reference range” for the whole Company of $74-$87. The so-called reference ranges do not purport to be a range of fair value; but just what they purport to be is (deliberately, one imagines) rather unclear.</w:t>
      </w:r>
      <w:r>
        <w:t xml:space="preserve"> </w:t>
      </w:r>
      <w:r>
        <w:rPr>
          <w:iCs/>
          <w:i/>
        </w:rPr>
        <w:t xml:space="preserve">(See</w:t>
      </w:r>
      <w:r>
        <w:t xml:space="preserve"> </w:t>
      </w:r>
      <w:r>
        <w:t xml:space="preserve">Mohr Aff. generally).</w:t>
      </w:r>
    </w:p>
    <w:p>
      <w:pPr>
        <w:pStyle w:val="CaseBody"/>
      </w:pPr>
      <w:r>
        <w:t xml:space="preserve">In all events, after hearing the banker’s opinion, the Interco board resolved to recommend against the tender offer. In rejecting the offer, the board also declined to redeem the rights plan or to render 8</w:t>
      </w:r>
      <w:r>
        <w:t xml:space="preserve"> </w:t>
      </w:r>
      <w:r>
        <w:rPr>
          <w:iCs/>
          <w:i/>
        </w:rPr>
        <w:t xml:space="preserve">Del. C.</w:t>
      </w:r>
      <w:r>
        <w:t xml:space="preserve"> </w:t>
      </w:r>
      <w:r>
        <w:t xml:space="preserve">§ 203 inapplicable to the offer. Finally, the board refused to disclose confidential information requested by CCA in connection with its tender offer unless and until CCA indicated a willingness to enter into a confidentiality and standstill agreement with the Company.</w:t>
      </w:r>
      <w:r>
        <w:rPr>
          <w:rStyle w:val="FootnoteReference"/>
        </w:rPr>
        <w:footnoteReference w:customMarkFollows="1" w:id="134"/>
        <w:t xml:space="preserve">5</w:t>
      </w:r>
    </w:p>
    <w:p>
      <w:pPr>
        <w:pStyle w:val="CaseBody"/>
      </w:pPr>
      <w:r>
        <w:t xml:space="preserve">The remainder of the meeting was devoted to an exploration of strategic alternatives to the CCA proposal. Wasserstein Perella presented the board with a detailed valuation of each operating component of the Company. The board adopted a resolution empowering management “... to explore all appropriate alternatives to the CCA offer, including, without limitation, the recapitalization, restructuring or other reorganization of the company, the sale of assets of the company in addition to the Apparel Manufacturing Group, and other extraordinary transactions, to maximize the value of the company to the stockholders....” Minutes of Meeting, August 22, 1988.</w:t>
      </w:r>
    </w:p>
    <w:p>
      <w:pPr>
        <w:pStyle w:val="CaseBody"/>
      </w:pPr>
      <w:r>
        <w:t xml:space="preserve">On August 23, 1988, a letter was sent to CCA informing it that Interco intended to explore alternatives to the offer and planned to make confidential information available to third parties in connection with that endeavor. Interco informed CCA that it would not disclose information to it absent compliance with a confidentiality agreement and a standstill agreement.</w:t>
      </w:r>
      <w:r>
        <w:t xml:space="preserve"> </w:t>
      </w:r>
      <w:r>
        <w:rPr>
          <w:iCs/>
          <w:i/>
        </w:rPr>
        <w:t xml:space="preserve">(See</w:t>
      </w:r>
      <w:r>
        <w:t xml:space="preserve"> </w:t>
      </w:r>
      <w:r>
        <w:t xml:space="preserve">fn. 5). Interco’s proposal was met with an August 26, 1988 counterproposal by CCA suggesting an alternative confidentiality agreement — without standstill provisions.</w:t>
      </w:r>
    </w:p>
    <w:p>
      <w:pPr>
        <w:pStyle w:val="CaseBody"/>
      </w:pPr>
      <w:r>
        <w:t xml:space="preserve">Apart from the exchange of letters, there were no communications between CCA and Interco between the time the $70 offer was made on August 22 and a later, higher offer at $72 per share was made on September 10. There is some dispute as to why this occurred; one side claims that CCA did place a phone call to Mr. Saligman on September 7 that was never returned. Mr. Saligman asserts that the call was returned by him and that there was no response from CCA.</w:t>
      </w:r>
    </w:p>
    <w:p>
      <w:pPr>
        <w:pStyle w:val="CaseBody"/>
      </w:pPr>
      <w:r>
        <w:t xml:space="preserve">In all events, on September 10, the Rales brothers did amend their offer, increasing the price offered to $72 per share. The Interco board did not consider that offer until September 19 when its investment banker was ready to report on a proposed restructuring. At that meeting, the board rejected the $72 offer on grounds of financial inadequacy and adopted the restructuring proposal.</w:t>
      </w:r>
    </w:p>
    <w:p>
      <w:pPr>
        <w:pStyle w:val="CaseBody"/>
      </w:pPr>
      <w:r>
        <w:rPr>
          <w:iCs/>
          <w:i/>
        </w:rPr>
        <w:t xml:space="preserve">The Proposed Restructuring.</w:t>
      </w:r>
    </w:p>
    <w:p>
      <w:pPr>
        <w:pStyle w:val="CaseBody"/>
      </w:pPr>
      <w:r>
        <w:t xml:space="preserve">Under the terms of the restructuring designed by Wasserstein Perella, Interco would sell assets that generate approximately one-half of its gross sales and would borrow $2.025 billion. It would make very substantial distributions to shareholders, by means of a dividend, amounting to a stated aggregate value of $66 per share. The $66 amount would consist of (1) a $25 dividend payable November 7 to shareholders of record on October 13, consisting of $14 in cash and $11 in face amount of senior subordinated debentures, and (2) a second dividend, payable no earlier than November 29, which was declared on October 19, of (a) $24.15 in cash, (b) $6.80 principal amount of subordinated discount debentures, (c) $5.44 principal amount of junior subordinated debentures, (d) convertible preferred stock with a liquidation value of $4.76, and (e) a remaining equity interest or stub that Wasserstein Perella estimates (based on projected earnings of the then remaining businesses) will trade at a price of at least $10 per share. Thus, the total value of the restructuring to shareholders would, in the opinion of Wasserstein Perella, be at least $76 per share on a fully distributed basis.</w:t>
      </w:r>
    </w:p>
    <w:p>
      <w:pPr>
        <w:pStyle w:val="CaseBody"/>
      </w:pPr>
      <w:r>
        <w:t xml:space="preserve">The board had agreed to a compensation arrangement with Wasserstein Perella that gives that firm substantial contingency pay if its restructuring is successfully completed. Thus, Wasserstein Perella has a rather straightforward and conventional conflict of interest when it opines that the inherently disputable value of its restructuring is greater than the all cash alternative offered by plaintiffs. The market has not, for whatever reason, thought the prospects of the Company quite so bright. It has, in recent weeks, consistently valued Interco stock at about $70 a share. (The value at which Drexel Burnham has valued the restructuring in this litigation,</w:t>
      </w:r>
      <w:r>
        <w:t xml:space="preserve"> </w:t>
      </w:r>
      <w:r>
        <w:rPr>
          <w:iCs/>
          <w:i/>
        </w:rPr>
        <w:t xml:space="preserve">see</w:t>
      </w:r>
      <w:r>
        <w:t xml:space="preserve"> </w:t>
      </w:r>
      <w:r>
        <w:t xml:space="preserve">Winograd Aff. II14).</w:t>
      </w:r>
      <w:r>
        <w:rPr>
          <w:rStyle w:val="FootnoteReference"/>
        </w:rPr>
        <w:footnoteReference w:customMarkFollows="1" w:id="156"/>
        <w:t xml:space="preserve">6</w:t>
      </w:r>
    </w:p>
    <w:p>
      <w:pPr>
        <w:pStyle w:val="CaseBody"/>
      </w:pPr>
      <w:r>
        <w:t xml:space="preserve">Steps have now been taken to effectuate the restructuring. On September 15, the Company announced its plans to sell the Ethan Allen furniture division, which is said by the plaintiffs to be the Company’s “crown jewel.” Ethan Allen, the Company maintains, has a unique marketing approach which is not conducive to integration of that business with Interco’s other furniture businesses, Lane and Broyhill. Moreover, the Company says that Ethan Allen is not a suitable candidate for the cost cutting measures which must be undertaken in connection with the proposed restructuring.</w:t>
      </w:r>
    </w:p>
    <w:p>
      <w:pPr>
        <w:pStyle w:val="CaseBody"/>
      </w:pPr>
      <w:r>
        <w:t xml:space="preserve">Since Interco announced the terms of the restructuring on September 20, it has made two changes with respect to it. It announced on September 27 first that the dividend declared on October 13, 1988 would accrue interest at 12% per annum from that date to the payment date; and second, that the second phase dividend would similarly accrue interest (currently expected to be at a rate of 13%% per an-num) from the date of its declaration.</w:t>
      </w:r>
    </w:p>
    <w:p>
      <w:pPr>
        <w:pStyle w:val="CaseBody"/>
      </w:pPr>
      <w:r>
        <w:rPr>
          <w:iCs/>
          <w:i/>
        </w:rPr>
        <w:t xml:space="preserve">The Present CCA Offer and the Interco Board’s Reaction.</w:t>
      </w:r>
    </w:p>
    <w:p>
      <w:pPr>
        <w:pStyle w:val="CaseBody"/>
      </w:pPr>
      <w:r>
        <w:t xml:space="preserve">In its third supplemental Offer to Purchase dated October 18, 1988, CCA raised its bid to $74. Like the preceding bid, the proposal is an all cash offer for all shares with a contemplated back-end merger for the same consideration.</w:t>
      </w:r>
    </w:p>
    <w:p>
      <w:pPr>
        <w:pStyle w:val="CaseBody"/>
      </w:pPr>
      <w:r>
        <w:t xml:space="preserve">At its October 19, 1988 board meeting, the board rejected the $74 offer as inadequate and agreed to recommend that shareholders reject the offer. The board based its rejection both on its apparent view that the price was inadequate and on its belief that the proposed restructuring will yield shareholder value of at least $76 per share.</w:t>
      </w:r>
    </w:p>
    <w:p>
      <w:pPr>
        <w:pStyle w:val="CaseBody"/>
      </w:pPr>
      <w:r>
        <w:t xml:space="preserve">II.</w:t>
      </w:r>
    </w:p>
    <w:p>
      <w:pPr>
        <w:pStyle w:val="CaseBody"/>
      </w:pPr>
      <w:r>
        <w:t xml:space="preserve">This case was filed on July 27, 1988. Following extensive discovery, it was presented on plaintiffs’ application for a preliminary injunction on October 24, 1988. As indicated above, the relief now sought has two principal elements. First, CCA seeks an order requiring the Interco board to redeem the defensive stock rights and effectively give the Interco shareholders the opportunity to choose as a practical matter. Second, it seeks an order restraining further steps to implement the restructuring, including any steps to sell Ethan Allen.</w:t>
      </w:r>
    </w:p>
    <w:p>
      <w:pPr>
        <w:pStyle w:val="CaseBody"/>
      </w:pPr>
      <w:r>
        <w:t xml:space="preserve">In order to justify that relief, plaintiffs offer several theories. First, it is their position that this case involves an interested board which has acted to entrench itself at the expense of the stockholders of the Company. Second, because they assert that the board comprises interested directors, plaintiffs also assert that the proposed restructuring transaction involves self-dealing, and that the board is therefore obligated, under</w:t>
      </w:r>
      <w:r>
        <w:t xml:space="preserve"> </w:t>
      </w:r>
      <w:r>
        <w:rPr>
          <w:iCs/>
          <w:i/>
        </w:rPr>
        <w:t xml:space="preserve">Weinberger v. U.O.P., Inc.,</w:t>
      </w:r>
      <w:r>
        <w:t xml:space="preserve"> </w:t>
      </w:r>
      <w:r>
        <w:t xml:space="preserve">Del.Supr.,</w:t>
      </w:r>
      <w:r>
        <w:t xml:space="preserve"> </w:t>
      </w:r>
      <w:r>
        <w:t xml:space="preserve">457 A.2d 701</w:t>
      </w:r>
      <w:r>
        <w:t xml:space="preserve"> </w:t>
      </w:r>
      <w:r>
        <w:t xml:space="preserve">(1983), to establish the entire fairness of the restructuring and its refusal to rescind the stock rights, which plaintiffs assert it cannot do. Third, plaintiffs urge that under the approach first adopted by the Delaware Supreme Court in</w:t>
      </w:r>
      <w:r>
        <w:t xml:space="preserve"> </w:t>
      </w:r>
      <w:r>
        <w:rPr>
          <w:iCs/>
          <w:i/>
        </w:rPr>
        <w:t xml:space="preserve">Unocal,</w:t>
      </w:r>
      <w:r>
        <w:t xml:space="preserve"> </w:t>
      </w:r>
      <w:r>
        <w:t xml:space="preserve">the board’s action is said</w:t>
      </w:r>
      <w:r>
        <w:t xml:space="preserve"> </w:t>
      </w:r>
      <w:r>
        <w:rPr>
          <w:iCs/>
          <w:i/>
        </w:rPr>
        <w:t xml:space="preserve">not</w:t>
      </w:r>
      <w:r>
        <w:t xml:space="preserve"> </w:t>
      </w:r>
      <w:r>
        <w:t xml:space="preserve">to be reasonable in relation to any threat posed by the plaintiffs because, they say, their noncoercive, all cash offer does not pose a threat. Fourth and last, plaintiffs claim that the proposed restructuring does not importantly differ from a sale of the Company, and that under</w:t>
      </w:r>
      <w:r>
        <w:t xml:space="preserve"> </w:t>
      </w:r>
      <w:r>
        <w:rPr>
          <w:iCs/>
          <w:i/>
        </w:rPr>
        <w:t xml:space="preserve">Revlon v. MacAndrews &amp; Forbes Holdings, Inc.,</w:t>
      </w:r>
      <w:r>
        <w:t xml:space="preserve"> </w:t>
      </w:r>
      <w:r>
        <w:t xml:space="preserve">Del.Supr.,</w:t>
      </w:r>
      <w:r>
        <w:t xml:space="preserve"> </w:t>
      </w:r>
      <w:r>
        <w:t xml:space="preserve">506 A.2d 173</w:t>
      </w:r>
      <w:r>
        <w:t xml:space="preserve"> </w:t>
      </w:r>
      <w:r>
        <w:t xml:space="preserve">(1986), the Interco directors have a duty to obtain the highest available price for the Company’s stockholders in the market, which the directors have not done.</w:t>
      </w:r>
    </w:p>
    <w:p>
      <w:pPr>
        <w:pStyle w:val="CaseBody"/>
      </w:pPr>
      <w:r>
        <w:t xml:space="preserve">Interco answers that only the</w:t>
      </w:r>
      <w:r>
        <w:t xml:space="preserve"> </w:t>
      </w:r>
      <w:r>
        <w:rPr>
          <w:iCs/>
          <w:i/>
        </w:rPr>
        <w:t xml:space="preserve">Unocal</w:t>
      </w:r>
      <w:r>
        <w:t xml:space="preserve"> </w:t>
      </w:r>
      <w:r>
        <w:t xml:space="preserve">standard applies in this case. Defendants urge that the</w:t>
      </w:r>
      <w:r>
        <w:t xml:space="preserve"> </w:t>
      </w:r>
      <w:r>
        <w:rPr>
          <w:iCs/>
          <w:i/>
        </w:rPr>
        <w:t xml:space="preserve">Weinberger</w:t>
      </w:r>
      <w:r>
        <w:t xml:space="preserve"> </w:t>
      </w:r>
      <w:r>
        <w:t xml:space="preserve">entire fairness test is inapposite because there has been no self-dealing.</w:t>
      </w:r>
      <w:r>
        <w:t xml:space="preserve"> </w:t>
      </w:r>
      <w:r>
        <w:rPr>
          <w:iCs/>
          <w:i/>
        </w:rPr>
        <w:t xml:space="preserve">(See</w:t>
      </w:r>
      <w:r>
        <w:t xml:space="preserve"> </w:t>
      </w:r>
      <w:r>
        <w:t xml:space="preserve">n. 1, supra). Similarly, defendants claim that no</w:t>
      </w:r>
      <w:r>
        <w:t xml:space="preserve"> </w:t>
      </w:r>
      <w:r>
        <w:rPr>
          <w:iCs/>
          <w:i/>
        </w:rPr>
        <w:t xml:space="preserve">Revlon</w:t>
      </w:r>
      <w:r>
        <w:t xml:space="preserve"> </w:t>
      </w:r>
      <w:r>
        <w:t xml:space="preserve">duties have arisen because the restructuring does not amount to a sale of the Company and the Company is not, in fact, for sale.</w:t>
      </w:r>
      <w:r>
        <w:t xml:space="preserve"> </w:t>
      </w:r>
      <w:r>
        <w:rPr>
          <w:iCs/>
          <w:i/>
        </w:rPr>
        <w:t xml:space="preserve">See Ivanhoe Partners v. Newmont Mining Corp.,</w:t>
      </w:r>
      <w:r>
        <w:rPr>
          <w:iCs/>
          <w:i/>
        </w:rPr>
        <w:t xml:space="preserve"> </w:t>
      </w:r>
      <w:r>
        <w:rPr>
          <w:iCs/>
          <w:i/>
        </w:rPr>
        <w:t xml:space="preserve">supra.</w:t>
      </w:r>
      <w:r>
        <w:t xml:space="preserve"> </w:t>
      </w:r>
      <w:r>
        <w:t xml:space="preserve">Defendants state that the Interco board is proceeding in good faith to protect the best interests of the Company’s stockholders. The board believes that CCA’s offer is inadequate, and therefore constitutes a threat to the Company’s stockholders; it is their position that the restructuring and the poison pill are, therefore, reasonable reactions to the threat posed. Moreover, defendants assert that leaving the pill in place to protect the restructuring is reasonable because the restructuring will achieve better value for stockholders than will be garnered by shareholders’ acceptance of the plaintiffs’ inadequate offer.</w:t>
      </w:r>
    </w:p>
    <w:p>
      <w:pPr>
        <w:pStyle w:val="CaseBody"/>
      </w:pPr>
      <w:r>
        <w:t xml:space="preserve">III.</w:t>
      </w:r>
    </w:p>
    <w:p>
      <w:pPr>
        <w:pStyle w:val="CaseBody"/>
      </w:pPr>
      <w:r>
        <w:t xml:space="preserve">The pending motion purports to seek a preliminary injunction. The test for the issuance of such a provisional remedy is well established. It is necessary for the applicant to demonstrate both a reasonable probability of ultimate success on the claims asserted and, most importantly, the threat of an injury that will occur before trial which is not remediable by an award of damages or the later shaping of equitable relief. Beyond that, it is essential for the court to consider the offsetting equities, if any, including the interests of the public and other innocent third parties, as well as defendants.</w:t>
      </w:r>
      <w:r>
        <w:t xml:space="preserve"> </w:t>
      </w:r>
      <w:r>
        <w:rPr>
          <w:iCs/>
          <w:i/>
        </w:rPr>
        <w:t xml:space="preserve">See generally Ivanhoe Partners v. Newmont Mining Corp.,</w:t>
      </w:r>
      <w:r>
        <w:t xml:space="preserve"> </w:t>
      </w:r>
      <w:r>
        <w:t xml:space="preserve">Del.Supr.,</w:t>
      </w:r>
      <w:r>
        <w:t xml:space="preserve"> </w:t>
      </w:r>
      <w:r>
        <w:t xml:space="preserve">535 A.2d 1334</w:t>
      </w:r>
      <w:r>
        <w:t xml:space="preserve"> </w:t>
      </w:r>
      <w:r>
        <w:t xml:space="preserve">(1987).</w:t>
      </w:r>
    </w:p>
    <w:p>
      <w:pPr>
        <w:pStyle w:val="CaseBody"/>
      </w:pPr>
      <w:r>
        <w:t xml:space="preserve">With respect to plaintiffs’ request that steps in furtherance of the restructuring transaction be enjoined</w:t>
      </w:r>
      <w:r>
        <w:t xml:space="preserve"> </w:t>
      </w:r>
      <w:r>
        <w:rPr>
          <w:iCs/>
          <w:i/>
        </w:rPr>
        <w:t xml:space="preserve">pendente lite,</w:t>
      </w:r>
      <w:r>
        <w:t xml:space="preserve"> </w:t>
      </w:r>
      <w:r>
        <w:t xml:space="preserve">the relief now sought is classically awarded on such a motion where the elements of this test are satisfied. The relief now sought with respect to the board’s decision not to redeem the stock rights, however, is another matter. That relief, if awarded now, would constitute affirmative relief.</w:t>
      </w:r>
      <w:r>
        <w:t xml:space="preserve"> </w:t>
      </w:r>
      <w:r>
        <w:rPr>
          <w:iCs/>
          <w:i/>
        </w:rPr>
        <w:t xml:space="preserve">Steiner v. Simmons,</w:t>
      </w:r>
      <w:r>
        <w:t xml:space="preserve"> </w:t>
      </w:r>
      <w:r>
        <w:t xml:space="preserve">Del.Supr.,</w:t>
      </w:r>
      <w:r>
        <w:t xml:space="preserve"> </w:t>
      </w:r>
      <w:r>
        <w:t xml:space="preserve">111 A.2d 574</w:t>
      </w:r>
      <w:r>
        <w:t xml:space="preserve"> </w:t>
      </w:r>
      <w:r>
        <w:t xml:space="preserve">(1955). Moreover, if it is awarded (and if a majority of shares are tendered into plaintiffs’ offer thereafter), it would, in effect, constitute relief that could not later effectively be reversed following trial. It would in that event, in effect, constitute final relief. Therefore, in my opinion, that relief ought not be awarded at this time unless plaintiffs can show that it is warranted based upon facts that are not legitimately in dispute.</w:t>
      </w:r>
    </w:p>
    <w:p>
      <w:pPr>
        <w:pStyle w:val="CaseBody"/>
      </w:pPr>
      <w:r>
        <w:t xml:space="preserve">It is appropriate, therefore, before subjecting the board’s decision not to redeem the pill to the form of analysis mandated by</w:t>
      </w:r>
      <w:r>
        <w:t xml:space="preserve"> </w:t>
      </w:r>
      <w:r>
        <w:rPr>
          <w:iCs/>
          <w:i/>
        </w:rPr>
        <w:t xml:space="preserve">Unocal,</w:t>
      </w:r>
      <w:r>
        <w:t xml:space="preserve"> </w:t>
      </w:r>
      <w:r>
        <w:t xml:space="preserve">to identify what relevant facts are not contested or contestable, and what relevant facts may appropriately be assumed against the party prevailing on this point. They are as follows:</w:t>
      </w:r>
    </w:p>
    <w:p>
      <w:pPr>
        <w:pStyle w:val="CaseBody"/>
      </w:pPr>
      <w:r>
        <w:rPr>
          <w:iCs/>
          <w:i/>
        </w:rPr>
        <w:t xml:space="preserve">First.</w:t>
      </w:r>
      <w:r>
        <w:t xml:space="preserve"> </w:t>
      </w:r>
      <w:r>
        <w:t xml:space="preserve">The value of the Interco restructuring is inherently a debatable proposition, most importantly (but not solely) because the future value of the stub share is unknowable with reasonable certainty.</w:t>
      </w:r>
    </w:p>
    <w:p>
      <w:pPr>
        <w:pStyle w:val="CaseBody"/>
      </w:pPr>
      <w:r>
        <w:rPr>
          <w:iCs/>
          <w:i/>
        </w:rPr>
        <w:t xml:space="preserve">Second.</w:t>
      </w:r>
      <w:r>
        <w:t xml:space="preserve"> </w:t>
      </w:r>
      <w:r>
        <w:t xml:space="preserve">The board of Interco believes in good faith that the restructuring has a value of “at least” $76 per share.</w:t>
      </w:r>
    </w:p>
    <w:p>
      <w:pPr>
        <w:pStyle w:val="CaseBody"/>
      </w:pPr>
      <w:r>
        <w:rPr>
          <w:iCs/>
          <w:i/>
        </w:rPr>
        <w:t xml:space="preserve">Third.</w:t>
      </w:r>
      <w:r>
        <w:t xml:space="preserve"> </w:t>
      </w:r>
      <w:r>
        <w:t xml:space="preserve">The City Capital offer is for $74 per share cash.</w:t>
      </w:r>
    </w:p>
    <w:p>
      <w:pPr>
        <w:pStyle w:val="CaseBody"/>
      </w:pPr>
      <w:r>
        <w:rPr>
          <w:iCs/>
          <w:i/>
        </w:rPr>
        <w:t xml:space="preserve">Fourth.</w:t>
      </w:r>
      <w:r>
        <w:t xml:space="preserve"> </w:t>
      </w:r>
      <w:r>
        <w:t xml:space="preserve">The board of Interco has acted prudently to inform itself of the value of the Company.</w:t>
      </w:r>
      <w:r>
        <w:rPr>
          <w:rStyle w:val="FootnoteReference"/>
        </w:rPr>
        <w:footnoteReference w:customMarkFollows="1" w:id="176"/>
        <w:t xml:space="preserve">7</w:t>
      </w:r>
    </w:p>
    <w:p>
      <w:pPr>
        <w:pStyle w:val="CaseBody"/>
      </w:pPr>
      <w:r>
        <w:rPr>
          <w:iCs/>
          <w:i/>
        </w:rPr>
        <w:t xml:space="preserve">Fifth.</w:t>
      </w:r>
      <w:r>
        <w:t xml:space="preserve"> </w:t>
      </w:r>
      <w:r>
        <w:t xml:space="preserve">The board believes in good faith that the City Capital offer is for a price that is “inadequate.”</w:t>
      </w:r>
    </w:p>
    <w:p>
      <w:pPr>
        <w:pStyle w:val="CaseBody"/>
      </w:pPr>
      <w:r>
        <w:rPr>
          <w:iCs/>
          <w:i/>
        </w:rPr>
        <w:t xml:space="preserve">Sixth.</w:t>
      </w:r>
      <w:r>
        <w:t xml:space="preserve"> </w:t>
      </w:r>
      <w:r>
        <w:t xml:space="preserve">City Capital cannot, as a practical matter, close its tender offer while the rights exist; to do so would be to self-inflict an enormous financial injury that no reasonable buyer would do.</w:t>
      </w:r>
    </w:p>
    <w:p>
      <w:pPr>
        <w:pStyle w:val="CaseBody"/>
      </w:pPr>
      <w:r>
        <w:rPr>
          <w:iCs/>
          <w:i/>
        </w:rPr>
        <w:t xml:space="preserve">Seventh.</w:t>
      </w:r>
      <w:r>
        <w:t xml:space="preserve"> </w:t>
      </w:r>
      <w:r>
        <w:t xml:space="preserve">Shareholders of Interco have differing liquidity preferences and different expectations about likely future economic events.</w:t>
      </w:r>
    </w:p>
    <w:p>
      <w:pPr>
        <w:pStyle w:val="CaseBody"/>
      </w:pPr>
      <w:r>
        <w:rPr>
          <w:iCs/>
          <w:i/>
        </w:rPr>
        <w:t xml:space="preserve">Eighth.</w:t>
      </w:r>
      <w:r>
        <w:t xml:space="preserve"> </w:t>
      </w:r>
      <w:r>
        <w:t xml:space="preserve">A reasonable shareholder could prefer the restructuring to the sale of his stock for $74 in cash now, but a reasonable shareholder could prefer the reverse.</w:t>
      </w:r>
    </w:p>
    <w:p>
      <w:pPr>
        <w:pStyle w:val="CaseBody"/>
      </w:pPr>
      <w:r>
        <w:rPr>
          <w:iCs/>
          <w:i/>
        </w:rPr>
        <w:t xml:space="preserve">Ninth.</w:t>
      </w:r>
      <w:r>
        <w:t xml:space="preserve"> </w:t>
      </w:r>
      <w:r>
        <w:t xml:space="preserve">The City Capital tender offer is in no respect coercive. It is for all shares, not for only a portion of shares. It contemplates a prompt follow-up merger, if it succeeds, not an indefinite term as a minority shareholder. It proposes identical consideration in a follow-up merger, not securities or less money.</w:t>
      </w:r>
    </w:p>
    <w:p>
      <w:pPr>
        <w:pStyle w:val="CaseBody"/>
      </w:pPr>
      <w:r>
        <w:rPr>
          <w:iCs/>
          <w:i/>
        </w:rPr>
        <w:t xml:space="preserve">Tenth.</w:t>
      </w:r>
      <w:r>
        <w:t xml:space="preserve"> </w:t>
      </w:r>
      <w:r>
        <w:t xml:space="preserve">While the existence of the stock rights has conferred time on the board to consider the City Capital proposals and to arrange the restructuring, the utility of those rights as a defensive technique has, given the time lines for the restructuring and the board’s actions to date, now been effectively exhausted except in one respect: the effect of those rights continues to “protect the restructuring.”</w:t>
      </w:r>
    </w:p>
    <w:p>
      <w:pPr>
        <w:pStyle w:val="CaseBody"/>
      </w:pPr>
      <w:r>
        <w:t xml:space="preserve">These facts are sufficient to address the question whether the board’s action in electing to leave the defensive stock rights plan in place qualifies for the deference embodied in the business judgment rule.</w:t>
      </w:r>
    </w:p>
    <w:p>
      <w:pPr>
        <w:pStyle w:val="CaseBody"/>
      </w:pPr>
      <w:r>
        <w:t xml:space="preserve">IV.</w:t>
      </w:r>
    </w:p>
    <w:p>
      <w:pPr>
        <w:pStyle w:val="CaseBody"/>
      </w:pPr>
      <w:r>
        <w:t xml:space="preserve">I turn then to the analysis contemplated by</w:t>
      </w:r>
      <w:r>
        <w:t xml:space="preserve"> </w:t>
      </w:r>
      <w:r>
        <w:rPr>
          <w:iCs/>
          <w:i/>
        </w:rPr>
        <w:t xml:space="preserve">Unocal,</w:t>
      </w:r>
      <w:r>
        <w:t xml:space="preserve"> </w:t>
      </w:r>
      <w:r>
        <w:t xml:space="preserve">the most innovative and promising case in our recent corporation law. That case, of course, recognized that in defending against unsolicited takeovers, there is an “omnipresent specter that a board may be acting primarily in its own interest.” 498 A.2d at 954. That fact distinguishes takeover defense measures from other acts of a board which, when subject to judicial review, are customarily upheld once the court finds the board acted in good faith and after an appropriate investigation.</w:t>
      </w:r>
      <w:r>
        <w:t xml:space="preserve"> </w:t>
      </w:r>
      <w:r>
        <w:rPr>
          <w:iCs/>
          <w:i/>
        </w:rPr>
        <w:t xml:space="preserve">E.g., Aronson v. Lewis,</w:t>
      </w:r>
      <w:r>
        <w:t xml:space="preserve"> </w:t>
      </w:r>
      <w:r>
        <w:t xml:space="preserve">Del.Supr.,</w:t>
      </w:r>
      <w:r>
        <w:t xml:space="preserve"> </w:t>
      </w:r>
      <w:r>
        <w:t xml:space="preserve">473 A.2d 805</w:t>
      </w:r>
      <w:r>
        <w:t xml:space="preserve"> </w:t>
      </w:r>
      <w:r>
        <w:t xml:space="preserve">(1984).</w:t>
      </w:r>
      <w:r>
        <w:t xml:space="preserve"> </w:t>
      </w:r>
      <w:r>
        <w:rPr>
          <w:iCs/>
          <w:i/>
        </w:rPr>
        <w:t xml:space="preserve">Unocal</w:t>
      </w:r>
      <w:r>
        <w:t xml:space="preserve"> </w:t>
      </w:r>
      <w:r>
        <w:t xml:space="preserve">recognizes that human nature may incline</w:t>
      </w:r>
      <w:r>
        <w:t xml:space="preserve"> </w:t>
      </w:r>
      <w:r>
        <w:rPr>
          <w:iCs/>
          <w:i/>
        </w:rPr>
        <w:t xml:space="preserve">even one acting in subjective good faith</w:t>
      </w:r>
      <w:r>
        <w:t xml:space="preserve"> </w:t>
      </w:r>
      <w:r>
        <w:t xml:space="preserve">to rationalize as right that which is merely personally beneficial. Thus, it created a new intermediate form of judicial review to be employed when a transaction is neither self-dealing nor wholly disinterested. That test has been helpfully referred to as the “proportionality test.”</w:t>
      </w:r>
      <w:r>
        <w:rPr>
          <w:rStyle w:val="FootnoteReference"/>
        </w:rPr>
        <w:footnoteReference w:customMarkFollows="1" w:id="195"/>
        <w:t xml:space="preserve">8</w:t>
      </w:r>
    </w:p>
    <w:p>
      <w:pPr>
        <w:pStyle w:val="CaseBody"/>
      </w:pPr>
      <w:r>
        <w:t xml:space="preserve">The test is easy to state. Where it is employed, it requires a threshold examination “before the protections of the business judgment rule may be conferred.”</w:t>
      </w:r>
      <w:r>
        <w:t xml:space="preserve"> </w:t>
      </w:r>
      <w:r>
        <w:t xml:space="preserve">493 A.2d 954</w:t>
      </w:r>
      <w:r>
        <w:t xml:space="preserve">. That threshold requirement is in two parts. First, directors claiming the protections of the rule “must show that they had reasonable grounds for believing that a danger to corporate policy and effectiveness existed.” The second element of the test is the element of balance. “If a defensive measure is to come within the ambit of the business judgment rule, it must be reasonable in relationship to the threat posed.”</w:t>
      </w:r>
      <w:r>
        <w:t xml:space="preserve"> </w:t>
      </w:r>
      <w:r>
        <w:t xml:space="preserve">493 A.2d 955</w:t>
      </w:r>
      <w:r>
        <w:t xml:space="preserve">.</w:t>
      </w:r>
    </w:p>
    <w:p>
      <w:pPr>
        <w:pStyle w:val="CaseBody"/>
      </w:pPr>
      <w:r>
        <w:t xml:space="preserve">Delaware courts have employed the</w:t>
      </w:r>
      <w:r>
        <w:t xml:space="preserve"> </w:t>
      </w:r>
      <w:r>
        <w:rPr>
          <w:iCs/>
          <w:i/>
        </w:rPr>
        <w:t xml:space="preserve">Unocal</w:t>
      </w:r>
      <w:r>
        <w:t xml:space="preserve"> </w:t>
      </w:r>
      <w:r>
        <w:t xml:space="preserve">precedent cautiously.</w:t>
      </w:r>
      <w:r>
        <w:rPr>
          <w:rStyle w:val="FootnoteReference"/>
        </w:rPr>
        <w:footnoteReference w:customMarkFollows="1" w:id="214"/>
        <w:t xml:space="preserve">9</w:t>
      </w:r>
      <w:r>
        <w:t xml:space="preserve"> </w:t>
      </w:r>
      <w:r>
        <w:t xml:space="preserve">The promise of that innovation is the promise of a more realistic, flexible and, ultimately, more responsible corporation law.</w:t>
      </w:r>
      <w:r>
        <w:t xml:space="preserve"> </w:t>
      </w:r>
      <w:r>
        <w:rPr>
          <w:iCs/>
          <w:i/>
        </w:rPr>
        <w:t xml:space="preserve">See generally,</w:t>
      </w:r>
      <w:r>
        <w:t xml:space="preserve"> </w:t>
      </w:r>
      <w:r>
        <w:t xml:space="preserve">Gilson &amp; Kraakman, n. 8,</w:t>
      </w:r>
      <w:r>
        <w:t xml:space="preserve"> </w:t>
      </w:r>
      <w:r>
        <w:rPr>
          <w:iCs/>
          <w:i/>
        </w:rPr>
        <w:t xml:space="preserve">supra.</w:t>
      </w:r>
      <w:r>
        <w:t xml:space="preserve"> </w:t>
      </w:r>
      <w:r>
        <w:t xml:space="preserve">The danger that it poses is, of course, that courts— in exercising some element of substantive judgment — will too readily seek to assert the primacy of their own view on a question upon which reasonable, completely disinterested minds might differ. Thus, inart-fully applied, the</w:t>
      </w:r>
      <w:r>
        <w:t xml:space="preserve"> </w:t>
      </w:r>
      <w:r>
        <w:rPr>
          <w:iCs/>
          <w:i/>
        </w:rPr>
        <w:t xml:space="preserve">Unocal</w:t>
      </w:r>
      <w:r>
        <w:t xml:space="preserve"> </w:t>
      </w:r>
      <w:r>
        <w:t xml:space="preserve">form of analysis could permit an unraveling of the well-made fabric of the business judgment rule in this important context. Accordingly, whenever, as in this case, this court is required to apply the</w:t>
      </w:r>
      <w:r>
        <w:t xml:space="preserve"> </w:t>
      </w:r>
      <w:r>
        <w:rPr>
          <w:iCs/>
          <w:i/>
        </w:rPr>
        <w:t xml:space="preserve">Unocal</w:t>
      </w:r>
      <w:r>
        <w:t xml:space="preserve"> </w:t>
      </w:r>
      <w:r>
        <w:t xml:space="preserve">form of review, it should do so cautiously, with a clear appreciation for the risks and special responsibility this approach entails.</w:t>
      </w:r>
    </w:p>
    <w:p>
      <w:pPr>
        <w:pStyle w:val="CaseBody"/>
      </w:pPr>
      <w:r>
        <w:t xml:space="preserve">A.</w:t>
      </w:r>
    </w:p>
    <w:p>
      <w:pPr>
        <w:pStyle w:val="CaseBody"/>
      </w:pPr>
      <w:r>
        <w:t xml:space="preserve">Turning to the first element of the</w:t>
      </w:r>
      <w:r>
        <w:t xml:space="preserve"> </w:t>
      </w:r>
      <w:r>
        <w:rPr>
          <w:iCs/>
          <w:i/>
        </w:rPr>
        <w:t xml:space="preserve">Unocal</w:t>
      </w:r>
      <w:r>
        <w:t xml:space="preserve"> </w:t>
      </w:r>
      <w:r>
        <w:t xml:space="preserve">form of analysis, it is appropriate to note that, in the special case of a tender offer for all shares, the threat posed, if any, is not importantly to corporate policies (as may well be the case in a stock buyback case such as</w:t>
      </w:r>
      <w:r>
        <w:t xml:space="preserve"> </w:t>
      </w:r>
      <w:r>
        <w:rPr>
          <w:iCs/>
          <w:i/>
        </w:rPr>
        <w:t xml:space="preserve">Cheff v. Mathes,</w:t>
      </w:r>
      <w:r>
        <w:t xml:space="preserve"> </w:t>
      </w:r>
      <w:r>
        <w:t xml:space="preserve">Del.Supr.,</w:t>
      </w:r>
      <w:r>
        <w:t xml:space="preserve"> </w:t>
      </w:r>
      <w:r>
        <w:t xml:space="preserve">199 A.2d 548</w:t>
      </w:r>
      <w:r>
        <w:t xml:space="preserve"> </w:t>
      </w:r>
      <w:r>
        <w:t xml:space="preserve">(1964) or a partial tender offer case such as</w:t>
      </w:r>
      <w:r>
        <w:t xml:space="preserve"> </w:t>
      </w:r>
      <w:r>
        <w:rPr>
          <w:iCs/>
          <w:i/>
        </w:rPr>
        <w:t xml:space="preserve">Unocal</w:t>
      </w:r>
      <w:r>
        <w:t xml:space="preserve"> </w:t>
      </w:r>
      <w:r>
        <w:t xml:space="preserve">itself), but rather the threat, if any, is most directly to shareholder interests. Broadly speaking, threats to shareholders in that context may be of two types: threats to the volun-tariness of the choice offered by the offer, and threats to the substantive, economic interest represented by the stockholding.</w:t>
      </w:r>
    </w:p>
    <w:p>
      <w:pPr>
        <w:pStyle w:val="CaseBody"/>
      </w:pPr>
      <w:r>
        <w:t xml:space="preserve">1.</w:t>
      </w:r>
      <w:r>
        <w:t xml:space="preserve"> </w:t>
      </w:r>
      <w:r>
        <w:rPr>
          <w:iCs/>
          <w:i/>
        </w:rPr>
        <w:t xml:space="preserve">Threats to voluntariness.</w:t>
      </w:r>
      <w:r>
        <w:t xml:space="preserve"> </w:t>
      </w:r>
      <w:r>
        <w:t xml:space="preserve">It is now universally acknowledged that the structure of an offer can render mandatory in substance that which is voluntary in form. The so-called “front-end” loaded partial offer — already a largely vanished breed — is the most extreme example of this phenomenon. An offer may, however, be structured to have a coercive effect on a rational shareholder in any number of different ways. Whenever a tender offer is so structured, a board may, or perhaps should, perceive a threat to a stockholder’s interest in exercising choice to remain a stockholder in the firm. The threat posed by structurally coercive offers is typically amplified by an offering price that the target board responsibly concludes is substantially below a fair price.</w:t>
      </w:r>
      <w:r>
        <w:rPr>
          <w:rStyle w:val="FootnoteReference"/>
        </w:rPr>
        <w:footnoteReference w:customMarkFollows="1" w:id="232"/>
        <w:t xml:space="preserve">10</w:t>
      </w:r>
    </w:p>
    <w:p>
      <w:pPr>
        <w:pStyle w:val="CaseBody"/>
      </w:pPr>
      <w:r>
        <w:t xml:space="preserve">Each of the cases in which our Supreme Court has addressed a defensive corporate measure under the</w:t>
      </w:r>
      <w:r>
        <w:t xml:space="preserve"> </w:t>
      </w:r>
      <w:r>
        <w:rPr>
          <w:iCs/>
          <w:i/>
        </w:rPr>
        <w:t xml:space="preserve">Unocal</w:t>
      </w:r>
      <w:r>
        <w:t xml:space="preserve"> </w:t>
      </w:r>
      <w:r>
        <w:t xml:space="preserve">test involved the sharp and palpable threat to shareholders posed by a coercive offer.</w:t>
      </w:r>
      <w:r>
        <w:t xml:space="preserve"> </w:t>
      </w:r>
      <w:r>
        <w:rPr>
          <w:iCs/>
          <w:i/>
        </w:rPr>
        <w:t xml:space="preserve">See Unocal Corp. v. Mesa Petroleum Co.,</w:t>
      </w:r>
      <w:r>
        <w:t xml:space="preserve"> </w:t>
      </w:r>
      <w:r>
        <w:t xml:space="preserve">Del.Supr.,</w:t>
      </w:r>
      <w:r>
        <w:t xml:space="preserve"> </w:t>
      </w:r>
      <w:r>
        <w:t xml:space="preserve">493 A.2d 946</w:t>
      </w:r>
      <w:r>
        <w:t xml:space="preserve"> </w:t>
      </w:r>
      <w:r>
        <w:t xml:space="preserve">(1985);</w:t>
      </w:r>
      <w:r>
        <w:t xml:space="preserve"> </w:t>
      </w:r>
      <w:r>
        <w:rPr>
          <w:iCs/>
          <w:i/>
        </w:rPr>
        <w:t xml:space="preserve">Moran v. Household International, Inc.,</w:t>
      </w:r>
      <w:r>
        <w:t xml:space="preserve"> </w:t>
      </w:r>
      <w:r>
        <w:t xml:space="preserve">Del.Supr.,</w:t>
      </w:r>
      <w:r>
        <w:t xml:space="preserve"> </w:t>
      </w:r>
      <w:r>
        <w:t xml:space="preserve">500 A.2d 1346</w:t>
      </w:r>
      <w:r>
        <w:t xml:space="preserve"> </w:t>
      </w:r>
      <w:r>
        <w:t xml:space="preserve">(1985);</w:t>
      </w:r>
      <w:r>
        <w:t xml:space="preserve"> </w:t>
      </w:r>
      <w:r>
        <w:rPr>
          <w:iCs/>
          <w:i/>
        </w:rPr>
        <w:t xml:space="preserve">Ivanhoe Partners v. Newmont Mining Corp.,</w:t>
      </w:r>
      <w:r>
        <w:t xml:space="preserve"> </w:t>
      </w:r>
      <w:r>
        <w:t xml:space="preserve">Del.Supr.,</w:t>
      </w:r>
      <w:r>
        <w:t xml:space="preserve"> </w:t>
      </w:r>
      <w:r>
        <w:t xml:space="preserve">535 A.2d 1334</w:t>
      </w:r>
      <w:r>
        <w:t xml:space="preserve"> </w:t>
      </w:r>
      <w:r>
        <w:t xml:space="preserve">(1987).</w:t>
      </w:r>
    </w:p>
    <w:p>
      <w:pPr>
        <w:pStyle w:val="CaseBody"/>
      </w:pPr>
      <w:r>
        <w:t xml:space="preserve">2.</w:t>
      </w:r>
      <w:r>
        <w:t xml:space="preserve"> </w:t>
      </w:r>
      <w:r>
        <w:rPr>
          <w:iCs/>
          <w:i/>
        </w:rPr>
        <w:t xml:space="preserve">Threats from “inadequate” but noncoercive offers.</w:t>
      </w:r>
      <w:r>
        <w:t xml:space="preserve"> </w:t>
      </w:r>
      <w:r>
        <w:t xml:space="preserve">The second broad classification of threats to shareholder interests that might be posed by a tender offer for all shares relates to the “fairness” or “adequacy” of the price.</w:t>
      </w:r>
      <w:r>
        <w:rPr>
          <w:rStyle w:val="FootnoteReference"/>
        </w:rPr>
        <w:footnoteReference w:customMarkFollows="1" w:id="249"/>
        <w:t xml:space="preserve">11</w:t>
      </w:r>
      <w:r>
        <w:t xml:space="preserve"> </w:t>
      </w:r>
      <w:r>
        <w:t xml:space="preserve">It would not be surprising or unreasonable to claim that where an offer is not coercive or deceptive (and, therefore, what is in issue is essentially whether the consideration it offers is attractive or not), a board — even though it may expend corporate funds to arrange alternatives or to inform shareholders of its view of fair value — is not authorized to take preclusive action. By preclusive action I mean action that, as a practical matter, withdraws from the shareholders the option to choose between the offer and the status quo or some other board sponsored alternative.</w:t>
      </w:r>
    </w:p>
    <w:p>
      <w:pPr>
        <w:pStyle w:val="CaseBody"/>
      </w:pPr>
      <w:r>
        <w:t xml:space="preserve">Our law, however, has not adopted that view and experience has demonstrated the wisdom of that choice. We have held that a board is not required simply by reason of the existence of a noncoercive offer to redeem outstanding poison pill rights.</w:t>
      </w:r>
      <w:r>
        <w:t xml:space="preserve"> </w:t>
      </w:r>
      <w:r>
        <w:rPr>
          <w:iCs/>
          <w:i/>
        </w:rPr>
        <w:t xml:space="preserve">See Facet Enterprises, Inc. v. Prospect Group, Inc.,</w:t>
      </w:r>
      <w:r>
        <w:t xml:space="preserve"> </w:t>
      </w:r>
      <w:r>
        <w:t xml:space="preserve">Del.Ch., C.A.</w:t>
      </w:r>
      <w:r>
        <w:t xml:space="preserve"> </w:t>
      </w:r>
      <w:r>
        <w:rPr>
          <w:iCs/>
          <w:i/>
        </w:rPr>
        <w:t xml:space="preserve">No.</w:t>
      </w:r>
      <w:r>
        <w:t xml:space="preserve"> </w:t>
      </w:r>
      <w:r>
        <w:t xml:space="preserve">9746, Jacobs, V.C. (April 15, 1988) [</w:t>
      </w:r>
      <w:r>
        <w:t xml:space="preserve">1988 WL 36140</w:t>
      </w:r>
      <w:r>
        <w:t xml:space="preserve">];</w:t>
      </w:r>
      <w:r>
        <w:t xml:space="preserve"> </w:t>
      </w:r>
      <w:r>
        <w:rPr>
          <w:iCs/>
          <w:i/>
        </w:rPr>
        <w:t xml:space="preserve">Nomad Acquisition Corp. v. Damon Corporation,</w:t>
      </w:r>
      <w:r>
        <w:t xml:space="preserve"> </w:t>
      </w:r>
      <w:r>
        <w:t xml:space="preserve">Del.Ch., C.A. No. 10173, Hartnett, V.C. (September 16, 1988) [</w:t>
      </w:r>
      <w:r>
        <w:t xml:space="preserve">1988 WL 96192</w:t>
      </w:r>
      <w:r>
        <w:t xml:space="preserve">];</w:t>
      </w:r>
      <w:r>
        <w:t xml:space="preserve"> </w:t>
      </w:r>
      <w:r>
        <w:rPr>
          <w:iCs/>
          <w:i/>
        </w:rPr>
        <w:t xml:space="preserve">Doskocil Companies Incorporated v. Griggy,</w:t>
      </w:r>
      <w:r>
        <w:t xml:space="preserve"> </w:t>
      </w:r>
      <w:r>
        <w:t xml:space="preserve">Del.Ch., C.A. No. 10095, Berger, V.C. (October 7, 1988) [</w:t>
      </w:r>
      <w:r>
        <w:t xml:space="preserve">1988 WL 105751</w:t>
      </w:r>
      <w:r>
        <w:t xml:space="preserve">].</w:t>
      </w:r>
      <w:r>
        <w:rPr>
          <w:rStyle w:val="FootnoteReference"/>
        </w:rPr>
        <w:footnoteReference w:customMarkFollows="1" w:id="265"/>
        <w:t xml:space="preserve">12</w:t>
      </w:r>
      <w:r>
        <w:t xml:space="preserve"> </w:t>
      </w:r>
      <w:r>
        <w:t xml:space="preserve">The reason is simple. Even where an offer is noncoercive, it may repre sent a “threat” to shareholder interests in the special sense that an active negotiator with power, in effect, to refuse the proposal may be able to extract a higher or otherwise more valuable proposal, or may be able to arrange an alternative transaction or a modified business plan that will present a more valuable option to shareholders.</w:t>
      </w:r>
      <w:r>
        <w:t xml:space="preserve"> </w:t>
      </w:r>
      <w:r>
        <w:rPr>
          <w:iCs/>
          <w:i/>
        </w:rPr>
        <w:t xml:space="preserve">See, e.g., In Re J.P. Stevens &amp; Co., Inc. Shareholders Litigation,</w:t>
      </w:r>
      <w:r>
        <w:t xml:space="preserve"> </w:t>
      </w:r>
      <w:r>
        <w:t xml:space="preserve">Del.Ch.,</w:t>
      </w:r>
      <w:r>
        <w:t xml:space="preserve"> </w:t>
      </w:r>
      <w:r>
        <w:t xml:space="preserve">542 A.2d 770</w:t>
      </w:r>
      <w:r>
        <w:t xml:space="preserve"> </w:t>
      </w:r>
      <w:r>
        <w:t xml:space="preserve">(1988) and</w:t>
      </w:r>
      <w:r>
        <w:t xml:space="preserve"> </w:t>
      </w:r>
      <w:r>
        <w:rPr>
          <w:iCs/>
          <w:i/>
        </w:rPr>
        <w:t xml:space="preserve">CFRT v. Federated Department Stores, Inc.,</w:t>
      </w:r>
      <w:r>
        <w:t xml:space="preserve"> </w:t>
      </w:r>
      <w:r>
        <w:t xml:space="preserve">683 F.Supp. 422</w:t>
      </w:r>
      <w:r>
        <w:t xml:space="preserve"> </w:t>
      </w:r>
      <w:r>
        <w:t xml:space="preserve">(S.D.N.Y.1988) where defensive stock rights were used precisely in this way.</w:t>
      </w:r>
      <w:r>
        <w:t xml:space="preserve"> </w:t>
      </w:r>
      <w:r>
        <w:rPr>
          <w:iCs/>
          <w:i/>
        </w:rPr>
        <w:t xml:space="preserve">See also</w:t>
      </w:r>
      <w:r>
        <w:t xml:space="preserve"> </w:t>
      </w:r>
      <w:r>
        <w:t xml:space="preserve">Gilson &amp; Kraakman,</w:t>
      </w:r>
      <w:r>
        <w:t xml:space="preserve"> </w:t>
      </w:r>
      <w:r>
        <w:rPr>
          <w:iCs/>
          <w:i/>
        </w:rPr>
        <w:t xml:space="preserve">supra,</w:t>
      </w:r>
      <w:r>
        <w:t xml:space="preserve"> </w:t>
      </w:r>
      <w:r>
        <w:t xml:space="preserve">n. 8 at pp. 26-30. Our cases, however, also indicate that in the setting of a noncoercive offer, absent unusual facts, there may come a time when a board’s fiduciary duty will require it to redeem the rights and to permit the shareholders to choose.</w:t>
      </w:r>
      <w:r>
        <w:t xml:space="preserve"> </w:t>
      </w:r>
      <w:r>
        <w:rPr>
          <w:iCs/>
          <w:i/>
        </w:rPr>
        <w:t xml:space="preserve">See Doskocil Companies Incorporated v. Griggy,</w:t>
      </w:r>
      <w:r>
        <w:rPr>
          <w:iCs/>
          <w:i/>
        </w:rPr>
        <w:t xml:space="preserve"> </w:t>
      </w:r>
      <w:r>
        <w:rPr>
          <w:iCs/>
          <w:i/>
        </w:rPr>
        <w:t xml:space="preserve">supra,</w:t>
      </w:r>
      <w:r>
        <w:t xml:space="preserve"> </w:t>
      </w:r>
      <w:r>
        <w:t xml:space="preserve">slip op. at 11;</w:t>
      </w:r>
      <w:r>
        <w:t xml:space="preserve"> </w:t>
      </w:r>
      <w:r>
        <w:rPr>
          <w:iCs/>
          <w:i/>
        </w:rPr>
        <w:t xml:space="preserve">Mills Acquisition Co. v. Macmillan, Inc.,</w:t>
      </w:r>
      <w:r>
        <w:t xml:space="preserve"> </w:t>
      </w:r>
      <w:r>
        <w:t xml:space="preserve">Del.Ch., C.A. No. 10168, Jacobs, V.C. (October 17, 1988), slip op. at 49-50 [</w:t>
      </w:r>
      <w:r>
        <w:t xml:space="preserve">1988 WL 108332</w:t>
      </w:r>
      <w:r>
        <w:t xml:space="preserve">].</w:t>
      </w:r>
    </w:p>
    <w:p>
      <w:pPr>
        <w:pStyle w:val="CaseBody"/>
      </w:pPr>
      <w:r>
        <w:t xml:space="preserve">B.</w:t>
      </w:r>
    </w:p>
    <w:p>
      <w:pPr>
        <w:pStyle w:val="CaseBody"/>
      </w:pPr>
      <w:r>
        <w:t xml:space="preserve">In this instance, there is no threat of shareholder coercion. The threat is to shareholders’ economic interests posed by an offer the board has concluded is “inadequate.” If this determination is made in good faith (as I assume it is here,</w:t>
      </w:r>
      <w:r>
        <w:t xml:space="preserve"> </w:t>
      </w:r>
      <w:r>
        <w:rPr>
          <w:iCs/>
          <w:i/>
        </w:rPr>
        <w:t xml:space="preserve">see</w:t>
      </w:r>
      <w:r>
        <w:t xml:space="preserve"> </w:t>
      </w:r>
      <w:r>
        <w:t xml:space="preserve">p. 795, supra), it alone will justify leaving a poison pill in place, even in the setting of a noncoercive offer, for a period while the board exercises its good faith business judgment to take such steps as it deems appropriate to protect and advance shareholder interests in light of the significant development that such an offer doubtless is. That action may entail negotiation on behalf of shareholders with the offeror, the institution of a Revlon-style auction for the Company, a recapitalization or restructuring designed as an alternative to the offer, or other action.</w:t>
      </w:r>
      <w:r>
        <w:rPr>
          <w:rStyle w:val="FootnoteReference"/>
        </w:rPr>
        <w:footnoteReference w:customMarkFollows="1" w:id="281"/>
        <w:t xml:space="preserve">13</w:t>
      </w:r>
    </w:p>
    <w:p>
      <w:pPr>
        <w:pStyle w:val="CaseBody"/>
      </w:pPr>
      <w:r>
        <w:t xml:space="preserve">Once that period has closed, and it is apparent that the board does not intend to institute a</w:t>
      </w:r>
      <w:r>
        <w:t xml:space="preserve"> </w:t>
      </w:r>
      <w:r>
        <w:rPr>
          <w:iCs/>
          <w:i/>
        </w:rPr>
        <w:t xml:space="preserve">Revlon</w:t>
      </w:r>
      <w:r>
        <w:t xml:space="preserve"> </w:t>
      </w:r>
      <w:r>
        <w:t xml:space="preserve">-style auction,</w:t>
      </w:r>
      <w:r>
        <w:rPr>
          <w:rStyle w:val="FootnoteReference"/>
        </w:rPr>
        <w:footnoteReference w:customMarkFollows="1" w:id="297"/>
        <w:t xml:space="preserve">14</w:t>
      </w:r>
      <w:r>
        <w:t xml:space="preserve"> </w:t>
      </w:r>
      <w:r>
        <w:t xml:space="preserve">or to-negotiate for an increase in the unwanted offer, and that it has taken such time as it required in good faith to arrange an alternative value-maximizing transaction, then, in most instances, the legitimate role of the poison pill in the context of a noncoercive offer will have been fully satisfied.</w:t>
      </w:r>
      <w:r>
        <w:rPr>
          <w:rStyle w:val="FootnoteReference"/>
        </w:rPr>
        <w:footnoteReference w:customMarkFollows="1" w:id="312"/>
        <w:t xml:space="preserve">15</w:t>
      </w:r>
      <w:r>
        <w:t xml:space="preserve"> </w:t>
      </w:r>
      <w:r>
        <w:t xml:space="preserve">The only function then left for the pill at this end-stage is to preclude the shareholders from exercising a judgment about their own interests that differs from the judgment of the directors, who will have some interest in the question. What then is the “threat” in this instance that might justify such a result? Stating that “threat” at this stage of the process most specifically, it is this:</w:t>
      </w:r>
      <w:r>
        <w:t xml:space="preserve"> </w:t>
      </w:r>
      <w:r>
        <w:rPr>
          <w:iCs/>
          <w:i/>
        </w:rPr>
        <w:t xml:space="preserve">Wasserstein Perella may be correct in their respective valuations of the offer and the restructuring but a majority of the Interco shareholders may not accept that fact and may be injured as a consequence.</w:t>
      </w:r>
    </w:p>
    <w:p>
      <w:pPr>
        <w:pStyle w:val="CaseBody"/>
      </w:pPr>
      <w:r>
        <w:t xml:space="preserve">C.</w:t>
      </w:r>
    </w:p>
    <w:p>
      <w:pPr>
        <w:pStyle w:val="CaseBody"/>
      </w:pPr>
      <w:r>
        <w:t xml:space="preserve">Perhaps there is a case in which it is appropriate for a board of directors to in effect permanently foreclose their shareholders from accepting a noncoercive offer for their stock by utilization of the recent innovation of “poison pill” rights. If such a case might exist by reason of some special circumstance, a review of the facts here show this not to be it. The “threat” here, when viewed with particularity, is far too mild to justify such a step in this instance.</w:t>
      </w:r>
    </w:p>
    <w:p>
      <w:pPr>
        <w:pStyle w:val="CaseBody"/>
      </w:pPr>
      <w:r>
        <w:t xml:space="preserve">Even assuming Wasserstein Perella is correct that when received (and following a period in which full distribution can occur), each of the debt securities to be issued in the restructuring will trade at par, that the preferred stock will trade at its liquidation value, and that the stub will trade initially at $10 a share, the difference in the values of these two offers is only 3%, and the lower offer is all cash and sooner. Thus, the threat, at this stage of the contest, cannot be regarded as very great even on the assumption that Wasserstein Perella is correct.</w:t>
      </w:r>
    </w:p>
    <w:p>
      <w:pPr>
        <w:pStyle w:val="CaseBody"/>
      </w:pPr>
      <w:r>
        <w:t xml:space="preserve">More importantly, it is incontestable that the Wasserstein Perella value is itself a highly debatable proposition. Their prediction of the likely trading range of the stub share represents one obviously educated guess. Here, the projections used in that process were especially prepared for use in the restructuring. Plaintiffs claim they are rosy to a fault, citing, for example, a $75 million cost reduction from remaining operations once the restructuring is fully implemented. This cost reduction itself is $2 per share; 20% of the predicted value of the stub. The Drexel Burnham analysis, which offers no greater claim to correctness, estimates the stub will trade at between $4.53 and $5.45. Moreover, Drexel opines that the whole package of restructure consideration has a value between $68.28 and $70.37 a share, which, for whatever reason, is quite consistent with the stock market price of a share of Interco stock during recent weeks.</w:t>
      </w:r>
      <w:r>
        <w:rPr>
          <w:rStyle w:val="FootnoteReference"/>
        </w:rPr>
        <w:footnoteReference w:customMarkFollows="1" w:id="326"/>
        <w:t xml:space="preserve">16</w:t>
      </w:r>
    </w:p>
    <w:p>
      <w:pPr>
        <w:pStyle w:val="CaseBody"/>
      </w:pPr>
      <w:r>
        <w:t xml:space="preserve">The point here is not that, in exercising some restrained substantive review of the board's decision to leave the pill in place, the court finds Drexel’s opinion more persuasive than Wasserstein Perella’s. I make no such judgment. What is apparent —indeed inarguable — is that one could do so. More importantly, without access to Drexel Burnham’s particular analysis, a shareholder could prefer a $74 cash payment now to the complex future consideration offered through the restructuring. The defendants understand this; it is evident.</w:t>
      </w:r>
    </w:p>
    <w:p>
      <w:pPr>
        <w:pStyle w:val="CaseBody"/>
      </w:pPr>
      <w:r>
        <w:t xml:space="preserve">The information statement sent to Inter-co shareholders to inform them of the terms of the restructuring accurately states and repeats the admonition:</w:t>
      </w:r>
    </w:p>
    <w:p>
      <w:pPr>
        <w:pStyle w:val="BlockText"/>
      </w:pPr>
      <w:r>
        <w:t xml:space="preserve">There can be no assurances as to actual trading values of [the stub shares].</w:t>
      </w:r>
    </w:p>
    <w:p>
      <w:pPr>
        <w:pStyle w:val="BlockText"/>
      </w:pPr>
      <w:r>
        <w:t xml:space="preserve">* * # * * *</w:t>
      </w:r>
    </w:p>
    <w:p>
      <w:pPr>
        <w:pStyle w:val="BlockText"/>
      </w:pPr>
      <w:r>
        <w:t xml:space="preserve">It should be noted that the value of securities, including newly-issued securities and equity securities in highly leveraged companies, are subject to uncertainties and contingencies, all of which are difficult to predict and therefore any valuation [of them] may not necessarily be indicative of the price at which such securities will actually trade.</w:t>
      </w:r>
    </w:p>
    <w:p>
      <w:pPr>
        <w:pStyle w:val="CaseBody"/>
      </w:pPr>
      <w:r>
        <w:t xml:space="preserve">October 1, 1988 Interco Information Statement, at 3.</w:t>
      </w:r>
    </w:p>
    <w:p>
      <w:pPr>
        <w:pStyle w:val="CaseBody"/>
      </w:pPr>
      <w:r>
        <w:t xml:space="preserve">Yet, recognizing the relative closeness of the values and the impossibility of knowing what the stub share will trade at, the board, having arranged a value maximizing restructuring, elected to preclude shareholder choice. It did so not to buy time in order to negotiate or arrange possible alternatives, but asserting in effect a right and duty to save shareholders from the consequences of the choice they might make, if permitted to choose.</w:t>
      </w:r>
    </w:p>
    <w:p>
      <w:pPr>
        <w:pStyle w:val="CaseBody"/>
      </w:pPr>
      <w:r>
        <w:t xml:space="preserve">Without wishing to cast any shadow upon the subjective motivation of the individual defendants</w:t>
      </w:r>
      <w:r>
        <w:t xml:space="preserve"> </w:t>
      </w:r>
      <w:r>
        <w:rPr>
          <w:iCs/>
          <w:i/>
        </w:rPr>
        <w:t xml:space="preserve">(see</w:t>
      </w:r>
      <w:r>
        <w:t xml:space="preserve"> </w:t>
      </w:r>
      <w:r>
        <w:t xml:space="preserve">p. 796,</w:t>
      </w:r>
      <w:r>
        <w:t xml:space="preserve"> </w:t>
      </w:r>
      <w:r>
        <w:rPr>
          <w:iCs/>
          <w:i/>
        </w:rPr>
        <w:t xml:space="preserve">supra),</w:t>
      </w:r>
      <w:r>
        <w:t xml:space="preserve"> </w:t>
      </w:r>
      <w:r>
        <w:t xml:space="preserve">I conclude that reasonable minds not affected by an inherent, entrenched interest in the matter, could not reasonably differ with respect to the conclusion that the CCA $74 cash offer did not represent a threat to shareholder interests sufficient in the circumstances to justify, in effect, foreclosing shareholders from electing to accept that offer.</w:t>
      </w:r>
    </w:p>
    <w:p>
      <w:pPr>
        <w:pStyle w:val="CaseBody"/>
      </w:pPr>
      <w:r>
        <w:t xml:space="preserve">Our corporation law exists, not as an isolated body of rules and principles, but rather in a historical setting and as a part of a larger body of law premised upon shared values. To acknowledge that directors may employ the recent innovation of “poison pills” to deprive shareholders of the ability effectively to choose to accept a noncoercive offer, after the board has had a reasonable opportunity to explore or create alternatives, or attempt to negotiate on the shareholders’ behalf, would, it seems to me, be so inconsistent with widely shared notions of appropriate corporate governance as to threaten to diminish the legitimacy and authority of our corporation law.</w:t>
      </w:r>
    </w:p>
    <w:p>
      <w:pPr>
        <w:pStyle w:val="CaseBody"/>
      </w:pPr>
      <w:r>
        <w:t xml:space="preserve">I thus conclude that the board’s decision not to redeem the rights following the amendment of the offer to $74 per share cannot be justified in the way</w:t>
      </w:r>
      <w:r>
        <w:t xml:space="preserve"> </w:t>
      </w:r>
      <w:r>
        <w:rPr>
          <w:iCs/>
          <w:i/>
        </w:rPr>
        <w:t xml:space="preserve">Unocal</w:t>
      </w:r>
      <w:r>
        <w:t xml:space="preserve"> </w:t>
      </w:r>
      <w:r>
        <w:t xml:space="preserve">requires.</w:t>
      </w:r>
      <w:r>
        <w:rPr>
          <w:rStyle w:val="FootnoteReference"/>
        </w:rPr>
        <w:footnoteReference w:customMarkFollows="1" w:id="340"/>
        <w:t xml:space="preserve">17</w:t>
      </w:r>
      <w:r>
        <w:t xml:space="preserve"> </w:t>
      </w:r>
      <w:r>
        <w:t xml:space="preserve">This determination does not rest upon disputed facts</w:t>
      </w:r>
      <w:r>
        <w:t xml:space="preserve"> </w:t>
      </w:r>
      <w:r>
        <w:rPr>
          <w:iCs/>
          <w:i/>
        </w:rPr>
        <w:t xml:space="preserve">(see</w:t>
      </w:r>
      <w:r>
        <w:t xml:space="preserve"> </w:t>
      </w:r>
      <w:r>
        <w:t xml:space="preserve">pp. 795-796,</w:t>
      </w:r>
      <w:r>
        <w:t xml:space="preserve"> </w:t>
      </w:r>
      <w:r>
        <w:rPr>
          <w:iCs/>
          <w:i/>
        </w:rPr>
        <w:t xml:space="preserve">supra )</w:t>
      </w:r>
      <w:r>
        <w:t xml:space="preserve"> </w:t>
      </w:r>
      <w:r>
        <w:t xml:space="preserve">and I conclude that affirmative relief is therefore permissible at this stage.</w:t>
      </w:r>
    </w:p>
    <w:p>
      <w:pPr>
        <w:pStyle w:val="CaseBody"/>
      </w:pPr>
      <w:r>
        <w:t xml:space="preserve">V.</w:t>
      </w:r>
    </w:p>
    <w:p>
      <w:pPr>
        <w:pStyle w:val="CaseBody"/>
      </w:pPr>
      <w:r>
        <w:t xml:space="preserve">As to irreparable injury, I am moved most importantly by the interests of shareholders — third parties to this action but persons whose interests may legitimately be considered in granting injunctive relief in this sort of case. The loss of an opportunity to effectively choose is, for them, irreparable. While CCA is a shareholder, it here asserts interests as a buyer, not a seller of stock. The question of a bidder/shareholder’s right to enforce fiduciary duties owed to shareholders does not often arise as a practical matter, because there are typically several stockholder class actions that proceed on the same schedule as an action by the bidder.</w:t>
      </w:r>
      <w:r>
        <w:rPr>
          <w:rStyle w:val="FootnoteReference"/>
        </w:rPr>
        <w:footnoteReference w:customMarkFollows="1" w:id="353"/>
        <w:t xml:space="preserve">18</w:t>
      </w:r>
      <w:r>
        <w:t xml:space="preserve"> </w:t>
      </w:r>
      <w:r>
        <w:t xml:space="preserve">Therefore, to my knowledge, this court has not been required to focus upon either the question whether a bidder may enforce such rights,</w:t>
      </w:r>
      <w:r>
        <w:t xml:space="preserve"> </w:t>
      </w:r>
      <w:r>
        <w:rPr>
          <w:iCs/>
          <w:i/>
        </w:rPr>
        <w:t xml:space="preserve">qua</w:t>
      </w:r>
      <w:r>
        <w:t xml:space="preserve"> </w:t>
      </w:r>
      <w:r>
        <w:t xml:space="preserve">stockholder, or whether a bidder may, at least in some circumstances, have some other state law source of right to enforce duties owed to shareholders.</w:t>
      </w:r>
    </w:p>
    <w:p>
      <w:pPr>
        <w:pStyle w:val="CaseBody"/>
      </w:pPr>
      <w:r>
        <w:t xml:space="preserve">As the courts are principally concerned with interests of shareholders in actions in which corporate fiduciary duties are tested, and as the interests of the shareholders of Interco in this instance are implicated here to precisely the same extent as they would have been had the pending class action been consolidated with this action, it seems to make little sense for the court, having determined that the board now has a duty to shareholders to redeem the rights, to fail to protect shareholders by not enforcing that duty specifically. Therefore, in this case, I will hold that CCA, as a shareholder, has standing to assert the rights of a shareholder of Interco to require the board to redeem the stock rights in issue. I note that</w:t>
      </w:r>
      <w:r>
        <w:t xml:space="preserve"> </w:t>
      </w:r>
      <w:r>
        <w:rPr>
          <w:iCs/>
          <w:i/>
        </w:rPr>
        <w:t xml:space="preserve">as to that relief,</w:t>
      </w:r>
      <w:r>
        <w:t xml:space="preserve"> </w:t>
      </w:r>
      <w:r>
        <w:t xml:space="preserve">I perceive no conflict of interest between CCA and other shareholders since its offer is noncoercive. I would distinguish the cited case of</w:t>
      </w:r>
      <w:r>
        <w:t xml:space="preserve"> </w:t>
      </w:r>
      <w:r>
        <w:rPr>
          <w:iCs/>
          <w:i/>
        </w:rPr>
        <w:t xml:space="preserve">Newell Co. v. Wm. E. Wright Co.,</w:t>
      </w:r>
      <w:r>
        <w:t xml:space="preserve"> </w:t>
      </w:r>
      <w:r>
        <w:t xml:space="preserve">Del.Ch.,</w:t>
      </w:r>
      <w:r>
        <w:t xml:space="preserve"> </w:t>
      </w:r>
      <w:r>
        <w:t xml:space="preserve">500 A.2d 974</w:t>
      </w:r>
      <w:r>
        <w:t xml:space="preserve"> </w:t>
      </w:r>
      <w:r>
        <w:t xml:space="preserve">(1985) on the basis that I did not there regard the pill as having a preclusive effect, which as later events showed, was correct in that instance.</w:t>
      </w:r>
    </w:p>
    <w:p>
      <w:pPr>
        <w:pStyle w:val="CaseBody"/>
      </w:pPr>
      <w:r>
        <w:t xml:space="preserve">VI.</w:t>
      </w:r>
    </w:p>
    <w:p>
      <w:pPr>
        <w:pStyle w:val="CaseBody"/>
      </w:pPr>
      <w:r>
        <w:t xml:space="preserve">Plaintiffs also seek an order enjoining any act in furtherance of the restructuring</w:t>
      </w:r>
      <w:r>
        <w:t xml:space="preserve"> </w:t>
      </w:r>
      <w:r>
        <w:rPr>
          <w:iCs/>
          <w:i/>
        </w:rPr>
        <w:t xml:space="preserve">pendente lite.</w:t>
      </w:r>
      <w:r>
        <w:t xml:space="preserve"> </w:t>
      </w:r>
      <w:r>
        <w:t xml:space="preserve">Specifically, they seek to stop the shopping of Ethan Allen Company (or</w:t>
      </w:r>
      <w:r>
        <w:t xml:space="preserve"> </w:t>
      </w:r>
      <w:r>
        <w:rPr>
          <w:iCs/>
          <w:i/>
        </w:rPr>
        <w:t xml:space="preserve">a fortiori</w:t>
      </w:r>
      <w:r>
        <w:t xml:space="preserve"> </w:t>
      </w:r>
      <w:r>
        <w:t xml:space="preserve">its sale) and the dividend distribution of cash and securities to be accomplished no sooner than November 7. The theory offered is essentially the same as that put forward in support of the poison pill relief: these actions are defensive; they are taken by a board that is interested (recall that half of the board members are officers of the Company, or its subsidiaries); that the board is motivated to entrench itself for selfish reasons; it cannot demonstrate the fairness of these acts and, even if it need not, they cannot be justified under</w:t>
      </w:r>
      <w:r>
        <w:t xml:space="preserve"> </w:t>
      </w:r>
      <w:r>
        <w:rPr>
          <w:iCs/>
          <w:i/>
        </w:rPr>
        <w:t xml:space="preserve">Unocal</w:t>
      </w:r>
      <w:r>
        <w:t xml:space="preserve"> </w:t>
      </w:r>
      <w:r>
        <w:t xml:space="preserve">as reasonable in relation to any threat posed by the CCA offer.</w:t>
      </w:r>
    </w:p>
    <w:p>
      <w:pPr>
        <w:pStyle w:val="CaseBody"/>
      </w:pPr>
      <w:r>
        <w:t xml:space="preserve">I take up the specific acts sought to be preliminarily enjoined separately. Before doing so, I refer to note 1 above. Here too, the appropriate test to determine whether these steps qualify for the deferential business judgment form of review is set forth in</w:t>
      </w:r>
      <w:r>
        <w:t xml:space="preserve"> </w:t>
      </w:r>
      <w:r>
        <w:rPr>
          <w:iCs/>
          <w:i/>
        </w:rPr>
        <w:t xml:space="preserve">Unocal</w:t>
      </w:r>
      <w:r>
        <w:t xml:space="preserve"> </w:t>
      </w:r>
      <w:r>
        <w:t xml:space="preserve">Each of the steps quite clearly was taken defensively as part of a reaction to the Rales brothers’ efforts to buy Inter-co, but neither is a self-dealing transaction of the classic sort.</w:t>
      </w:r>
    </w:p>
    <w:p>
      <w:pPr>
        <w:pStyle w:val="CaseBody"/>
      </w:pPr>
      <w:r>
        <w:t xml:space="preserve">As to the sale of Ethan Allen, I conclude that that step does appear clearly to be reasonable in relation to the threat posed by the CCA offer. Above I indicated that it was the case that one could regard either of these alternatives as the more desirable, depending upon one’s liquidity preference, expectation about future events, etc. The board itself was, of course, supplied with specific expert advice that stated that the CCA offer was inadequate. I assumed that the board acted in good faith in adopting that view.</w:t>
      </w:r>
    </w:p>
    <w:p>
      <w:pPr>
        <w:pStyle w:val="CaseBody"/>
      </w:pPr>
      <w:r>
        <w:t xml:space="preserve">I make some additional assumptions about the effort to sell the Ethan Allen business. First, the business is being competently shopped. The record suggests that. Second, the board will not sell it for less than the best available price. Third, the board will not sell it for less than a fair price</w:t>
      </w:r>
      <w:r>
        <w:t xml:space="preserve"> </w:t>
      </w:r>
      <w:r>
        <w:rPr>
          <w:iCs/>
          <w:i/>
        </w:rPr>
        <w:t xml:space="preserve">(i.e.</w:t>
      </w:r>
      <w:r>
        <w:t xml:space="preserve"> </w:t>
      </w:r>
      <w:r>
        <w:t xml:space="preserve">there will be no fire sale price). In the absence of indications by plaintiffs to the contrary, the board is entitled to these assumptions.</w:t>
      </w:r>
    </w:p>
    <w:p>
      <w:pPr>
        <w:pStyle w:val="CaseBody"/>
      </w:pPr>
      <w:r>
        <w:t xml:space="preserve">The question of reasonableness in this setting seems rather easy. Of course, a board acts reasonably in relation to an offer, albeit a noncoercive offer, it believes to be inadequate when it seeks to realize the full, market value of an important asset. Moreover, here the board puts forth sensible reasons why Ethan Allen should be sold under its new business plan.</w:t>
      </w:r>
      <w:r>
        <w:t xml:space="preserve"> </w:t>
      </w:r>
      <w:r>
        <w:rPr>
          <w:iCs/>
          <w:i/>
        </w:rPr>
        <w:t xml:space="preserve">(See</w:t>
      </w:r>
      <w:r>
        <w:t xml:space="preserve"> </w:t>
      </w:r>
      <w:r>
        <w:t xml:space="preserve">p. 794,</w:t>
      </w:r>
      <w:r>
        <w:t xml:space="preserve"> </w:t>
      </w:r>
      <w:r>
        <w:rPr>
          <w:iCs/>
          <w:i/>
        </w:rPr>
        <w:t xml:space="preserve">supra).</w:t>
      </w:r>
      <w:r>
        <w:t xml:space="preserve"> </w:t>
      </w:r>
      <w:r>
        <w:t xml:space="preserve">Finally, as a defensive measure, the sale of Ethan Allen is not a “show stopper” insofar as this offer is concerned. This is not a “crown jewel” sale to a favored bidder; it is a public sale. On my assumption that the price will be a fair price, the corporation will come out no worse from a financial point of view. Moreover, the Rales’ interests are being supplied the same information as others concerning Ethan Allen and they may bid for it. I do understand that this step complicates their life and indeed might imperil CCA’s ability to complete its transaction. CCA, however, has no right to demand that its chosen target remain in status quo while its offer is formulated, gradually increased and, perhaps, accepted. I therefore conclude that the proposed sale of Ethan Allen Company is a defensive step that is reasonable in relation to the mild threat posed by this noncoercive $74 cash offer.</w:t>
      </w:r>
    </w:p>
    <w:p>
      <w:pPr>
        <w:pStyle w:val="CaseBody"/>
      </w:pPr>
      <w:r>
        <w:t xml:space="preserve">As to the dividend question, I will reserve judgment. It is, however, difficult for me to imagine how a pro rata distribution of cash to shareholders could itself ever constitute an unreasonable response to a bid believed to be inadequate. (Collateral agreements respecting use of such cash would raise a more litigable issue).</w:t>
      </w:r>
      <w:r>
        <w:t xml:space="preserve"> </w:t>
      </w:r>
      <w:r>
        <w:rPr>
          <w:iCs/>
          <w:i/>
        </w:rPr>
        <w:t xml:space="preserve">Cf. Ivanhoe Partners v. Newmont Mining Corp., supra.</w:t>
      </w:r>
      <w:r>
        <w:t xml:space="preserve"> </w:t>
      </w:r>
      <w:r>
        <w:t xml:space="preserve">I reserve judgment here, however, because I have not found in the record, and thus have not studied, the covenants contained in the various debt securities. They perhaps have not yet been drafted. Those covenants may contain provisions offering antitakeover protection. In the event they do, the question whether distribution of such securities was a reasonable step in reaction to the threat of an inadequate offer (of the specific proportions involved here) will be one that should be reviewed with particularity. The efficient adjudication of this case, however, warrants issuing an order on what has been decided. Should plaintiffs want a ruling on this issue, they will have to submit a written statement outlining any antitakeover effect the securities proposed to be dividended may contain.</w:t>
      </w:r>
    </w:p>
    <w:p>
      <w:pPr>
        <w:pStyle w:val="CaseBody"/>
      </w:pPr>
      <w:r>
        <w:t xml:space="preserve">VII.</w:t>
      </w:r>
    </w:p>
    <w:p>
      <w:pPr>
        <w:pStyle w:val="CaseBody"/>
      </w:pPr>
      <w:r>
        <w:t xml:space="preserve">Having concluded, under the</w:t>
      </w:r>
      <w:r>
        <w:t xml:space="preserve"> </w:t>
      </w:r>
      <w:r>
        <w:rPr>
          <w:iCs/>
          <w:i/>
        </w:rPr>
        <w:t xml:space="preserve">Unocal</w:t>
      </w:r>
      <w:r>
        <w:t xml:space="preserve"> </w:t>
      </w:r>
      <w:r>
        <w:t xml:space="preserve">analysis, that — putting aside the question of the poison pill — the restructuring appears at this stage to be a reasonable response to the CCA offer that is perceived as inadequate, it is necessary to address briefly CCA’s argument that the implementation of that restructuring in this setting constitutes a violation of the board’s fiduciary duty under</w:t>
      </w:r>
      <w:r>
        <w:t xml:space="preserve"> </w:t>
      </w:r>
      <w:r>
        <w:rPr>
          <w:iCs/>
          <w:i/>
        </w:rPr>
        <w:t xml:space="preserve">Revlon v. MacAndrews &amp; Forbes Holdings, Inc.,</w:t>
      </w:r>
      <w:r>
        <w:t xml:space="preserve"> </w:t>
      </w:r>
      <w:r>
        <w:t xml:space="preserve">Del.Supr.,</w:t>
      </w:r>
      <w:r>
        <w:t xml:space="preserve"> </w:t>
      </w:r>
      <w:r>
        <w:t xml:space="preserve">506 A.2d 173</w:t>
      </w:r>
      <w:r>
        <w:t xml:space="preserve"> </w:t>
      </w:r>
      <w:r>
        <w:t xml:space="preserve">(1986). That argument, in essence, is that the restructuring — which involves the sale of assets generating about one-half of Interco’s sales; massive borrowings; and the distribution to shareholders of cash and debt securities (excluding the preferred stock) per share equal to approximately 85% of the market value of Interco’s stock</w:t>
      </w:r>
      <w:r>
        <w:rPr>
          <w:rStyle w:val="FootnoteReference"/>
        </w:rPr>
        <w:footnoteReference w:customMarkFollows="1" w:id="366"/>
        <w:t xml:space="preserve">19</w:t>
      </w:r>
      <w:r>
        <w:t xml:space="preserve"> </w:t>
      </w:r>
      <w:r>
        <w:t xml:space="preserve">— in effect involves the breakup and sale of the Company as it has existed. This argument contends that such a transaction, even if not in form a sale, necessarily involves a duty recognized in</w:t>
      </w:r>
      <w:r>
        <w:t xml:space="preserve"> </w:t>
      </w:r>
      <w:r>
        <w:rPr>
          <w:iCs/>
          <w:i/>
        </w:rPr>
        <w:t xml:space="preserve">Revlon</w:t>
      </w:r>
      <w:r>
        <w:t xml:space="preserve"> </w:t>
      </w:r>
      <w:r>
        <w:t xml:space="preserve">to sell the Company, through an auction, only for the best available price.</w:t>
      </w:r>
    </w:p>
    <w:p>
      <w:pPr>
        <w:pStyle w:val="CaseBody"/>
      </w:pPr>
      <w:r>
        <w:t xml:space="preserve">To this assertion, the defendants reply that Interco is not for sale and, in any event, the board intends to force upon the stockholders the best available transaction anyway. In authorizing management to discuss the terms on which the Company might be sold (which the board did), the board was only fulfilling its obligation to be informed; it has never made a determination that it was in the best interests of the shareholders to sell the Company. Thus, it is said that the teaching of</w:t>
      </w:r>
      <w:r>
        <w:t xml:space="preserve"> </w:t>
      </w:r>
      <w:r>
        <w:rPr>
          <w:iCs/>
          <w:i/>
        </w:rPr>
        <w:t xml:space="preserve">Revlon,</w:t>
      </w:r>
      <w:r>
        <w:t xml:space="preserve"> </w:t>
      </w:r>
      <w:r>
        <w:t xml:space="preserve">even if it is presumed to reach every sale of a Company, is not implicated here.</w:t>
      </w:r>
    </w:p>
    <w:p>
      <w:pPr>
        <w:pStyle w:val="CaseBody"/>
      </w:pPr>
      <w:r>
        <w:t xml:space="preserve">I agree that the board of Interco has no duty, in the circumstances as they now appear, to conduct an auction sale of the Company. I do not think this question, however, is answered by merely referring to a board resolve to try to keep the Company independent.</w:t>
      </w:r>
    </w:p>
    <w:p>
      <w:pPr>
        <w:pStyle w:val="CaseBody"/>
      </w:pPr>
      <w:r>
        <w:t xml:space="preserve">The contours of a board’s duties in the face of a takeover attempt are not, stated generally, different from the duties the board always bears: to act in an informed manner and in the good faith pursuit of corporate interests and only for that purpose.</w:t>
      </w:r>
      <w:r>
        <w:t xml:space="preserve"> </w:t>
      </w:r>
      <w:r>
        <w:rPr>
          <w:iCs/>
          <w:i/>
        </w:rPr>
        <w:t xml:space="preserve">Unocal,</w:t>
      </w:r>
      <w:r>
        <w:t xml:space="preserve"> </w:t>
      </w:r>
      <w:r>
        <w:t xml:space="preserve">of course, adds that where the board acts to defeat such an offer, its steps must be reasonable in light of the threat created by the offer. But I do not think that</w:t>
      </w:r>
      <w:r>
        <w:t xml:space="preserve"> </w:t>
      </w:r>
      <w:r>
        <w:rPr>
          <w:iCs/>
          <w:i/>
        </w:rPr>
        <w:t xml:space="preserve">Revlon</w:t>
      </w:r>
      <w:r>
        <w:t xml:space="preserve"> </w:t>
      </w:r>
      <w:r>
        <w:t xml:space="preserve">intended to narrowly circumscribe the range of reactions that a board may make in good faith to an attempt to seize control of a corporation. Even when the corporation is clearly “for sale,” a disinterested board or committee maintains the right and the obligation to exercise business judgment in pursuing the stockholders’ interest.</w:t>
      </w:r>
      <w:r>
        <w:t xml:space="preserve"> </w:t>
      </w:r>
      <w:r>
        <w:rPr>
          <w:iCs/>
          <w:i/>
        </w:rPr>
        <w:t xml:space="preserve">See, e.g., In Re J.P. Stevens &amp; Co., Inc. Shareholders Litigation,</w:t>
      </w:r>
      <w:r>
        <w:t xml:space="preserve"> </w:t>
      </w:r>
      <w:r>
        <w:t xml:space="preserve">Del.Ch.,</w:t>
      </w:r>
      <w:r>
        <w:t xml:space="preserve"> </w:t>
      </w:r>
      <w:r>
        <w:t xml:space="preserve">542 A.2d 770</w:t>
      </w:r>
      <w:r>
        <w:t xml:space="preserve"> </w:t>
      </w:r>
      <w:r>
        <w:t xml:space="preserve">(1988);</w:t>
      </w:r>
      <w:r>
        <w:t xml:space="preserve"> </w:t>
      </w:r>
      <w:r>
        <w:rPr>
          <w:iCs/>
          <w:i/>
        </w:rPr>
        <w:t xml:space="preserve">In Re Fort Howard Corp. Shareholders Litigation,</w:t>
      </w:r>
      <w:r>
        <w:t xml:space="preserve"> </w:t>
      </w:r>
      <w:r>
        <w:t xml:space="preserve">Del.Ch., C.A. No. 9991, Allen, C. (August 8, 1988) [</w:t>
      </w:r>
      <w:r>
        <w:t xml:space="preserve">1988 WL 83147</w:t>
      </w:r>
      <w:r>
        <w:t xml:space="preserve">];</w:t>
      </w:r>
      <w:r>
        <w:t xml:space="preserve"> </w:t>
      </w:r>
      <w:r>
        <w:rPr>
          <w:iCs/>
          <w:i/>
        </w:rPr>
        <w:t xml:space="preserve">Mills Acquisition Co. v. Macmillan, Inc.,</w:t>
      </w:r>
      <w:r>
        <w:t xml:space="preserve"> </w:t>
      </w:r>
      <w:r>
        <w:t xml:space="preserve">Del.Ch., C.A. No. 10168, Jacobs, V.C. (October 17, 1988).</w:t>
      </w:r>
    </w:p>
    <w:p>
      <w:pPr>
        <w:pStyle w:val="CaseBody"/>
      </w:pPr>
      <w:r>
        <w:rPr>
          <w:iCs/>
          <w:i/>
        </w:rPr>
        <w:t xml:space="preserve">Revlon</w:t>
      </w:r>
      <w:r>
        <w:t xml:space="preserve"> </w:t>
      </w:r>
      <w:r>
        <w:t xml:space="preserve">dealt factually with an ongoing bidding contest for corporate control. In that context, its holding that the board could not prefer one bidder to another but was required to permit the auction to proceed to its highest price unimpeded, can be seen as an application of traditional Delaware law: a fiduciary cannot sell for less when more is available on similar terms.</w:t>
      </w:r>
      <w:r>
        <w:rPr>
          <w:rStyle w:val="FootnoteReference"/>
        </w:rPr>
        <w:footnoteReference w:customMarkFollows="1" w:id="379"/>
        <w:t xml:space="preserve">20</w:t>
      </w:r>
    </w:p>
    <w:p>
      <w:pPr>
        <w:pStyle w:val="CaseBody"/>
      </w:pPr>
      <w:r>
        <w:rPr>
          <w:iCs/>
          <w:i/>
        </w:rPr>
        <w:t xml:space="preserve">Revlon</w:t>
      </w:r>
      <w:r>
        <w:t xml:space="preserve"> </w:t>
      </w:r>
      <w:r>
        <w:t xml:space="preserve">should not, in my opinion, be interpreted as representing a sharp turn in our law. It does not require, for example, that before every corporate merger agreement can validly be entered into, the constituent corporations must be “shopped” or, more radically, an auction process undertaken, even though a merger may be regarded as a sale of the Company. But mergers or recapitalizations or other important corporate transactions may be authorized by a board only advisedly. There must be a reasonable basis for the board of directors involved to conclude that the transaction involved is in the best interest of the shareholders. This involves having information about possible alternatives. The essence of rational choice is an assessment of costs and benefits and the consideration of alternatives.</w:t>
      </w:r>
    </w:p>
    <w:p>
      <w:pPr>
        <w:pStyle w:val="CaseBody"/>
      </w:pPr>
      <w:r>
        <w:t xml:space="preserve">Indeed, the central obligation of a board</w:t>
      </w:r>
      <w:r>
        <w:t xml:space="preserve"> </w:t>
      </w:r>
      <w:r>
        <w:rPr>
          <w:iCs/>
          <w:i/>
        </w:rPr>
        <w:t xml:space="preserve">(assuming it acts in good faith</w:t>
      </w:r>
      <w:r>
        <w:t xml:space="preserve"> </w:t>
      </w:r>
      <w:r>
        <w:t xml:space="preserve">—an assumption that would not hold for</w:t>
      </w:r>
      <w:r>
        <w:t xml:space="preserve"> </w:t>
      </w:r>
      <w:r>
        <w:rPr>
          <w:iCs/>
          <w:i/>
        </w:rPr>
        <w:t xml:space="preserve">Revlon)</w:t>
      </w:r>
      <w:r>
        <w:t xml:space="preserve"> </w:t>
      </w:r>
      <w:r>
        <w:t xml:space="preserve">is to act in an informed manner. When the transaction is so fundamental as the restructuring here (or a sale or merger of the Company), the obligation to be informed would seem to require that reliable information about the value of alternative transactions be explored. When the transaction is a sale of the Company, in which the interests of current stockholders will be converted to cash or otherwise terminated, the requirement to be well informed would ordinarily mandate an appropriate probing of the market for alternatives (and a public auction, should interest be shown). Particularly is that true when a sale is to a management affiliated group (the ubiquitous management LBO transactions) for apparent reasons involving human frailty. But even in that setting, fiduciary obligations can be met in ways other than a traditional auction, if the procedure supplies the board with information from which it can conclude that it has arranged the best available transaction for shareholders.</w:t>
      </w:r>
      <w:r>
        <w:t xml:space="preserve"> </w:t>
      </w:r>
      <w:r>
        <w:rPr>
          <w:iCs/>
          <w:i/>
        </w:rPr>
        <w:t xml:space="preserve">See, e.g., In Re Fort Howard Corp. Shareholders Litigation,</w:t>
      </w:r>
      <w:r>
        <w:rPr>
          <w:iCs/>
          <w:i/>
        </w:rPr>
        <w:t xml:space="preserve"> </w:t>
      </w:r>
      <w:r>
        <w:rPr>
          <w:iCs/>
          <w:i/>
        </w:rPr>
        <w:t xml:space="preserve">supra</w:t>
      </w:r>
      <w:r>
        <w:t xml:space="preserve"> </w:t>
      </w:r>
      <w:r>
        <w:t xml:space="preserve">(post contract “market check” adequate to meet fiduciary duties).</w:t>
      </w:r>
    </w:p>
    <w:p>
      <w:pPr>
        <w:pStyle w:val="CaseBody"/>
      </w:pPr>
      <w:r>
        <w:t xml:space="preserve">When, as in</w:t>
      </w:r>
      <w:r>
        <w:t xml:space="preserve"> </w:t>
      </w:r>
      <w:r>
        <w:rPr>
          <w:iCs/>
          <w:i/>
        </w:rPr>
        <w:t xml:space="preserve">Revlon,</w:t>
      </w:r>
      <w:r>
        <w:t xml:space="preserve"> </w:t>
      </w:r>
      <w:r>
        <w:t xml:space="preserve">two bidders are actively contesting for control of a company, the most reliable source of information as to what may be the best available transaction will come out of an open contest or auction. Thus,</w:t>
      </w:r>
      <w:r>
        <w:t xml:space="preserve"> </w:t>
      </w:r>
      <w:r>
        <w:rPr>
          <w:iCs/>
          <w:i/>
        </w:rPr>
        <w:t xml:space="preserve">Revlon</w:t>
      </w:r>
      <w:r>
        <w:t xml:space="preserve"> </w:t>
      </w:r>
      <w:r>
        <w:t xml:space="preserve">holds that where it is clear that the firm will be sold, and such a contest is going forward, the board’s duty is to act with respect to it so as to encourage the best possible result from the shareholders’ point of view.</w:t>
      </w:r>
    </w:p>
    <w:p>
      <w:pPr>
        <w:pStyle w:val="CaseBody"/>
      </w:pPr>
      <w:r>
        <w:t xml:space="preserve">When the transaction is a defensive recapitalization, a board may not proceed, consistently with its duty to be informed, without appropriately considering relevant information relating to alternatives.</w:t>
      </w:r>
      <w:r>
        <w:rPr>
          <w:rStyle w:val="FootnoteReference"/>
        </w:rPr>
        <w:footnoteReference w:customMarkFollows="1" w:id="392"/>
        <w:t xml:space="preserve">21</w:t>
      </w:r>
      <w:r>
        <w:t xml:space="preserve"> </w:t>
      </w:r>
      <w:r>
        <w:t xml:space="preserve">But if a board does probe prudently to ascertain possible alternative values, and thus is in a position to act advisedly, I do not understand the</w:t>
      </w:r>
      <w:r>
        <w:t xml:space="preserve"> </w:t>
      </w:r>
      <w:r>
        <w:rPr>
          <w:iCs/>
          <w:i/>
        </w:rPr>
        <w:t xml:space="preserve">Revlon</w:t>
      </w:r>
      <w:r>
        <w:t xml:space="preserve"> </w:t>
      </w:r>
      <w:r>
        <w:t xml:space="preserve">holding as requiring it to turn to an auction alternative, if it has arrived at a good faith, informed determination that a recapitalization or other form of transaction is more beneficial to shareholders.</w:t>
      </w:r>
      <w:r>
        <w:t xml:space="preserve"> </w:t>
      </w:r>
      <w:r>
        <w:rPr>
          <w:iCs/>
          <w:i/>
        </w:rPr>
        <w:t xml:space="preserve">Compare Black &amp; Decker Corp. v. American Standard, Inc.,</w:t>
      </w:r>
      <w:r>
        <w:t xml:space="preserve"> </w:t>
      </w:r>
      <w:r>
        <w:t xml:space="preserve">682 F.Supp. 772</w:t>
      </w:r>
      <w:r>
        <w:t xml:space="preserve"> </w:t>
      </w:r>
      <w:r>
        <w:t xml:space="preserve">(D.Del.1988). Should the board produce a reactive recapitalization, any steps it may take to implement it in the face of an offer for all stock may, as here, be judicially tested not under</w:t>
      </w:r>
      <w:r>
        <w:t xml:space="preserve"> </w:t>
      </w:r>
      <w:r>
        <w:rPr>
          <w:iCs/>
          <w:i/>
        </w:rPr>
        <w:t xml:space="preserve">Revlon,</w:t>
      </w:r>
      <w:r>
        <w:t xml:space="preserve"> </w:t>
      </w:r>
      <w:r>
        <w:t xml:space="preserve">but under the</w:t>
      </w:r>
      <w:r>
        <w:t xml:space="preserve"> </w:t>
      </w:r>
      <w:r>
        <w:rPr>
          <w:iCs/>
          <w:i/>
        </w:rPr>
        <w:t xml:space="preserve">Unocal</w:t>
      </w:r>
      <w:r>
        <w:t xml:space="preserve"> </w:t>
      </w:r>
      <w:r>
        <w:t xml:space="preserve">form of judicial review.</w:t>
      </w:r>
    </w:p>
    <w:p>
      <w:pPr>
        <w:pStyle w:val="CaseBody"/>
      </w:pPr>
      <w:r>
        <w:t xml:space="preserve">Here, given the significance of the restructuring and its character as an alternative to an all cash tender offer, the requirement to inform oneself of possible alternatives may be seen as demanding. It appears, however, that defendants have appropriately informed themselves. While the record is not well developed (defendants aggressively sought to prevent disclosure of alternative prospects being con</w:t>
      </w:r>
      <w:r>
        <w:rPr>
          <w:iCs/>
          <w:i/>
        </w:rPr>
        <w:t xml:space="preserve">sidered</w:t>
      </w:r>
      <w:r>
        <w:t xml:space="preserve"> </w:t>
      </w:r>
      <w:r>
        <w:t xml:space="preserve">— see Mohr deposition), it appears that Interco officials did explore with expert third parties the Company’s value in an LBO transaction. Moreover, the board has seen that no offer competing with the CCA offer has emerged over an extended period. Finally, the board was advised by a competent banker (albeit with a conflicting financial interest) concerning value.</w:t>
      </w:r>
    </w:p>
    <w:p>
      <w:pPr>
        <w:pStyle w:val="CaseBody"/>
      </w:pPr>
      <w:r>
        <w:t xml:space="preserve">Accordingly, I can detect no basis to conclude that the board did not proceed prudently and in good faith to pursue the restructuring as an alternative to the CCA offer. I do not read</w:t>
      </w:r>
      <w:r>
        <w:t xml:space="preserve"> </w:t>
      </w:r>
      <w:r>
        <w:rPr>
          <w:iCs/>
          <w:i/>
        </w:rPr>
        <w:t xml:space="preserve">Revlon</w:t>
      </w:r>
      <w:r>
        <w:t xml:space="preserve"> </w:t>
      </w:r>
      <w:r>
        <w:t xml:space="preserve">as requiring it to follow any different course.</w:t>
      </w:r>
    </w:p>
    <w:p>
      <w:pPr>
        <w:pStyle w:val="CaseBody"/>
      </w:pPr>
      <w:r>
        <w:t xml:space="preserve">The parties may confer concerning an appropriate form of mandatory injunction order to be entered. Assuming agreement cannot be reached, plaintiff shall schedule a conference with the court promptly.</w:t>
      </w:r>
    </w:p>
    <w:bookmarkStart w:id="127" w:name="_auto_toc_127"/>
    <w:bookmarkEnd w:id="127"/>
    <w:p>
      <w:pPr>
        <w:pStyle w:val="ResourceNumber"/>
      </w:pPr>
      <w:r>
        <w:t xml:space="preserve">10.2.3</w:t>
      </w:r>
    </w:p>
    <w:p>
      <w:pPr>
        <w:pStyle w:val="ResourceTitle"/>
      </w:pPr>
      <w:r>
        <w:t xml:space="preserve">Air Products &amp; Chemicals, Inc. v. Airgas, Inc.</w:t>
      </w:r>
    </w:p>
    <w:p>
      <w:pPr>
        <w:pStyle w:val="HeadEnd"/>
      </w:pPr>
      <w:r>
        <w:t xml:space="preserve"> </w:t>
      </w:r>
    </w:p>
    <w:p>
      <w:pPr>
        <w:pStyle w:val="BodyText"/>
      </w:pPr>
      <w:r>
        <w:t xml:space="preserve">16 A.3d 48 (2011)</w:t>
      </w:r>
    </w:p>
    <w:bookmarkStart w:id="299" w:name="X8c89d7cf78ebf3792d17682e579ebee0f3ae422"/>
    <w:p>
      <w:pPr>
        <w:pStyle w:val="Heading2"/>
      </w:pPr>
      <w:r>
        <w:t xml:space="preserve">AIR PRODUCTS AND CHEMICALS, INC., Plaintiff,</w:t>
      </w:r>
      <w:r>
        <w:br/>
      </w:r>
      <w:r>
        <w:t xml:space="preserve">v.</w:t>
      </w:r>
      <w:r>
        <w:br/>
      </w:r>
      <w:r>
        <w:t xml:space="preserve">AIRGAS, INC., Peter McCausland, James W. Hovey, Paula A. Sneed, David M. Stout, Ellen C. Wolf, Lee M. Thomas and John C. van Roden, Jr., Defendants.</w:t>
      </w:r>
      <w:r>
        <w:br/>
      </w:r>
      <w:r>
        <w:t xml:space="preserve">In re Airgas Inc. Shareholder Litigation.</w:t>
      </w:r>
    </w:p>
    <w:p>
      <w:pPr>
        <w:pStyle w:val="FirstParagraph"/>
      </w:pPr>
      <w:r>
        <w:rPr>
          <w:rStyle w:val="Elision"/>
        </w:rPr>
        <w:t xml:space="preserve">[ … ]</w:t>
      </w:r>
    </w:p>
    <w:bookmarkEnd w:id="299"/>
    <w:bookmarkStart w:id="300" w:name="opinion-2"/>
    <w:p>
      <w:pPr>
        <w:pStyle w:val="Heading2"/>
      </w:pPr>
      <w:r>
        <w:rPr>
          <w:iCs/>
          <w:i/>
        </w:rPr>
        <w:t xml:space="preserve">OPINION</w:t>
      </w:r>
    </w:p>
    <w:bookmarkEnd w:id="300"/>
    <w:bookmarkStart w:id="301" w:name="chandler-chancellor."/>
    <w:p>
      <w:pPr>
        <w:pStyle w:val="Heading2"/>
      </w:pPr>
      <w:r>
        <w:t xml:space="preserve">CHANDLER, Chancellor.</w:t>
      </w:r>
    </w:p>
    <w:p>
      <w:pPr>
        <w:pStyle w:val="FirstParagraph"/>
      </w:pPr>
      <w:r>
        <w:t xml:space="preserve">This case poses the following fundamental question: Can a board of directors, acting in good faith and with a reasonable factual basis for its decision, when faced with a structurally non-coercive, all-cash, fully financed tender offer directed to the stockholders of the corporation, keep a poison pill in place so as to prevent the stockholders from making their own decision about whether they want to tender their shares—even after the incumbent board has lost one election contest, a full year has gone by since the offer was first made public, and the stockholders are fully informed as to the target board's views on the inadequacy of the offer? If so, does that effectively mean that a board can "just say never" to a hostile tender offer?</w:t>
      </w:r>
    </w:p>
    <w:p>
      <w:pPr>
        <w:pStyle w:val="BodyText"/>
      </w:pPr>
      <w:r>
        <w:t xml:space="preserve">The answer to the latter question is "no." A board cannot</w:t>
      </w:r>
      <w:r>
        <w:t xml:space="preserve"> </w:t>
      </w:r>
      <w:r>
        <w:rPr>
          <w:iCs/>
          <w:i/>
        </w:rPr>
        <w:t xml:space="preserve">"just</w:t>
      </w:r>
      <w:r>
        <w:t xml:space="preserve"> </w:t>
      </w:r>
      <w:r>
        <w:t xml:space="preserve">say no" to a tender offer. Under Delaware law, it must first pass through two prongs of exacting judicial scrutiny by a judge who will evaluate the actions taken by, and the motives of, the board. Only a board of directors found to be acting in good faith, after reasonable investigation and reliance on the advice of outside advisors, which articulates and convinces the Court that a hostile tender offer poses a legitimate threat to the corporate enterprise, may address that perceived threat by blocking the tender offer and forcing the bidder to elect a board majority that supports its bid.</w:t>
      </w:r>
    </w:p>
    <w:p>
      <w:pPr>
        <w:pStyle w:val="BodyText"/>
      </w:pPr>
      <w:r>
        <w:t xml:space="preserve">In essence, this case brings to the fore one of the most basic questions animating all of corporate law, which relates to the allocation of power between directors and stockholders. That is, "when, if ever, will a board's duty to `the corporation and its shareholders' require [the board] to abandon concerns for `long term' values (and other constituencies) and enter a current share value maximizing mode?"</w:t>
      </w:r>
      <w:hyperlink w:anchor="X8bc65d4835d2dfbe01adea644133a564b7ef696">
        <w:r>
          <w:rPr>
            <w:rStyle w:val="Hyperlink"/>
            <w:vertAlign w:val="superscript"/>
          </w:rPr>
          <w:t xml:space="preserve">[1]</w:t>
        </w:r>
      </w:hyperlink>
      <w:r>
        <w:t xml:space="preserve"> </w:t>
      </w:r>
      <w:r>
        <w:t xml:space="preserve">More to the point, in the context of a hostile tender offer, who gets to decide when and if the corporation is for sale?</w:t>
      </w:r>
    </w:p>
    <w:p>
      <w:pPr>
        <w:pStyle w:val="BodyText"/>
      </w:pPr>
      <w:r>
        <w:t xml:space="preserve">[55] Since the Shareholder Rights Plan (more commonly known as the "poison pill") was first conceived and throughout the development of Delaware corporate takeover jurisprudence during the twenty-five-plus years that followed, the debate over who ultimately decides whether a tender offer is adequate and should be accepted—the shareholders of the corporation or its board of directors—has raged on. Starting with</w:t>
      </w:r>
      <w:r>
        <w:t xml:space="preserve"> </w:t>
      </w:r>
      <w:r>
        <w:rPr>
          <w:iCs/>
          <w:i/>
        </w:rPr>
        <w:t xml:space="preserve">Moran v. Household International, Inc.</w:t>
      </w:r>
      <w:hyperlink w:anchor="X4ed55e09952998f0fba37fd257686c04a4e9ec9">
        <w:r>
          <w:rPr>
            <w:rStyle w:val="Hyperlink"/>
            <w:vertAlign w:val="superscript"/>
          </w:rPr>
          <w:t xml:space="preserve">[2]</w:t>
        </w:r>
      </w:hyperlink>
      <w:r>
        <w:t xml:space="preserve"> </w:t>
      </w:r>
      <w:r>
        <w:t xml:space="preserve">in 1985, when the Delaware Supreme Court first upheld the adoption of the poison pill as a valid takeover defense, through the hostile takeover years of the 1980s, and in several recent decisions of the Court of Chancery and the Delaware Supreme Court,</w:t>
      </w:r>
      <w:hyperlink w:anchor="X6f043f2f186fbe60c6513cf5457704e57499489">
        <w:r>
          <w:rPr>
            <w:rStyle w:val="Hyperlink"/>
            <w:vertAlign w:val="superscript"/>
          </w:rPr>
          <w:t xml:space="preserve">[3]</w:t>
        </w:r>
      </w:hyperlink>
      <w:r>
        <w:t xml:space="preserve"> </w:t>
      </w:r>
      <w:r>
        <w:t xml:space="preserve">this fundamental question has engaged practitioners, academics, and members of the judiciary, but it has yet to be confronted head on.</w:t>
      </w:r>
    </w:p>
    <w:p>
      <w:pPr>
        <w:pStyle w:val="BodyText"/>
      </w:pPr>
      <w:r>
        <w:t xml:space="preserve">For the reasons much more fully described in the remainder of this Opinion, I conclude that, as Delaware law currently stands, the answer must be that the power to defeat an inadequate hostile tender offer ultimately lies with the board of directors. As such, I find that the Airgas board has met its burden under</w:t>
      </w:r>
      <w:r>
        <w:t xml:space="preserve"> </w:t>
      </w:r>
      <w:r>
        <w:rPr>
          <w:iCs/>
          <w:i/>
        </w:rPr>
        <w:t xml:space="preserve">Unocal</w:t>
      </w:r>
      <w:r>
        <w:t xml:space="preserve"> </w:t>
      </w:r>
      <w:r>
        <w:t xml:space="preserve">to articulate a legally cognizable threat (the allegedly inadequate price of Air Products' offer, coupled with the fact that a majority of Airgas's stockholders would likely tender into that inadequate offer) and has taken defensive measures that fall within a range of reasonable responses proportionate to that threat. I thus rule in favor of defendants. Air Products' and the Shareholder Plaintiffs' requests for relief are denied, and all claims asserted against defendants are dismissed with prejudice.</w:t>
      </w:r>
      <w:hyperlink w:anchor="X8f6e9fa761f22ad6ab5241a45d8601ae612eb1f">
        <w:r>
          <w:rPr>
            <w:rStyle w:val="Hyperlink"/>
            <w:vertAlign w:val="superscript"/>
          </w:rPr>
          <w:t xml:space="preserve">[4]</w:t>
        </w:r>
      </w:hyperlink>
    </w:p>
    <w:bookmarkEnd w:id="301"/>
    <w:bookmarkStart w:id="302" w:name="introduction"/>
    <w:p>
      <w:pPr>
        <w:pStyle w:val="Heading2"/>
      </w:pPr>
      <w:r>
        <w:t xml:space="preserve">INTRODUCTION</w:t>
      </w:r>
    </w:p>
    <w:p>
      <w:pPr>
        <w:pStyle w:val="FirstParagraph"/>
      </w:pPr>
      <w:r>
        <w:t xml:space="preserve">This is the Court's decision after trial, extensive post-trial briefing, and a supplemental evidentiary hearing in this long-running takeover battle between Air Products &amp; Chemicals, Inc. ("Air Products") and Airgas, Inc. ("Airgas"). The now very public saga began quietly in mid-October 2009 when John McGlade, President and CEO of Air Products, privately approached Peter McCausland, founder and CEO of Airgas, about a potential acquisition or combination. After McGlade's private advances were rebuffed, Air Products went hostile in February 2010, launching a public tender offer for all outstanding Airgas shares.</w:t>
      </w:r>
    </w:p>
    <w:p>
      <w:pPr>
        <w:pStyle w:val="BodyText"/>
      </w:pPr>
      <w:r>
        <w:t xml:space="preserve">Now, over a year since Air Products first announced its all-shares, all-cash tender offer, the terms of that offer (other than price) remain essentially unchanged.</w:t>
      </w:r>
      <w:hyperlink w:anchor="X521b5ae9d4da1d8b5ea3f7587746ee3da79a16f">
        <w:r>
          <w:rPr>
            <w:rStyle w:val="Hyperlink"/>
            <w:vertAlign w:val="superscript"/>
          </w:rPr>
          <w:t xml:space="preserve">[5]</w:t>
        </w:r>
      </w:hyperlink>
      <w:r>
        <w:t xml:space="preserve"> </w:t>
      </w:r>
      <w:r>
        <w:t xml:space="preserve">After several price bumps and extensions, the offer currently stands at $70 per share and is set to expire today, February 15, 2011—Air Products' stated "best and final" offer. The Airgas board unanimously rejected that offer as being "clearly inadequate."</w:t>
      </w:r>
      <w:hyperlink w:anchor="X8317bf6d01795186cfa932329745a1f8a73857d">
        <w:r>
          <w:rPr>
            <w:rStyle w:val="Hyperlink"/>
            <w:vertAlign w:val="superscript"/>
          </w:rPr>
          <w:t xml:space="preserve">[6]</w:t>
        </w:r>
      </w:hyperlink>
      <w:r>
        <w:t xml:space="preserve"> </w:t>
      </w:r>
      <w:r>
        <w:t xml:space="preserve">The Airgas board has repeatedly [56] expressed the view that Airgas is worth at least $78 per share in a sale transaction—and at any rate, far more than the $70 per share Air Products is offering.</w:t>
      </w:r>
    </w:p>
    <w:p>
      <w:pPr>
        <w:pStyle w:val="BodyText"/>
      </w:pPr>
      <w:r>
        <w:t xml:space="preserve">So, we are at a crossroads. Air Products has made its "best and final" offer—apparently its offer to acquire Airgas has reached an end stage. Meanwhile, the Airgas board believes the offer is clearly inadequate and its value in a sale transaction is at least $78 per share. At this stage, it appears, neither side will budge. Airgas continues to maintain its defenses, blocking the bid and effectively denying shareholders the choice whether to tender their shares. Air Products and Shareholder Plaintiffs now ask this Court to order Airgas to redeem its poison pill and other defenses that are stopping Air Products from moving forward with its hostile offer, and to allow Airgas's stockholders to decide for themselves whether they want to tender into Air Products' (inadequate or not) $70 "best and final" offer.</w:t>
      </w:r>
    </w:p>
    <w:p>
      <w:pPr>
        <w:pStyle w:val="BodyText"/>
      </w:pPr>
      <w:r>
        <w:t xml:space="preserve">A week-long trial in this case was held from October 4, 2010 through October 8, 2010. Hundreds of pages of post-trial memoranda were submitted by the parties. After trial, several legal, factual, and evidentiary questions remained to be answered. In ruling on certain outstanding evidentiary issues, I sent counsel a Letter Order on December 2, 2010 asking for answers to a number of questions to be addressed in supplemental post-trial briefing. On the eve of the parties' submissions to the Court in response to that Letter Order, Air Products raised its offer to the $70 "best and final" number. At that point, defendants vigorously opposed a ruling based on the October trial record, suggesting that the entire trial (indeed, the entire case) was moot because the October trial predominantly focused on the Airgas board's response to Air Products' then-$65.50 offer and the board's decision to keep its defenses in place with respect to that offer. Defendants further suggested that any ruling with respect to the $70 offer was not ripe because the board had not yet met to consider that offer.</w:t>
      </w:r>
    </w:p>
    <w:p>
      <w:pPr>
        <w:pStyle w:val="BodyText"/>
      </w:pPr>
      <w:r>
        <w:t xml:space="preserve">I rejected both the mootness and ripeness arguments.</w:t>
      </w:r>
      <w:hyperlink w:anchor="Xf1c70c1fc157f74bdd41a9c0991799f66643f38">
        <w:r>
          <w:rPr>
            <w:rStyle w:val="Hyperlink"/>
            <w:vertAlign w:val="superscript"/>
          </w:rPr>
          <w:t xml:space="preserve">[7]</w:t>
        </w:r>
      </w:hyperlink>
      <w:r>
        <w:t xml:space="preserve"> </w:t>
      </w:r>
      <w:r>
        <w:t xml:space="preserve">As for mootness, Air Products had previously raised its bid several times throughout the litigation but the core question before me—whether Air Products' offer continues to pose a threat justifying Airgas's continued maintenance of its poison pill—remained, and remains, the same. And as for ripeness, by the time of the December 23 Letter Order the Airgas board had met and rejected Air Products' revised $70 offer. I did, however, allow the parties to take supplemental discovery relating to the $70 offer. A supplemental evidentiary hearing was held from January 25 through January 27, 2011, in order to complete the record on the $70 offer. Counsel presented closing arguments on February 8, 2011.</w:t>
      </w:r>
    </w:p>
    <w:p>
      <w:pPr>
        <w:pStyle w:val="BodyText"/>
      </w:pPr>
      <w:r>
        <w:t xml:space="preserve">Now, having thoroughly read, reviewed, and reflected upon all of the evidence presented to me, and having carefully considered the arguments made by counsel, I conclude that the Airgas board, in proceeding as it has since October 2009, has not breached its fiduciary duties owed to the Airgas stockholders. I find that the board has acted in good faith and in the honest belief that the Air Products offer, at $70 per share, is inadequate.</w:t>
      </w:r>
    </w:p>
    <w:p>
      <w:pPr>
        <w:pStyle w:val="BodyText"/>
      </w:pPr>
      <w:r>
        <w:t xml:space="preserve">Although I have a hard time believing that inadequate price alone (according to the target's board) in the context of a nondiscriminatory, all-cash, all-shares, fully financed offer poses any "threat"—particularly given the wealth of information available to Airgas's stockholders at this point [57] in time—under existing Delaware law, it apparently does. Inadequate price has become a form of "substantive coercion" as that concept has been developed by the Delaware Supreme Court in its takeover jurisprudence. That is, the idea that Airgas's stockholders will disbelieve the board's views on value (or in the case of merger arbitrageurs who may have short-term profit goals in mind, they may simply ignore the board's recommendations), and so they may mistakenly tender into an inadequately priced offer. Substantive coercion has been clearly recognized by our Supreme Court as a valid threat.</w:t>
      </w:r>
    </w:p>
    <w:p>
      <w:pPr>
        <w:pStyle w:val="BodyText"/>
      </w:pPr>
      <w:r>
        <w:t xml:space="preserve">Trial judges are not free to ignore or rewrite appellate court decisions. Thus, for reasons explained in detail below, I am constrained by Delaware Supreme Court precedent to conclude that defendants have met their burden under</w:t>
      </w:r>
      <w:r>
        <w:t xml:space="preserve"> </w:t>
      </w:r>
      <w:r>
        <w:rPr>
          <w:iCs/>
          <w:i/>
        </w:rPr>
        <w:t xml:space="preserve">Unocal</w:t>
      </w:r>
      <w:r>
        <w:t xml:space="preserve"> </w:t>
      </w:r>
      <w:r>
        <w:t xml:space="preserve">to articulate a sufficient threat that justifies the continued maintenance of Airgas's poison pill. That is, assuming defendants have met their burden to articulate a legally cognizable threat (prong 1), Airgas's defenses have been recognized by Delaware law as reasonable responses to the threat posed by an inadequate offer—even an all-shares, all-cash offer (prong 2).</w:t>
      </w:r>
    </w:p>
    <w:p>
      <w:pPr>
        <w:pStyle w:val="BodyText"/>
      </w:pPr>
      <w:r>
        <w:t xml:space="preserve">In my personal view, Airgas's poison pill has served its legitimate purpose. Although the "best and final" $70 offer has been on the table for just over two months (since December 9, 2010), Air Products' advances have been ongoing for over sixteen months, and Airgas's use of its poison pill—particularly in combination with its staggered board—has given the Airgas board over a full year to inform its stockholders about its view of Airgas's intrinsic value and Airgas's value in a sale transaction. It has also given the Airgas board a full year to express its views to its stockholders on the purported opportunistic timing of Air Products' repeated advances and to educate its stockholders on the inadequacy of Air Products' offer. It has given Airgas</w:t>
      </w:r>
      <w:r>
        <w:t xml:space="preserve"> </w:t>
      </w:r>
      <w:r>
        <w:rPr>
          <w:iCs/>
          <w:i/>
        </w:rPr>
        <w:t xml:space="preserve">more time than any litigated poison pill in Delaware history</w:t>
      </w:r>
      <w:r>
        <w:t xml:space="preserve">—enough time to show stockholders four quarters of improving financial results,</w:t>
      </w:r>
      <w:hyperlink w:anchor="X897c1699c65dcac260160ada67e9635f4a6eef4">
        <w:r>
          <w:rPr>
            <w:rStyle w:val="Hyperlink"/>
            <w:vertAlign w:val="superscript"/>
          </w:rPr>
          <w:t xml:space="preserve">[8]</w:t>
        </w:r>
      </w:hyperlink>
      <w:r>
        <w:t xml:space="preserve"> </w:t>
      </w:r>
      <w:r>
        <w:t xml:space="preserve">demonstrating that Airgas is on track to meet its projected goals. And it has helped the Airgas board push Air Products to raise its bid by $10 per share from when it was first publicly announced to what Air Products has now represented is its highest offer. The record at both the October trial and the January supplemental evidentiary hearing confirm that Airgas's stockholder base is sophisticated and well-informed, and that essentially all the information they would need to make an informed decision is available to them. In short, there seems to be no threat here—the stockholders know what they need to know (about both the offer and the Airgas board's opinion of the offer) to make an informed decision.</w:t>
      </w:r>
    </w:p>
    <w:p>
      <w:pPr>
        <w:pStyle w:val="BodyText"/>
      </w:pPr>
      <w:r>
        <w:t xml:space="preserve">That being said, however, as I understand binding Delaware precedent, I may not substitute my business judgment for that of the Airgas board.</w:t>
      </w:r>
      <w:hyperlink w:anchor="X8bff62d0273d2dcc024ae5845d527572d35dcbf">
        <w:r>
          <w:rPr>
            <w:rStyle w:val="Hyperlink"/>
            <w:vertAlign w:val="superscript"/>
          </w:rPr>
          <w:t xml:space="preserve">[9]</w:t>
        </w:r>
      </w:hyperlink>
      <w:r>
        <w:t xml:space="preserve"> </w:t>
      </w:r>
      <w:r>
        <w:t xml:space="preserve">The Delaware Supreme Court has recognized inadequate price as a valid threat to corporate policy and effectiveness.</w:t>
      </w:r>
      <w:hyperlink w:anchor="X6f38492663afbe851a305be173bb436685403c3">
        <w:r>
          <w:rPr>
            <w:rStyle w:val="Hyperlink"/>
            <w:vertAlign w:val="superscript"/>
          </w:rPr>
          <w:t xml:space="preserve">[10]</w:t>
        </w:r>
      </w:hyperlink>
      <w:r>
        <w:t xml:space="preserve"> </w:t>
      </w:r>
      <w:r>
        <w:t xml:space="preserve">The Delaware Supreme Court has also made clear that the [58] "selection of a time frame for achievement of corporate goals . . . may not be delegated to the stockholders."</w:t>
      </w:r>
      <w:hyperlink w:anchor="X977a5799fb9e5a9d8684ab10905890c40d84d76">
        <w:r>
          <w:rPr>
            <w:rStyle w:val="Hyperlink"/>
            <w:vertAlign w:val="superscript"/>
          </w:rPr>
          <w:t xml:space="preserve">[11]</w:t>
        </w:r>
      </w:hyperlink>
      <w:r>
        <w:t xml:space="preserve"> </w:t>
      </w:r>
      <w:r>
        <w:t xml:space="preserve">Furthermore, in powerful dictum, the Supreme Court has stated that "[d]irectors are not obliged to abandon a deliberately conceived corporate plan for a short-term shareholder profit unless there is clearly no basis to sustain the corporate strategy."</w:t>
      </w:r>
      <w:hyperlink w:anchor="X78f9c4bf1c361234f5ab23f223f401a832a4c09">
        <w:r>
          <w:rPr>
            <w:rStyle w:val="Hyperlink"/>
            <w:vertAlign w:val="superscript"/>
          </w:rPr>
          <w:t xml:space="preserve">[12]</w:t>
        </w:r>
      </w:hyperlink>
      <w:r>
        <w:t xml:space="preserve"> </w:t>
      </w:r>
      <w:r>
        <w:t xml:space="preserve">Although I do not read that dictum as eliminating the applicability of heightened</w:t>
      </w:r>
      <w:r>
        <w:t xml:space="preserve"> </w:t>
      </w:r>
      <w:r>
        <w:rPr>
          <w:iCs/>
          <w:i/>
        </w:rPr>
        <w:t xml:space="preserve">Unocal</w:t>
      </w:r>
      <w:r>
        <w:t xml:space="preserve"> </w:t>
      </w:r>
      <w:r>
        <w:t xml:space="preserve">scrutiny to a board's decision to block a non-coercive bid as underpriced, I do read it, along with the actual holding in</w:t>
      </w:r>
      <w:r>
        <w:t xml:space="preserve"> </w:t>
      </w:r>
      <w:r>
        <w:rPr>
          <w:iCs/>
          <w:i/>
        </w:rPr>
        <w:t xml:space="preserve">Unitrin,</w:t>
      </w:r>
      <w:r>
        <w:t xml:space="preserve"> </w:t>
      </w:r>
      <w:r>
        <w:t xml:space="preserve">as indicating that a board that has a good faith, reasonable basis to believe a bid is inadequate may block that bid using a poison pill, irrespective of stockholders' desire to accept it.</w:t>
      </w:r>
    </w:p>
    <w:p>
      <w:pPr>
        <w:pStyle w:val="BodyText"/>
      </w:pPr>
      <w:r>
        <w:t xml:space="preserve">Here, even using heightened scrutiny, the Airgas board has demonstrated that it has a reasonable basis for sustaining its long term corporate strategy—the Airgas board is independent, and has relied on the advice of three different outside independent financial advisors in concluding that Air Products' offer is inadequate. Air Products'</w:t>
      </w:r>
      <w:r>
        <w:t xml:space="preserve"> </w:t>
      </w:r>
      <w:r>
        <w:rPr>
          <w:iCs/>
          <w:i/>
        </w:rPr>
        <w:t xml:space="preserve">own three nominees</w:t>
      </w:r>
      <w:r>
        <w:t xml:space="preserve"> </w:t>
      </w:r>
      <w:r>
        <w:t xml:space="preserve">who were elected to the Airgas board in September 2010 have joined wholeheartedly in the Airgas board's determination, and when the Airgas board met to consider the $70 "best and final" offer in December 2010, it was one of those Air Products Nominees who said, "We have to protect the pill."</w:t>
      </w:r>
      <w:hyperlink w:anchor="X115ead120e51fe25a8efd7c97db433a7dde608c">
        <w:r>
          <w:rPr>
            <w:rStyle w:val="Hyperlink"/>
            <w:vertAlign w:val="superscript"/>
          </w:rPr>
          <w:t xml:space="preserve">[13]</w:t>
        </w:r>
      </w:hyperlink>
      <w:r>
        <w:t xml:space="preserve"> </w:t>
      </w:r>
      <w:r>
        <w:t xml:space="preserve">Indeed, one of Air Products'</w:t>
      </w:r>
      <w:r>
        <w:t xml:space="preserve"> </w:t>
      </w:r>
      <w:r>
        <w:rPr>
          <w:iCs/>
          <w:i/>
        </w:rPr>
        <w:t xml:space="preserve">own directors</w:t>
      </w:r>
      <w:r>
        <w:t xml:space="preserve"> </w:t>
      </w:r>
      <w:r>
        <w:t xml:space="preserve">conceded at trial that the Airgas board members had acted within their fiduciary duties in their desire to "hold out for the proper price,"</w:t>
      </w:r>
      <w:hyperlink w:anchor="X55540a196a35f6a455045bc4a0f0e1b1a0f283a">
        <w:r>
          <w:rPr>
            <w:rStyle w:val="Hyperlink"/>
            <w:vertAlign w:val="superscript"/>
          </w:rPr>
          <w:t xml:space="preserve">[14]</w:t>
        </w:r>
      </w:hyperlink>
      <w:r>
        <w:t xml:space="preserve"> </w:t>
      </w:r>
      <w:r>
        <w:t xml:space="preserve">and that "if an offer was made for Air Products that [he] considered to be unfair to the stockholders of Air Products . . . [he would likewise] use every legal mechanism available" to hold out for the proper price as well.</w:t>
      </w:r>
      <w:hyperlink w:anchor="X28d7080423c74591906d674a10ccbe8fe36d4a9">
        <w:r>
          <w:rPr>
            <w:rStyle w:val="Hyperlink"/>
            <w:vertAlign w:val="superscript"/>
          </w:rPr>
          <w:t xml:space="preserve">[15]</w:t>
        </w:r>
      </w:hyperlink>
      <w:r>
        <w:t xml:space="preserve"> </w:t>
      </w:r>
      <w:r>
        <w:t xml:space="preserve">Under Delaware law, the Airgas directors have complied with their fiduciary duties. Thus, as noted above, and for the reasons more fully described in the remainder of this Opinion, I am constrained to deny Air Products' and the Shareholder Plaintiffs' requests for relief.</w:t>
      </w:r>
    </w:p>
    <w:bookmarkEnd w:id="302"/>
    <w:bookmarkStart w:id="303" w:name="section-39"/>
    <w:p>
      <w:pPr>
        <w:pStyle w:val="Heading2"/>
      </w:pPr>
      <w:r>
        <w:rPr>
          <w:rStyle w:val="Elision"/>
        </w:rPr>
        <w:t xml:space="preserve">[ … ]</w:t>
      </w:r>
    </w:p>
    <w:bookmarkEnd w:id="303"/>
    <w:p>
      <w:pPr>
        <w:pStyle w:val="NodeEnd"/>
      </w:pPr>
      <w:r>
        <w:t xml:space="preserve"> </w:t>
      </w:r>
    </w:p>
    <w:p>
      <w:pPr>
        <w:pStyle w:val="NodeStart"/>
      </w:pPr>
      <w:r>
        <w:t xml:space="preserve"> </w:t>
      </w:r>
    </w:p>
    <w:p>
      <w:pPr>
        <w:pStyle w:val="HeadSeparator"/>
      </w:pPr>
      <w:r>
        <w:t xml:space="preserve"> </w:t>
      </w:r>
    </w:p>
    <w:bookmarkStart w:id="128" w:name="_auto_toc_128"/>
    <w:bookmarkEnd w:id="128"/>
    <w:p>
      <w:pPr>
        <w:pStyle w:val="ResourceNumber"/>
      </w:pPr>
      <w:r>
        <w:t xml:space="preserve">10.2.4</w:t>
      </w:r>
    </w:p>
    <w:p>
      <w:pPr>
        <w:pStyle w:val="ResourceTitle"/>
      </w:pPr>
      <w:r>
        <w:t xml:space="preserve">Airgas, Inc. v. Air Products &amp; Chemicals, Inc.</w:t>
      </w:r>
    </w:p>
    <w:p>
      <w:pPr>
        <w:pStyle w:val="HeadEnd"/>
      </w:pPr>
      <w:r>
        <w:t xml:space="preserve"> </w:t>
      </w:r>
    </w:p>
    <w:p>
      <w:pPr>
        <w:pStyle w:val="CaseHeader"/>
      </w:pPr>
      <w:r>
        <w:t xml:space="preserve">Delaware Supreme Court</w:t>
      </w:r>
    </w:p>
    <w:p>
      <w:pPr>
        <w:pStyle w:val="CaseHeader"/>
      </w:pPr>
      <w:r>
        <w:t xml:space="preserve">8 A.3d 1182</w:t>
      </w:r>
    </w:p>
    <w:p>
      <w:pPr>
        <w:pStyle w:val="CaseHeader"/>
      </w:pPr>
      <w:r>
        <w:t xml:space="preserve">No. 649, 2010</w:t>
      </w:r>
    </w:p>
    <w:p>
      <w:pPr>
        <w:pStyle w:val="CaseHeader"/>
      </w:pPr>
      <w:r>
        <w:t xml:space="preserve">2010-11-23</w:t>
      </w:r>
    </w:p>
    <w:p>
      <w:pPr>
        <w:pStyle w:val="CaseBody"/>
      </w:pPr>
      <w:r>
        <w:t xml:space="preserve">Submitted: Nov. 17, 2010.</w:t>
      </w:r>
    </w:p>
    <w:p>
      <w:pPr>
        <w:pStyle w:val="CaseBody"/>
      </w:pPr>
      <w:r>
        <w:t xml:space="preserve">Donald J. Wolfe, Jr., Esquire, Kevin R. Shannon, Esquire, Berton W. Ashman, Jr., Esquire, and Ryan W. Browning, Esquire of Potter Anderson &amp; Corroon LLP, Wilmington, DE; Of Counsel: Theodore N. Mirvis, Esquire (argued), Marc Wolinsky, Esquire, George T. Conway III, Esquire, Garrett B. Moritz, Esquire, Meredith L. Turner, Esquire, and Jonathon R. La Cha-pelle, Esquire of Wachtell, Lipton, Rosen &amp; Katz, New York, NY, for appellants.</w:t>
      </w:r>
    </w:p>
    <w:p>
      <w:pPr>
        <w:pStyle w:val="CaseBody"/>
      </w:pPr>
      <w:r>
        <w:t xml:space="preserve">Kenneth J. Nachbar, Esquire, Jon E. Abramczyk, Esquire, William M. Lafferty, Esquire, John P. DiTomo, Esquire, John A. Eakins, Esquire, and Ryan D. Stott-mann, Esquire of Morris, Nichols, Arsht &amp; Tunnell LLP, Wilmington, DE; Of Counsel: David R. Marriott, Esquire, and Gary A. Bornstein, Esquire (argued) of Cravath, Swaine &amp; Moore LLP, New York, NY, for appellee.</w:t>
      </w:r>
    </w:p>
    <w:p>
      <w:pPr>
        <w:pStyle w:val="CaseBody"/>
      </w:pPr>
      <w:r>
        <w:t xml:space="preserve">Before STEELE, Chief Justice, HOLLAND, BERGER, JACOBS, and RIDGELY, Justices, constituting the Court en Banc.</w:t>
      </w:r>
    </w:p>
    <w:p>
      <w:pPr>
        <w:pStyle w:val="CaseBody"/>
      </w:pPr>
      <w:r>
        <w:t xml:space="preserve">RIDGELY, Justice:</w:t>
      </w:r>
    </w:p>
    <w:p>
      <w:pPr>
        <w:pStyle w:val="CaseBody"/>
      </w:pPr>
      <w:r>
        <w:t xml:space="preserve">Air Products and Chemicals, Inc. (“Air Products”) and Airgas, Inc. (“Airgas”) are competitors in the industrial gas business. Air Products has launched a public tender offer to acquire 100% of Airgas’s shares. The Airgas board of directors has received and rejected several bids from Air Products, including its latest offer that valued Airgas at $5.5 billion, because the board determined that each offer undervalued the company. During this entire attempted takeover period, the market price of Airgas stock exceeded Air Products’ offers.</w:t>
      </w:r>
    </w:p>
    <w:p>
      <w:pPr>
        <w:pStyle w:val="CaseBody"/>
      </w:pPr>
      <w:r>
        <w:t xml:space="preserve">To facilitate its takeover attempt, Air Products engaged in a proxy contest at the last annual meeting of Airgas stockholders. Airgas has a staggered board with nine directors, and three were up for election at that meeting. A staggered board, which Delaware law has permitted since 1899, enhances the bargaining power of a target’s board and makes it more difficult for an acquirer, like Air Products, to gain control of its target without the consent of the board.</w:t>
      </w:r>
    </w:p>
    <w:p>
      <w:pPr>
        <w:pStyle w:val="CaseBody"/>
      </w:pPr>
      <w:r>
        <w:t xml:space="preserve">At Airgas’s last annual meeting held on September 15, 2010, Air Products nominated three directors to Airgas’s board, and the Airgas shareholders elected them. Air Products also proposed a bylaw (the “January Bylaw”) that would schedule Airgas’s next annual meeting for January 2011, just four months after the 2010 annual meeting. The January Bylaw, which was approved by only 45.8% of the shares entitled to vote, effectively reduced the full term of the incumbent directors by eight months.</w:t>
      </w:r>
    </w:p>
    <w:p>
      <w:pPr>
        <w:pStyle w:val="CaseBody"/>
      </w:pPr>
      <w:r>
        <w:t xml:space="preserve">Airgas brought this action in the Court of Chancery, claiming that the January Bylaw is invalid because it is inconsistent with title 8, section 141 of the Delaware Code and the Airgas corporate charter provision that creates a staggered board. Airgas’s charter requires an affirmative vote of the holders of at least 67% of the voting power of all shares to alter, amend, or repeal the staggered board provision, or to adopt any bylaw inconsistent with that provision. The Court of Chancery upheld the January Bylaw on the following basis: Airgas’s charter provides that directors serve terms that expire at “the annual meeting of stockholders held in the third year following the year of their election.” There is no inconsistency between Airgas’s charter provision and the January Bylaw, because the January meeting would occur “in the third year after the directors’ election,” which (the Court of Chancery found) was all that the Airgas charter requires.</w:t>
      </w:r>
    </w:p>
    <w:p>
      <w:pPr>
        <w:pStyle w:val="CaseBody"/>
      </w:pPr>
      <w:r>
        <w:t xml:space="preserve">We conclude, as did the Court of Chancery, that the Airgas charter language defining the duration of directors’ terms is ambiguous. We therefore look to extrinsic evidence to interpret the intent of the charter language which provides that directors’ terms expire at “the annual meeting of stockholders held in the third year following the year of their election.” We find that the language has been understood to mean that the Airgas directors serve three year terms. We hold that because the January Bylaw prematurely terminates the Airgas directors’ terms, conferred by the charter and the statute, by eight months, the January Bylaw is invalid. Accordingly, we reverse.</w:t>
      </w:r>
    </w:p>
    <w:p>
      <w:pPr>
        <w:pStyle w:val="CaseBody"/>
      </w:pPr>
      <w:r>
        <w:t xml:space="preserve">FACTS AND PROCEDURAL HISTORY</w:t>
      </w:r>
    </w:p>
    <w:p>
      <w:pPr>
        <w:pStyle w:val="CaseBody"/>
      </w:pPr>
      <w:r>
        <w:t xml:space="preserve">The Charter, the Bylaws, and the Staggered Board of Airgas</w:t>
      </w:r>
    </w:p>
    <w:p>
      <w:pPr>
        <w:pStyle w:val="CaseBody"/>
      </w:pPr>
      <w:r>
        <w:t xml:space="preserve">Section 141(d) of the Delaware General Corporation Law (“DGCL”), which allows corporations to implement a staggered board of directors, relevantly provides:</w:t>
      </w:r>
    </w:p>
    <w:p>
      <w:pPr>
        <w:pStyle w:val="BlockText"/>
      </w:pPr>
      <w:r>
        <w:t xml:space="preserve">The directors of any corporation organized under this chapter may, by the certificate of incorporation or by an initial bylaw, or by a bylaw adopted by a vote of the stockholders, be divided into 1, 2 or 3 classes; the term of office of those of the first class to expire at the first annual meeting held after such classification becomes effective; of the second class</w:t>
      </w:r>
      <w:r>
        <w:t xml:space="preserve"> </w:t>
      </w:r>
      <w:r>
        <w:rPr>
          <w:iCs/>
          <w:i/>
        </w:rPr>
        <w:t xml:space="preserve">1 year thereafter; of the third class 2 years thereafter;</w:t>
      </w:r>
      <w:r>
        <w:t xml:space="preserve"> </w:t>
      </w:r>
      <w:r>
        <w:t xml:space="preserve">and at each annual election held after such classification becomes effective, directors shall be chosen for a full term, as the case may be, to succeed those whose terms expire ....</w:t>
      </w:r>
      <w:r>
        <w:t xml:space="preserve"> </w:t>
      </w:r>
      <w:r>
        <w:rPr>
          <w:rStyle w:val="FootnoteReference"/>
        </w:rPr>
        <w:footnoteReference w:customMarkFollows="1" w:id="33"/>
        <w:t xml:space="preserve">1</w:t>
      </w:r>
    </w:p>
    <w:p>
      <w:pPr>
        <w:pStyle w:val="CaseBody"/>
      </w:pPr>
      <w:r>
        <w:t xml:space="preserve">Ever since Airgas became a public corporation in 1986, it has had a three class staggered board by virtue of Article 5, Section 1 of its charter (the “Airgas Charter” or the “Charter”), which relevantly provides:</w:t>
      </w:r>
    </w:p>
    <w:p>
      <w:pPr>
        <w:pStyle w:val="BlockText"/>
      </w:pPr>
      <w:r>
        <w:t xml:space="preserve">Number, Election and Term of Directors. ... The Directors ... shall be classified, with respect to the time for which they severally hold office, into three classes, as nearly equal in number as possible as shall be provided in the manner specified in the By-laws, one class to hold office initially for a term expiring at the annual meeting of stockholders to be held in 1987, another class to hold office initially for a term expiring at the annual meeting of stockholders to be held in 1988, and another class to hold office initially for a term expiring at the annual meeting of stockholders to be held in 1989, with the members of each class to hold office until their successors are elected and qualified. At each annual meeting of the stockholders of the Corporation, the successors to the class of Directors whose term expires at that meeting shall be elected to hold office for a term expiring at the annual meeting of stockholders held in the third year following the year of their election.</w:t>
      </w:r>
    </w:p>
    <w:p>
      <w:pPr>
        <w:pStyle w:val="CaseBody"/>
      </w:pPr>
      <w:r>
        <w:t xml:space="preserve">Similarly, Article III, Section 1 of Air-gas’s bylaws (the “Bylaws”), which implements Article 5, Section 1 of the Charter, relevantly provides:</w:t>
      </w:r>
    </w:p>
    <w:p>
      <w:pPr>
        <w:pStyle w:val="BlockText"/>
      </w:pPr>
      <w:r>
        <w:t xml:space="preserve">Number, Election and Terms.... The Directors ... shall be classified, with respect to the time for which they severally hold office, into three classes, as nearly equal in number as possible, one class to hold office initially for a term expiring at the annual meeting of stockholders to be held in 1987, another class to hold office initially for a term expiring at the annual meeting of stockholders to be held in 1988, and a third class to hold office initially for a term expiring at the annual meeting of stockholders to be held in 1989, with the members of each class to hold office until their successors are elected and qualified. At each annual meeting of the stockholders, the successors or the class of Directors whose term expires at the meeting shall be elected to hold office for a term expiring at the annual meeting of stockholders held in third year following the year of their election....</w:t>
      </w:r>
    </w:p>
    <w:p>
      <w:pPr>
        <w:pStyle w:val="CaseBody"/>
      </w:pPr>
      <w:r>
        <w:t xml:space="preserve">Article 5, Section 6 of the Charter requires a supermajority vote to enact a bylaw that is inconsistent with Article III of the Bylaws. Specifically, that Charter provision states:</w:t>
      </w:r>
    </w:p>
    <w:p>
      <w:pPr>
        <w:pStyle w:val="BlockText"/>
      </w:pPr>
      <w:r>
        <w:t xml:space="preserve">By-Law Amendments. The Board of Directors shall have power to make, alter, amend and repeal the By-Laws (except so far as the By-laws adopted by the stockholders shall otherwise provide.) Any By-Laws made by the Directors under the powers conferred hereby may be altered, amended or repealed by the Directors or by the stockholders. Notwithstanding the foregoing and anything contained in this certificate of incorporation to the contrary, Article III of the By-Laws shall not be altered, amended or repealed and no provision inconsistent therewith shall be adopted without the affirmative vote of the holders of least 67% of the voting power of all the shares of the Corporation entitled to vote generally in the election of Directors, voting together as a single class.</w:t>
      </w:r>
    </w:p>
    <w:p>
      <w:pPr>
        <w:pStyle w:val="CaseBody"/>
      </w:pPr>
      <w:r>
        <w:t xml:space="preserve">Article 5, Section 8 of the Charter requires a supermajority vote to remove an Airgas director without cause. Specifically, that provision states:</w:t>
      </w:r>
    </w:p>
    <w:p>
      <w:pPr>
        <w:pStyle w:val="BlockText"/>
      </w:pPr>
      <w:r>
        <w:t xml:space="preserve">Removal of Directors.... [A]ny Director may be removed from office without cause only by the affirmative vote of the holders of 67% of the combined voting power of the then outstanding shares of stock entitled to vote generally in the election of Directors, voting together as a single class.</w:t>
      </w:r>
    </w:p>
    <w:p>
      <w:pPr>
        <w:pStyle w:val="CaseBody"/>
      </w:pPr>
      <w:r>
        <w:t xml:space="preserve">Airgas has consistently held its annual meetings to enable the staggered directors to serve three year terms. Since it “went public” in 1986, Airgas has held its annual meeting no earlier than July 28 and no later than September 15 of each calendar year. Because Airgas’s fiscal year ends on March 31, Airgas traditionally has held its annual meeting in late summer or early fall, to afford Airgas the necessary time to evaluate its fiscal year performance and prepare its annual report.</w:t>
      </w:r>
      <w:r>
        <w:rPr>
          <w:rStyle w:val="FootnoteReference"/>
        </w:rPr>
        <w:footnoteReference w:customMarkFollows="1" w:id="62"/>
        <w:t xml:space="preserve">2</w:t>
      </w:r>
      <w:r>
        <w:t xml:space="preserve"> </w:t>
      </w:r>
      <w:r>
        <w:t xml:space="preserve">Airgas always has held its annual meetings approximately twelve months apart. It has never held consecutive annual meetings sooner than eleven months, twenty-six days apart, or longer than twelve months, twenty-eight days since the prior annual meeting.</w:t>
      </w:r>
    </w:p>
    <w:p>
      <w:pPr>
        <w:pStyle w:val="CaseBody"/>
      </w:pPr>
      <w:r>
        <w:t xml:space="preserve">Air Products’ Takeover Attempt</w:t>
      </w:r>
    </w:p>
    <w:p>
      <w:pPr>
        <w:pStyle w:val="CaseBody"/>
      </w:pPr>
      <w:r>
        <w:t xml:space="preserve">On February 11, 2010, Air Products commenced a tender offer for Airgas shares at a purchase price of $60 per share cash. On July 8, 2010, Air Products raised its offer price to $68.50 per share cash, and on September 6, 2010, Air Products again increased its bid to $65.50 per share cash. The Airgas board rejected all these bids as “grossly inadequate.” The market for Air-gas stock suggests that the board was correct: since Air Products launched the tender offer, Airgas shares have traded as high as $71.28. The market price closed at $69.31 on November 3, 2010, the day the parties presented their arguments to this Court.</w:t>
      </w:r>
      <w:r>
        <w:rPr>
          <w:rStyle w:val="FootnoteReference"/>
        </w:rPr>
        <w:footnoteReference w:customMarkFollows="1" w:id="88"/>
        <w:t xml:space="preserve">3</w:t>
      </w:r>
    </w:p>
    <w:p>
      <w:pPr>
        <w:pStyle w:val="CaseBody"/>
      </w:pPr>
      <w:r>
        <w:t xml:space="preserve">After Airgas’s board rejected Air Products’ bids, Air Products could have negotiated with Airgas’s board to agree on a mutually beneficial price. Instead, Air Products chose to wage a proxy contest to facilitate its tender offer. As part of its takeover strategy, Air Products nominated three persons to stand for election to Air-gas’s staggered board. Air Products also proposed three bylaw amendments including the January Bylaw, which relevantly provides:</w:t>
      </w:r>
    </w:p>
    <w:p>
      <w:pPr>
        <w:pStyle w:val="BlockText"/>
      </w:pPr>
      <w:r>
        <w:t xml:space="preserve">The annual meeting of stockholders to be held in 2011 (the “2011 Annual Meeting”) shall be held on January 18, 2011 at 10:00 a.m., and each subsequent annual meeting of stockholders shall be held in January....</w:t>
      </w:r>
    </w:p>
    <w:p>
      <w:pPr>
        <w:pStyle w:val="CaseBody"/>
      </w:pPr>
      <w:r>
        <w:t xml:space="preserve">The January Bylaw is significant for two reasons. First, the January Bylaw substantially shortens the terms of the Airgas directors by accelerating the timing of Air-gas’s annual meeting. The January Bylaw would require Airgas to hold its 2011 annual meeting only four months after its 2010 meeting. That accelerated meeting date would contravene nearly two and one-half decades of Airgas practice, during which Airgas never has held its annual meeting earlier than July 28. That would also mark the first time Airgas held an annual meeting without having new fiscal year results to report to its shareholders. Additionally, if the January Bylaw is valid, Air Products need not wait a year to cause the election of another three directors to Airgas’s staggered board, because the terms of the incumbent directors would be shortened by eight months.</w:t>
      </w:r>
    </w:p>
    <w:p>
      <w:pPr>
        <w:pStyle w:val="CaseBody"/>
      </w:pPr>
      <w:r>
        <w:t xml:space="preserve">At Airgas’s annual meeting on September 15, 2010, Airgas shareholders elected the three Air Products nominees to Air-gas’s board and adopted Air Products’ proposed bylaw amendments, including the January Bylaw.</w:t>
      </w:r>
      <w:r>
        <w:rPr>
          <w:rStyle w:val="FootnoteReference"/>
        </w:rPr>
        <w:footnoteReference w:customMarkFollows="1" w:id="112"/>
        <w:t xml:space="preserve">4</w:t>
      </w:r>
      <w:r>
        <w:t xml:space="preserve"> </w:t>
      </w:r>
      <w:r>
        <w:t xml:space="preserve">Of the 73,886,665 shares voted, a bare majority — 38,321,496 shares, or 51.8% — were voted in favor of the January Bylaw. But of the 83,629,731 shares that were entitled to vote, only 45.8% were voted in favor of the January Bylaw.</w:t>
      </w:r>
    </w:p>
    <w:p>
      <w:pPr>
        <w:pStyle w:val="CaseBody"/>
      </w:pPr>
      <w:r>
        <w:t xml:space="preserve">Procedural History</w:t>
      </w:r>
    </w:p>
    <w:p>
      <w:pPr>
        <w:pStyle w:val="CaseBody"/>
      </w:pPr>
      <w:r>
        <w:t xml:space="preserve">Airgas brought this action in the Court of Chancery, seeking a declaratory judgment that the January Bylaw is invalid. Air Products counterclaimed, seeking a declaratory judgment that the January Bylaw is valid. After a trial, the Court of Chancery rejected Airgas’s claims and entered final judgment in favor of Air Products. The Court of Chancery held that the January Bylaw had been duly adopted by a majority of the voted shares, and did not conflict with the Charter. After analyzing the January Bylaw under sections 141 and 211 of the DGCL, the Court of Chancery concluded that the January Bylaw is valid under Delaware law.</w:t>
      </w:r>
      <w:r>
        <w:rPr>
          <w:rStyle w:val="FootnoteReference"/>
        </w:rPr>
        <w:footnoteReference w:customMarkFollows="1" w:id="135"/>
        <w:t xml:space="preserve">5</w:t>
      </w:r>
      <w:r>
        <w:t xml:space="preserve"> </w:t>
      </w:r>
      <w:r>
        <w:t xml:space="preserve">This appeal followed.</w:t>
      </w:r>
    </w:p>
    <w:p>
      <w:pPr>
        <w:pStyle w:val="CaseBody"/>
      </w:pPr>
      <w:r>
        <w:t xml:space="preserve">ANALYSIS</w:t>
      </w:r>
    </w:p>
    <w:p>
      <w:pPr>
        <w:pStyle w:val="CaseBody"/>
      </w:pPr>
      <w:r>
        <w:t xml:space="preserve">Standard of Review</w:t>
      </w:r>
    </w:p>
    <w:p>
      <w:pPr>
        <w:pStyle w:val="CaseBody"/>
      </w:pPr>
      <w:r>
        <w:t xml:space="preserve">“Because the facts material to these claims are uncontroverted, the issues presented are all essentially questions of law that this Court reviews</w:t>
      </w:r>
      <w:r>
        <w:t xml:space="preserve"> </w:t>
      </w:r>
      <w:r>
        <w:rPr>
          <w:iCs/>
          <w:i/>
        </w:rPr>
        <w:t xml:space="preserve">de</w:t>
      </w:r>
      <w:r>
        <w:t xml:space="preserve"> </w:t>
      </w:r>
      <w:r>
        <w:t xml:space="preserve">novo.”</w:t>
      </w:r>
      <w:r>
        <w:rPr>
          <w:rStyle w:val="FootnoteReference"/>
        </w:rPr>
        <w:footnoteReference w:customMarkFollows="1" w:id="157"/>
        <w:t xml:space="preserve">6</w:t>
      </w:r>
      <w:r>
        <w:t xml:space="preserve"> </w:t>
      </w:r>
      <w:r>
        <w:t xml:space="preserve">Corporate charters and bylaws are contracts among a corporation’s shareholders; therefore, our rules of contract interpretation apply.</w:t>
      </w:r>
      <w:r>
        <w:rPr>
          <w:rStyle w:val="FootnoteReference"/>
        </w:rPr>
        <w:footnoteReference w:customMarkFollows="1" w:id="177"/>
        <w:t xml:space="preserve">7</w:t>
      </w:r>
      <w:r>
        <w:t xml:space="preserve"> </w:t>
      </w:r>
      <w:r>
        <w:t xml:space="preserve">If charter or bylaw provisions are unclear, we resolve any doubt in favor of the stockholders’ electoral rights.</w:t>
      </w:r>
      <w:r>
        <w:rPr>
          <w:rStyle w:val="FootnoteReference"/>
        </w:rPr>
        <w:footnoteReference w:customMarkFollows="1" w:id="196"/>
        <w:t xml:space="preserve">8</w:t>
      </w:r>
      <w:r>
        <w:t xml:space="preserve"> </w:t>
      </w:r>
      <w:r>
        <w:t xml:space="preserve">“Words and phrases used in a bylaw are to be given their commonly accepted meaning unless the context clearly requires a different one or unless legal phrases having a special meaning are used.”</w:t>
      </w:r>
      <w:r>
        <w:rPr>
          <w:rStyle w:val="FootnoteReference"/>
        </w:rPr>
        <w:footnoteReference w:customMarkFollows="1" w:id="215"/>
        <w:t xml:space="preserve">9</w:t>
      </w:r>
      <w:r>
        <w:t xml:space="preserve"> </w:t>
      </w:r>
      <w:r>
        <w:t xml:space="preserve">Where extrinsic evidence resolves any ambiguity, we “must give effect to the intent of the parties as revealed by the language of the certifícate and the circumstances surrounding its creation and adoption.”</w:t>
      </w:r>
      <w:r>
        <w:rPr>
          <w:rStyle w:val="FootnoteReference"/>
        </w:rPr>
        <w:footnoteReference w:customMarkFollows="1" w:id="233"/>
        <w:t xml:space="preserve">10</w:t>
      </w:r>
    </w:p>
    <w:p>
      <w:pPr>
        <w:pStyle w:val="CaseBody"/>
      </w:pPr>
      <w:r>
        <w:t xml:space="preserve">Section 141(d) of the DGCL, the Annual Meeting Term Alternative, and the Defined Term Alternative</w:t>
      </w:r>
    </w:p>
    <w:p>
      <w:pPr>
        <w:pStyle w:val="CaseBody"/>
      </w:pPr>
      <w:r>
        <w:t xml:space="preserve">To implement a staggered board, as permitted by DGCL Section 141, corporations typically have used two forms of language. Many corporations provide in their charters that each class of directors serves until the “annual meeting of stockholders to be held in the third year following the year of their election.” There are variations on this language, providing (for example) that each class of directors serves until the “third succeeding annual meeting following the year of their election” (collectively, the “Annual Meeting Term Alternative”). On the other hand, some corporations, such as the firm involved in</w:t>
      </w:r>
      <w:r>
        <w:t xml:space="preserve"> </w:t>
      </w:r>
      <w:r>
        <w:rPr>
          <w:iCs/>
          <w:i/>
        </w:rPr>
        <w:t xml:space="preserve">Essential Enterprises v. Automatic Steel Products, Inc.,</w:t>
      </w:r>
      <w:r>
        <w:t xml:space="preserve"> </w:t>
      </w:r>
      <w:r>
        <w:t xml:space="preserve"> </w:t>
      </w:r>
      <w:r>
        <w:t xml:space="preserve"> </w:t>
      </w:r>
      <w:r>
        <w:t xml:space="preserve">provide in their charters that each class serves for a “term of three years.” There are variations on that language as well, such as (for example) that each class of directors serves for “a three-year term” (collectively, the “Defined Term Alternative”). Unlike the Annual Meeting Term Alternative, the Defined Term Alternative unambiguously provides in the charter itself that each class of directors serves for three years.</w:t>
      </w:r>
    </w:p>
    <w:p>
      <w:pPr>
        <w:pStyle w:val="CaseBody"/>
      </w:pPr>
      <w:r>
        <w:t xml:space="preserve">Article 5, Section 1 of the Airgas Charter and Article III, Section 1 of its Bylaws both employ the Annual Meeting Term Alternative. The central issue presented on this appeal is whether the Air-gas Charter requires that each class of directors serves three year terms or whether it provides for a term that can expire at whatever time the annual meeting is scheduled in the third year following election. The Court of Chancery adopted the latter view without giving any weight to the uncontroverted extrinsic evidence bearing on the intended meaning of the Airgas Charter.</w:t>
      </w:r>
    </w:p>
    <w:p>
      <w:pPr>
        <w:pStyle w:val="CaseBody"/>
      </w:pPr>
      <w:r>
        <w:t xml:space="preserve">The Court of Chancery’s Analysis</w:t>
      </w:r>
    </w:p>
    <w:p>
      <w:pPr>
        <w:pStyle w:val="CaseBody"/>
      </w:pPr>
      <w:r>
        <w:t xml:space="preserve">The Court of Chancery articulated its rationale this way:</w:t>
      </w:r>
    </w:p>
    <w:p>
      <w:pPr>
        <w:pStyle w:val="BlockText"/>
      </w:pPr>
      <w:r>
        <w:t xml:space="preserve">Airgas’s charter provision is not crystal clear on its face. A “full term” expires at the “annual meeting” in the “third year” following a director’s year of election. The absence of a definition of annual, year, or full term leads to this puzzle. Does a “full term” contemplate a durationally defined three year period as Airgas suggests? The charter does not explicitly say so. Then, if a “full term” expires at the “annual meeting,” what does “annual” mean — yearly? In turn, if “annual” means “separated by about a year,” does that mean fiscal year? Calendar year? ...</w:t>
      </w:r>
    </w:p>
    <w:p>
      <w:pPr>
        <w:pStyle w:val="BlockText"/>
      </w:pPr>
      <w:r>
        <w:t xml:space="preserve">The lack of a clear definition of these terms in the charter mandates my treatment of them as ambiguous terms to be viewed in the light most favorable to the stockholder franchise.</w:t>
      </w:r>
    </w:p>
    <w:p>
      <w:pPr>
        <w:pStyle w:val="BlockText"/>
      </w:pPr>
      <w:r>
        <w:t xml:space="preserve">Construing the ambiguous terms in that way, if the “full term” of directors does expire at the “annual meeting” in the “third year” following their year of election, I now turn to what is meant by the “annual” meeting.... Because this term is not otherwise defined in Airgas’s charter or bylaws, I turn to the common dictionary definition, which defines “annual” as “covering the period of a year” or “occurring or happening every year or once a year.” And again, construing the ambiguous terms of the charter in favor of the shareholder franchise, “annual” in this context must mean occurring once a year....</w:t>
      </w:r>
    </w:p>
    <w:p>
      <w:pPr>
        <w:pStyle w:val="BlockText"/>
      </w:pPr>
      <w:r>
        <w:t xml:space="preserve">Airgas similarly could have defined “annual meeting” elsewhere in its charter or bylaws to require a minimum dura-tional interval between meetings (i.e. “annual meetings must be held no less than nine months apart”). It could have said that directors shall serve “three-year terms.” Had it done any of those things, then a bylaw shortening such an explicitly defined “full term” would have conflicted with its explicit provisions and thereby would have been invalid under Airgas’s charter. Airgas, however, did not clearly define these terms. Airgas’s charter and bylaws simply say that the successor shall take the place of any director whose term has expired “in the third year” following the year of election.</w:t>
      </w:r>
    </w:p>
    <w:p>
      <w:pPr>
        <w:pStyle w:val="BlockText"/>
      </w:pPr>
      <w:r>
        <w:t xml:space="preserve">As such, a January 18, 2011 annual meeting would be the “2011 annual meeting.” 2011 is the third “year” after 2008. Successors to the 2008 class can be elected in the “third year following the year of their election” which is 2011. Thus, the bylaw does not violate Airgas’s charter as written.</w:t>
      </w:r>
      <w:r>
        <w:rPr>
          <w:rStyle w:val="FootnoteReference"/>
        </w:rPr>
        <w:footnoteReference w:customMarkFollows="1" w:id="266"/>
        <w:t xml:space="preserve">12</w:t>
      </w:r>
    </w:p>
    <w:p>
      <w:pPr>
        <w:pStyle w:val="CaseBody"/>
      </w:pPr>
      <w:r>
        <w:t xml:space="preserve">We agree with the Court of Chancery that the relevant Charter language is ambiguous. But as more fully discussed below, there is overwhelming extrinsic evidence that under the Annual Meeting Term Alternative adopted by Airgas, a term of three years was intended. Therefore, the January Bylaw is inconsistent with Article 5, Section 1 of the Charter because it materially shortens the directors’ full three year term that the Charter language requires. It is settled Delaware law that a bylaw that is inconsistent with the corporation’s charter is invalid.</w:t>
      </w:r>
      <w:r>
        <w:rPr>
          <w:rStyle w:val="FootnoteReference"/>
        </w:rPr>
        <w:footnoteReference w:customMarkFollows="1" w:id="282"/>
        <w:t xml:space="preserve">13</w:t>
      </w:r>
    </w:p>
    <w:p>
      <w:pPr>
        <w:pStyle w:val="CaseBody"/>
      </w:pPr>
      <w:r>
        <w:t xml:space="preserve">Article 5, Section 1 of the Charter is Ambiguous</w:t>
      </w:r>
    </w:p>
    <w:p>
      <w:pPr>
        <w:pStyle w:val="CaseBody"/>
      </w:pPr>
      <w:r>
        <w:t xml:space="preserve">To determine whether the January Bylaw is inconsistent with the Charter, we first must address Article 5, Section 1 of the Charter. Although the Annual Meeting Term Alternative employed in that section is facially ambiguous, our precedents, and the common understanding of that language enable us to interpret that provision definitively. The “context clearly requires” the interpretation we adopt, because the relevant “legal phrase[ ] ha[s] a special meaning,”</w:t>
      </w:r>
      <w:r>
        <w:rPr>
          <w:rStyle w:val="FootnoteReference"/>
        </w:rPr>
        <w:footnoteReference w:customMarkFollows="1" w:id="298"/>
        <w:t xml:space="preserve">14</w:t>
      </w:r>
      <w:r>
        <w:t xml:space="preserve"> </w:t>
      </w:r>
      <w:r>
        <w:t xml:space="preserve">and because we “must give effect to the intent of the parties as revealed by the language of the certificate and the circumstances surrounding its creation and adoption.”</w:t>
      </w:r>
      <w:r>
        <w:rPr>
          <w:rStyle w:val="FootnoteReference"/>
        </w:rPr>
        <w:footnoteReference w:customMarkFollows="1" w:id="313"/>
        <w:t xml:space="preserve">15</w:t>
      </w:r>
      <w:r>
        <w:t xml:space="preserve"> </w:t>
      </w:r>
      <w:r>
        <w:t xml:space="preserve">“If there is more than one reasonable interpretation of a disputed contract term, consideration of extrinsic evidence is required to determine the meanings the parties intended.”</w:t>
      </w:r>
      <w:r>
        <w:rPr>
          <w:rStyle w:val="FootnoteReference"/>
        </w:rPr>
        <w:footnoteReference w:customMarkFollows="1" w:id="327"/>
        <w:t xml:space="preserve">16</w:t>
      </w:r>
      <w:r>
        <w:t xml:space="preserve"> </w:t>
      </w:r>
      <w:r>
        <w:t xml:space="preserve">Delaware courts often look to extrinsic evidence for the common understanding of ambiguous language whether in a statute, a rule or a contractual provision.</w:t>
      </w:r>
      <w:r>
        <w:rPr>
          <w:rStyle w:val="FootnoteReference"/>
        </w:rPr>
        <w:footnoteReference w:customMarkFollows="1" w:id="341"/>
        <w:t xml:space="preserve">17</w:t>
      </w:r>
    </w:p>
    <w:p>
      <w:pPr>
        <w:pStyle w:val="CaseBody"/>
      </w:pPr>
      <w:r>
        <w:t xml:space="preserve">Delaware Precedents</w:t>
      </w:r>
    </w:p>
    <w:p>
      <w:pPr>
        <w:pStyle w:val="CaseBody"/>
      </w:pPr>
      <w:r>
        <w:t xml:space="preserve">Although this Court never has been called upon to interpret the Annual Meeting Term Alternative specifically, the Delaware cases that involved similar charter language regard that language as creating a staggered board with classes of directors who serve three year terms.</w:t>
      </w:r>
      <w:r>
        <w:rPr>
          <w:rStyle w:val="FootnoteReference"/>
        </w:rPr>
        <w:footnoteReference w:customMarkFollows="1" w:id="354"/>
        <w:t xml:space="preserve">18</w:t>
      </w:r>
      <w:r>
        <w:t xml:space="preserve"> </w:t>
      </w:r>
      <w:r>
        <w:t xml:space="preserve">The Court of Chancery case law similarly reflects the understanding of the Court of Chancery— until this case — that directors of staggered boards serve a three year term.</w:t>
      </w:r>
      <w:r>
        <w:rPr>
          <w:rStyle w:val="FootnoteReference"/>
        </w:rPr>
        <w:footnoteReference w:customMarkFollows="1" w:id="367"/>
        <w:t xml:space="preserve">19</w:t>
      </w:r>
      <w:r>
        <w:t xml:space="preserve"> </w:t>
      </w:r>
      <w:r>
        <w:t xml:space="preserve">The United States District Court for the District of Delaware, applying Delaware law, has reached the same conclusion.</w:t>
      </w:r>
      <w:r>
        <w:rPr>
          <w:rStyle w:val="FootnoteReference"/>
        </w:rPr>
        <w:footnoteReference w:customMarkFollows="1" w:id="380"/>
        <w:t xml:space="preserve">20</w:t>
      </w:r>
    </w:p>
    <w:p>
      <w:pPr>
        <w:pStyle w:val="CaseBody"/>
      </w:pPr>
      <w:r>
        <w:t xml:space="preserve">The Annual Meeting Term Alternative and the Defined Term Alternative in Practice</w:t>
      </w:r>
    </w:p>
    <w:p>
      <w:pPr>
        <w:pStyle w:val="CaseBody"/>
      </w:pPr>
      <w:r>
        <w:t xml:space="preserve">Although practice and understanding do not control the issue before us, we agree with Airgas that “[p]raetice and understanding in the real world” are relevant. Here, we find the industry practice and understanding of similar charter language to be persuasive. Of the eighty-nine Fortune 500 Delaware corporations that have staggered boards, fifty-eight corporations use the Annual Meeting Term Alternative. More important, forty-six of those fifty-eight Delaware corporations, or 79%, expressly represent in their proxy statements that their staggered-board directors serve three year terms. Indeed, Air Products itself uses the Annual Meeting Term Alternative in its charter,</w:t>
      </w:r>
      <w:r>
        <w:rPr>
          <w:rStyle w:val="FootnoteReference"/>
        </w:rPr>
        <w:footnoteReference w:customMarkFollows="1" w:id="393"/>
        <w:t xml:space="preserve">21</w:t>
      </w:r>
      <w:r>
        <w:t xml:space="preserve"> </w:t>
      </w:r>
      <w:r>
        <w:t xml:space="preserve">and represents in its proxy statement that: “Our Board is divided into three classes for purposes of election, with</w:t>
      </w:r>
      <w:r>
        <w:t xml:space="preserve"> </w:t>
      </w:r>
      <w:r>
        <w:rPr>
          <w:iCs/>
          <w:i/>
        </w:rPr>
        <w:t xml:space="preserve">three-year terms of office</w:t>
      </w:r>
      <w:r>
        <w:t xml:space="preserve"> </w:t>
      </w:r>
      <w:r>
        <w:t xml:space="preserve">ending in successive years.”</w:t>
      </w:r>
      <w:r>
        <w:rPr>
          <w:rStyle w:val="FootnoteReference"/>
        </w:rPr>
        <w:footnoteReference w:customMarkFollows="1" w:id="405"/>
        <w:t xml:space="preserve">22</w:t>
      </w:r>
    </w:p>
    <w:p>
      <w:pPr>
        <w:pStyle w:val="CaseBody"/>
      </w:pPr>
      <w:r>
        <w:t xml:space="preserve">Also noteworthy is the practice and understanding of corporations that have “de-staggered” their boards. Ninety-nine of the Fortune 500 Delaware corporations have de-staggered their boards over the last decade. Of those ninety-nine corporations, sixty-four used the Annual Meeting Term Alternative, and an overwhelming majority — sixty-two, or 97% — represented in their proxy statements that their directors served three year terms. We cannot ignore this widespread corporate practice and understanding it represents. It supports a construction that the Annual Meeting Term Alternative is intended to provide that each class of directors serves three year terms. Air Products has offered no evidence to the contrary.</w:t>
      </w:r>
    </w:p>
    <w:p>
      <w:pPr>
        <w:pStyle w:val="CaseBody"/>
      </w:pPr>
      <w:r>
        <w:t xml:space="preserve">Model Forms and Commentary</w:t>
      </w:r>
    </w:p>
    <w:p>
      <w:pPr>
        <w:pStyle w:val="CaseBody"/>
      </w:pPr>
      <w:r>
        <w:t xml:space="preserve">The ABA’s</w:t>
      </w:r>
      <w:r>
        <w:t xml:space="preserve"> </w:t>
      </w:r>
      <w:r>
        <w:rPr>
          <w:iCs/>
          <w:i/>
        </w:rPr>
        <w:t xml:space="preserve">Public Company Organizational Documents: Model Forms and Commentary</w:t>
      </w:r>
      <w:r>
        <w:t xml:space="preserve"> </w:t>
      </w:r>
      <w:r>
        <w:t xml:space="preserve">contains the following model charter provision for a staggered board that repeats the language that has been commonly understood for decades to provide for a three year term:</w:t>
      </w:r>
    </w:p>
    <w:p>
      <w:pPr>
        <w:pStyle w:val="BlockText"/>
      </w:pPr>
      <w:r>
        <w:t xml:space="preserve">The initial Class I Directors shall serve for a term expiring at the first annual meeting of stockholders of the corporation following the filing of this certificate of incorporation; the initial Class II Directors shall serve for a term expiring at the second annual meeting of stockholders following the filing of this certificate of incorporation; and the initial Class III Directors shall serve for a term expiring at the third annual meeting of stockholders following the filing of this certificate of incorporation. Each director in each class shall hold office until his or her successor is duly elected and qualified. Each director in each class shall hold office until his or her successor is duly elected and qualified. At each annual meeting of stockholders beginning with the first annual meeting of stockholders following the filing of this certificate of incorporation,</w:t>
      </w:r>
      <w:r>
        <w:t xml:space="preserve"> </w:t>
      </w:r>
      <w:r>
        <w:rPr>
          <w:iCs/>
          <w:i/>
        </w:rPr>
        <w:t xml:space="preserve">the successors of the class of directors whose terms expires at that meeting shall be elected to hold office for a term expiring at the annual meeting of stockholders to be held in the third year following the year of their election,</w:t>
      </w:r>
      <w:r>
        <w:t xml:space="preserve"> </w:t>
      </w:r>
      <w:r>
        <w:t xml:space="preserve">with each director in each such class to hold office until his or her successor is duly elected and qualified.</w:t>
      </w:r>
      <w:r>
        <w:rPr>
          <w:rStyle w:val="FootnoteReference"/>
        </w:rPr>
        <w:footnoteReference w:customMarkFollows="1" w:id="417"/>
        <w:t xml:space="preserve">23</w:t>
      </w:r>
    </w:p>
    <w:p>
      <w:pPr>
        <w:pStyle w:val="CaseBody"/>
      </w:pPr>
      <w:r>
        <w:t xml:space="preserve">Notably, the accompanying commentary explains:</w:t>
      </w:r>
    </w:p>
    <w:p>
      <w:pPr>
        <w:pStyle w:val="BlockText"/>
      </w:pPr>
      <w:r>
        <w:t xml:space="preserve">The DGCL permits the certificate of incorporation to provide that the board of directors may be divided into one, two, or three classes, with the term of office of those of the first class to expire at the annual meeting next ensuing; of the second class, one year thereafter; of the third class, two years thereafter, and at each annual election held after such classification and election,</w:t>
      </w:r>
      <w:r>
        <w:t xml:space="preserve"> </w:t>
      </w:r>
      <w:r>
        <w:rPr>
          <w:iCs/>
          <w:i/>
        </w:rPr>
        <w:t xml:space="preserve">directors elected to succeed those whose terms expire shall be elected for a three-year term.</w:t>
      </w:r>
      <w:r>
        <w:t xml:space="preserve"> </w:t>
      </w:r>
      <w:r>
        <w:t xml:space="preserve">DGCL Section 141(d).</w:t>
      </w:r>
      <w:r>
        <w:rPr>
          <w:rStyle w:val="FootnoteReference"/>
        </w:rPr>
        <w:footnoteReference w:customMarkFollows="1" w:id="429"/>
        <w:t xml:space="preserve">24</w:t>
      </w:r>
    </w:p>
    <w:p>
      <w:pPr>
        <w:pStyle w:val="CaseBody"/>
      </w:pPr>
      <w:r>
        <w:t xml:space="preserve">Thus, this model form commentary confirms the understanding that the Annual Meeting Term Alternative intends to provide that each class of directors is elected for a three year term.</w:t>
      </w:r>
    </w:p>
    <w:p>
      <w:pPr>
        <w:pStyle w:val="CaseBody"/>
      </w:pPr>
      <w:r>
        <w:t xml:space="preserve">Other Commentary</w:t>
      </w:r>
    </w:p>
    <w:p>
      <w:pPr>
        <w:pStyle w:val="CaseBody"/>
      </w:pPr>
      <w:r>
        <w:t xml:space="preserve">The DGCL, from its initial enactment in 1899, has authorized Delaware corporations to stagger the terms of their boards of directors.</w:t>
      </w:r>
      <w:r>
        <w:rPr>
          <w:rStyle w:val="FootnoteReference"/>
        </w:rPr>
        <w:footnoteReference w:customMarkFollows="1" w:id="440"/>
        <w:t xml:space="preserve">25</w:t>
      </w:r>
      <w:r>
        <w:t xml:space="preserve"> </w:t>
      </w:r>
      <w:r>
        <w:t xml:space="preserve">Although the statutory language has been amended from time to time, it has remained substantially the same over the past one hundred eleven years. As early as 1917, commentators understood that the staggered board provision contemplates three year director terms. In its 1917 pamphlet entitled</w:t>
      </w:r>
      <w:r>
        <w:t xml:space="preserve"> </w:t>
      </w:r>
      <w:r>
        <w:rPr>
          <w:iCs/>
          <w:i/>
        </w:rPr>
        <w:t xml:space="preserve">Business Corporations Under the Laws of Delaware,</w:t>
      </w:r>
      <w:r>
        <w:t xml:space="preserve"> </w:t>
      </w:r>
      <w:r>
        <w:t xml:space="preserve">the Corporation Trust Company commented: “[Directors] can be divided into one, two or three classes, to serve one, two and three years, and at each annual meeting the directors are elected to serve for the term of three years, so that one class expires each year. They are elected annually by the stockholders.”</w:t>
      </w:r>
      <w:r>
        <w:rPr>
          <w:rStyle w:val="FootnoteReference"/>
        </w:rPr>
        <w:footnoteReference w:customMarkFollows="1" w:id="451"/>
        <w:t xml:space="preserve">26</w:t>
      </w:r>
      <w:r>
        <w:t xml:space="preserve"> </w:t>
      </w:r>
      <w:r>
        <w:t xml:space="preserve">This historical understanding that directors are elected to serve for the term of three years is significant.</w:t>
      </w:r>
      <w:r>
        <w:rPr>
          <w:rStyle w:val="FootnoteReference"/>
        </w:rPr>
        <w:footnoteReference w:customMarkFollows="1" w:id="462"/>
        <w:t xml:space="preserve">27</w:t>
      </w:r>
    </w:p>
    <w:p>
      <w:pPr>
        <w:pStyle w:val="CaseBody"/>
      </w:pPr>
      <w:r>
        <w:rPr>
          <w:iCs/>
          <w:i/>
        </w:rPr>
        <w:t xml:space="preserve">Essential Enterprises v. Automatic Steel Products, Inc.</w:t>
      </w:r>
      <w:r>
        <w:t xml:space="preserve"> </w:t>
      </w:r>
    </w:p>
    <w:p>
      <w:pPr>
        <w:pStyle w:val="CaseBody"/>
      </w:pPr>
      <w:r>
        <w:t xml:space="preserve">This same understanding has long been embedded in Delaware case law addressing issues similar to those presented in this case. Fifty years ago, Chancellor Seitz considered in</w:t>
      </w:r>
      <w:r>
        <w:t xml:space="preserve"> </w:t>
      </w:r>
      <w:r>
        <w:rPr>
          <w:iCs/>
          <w:i/>
        </w:rPr>
        <w:t xml:space="preserve">Essential Enterprises</w:t>
      </w:r>
      <w:r>
        <w:t xml:space="preserve"> </w:t>
      </w:r>
      <w:r>
        <w:t xml:space="preserve">whether a bylaw that authorized the removal of directors by a majority stockholder vote was inconsistent with a charter provision that provided for staggered, three-year terms for the corporation’s directors. Although the charter provided that each class of directors “s hall be elected to hold office for the term of three years,”</w:t>
      </w:r>
      <w:r>
        <w:rPr>
          <w:rStyle w:val="FootnoteReference"/>
        </w:rPr>
        <w:footnoteReference w:customMarkFollows="1" w:id="481"/>
        <w:t xml:space="preserve">29</w:t>
      </w:r>
      <w:r>
        <w:t xml:space="preserve"> </w:t>
      </w:r>
      <w:r>
        <w:t xml:space="preserve">Chancellor Seitz found that the charter reflected the underlying intent of DGCL Section 141(d), and explained: “While the conflict considered is between the by-law and the certificate, the empowering statute is also involved since</w:t>
      </w:r>
      <w:r>
        <w:t xml:space="preserve"> </w:t>
      </w:r>
      <w:r>
        <w:rPr>
          <w:iCs/>
          <w:i/>
        </w:rPr>
        <w:t xml:space="preserve">the certificate provision is formulated basically in the words of the</w:t>
      </w:r>
      <w:r>
        <w:t xml:space="preserve"> </w:t>
      </w:r>
      <w:r>
        <w:t xml:space="preserve">statute.”</w:t>
      </w:r>
      <w:r>
        <w:rPr>
          <w:rStyle w:val="FootnoteReference"/>
        </w:rPr>
        <w:footnoteReference w:customMarkFollows="1" w:id="489"/>
        <w:t xml:space="preserve">30</w:t>
      </w:r>
      <w:r>
        <w:t xml:space="preserve"> </w:t>
      </w:r>
      <w:r>
        <w:t xml:space="preserve">Holding that the bylaw that authorized the removal of directors by a majority stockholder vote was inconsistent with the charter provision that authorized staggered three year terms for the corporation’s directors, Chancellor Seitz concluded: “Clearly the ‘full term’ visualized by the statute is a period of three years — not up to three years;”</w:t>
      </w:r>
      <w:r>
        <w:rPr>
          <w:rStyle w:val="FootnoteReference"/>
        </w:rPr>
        <w:footnoteReference w:customMarkFollows="1" w:id="497"/>
        <w:t xml:space="preserve">31</w:t>
      </w:r>
      <w:r>
        <w:t xml:space="preserve"> </w:t>
      </w:r>
      <w:r>
        <w:t xml:space="preserve">and the bylaw would “frustrate the plan and purpose behind the provision for staggered terms....”</w:t>
      </w:r>
      <w:r>
        <w:rPr>
          <w:rStyle w:val="FootnoteReference"/>
        </w:rPr>
        <w:footnoteReference w:customMarkFollows="1" w:id="505"/>
        <w:t xml:space="preserve">32</w:t>
      </w:r>
    </w:p>
    <w:p>
      <w:pPr>
        <w:pStyle w:val="CaseBody"/>
      </w:pPr>
      <w:r>
        <w:t xml:space="preserve">Air Products contends that</w:t>
      </w:r>
      <w:r>
        <w:t xml:space="preserve"> </w:t>
      </w:r>
      <w:r>
        <w:rPr>
          <w:iCs/>
          <w:i/>
        </w:rPr>
        <w:t xml:space="preserve">Essential Enterprises</w:t>
      </w:r>
      <w:r>
        <w:t xml:space="preserve"> </w:t>
      </w:r>
      <w:r>
        <w:t xml:space="preserve">and this case are distinguishable in two ways. First, Air Products argues that</w:t>
      </w:r>
      <w:r>
        <w:t xml:space="preserve"> </w:t>
      </w:r>
      <w:r>
        <w:rPr>
          <w:iCs/>
          <w:i/>
        </w:rPr>
        <w:t xml:space="preserve">Essential Enterprises</w:t>
      </w:r>
      <w:r>
        <w:t xml:space="preserve"> </w:t>
      </w:r>
      <w:r>
        <w:t xml:space="preserve">was a director “removal” case, whereas this case is an “annual meeting” case.</w:t>
      </w:r>
      <w:r>
        <w:t xml:space="preserve"> </w:t>
      </w:r>
      <w:r>
        <w:rPr>
          <w:iCs/>
          <w:i/>
        </w:rPr>
        <w:t xml:space="preserve">In form,</w:t>
      </w:r>
      <w:r>
        <w:t xml:space="preserve"> </w:t>
      </w:r>
      <w:r>
        <w:t xml:space="preserve">the January Bylaw addresses the date of Air-gas’s annual meeting. But</w:t>
      </w:r>
      <w:r>
        <w:t xml:space="preserve"> </w:t>
      </w:r>
      <w:r>
        <w:rPr>
          <w:iCs/>
          <w:i/>
        </w:rPr>
        <w:t xml:space="preserve">in substance,</w:t>
      </w:r>
      <w:r>
        <w:t xml:space="preserve"> </w:t>
      </w:r>
      <w:r>
        <w:t xml:space="preserve">the January Bylaw, like the bylaw in</w:t>
      </w:r>
      <w:r>
        <w:t xml:space="preserve"> </w:t>
      </w:r>
      <w:r>
        <w:rPr>
          <w:iCs/>
          <w:i/>
        </w:rPr>
        <w:t xml:space="preserve">Essential Enterprises,</w:t>
      </w:r>
      <w:r>
        <w:t xml:space="preserve"> </w:t>
      </w:r>
      <w:r>
        <w:t xml:space="preserve">has the effect of prematurely removing Airgas’s directors who would otherwise serve an additional eight months on Airgas’s board. In that significant respect this case is indistinguishable from</w:t>
      </w:r>
      <w:r>
        <w:t xml:space="preserve"> </w:t>
      </w:r>
      <w:r>
        <w:rPr>
          <w:iCs/>
          <w:i/>
        </w:rPr>
        <w:t xml:space="preserve">Essential Enterprises.</w:t>
      </w:r>
    </w:p>
    <w:p>
      <w:pPr>
        <w:pStyle w:val="CaseBody"/>
      </w:pPr>
      <w:r>
        <w:t xml:space="preserve">Second, Air Products argues that</w:t>
      </w:r>
      <w:r>
        <w:t xml:space="preserve"> </w:t>
      </w:r>
      <w:r>
        <w:rPr>
          <w:iCs/>
          <w:i/>
        </w:rPr>
        <w:t xml:space="preserve">Essential Enterprises</w:t>
      </w:r>
      <w:r>
        <w:t xml:space="preserve"> </w:t>
      </w:r>
      <w:r>
        <w:t xml:space="preserve">is distinguishable because the charter in that case explicitly stated that each class of directors “s hall be elected to hold office for the term of three years,” whereas the Annual Meeting Term Alternative does not. While that is true, our preceding discussion demonstrates that the Annual Meeting Term Alternative was intended, and has been commonly understood, to provide for three year terms.</w:t>
      </w:r>
    </w:p>
    <w:p>
      <w:pPr>
        <w:pStyle w:val="CaseBody"/>
      </w:pPr>
      <w:r>
        <w:t xml:space="preserve">In its opinion, the Court of Chancery distinguished</w:t>
      </w:r>
      <w:r>
        <w:t xml:space="preserve"> </w:t>
      </w:r>
      <w:r>
        <w:rPr>
          <w:iCs/>
          <w:i/>
        </w:rPr>
        <w:t xml:space="preserve">Essential Enterprises</w:t>
      </w:r>
      <w:r>
        <w:t xml:space="preserve"> </w:t>
      </w:r>
      <w:r>
        <w:t xml:space="preserve">as follows:</w:t>
      </w:r>
    </w:p>
    <w:p>
      <w:pPr>
        <w:pStyle w:val="BlockText"/>
      </w:pPr>
      <w:r>
        <w:rPr>
          <w:iCs/>
          <w:i/>
        </w:rPr>
        <w:t xml:space="preserve">[Essential Enterprises</w:t>
      </w:r>
      <w:r>
        <w:t xml:space="preserve"> </w:t>
      </w:r>
      <w:r>
        <w:t xml:space="preserve">explained] that DGCL Section 141(d) “says that ‘directors shall be chosen for a full term.’ The certificate implements this.” The charter in</w:t>
      </w:r>
      <w:r>
        <w:t xml:space="preserve"> </w:t>
      </w:r>
      <w:r>
        <w:rPr>
          <w:iCs/>
          <w:i/>
        </w:rPr>
        <w:t xml:space="preserve">Essential Enterprises</w:t>
      </w:r>
      <w:r>
        <w:t xml:space="preserve"> </w:t>
      </w:r>
      <w:r>
        <w:t xml:space="preserve">explicitly called for three-year terms; Air-gas’s charter does not. Thus, the “full term” specified by the charter in</w:t>
      </w:r>
      <w:r>
        <w:t xml:space="preserve"> </w:t>
      </w:r>
      <w:r>
        <w:rPr>
          <w:iCs/>
          <w:i/>
        </w:rPr>
        <w:t xml:space="preserve">Essential Enterprises</w:t>
      </w:r>
      <w:r>
        <w:t xml:space="preserve"> </w:t>
      </w:r>
      <w:r>
        <w:t xml:space="preserve">was three years. The “full term” visualized by the statute based on Airgas’s charter is until “the annual meeting of stockholders held in the third year following the year of their election.”</w:t>
      </w:r>
      <w:r>
        <w:rPr>
          <w:rStyle w:val="FootnoteReference"/>
        </w:rPr>
        <w:footnoteReference w:customMarkFollows="1" w:id="513"/>
        <w:t xml:space="preserve">33</w:t>
      </w:r>
    </w:p>
    <w:p>
      <w:pPr>
        <w:pStyle w:val="CaseBody"/>
      </w:pPr>
      <w:r>
        <w:t xml:space="preserve">Thus, the Court of Chancery heavily relied on the different wording of the Annual Meeting Term Alternative and the Defined Term Alternative to arrive at its conclusion that different wording equates to different meaning. But in doing that the Court of Chancery erred, because it failed to give proper effect to the overwhelming and uncontroverted extrinsic evidence that establishes, and persuades us, that the Annual Meeting Term Alternative and the Defined Term Alternative language mean the same thing: that each class of directors serves three year terms.</w:t>
      </w:r>
    </w:p>
    <w:p>
      <w:pPr>
        <w:pStyle w:val="CaseBody"/>
      </w:pPr>
      <w:r>
        <w:t xml:space="preserve">No party to this case has argued that DGCL Section 141(d) or the Airgas Charter requires that the three year terms be measured with mathematical precision.</w:t>
      </w:r>
      <w:r>
        <w:rPr>
          <w:rStyle w:val="FootnoteReference"/>
        </w:rPr>
        <w:footnoteReference w:customMarkFollows="1" w:id="521"/>
        <w:t xml:space="preserve">34</w:t>
      </w:r>
      <w:r>
        <w:t xml:space="preserve"> </w:t>
      </w:r>
      <w:r>
        <w:t xml:space="preserve">Nor is it necessary for us to define with exactitude the parameters of what deviation from 365 days (multiplied by 3) satisfies the Airgas Charter three year durational requirement. In this specific case, we may safely conclude that under any construction of “annual” within the intended meaning of the Airgas Charter or title 8, section 141(d) of the Delaware Code, four months does not qualify. In substance, the January Bylaw so extremely truncates the directors’ term as to constitute a</w:t>
      </w:r>
      <w:r>
        <w:t xml:space="preserve"> </w:t>
      </w:r>
      <w:r>
        <w:rPr>
          <w:iCs/>
          <w:i/>
        </w:rPr>
        <w:t xml:space="preserve">de facto</w:t>
      </w:r>
      <w:r>
        <w:t xml:space="preserve"> </w:t>
      </w:r>
      <w:r>
        <w:t xml:space="preserve">removal that is inconsistent with the Airgas Charter. The consequence of the January Bylaw is similar to the bylaw at issue in</w:t>
      </w:r>
      <w:r>
        <w:t xml:space="preserve"> </w:t>
      </w:r>
      <w:r>
        <w:rPr>
          <w:iCs/>
          <w:i/>
        </w:rPr>
        <w:t xml:space="preserve">Essential Enterprises.</w:t>
      </w:r>
      <w:r>
        <w:t xml:space="preserve"> </w:t>
      </w:r>
      <w:r>
        <w:t xml:space="preserve">It serves to “frustrate the plan and purpose behind the provision for [Air-gas’s] staggered terms and [ ] it is incompatible with the pertinent language of the statute and the [Charter].”</w:t>
      </w:r>
      <w:r>
        <w:rPr>
          <w:rStyle w:val="FootnoteReference"/>
        </w:rPr>
        <w:footnoteReference w:customMarkFollows="1" w:id="529"/>
        <w:t xml:space="preserve">35</w:t>
      </w:r>
      <w:r>
        <w:t xml:space="preserve"> </w:t>
      </w:r>
      <w:r>
        <w:t xml:space="preserve">Accordingly, the January Bylaw is invalid not only because it impermissibly shortens the directors’ three year staggered terms as provided by Article 5, Section 1 of the Airgas Charter, but also because it amounted to a</w:t>
      </w:r>
      <w:r>
        <w:t xml:space="preserve"> </w:t>
      </w:r>
      <w:r>
        <w:rPr>
          <w:iCs/>
          <w:i/>
        </w:rPr>
        <w:t xml:space="preserve">de facto</w:t>
      </w:r>
      <w:r>
        <w:t xml:space="preserve"> </w:t>
      </w:r>
      <w:r>
        <w:t xml:space="preserve">removal without cause of those directors without the affirmative vote of 67% of the voting power of all shares entitled to vote, as Article 5, Section 3 of the Charter required.</w:t>
      </w:r>
    </w:p>
    <w:p>
      <w:pPr>
        <w:pStyle w:val="CaseBody"/>
      </w:pPr>
      <w:r>
        <w:t xml:space="preserve">CONCLUSION</w:t>
      </w:r>
    </w:p>
    <w:p>
      <w:pPr>
        <w:pStyle w:val="CaseBody"/>
      </w:pPr>
      <w:r>
        <w:t xml:space="preserve">The judgment of the Court of Chancery is REVERSED.</w:t>
      </w:r>
    </w:p>
    <w:bookmarkStart w:id="129" w:name="_auto_toc_129"/>
    <w:bookmarkEnd w:id="129"/>
    <w:p>
      <w:pPr>
        <w:pStyle w:val="ResourceNumber"/>
      </w:pPr>
      <w:r>
        <w:t xml:space="preserve">10.2.5</w:t>
      </w:r>
    </w:p>
    <w:p>
      <w:pPr>
        <w:pStyle w:val="ResourceTitle"/>
      </w:pPr>
      <w:r>
        <w:t xml:space="preserve">Arnold v. Society for Savings Bancorp, Inc.</w:t>
      </w:r>
    </w:p>
    <w:p>
      <w:pPr>
        <w:pStyle w:val="HeadEnd"/>
      </w:pPr>
      <w:r>
        <w:t xml:space="preserve"> </w:t>
      </w:r>
    </w:p>
    <w:p>
      <w:pPr>
        <w:pStyle w:val="CaseHeader"/>
      </w:pPr>
      <w:r>
        <w:t xml:space="preserve">Delaware Supreme Court</w:t>
      </w:r>
    </w:p>
    <w:p>
      <w:pPr>
        <w:pStyle w:val="CaseHeader"/>
      </w:pPr>
      <w:r>
        <w:t xml:space="preserve">650 A.2d 1270</w:t>
      </w:r>
    </w:p>
    <w:p>
      <w:pPr>
        <w:pStyle w:val="CaseHeader"/>
      </w:pPr>
      <w:r>
        <w:t xml:space="preserve">No. 473, 1993</w:t>
      </w:r>
    </w:p>
    <w:p>
      <w:pPr>
        <w:pStyle w:val="CaseHeader"/>
      </w:pPr>
      <w:r>
        <w:t xml:space="preserve">1994-12-28</w:t>
      </w:r>
    </w:p>
    <w:p>
      <w:pPr>
        <w:pStyle w:val="CaseBody"/>
      </w:pPr>
      <w:r>
        <w:t xml:space="preserve">Submitted: Oct. 21, 1994.</w:t>
      </w:r>
    </w:p>
    <w:p>
      <w:pPr>
        <w:pStyle w:val="CaseBody"/>
      </w:pPr>
      <w:r>
        <w:t xml:space="preserve">William Prickett, Michael Hanrahan, and Ronald A. Brown, Jr. (argued), Prickett, Jones, Elliott, Kristol &amp; Schnee, Wilmington, for appellant.</w:t>
      </w:r>
    </w:p>
    <w:p>
      <w:pPr>
        <w:pStyle w:val="CaseBody"/>
      </w:pPr>
      <w:r>
        <w:t xml:space="preserve">A. Gilchrist Sparks, III (argued), and Seth D. Rigrodsky, Morris, Nichols, Arsht &amp; Tun-nell, Wilmington (Bingham, Dana &amp; Gould, Boston, MA, of counsel), for appellees Bank of Boston Corp. and BBC Connecticut Holding Corp.</w:t>
      </w:r>
    </w:p>
    <w:p>
      <w:pPr>
        <w:pStyle w:val="CaseBody"/>
      </w:pPr>
      <w:r>
        <w:t xml:space="preserve">Jesse A. Finkelstein, Richards, Layton &amp; Finger, Wilmington (Richard F. Ziegler (argued), Cleary, Gottleib, Stein &amp; Hamilton, New York City, of counsel), for individual appellees.</w:t>
      </w:r>
    </w:p>
    <w:p>
      <w:pPr>
        <w:pStyle w:val="CaseBody"/>
      </w:pPr>
      <w:r>
        <w:t xml:space="preserve">Before VEASEY, C.J., and WALSH, HOLLAND, HARTNETT and BERGER, JJ., constituting the Court en Bane.</w:t>
      </w:r>
    </w:p>
    <w:p>
      <w:pPr>
        <w:pStyle w:val="CaseBody"/>
      </w:pPr>
      <w:r>
        <w:t xml:space="preserve">VEASEY, Chief Justice:</w:t>
      </w:r>
    </w:p>
    <w:p>
      <w:pPr>
        <w:pStyle w:val="CaseBody"/>
      </w:pPr>
      <w:r>
        <w:t xml:space="preserve">In this appeal from a judgment of the Court of Chancery in favor of defendants we consider the contention of plaintiff below-appellant Robert H. Arnold (“plaintiff’) that the trial court erred in granting defendants’ summary judgment motion and denying his own. This suit arose out of a merger (the “Merger”) of BBC Connecticut Holding Corporation (“BBC”), a wholly-owned Connecticut subsidiary of Bank of Boston Corporation (“BoB”), a Massachusetts corporation, into Society for Savings (“Society”), a wholly-owned Connecticut subsidiary of Society for Savings Bancorp, Incorporated (“Bancorp”), a Delaware corporation. In accordance with the Merger, Bancorp ultimately merged with BoB. Plaintiff was at all relevant times a Bancorp stockholder. Plaintiff named as defendants Bancorp, BoB, BBC, and twelve of fourteen members of Baneorp’s board of directors (collectively “defendants”).</w:t>
      </w:r>
      <w:r>
        <w:rPr>
          <w:rStyle w:val="FootnoteReference"/>
        </w:rPr>
        <w:footnoteReference w:customMarkFollows="1" w:id="34"/>
        <w:t xml:space="preserve">1</w:t>
      </w:r>
    </w:p>
    <w:p>
      <w:pPr>
        <w:pStyle w:val="CaseBody"/>
      </w:pPr>
      <w:r>
        <w:t xml:space="preserve">Plaintiffs central claim is that the trial court erred in holding that certain alleged omissions and misrepresentations in the Merger proxy statement were immaterial and need not have been disclosed. Plaintiff also claims that the Court of Chancery erroneously held that the duties enunciated in</w:t>
      </w:r>
      <w:r>
        <w:t xml:space="preserve"> </w:t>
      </w:r>
      <w:r>
        <w:rPr>
          <w:iCs/>
          <w:i/>
        </w:rPr>
        <w:t xml:space="preserve">Revlon</w:t>
      </w:r>
      <w:r>
        <w:t xml:space="preserve"> </w:t>
      </w:r>
      <w:r>
        <w:t xml:space="preserve"> </w:t>
      </w:r>
      <w:r>
        <w:t xml:space="preserve"> </w:t>
      </w:r>
      <w:r>
        <w:t xml:space="preserve">and its progeny were not implicated. Also at issue on this appeal is whether or not the individual defendants can be held liable if a disclosure violation is found in view of the exemption from liability provision in Ban-corp’s certificate of incorporation, adopted pursuant to 8</w:t>
      </w:r>
      <w:r>
        <w:t xml:space="preserve"> </w:t>
      </w:r>
      <w:r>
        <w:rPr>
          <w:iCs/>
          <w:i/>
        </w:rPr>
        <w:t xml:space="preserve">Del.C.</w:t>
      </w:r>
      <w:r>
        <w:t xml:space="preserve"> </w:t>
      </w:r>
      <w:r>
        <w:t xml:space="preserve">§ 102(b)(7) (“Section 102(b)(7)”). For the reasons set forth below, we hold that the Court of Chancery erred in failing to find that plaintiffs claim that the partial disclosures in the Merger proxy statement made it materially misleading with respect to one particular fact. In all other respects we find that the trial court committed no reversible error.</w:t>
      </w:r>
    </w:p>
    <w:p>
      <w:pPr>
        <w:pStyle w:val="CaseBody"/>
      </w:pPr>
      <w:r>
        <w:t xml:space="preserve">We further hold that, in all events, the limitation provision in Bancorp’s certificate of incorporation shields the individual defendants from personal liability for the disclosure violation found to exist in this ease. Finally, we hold that plaintiffs claim that</w:t>
      </w:r>
      <w:r>
        <w:t xml:space="preserve"> </w:t>
      </w:r>
      <w:r>
        <w:rPr>
          <w:iCs/>
          <w:i/>
        </w:rPr>
        <w:t xml:space="preserve">Revlon</w:t>
      </w:r>
      <w:r>
        <w:t xml:space="preserve"> </w:t>
      </w:r>
      <w:r>
        <w:t xml:space="preserve">was implicated under the circumstances of this ease is without merit. Therefore, we REVERSE in part and AFFIRM in part the judgment of the Court of Chancery, and REMAND the case to the Court of Chancery for proceedings consistent with this opinion.</w:t>
      </w:r>
    </w:p>
    <w:p>
      <w:pPr>
        <w:pStyle w:val="CaseBody"/>
      </w:pPr>
      <w:r>
        <w:t xml:space="preserve">I. NATURE AND STAGE OF PROCEEDINGS</w:t>
      </w:r>
    </w:p>
    <w:p>
      <w:pPr>
        <w:pStyle w:val="CaseBody"/>
      </w:pPr>
      <w:r>
        <w:t xml:space="preserve">On March 8, 1993, plaintiff sought a preliminary injunction to enjoin consummation of the Merger, scheduled to occur on July 9, 1993. Under the terms of the Merger, Ban-corp stockholders would receive 0.80 shares of BoB in exchange for each Bancorp share based on the trading price of BoB shares at closing (subject to an adjustable $20 per share cap). Plaintiff alleged that defendants breached their fiduciary duties of care and candor in the proxy statement dated February 1, 1993 (the “proxy statement”) which was sent to stockholders seeking approval of the Merger.</w:t>
      </w:r>
      <w:r>
        <w:rPr>
          <w:rStyle w:val="FootnoteReference"/>
        </w:rPr>
        <w:footnoteReference w:customMarkFollows="1" w:id="89"/>
        <w:t xml:space="preserve">3</w:t>
      </w:r>
    </w:p>
    <w:p>
      <w:pPr>
        <w:pStyle w:val="CaseBody"/>
      </w:pPr>
      <w:r>
        <w:t xml:space="preserve">The Court of Chancery denied plaintiffs motion for preliminary injunction, concluding that plaintiff had failed to show a reasonable probability of success on the merits.</w:t>
      </w:r>
      <w:r>
        <w:rPr>
          <w:rStyle w:val="FootnoteReference"/>
        </w:rPr>
        <w:footnoteReference w:customMarkFollows="1" w:id="113"/>
        <w:t xml:space="preserve">4</w:t>
      </w:r>
      <w:r>
        <w:t xml:space="preserve"> </w:t>
      </w:r>
      <w:r>
        <w:t xml:space="preserve">The trial court did not find any need for corrective disclosures in</w:t>
      </w:r>
      <w:r>
        <w:t xml:space="preserve"> </w:t>
      </w:r>
      <w:r>
        <w:rPr>
          <w:iCs/>
          <w:i/>
        </w:rPr>
        <w:t xml:space="preserve">Arnold I.</w:t>
      </w:r>
      <w:r>
        <w:t xml:space="preserve"> </w:t>
      </w:r>
      <w:r>
        <w:t xml:space="preserve">Defendants had filed motions to dismiss and for summary judgment before the ruling on the preliminary injunction. The trial court deferred ruling on these motions at that time. The Merger was effected on July 9, 1993. On that date, plaintiff filed a cross-motion for partial summary judgment. In an opinion and order dated December 15, 1993 (the “Opinion”), the Court of Chancery granted defendants’ motion for summary judgment and denied plaintiffs cross motion, holding that defendants did not violate their duty of disclosure.</w:t>
      </w:r>
      <w:r>
        <w:rPr>
          <w:rStyle w:val="FootnoteReference"/>
        </w:rPr>
        <w:footnoteReference w:customMarkFollows="1" w:id="136"/>
        <w:t xml:space="preserve">5</w:t>
      </w:r>
      <w:r>
        <w:t xml:space="preserve"> </w:t>
      </w:r>
      <w:r>
        <w:t xml:space="preserve">The Court found that the alleged omissions and misrepresentations were immaterial as a matter of law. The Court also rejected plaintiffs</w:t>
      </w:r>
      <w:r>
        <w:t xml:space="preserve"> </w:t>
      </w:r>
      <w:r>
        <w:rPr>
          <w:iCs/>
          <w:i/>
        </w:rPr>
        <w:t xml:space="preserve">“Revlon,</w:t>
      </w:r>
      <w:r>
        <w:t xml:space="preserve"> </w:t>
      </w:r>
      <w:r>
        <w:t xml:space="preserve">claim.” The judgment of dismissal based on the Opinion is the subject of this appeal.</w:t>
      </w:r>
    </w:p>
    <w:p>
      <w:pPr>
        <w:pStyle w:val="CaseBody"/>
      </w:pPr>
      <w:r>
        <w:t xml:space="preserve">II. FACTS</w:t>
      </w:r>
    </w:p>
    <w:p>
      <w:pPr>
        <w:pStyle w:val="CaseBody"/>
      </w:pPr>
      <w:r>
        <w:t xml:space="preserve">The following operative facts govern this litigation. In 1991 Bancorp was suffering from severe financial distress, including an imminent threat of regulatory takeover, due mostly to Society’s poor performance. In fact, Bancorp was being kept afloat mainly by the high profitability of Fidelity Acceptance Corporation (“FAC”), a Society subsidiary. Early that year, Bancorp began investigating whether it could “unlock” FAC’s value from Bancorp’s other poorly-performing assets.</w:t>
      </w:r>
    </w:p>
    <w:p>
      <w:pPr>
        <w:pStyle w:val="CaseBody"/>
      </w:pPr>
      <w:r>
        <w:t xml:space="preserve">On April 30, 1991, Bancorp publicly announced that it had retained Goldman, Sachs &amp; Company (“Goldman”) to identify transactions that would enhance stockholder value. After having canvassed the market for potential acquirors, Goldman informed the Ban-corp board of directors (the “board”) that there was a paucity of interest in Bancorp. Bancorp then considered selling itself in four parts — Society’s deposits, Society’s investment and loan assets, FAC, and a “stub” entity.</w:t>
      </w:r>
      <w:r>
        <w:rPr>
          <w:rStyle w:val="FootnoteReference"/>
        </w:rPr>
        <w:footnoteReference w:customMarkFollows="1" w:id="158"/>
        <w:t xml:space="preserve">6</w:t>
      </w:r>
      <w:r>
        <w:t xml:space="preserve"> </w:t>
      </w:r>
      <w:r>
        <w:t xml:space="preserve">Under this scenario, the sale of each part was contingent upon sale of the others. As part of this effort, Goldman solicited bids for FAC and for Society’s deposits, informing bidders in late 1991 and early 1992 that Bancorp was still available for sale in its entirety. Offers for Bancorp were not forthcoming.</w:t>
      </w:r>
    </w:p>
    <w:p>
      <w:pPr>
        <w:pStyle w:val="CaseBody"/>
      </w:pPr>
      <w:r>
        <w:t xml:space="preserve">Although FAC was not offered for sale separately, Goldman received nine bids solely for FAC. Eventually, Norwest Corporation (“Norwest”) emerged as the highest bidder, with a bid for FAC forecasted to be approximately $275 million as of December 31,1992.</w:t>
      </w:r>
      <w:r>
        <w:rPr>
          <w:rStyle w:val="FootnoteReference"/>
        </w:rPr>
        <w:footnoteReference w:customMarkFollows="1" w:id="178"/>
        <w:t xml:space="preserve">7</w:t>
      </w:r>
    </w:p>
    <w:p>
      <w:pPr>
        <w:pStyle w:val="CaseBody"/>
      </w:pPr>
      <w:r>
        <w:t xml:space="preserve">Norwest’s bid for FAC also was conditioned on the securing of all requisite regulatory approvals, among other provisos. Regulatory approval, however, turned out to be problematic. The board engaged several financial advisors to evaluate potential profit-maximizing alternatives, including Goldman, Salomon Brothers Incorporated (“Salomon”), and Merrill, Lynch, Fenner, Smith &amp; Pierce, Incorporated (“Merrill Lynch”), all of whom confirmed the unlikelihood of FAC’s sale being effected without selling simultaneously the remaining components of Bancorp.</w:t>
      </w:r>
    </w:p>
    <w:p>
      <w:pPr>
        <w:pStyle w:val="CaseBody"/>
      </w:pPr>
      <w:r>
        <w:t xml:space="preserve">On May 28, 1992, Goldman presented the following mutually-dependent proposal (the “May Proposal”) to the board: BoB would purchase Society’s deposits; Norwest would purchase FAC; Goldman itself would purchase much of Society’s loan portfolio; and Society’s unsalable assets would be relegated to the stub. Goldman advised the board that no such transaction had ever been executed successfully. Also, all three potential purchasers insisted that their purchases be secured by the stub and that sufficient cash be reserved to indemnify them against any asset losses. Given that Society’s liabilities exceeded its assets, the reserve cash would have been transferred to the stub from FAC’s sale proceeds.</w:t>
      </w:r>
    </w:p>
    <w:p>
      <w:pPr>
        <w:pStyle w:val="CaseBody"/>
      </w:pPr>
      <w:r>
        <w:t xml:space="preserve">Goldman estimated that stockholders could receive a net value of $15.94 per share, subject to market fluctuations. That value could be increased should a positive value of $3.32 per share for the stub assets materialize. In that scenario, Goldman estimated a total value of $229.4 million or $19.26 per share. The stub value was very uncertain, however. In fact, Director David T. Chase (“Chase”) opined to the board that the stub more likely had a negative value of $3 per share. If that were the case the net value receivable by Bancorp stockholders would amount to approximately $13 per share.</w:t>
      </w:r>
      <w:r>
        <w:rPr>
          <w:rStyle w:val="FootnoteReference"/>
        </w:rPr>
        <w:footnoteReference w:customMarkFollows="1" w:id="197"/>
        <w:t xml:space="preserve">8</w:t>
      </w:r>
    </w:p>
    <w:p>
      <w:pPr>
        <w:pStyle w:val="CaseBody"/>
      </w:pPr>
      <w:r>
        <w:t xml:space="preserve">Lawrence Connell (“Connell”), Bancorp’s recently-hired Chief Executive Officer, President and board member, recommended that the board pursue the May Proposal, notwithstanding potential associated risks. After deliberations, however, the board rejected the May Proposal, five in favor and eight opposed (5-8),</w:t>
      </w:r>
      <w:r>
        <w:rPr>
          <w:rStyle w:val="FootnoteReference"/>
        </w:rPr>
        <w:footnoteReference w:customMarkFollows="1" w:id="216"/>
        <w:t xml:space="preserve">9</w:t>
      </w:r>
      <w:r>
        <w:t xml:space="preserve"> </w:t>
      </w:r>
      <w:r>
        <w:t xml:space="preserve">as too risky and speculative. The board thereafter terminated Goldman and issued a press release indicating that Bancorp intended to focus on strengthening itself as an independent entity. Connell was to concentrate on managing Bancorp.</w:t>
      </w:r>
      <w:r>
        <w:rPr>
          <w:rStyle w:val="FootnoteReference"/>
        </w:rPr>
        <w:footnoteReference w:customMarkFollows="1" w:id="234"/>
        <w:t xml:space="preserve">10</w:t>
      </w:r>
    </w:p>
    <w:p>
      <w:pPr>
        <w:pStyle w:val="CaseBody"/>
      </w:pPr>
      <w:r>
        <w:t xml:space="preserve">Shortly thereafter, representatives of BoB and Connell discussed a possible acquisition of Bancorp, examining the possibility throughout the summer of 1992. Connell enlisted Goldman’s assistance as well as help from Bancorp senior personnel in the negotiations. In June or July, 1992, Connell casually mentioned BoB’s interest to the Chairman. Connell did not formally disclose these developments to any board members until BoB sent a written expression of interest on August 24, 1992, which Connell relayed in substance to some board members.</w:t>
      </w:r>
    </w:p>
    <w:p>
      <w:pPr>
        <w:pStyle w:val="CaseBody"/>
      </w:pPr>
      <w:r>
        <w:t xml:space="preserve">On August 27, 1992, Connell informed the entire board that BoB had conducted due diligence in July and August and was interested in merging with Bancorp. The board discussed the terms of BoB’s offer — each Bancorp share would be exchanged for 0.78 BoB share, with BoB to receive no-shop and lock-up rights. BoB conditioned the offer on quick approval by the board. The board negotiated with BoB over the next three days and, when the board reconvened on August 31, approved the Merger. The final terms were as follows: the exchange ratio was increased in favor of Bancorp stockholders from 0.78 to 0.80, BoB was granted a share cap of $20 and a modified lock-up agreement, and Bancorp obtained a “fiduciary out” provision as part of the no-shop clause. The initial vote was eight in favor, one opposed, with five abstentions (8-1-5). After BoB satisfied the concerns of certain board members,</w:t>
      </w:r>
      <w:r>
        <w:rPr>
          <w:rStyle w:val="FootnoteReference"/>
        </w:rPr>
        <w:footnoteReference w:customMarkFollows="1" w:id="251"/>
        <w:t xml:space="preserve">11</w:t>
      </w:r>
      <w:r>
        <w:t xml:space="preserve"> </w:t>
      </w:r>
      <w:r>
        <w:t xml:space="preserve">twelve directors voted in favor and two (the Chairman and Weiner-man) abstained (12-0-2).</w:t>
      </w:r>
      <w:r>
        <w:rPr>
          <w:rStyle w:val="FootnoteReference"/>
        </w:rPr>
        <w:footnoteReference w:customMarkFollows="1" w:id="267"/>
        <w:t xml:space="preserve">12</w:t>
      </w:r>
      <w:r>
        <w:t xml:space="preserve"> </w:t>
      </w:r>
      <w:r>
        <w:t xml:space="preserve">Under the terms of the Merger, Bancorp stockholders would receive $17.30 per share as of August 28, 1992.</w:t>
      </w:r>
    </w:p>
    <w:p>
      <w:pPr>
        <w:pStyle w:val="CaseBody"/>
      </w:pPr>
      <w:r>
        <w:t xml:space="preserve">On February 1, 1993, Bancorp issued the proxy statement, which discussed: the May Proposal;' the May 28, 1992, board decision rejecting the May Proposal; the negotiations between Connell and BoB during the summer of 1992; the substance of the August 27 and 31 board meetings (including the final terms approved by the board and the two vote tallies); and the Chairman’s and Wein-erman’s abstentions including their reasons therefor. The proxy statement did not disclose the contingent $275 million bid by Nor-west for FAC or Goldman’s qualified estimate of $19.26 for Bancorp shares, both of which were generated in connection with the failed May Proposal. On March 4, 1993, Bancorp’s stockholders approved the Merger with 7,750,253 shares in favor,</w:t>
      </w:r>
      <w:r>
        <w:rPr>
          <w:rStyle w:val="FootnoteReference"/>
        </w:rPr>
        <w:footnoteReference w:customMarkFollows="1" w:id="283"/>
        <w:t xml:space="preserve">13</w:t>
      </w:r>
      <w:r>
        <w:t xml:space="preserve"> </w:t>
      </w:r>
      <w:r>
        <w:t xml:space="preserve">1,389,272 in opposition, 264,146 abstaining, and 2,552,297 not voting. The Merger was consummated on July 9, 1993.</w:t>
      </w:r>
    </w:p>
    <w:p>
      <w:pPr>
        <w:pStyle w:val="CaseBody"/>
      </w:pPr>
      <w:r>
        <w:t xml:space="preserve">111. SCOPE OF APPELLATE REVIEW</w:t>
      </w:r>
    </w:p>
    <w:p>
      <w:pPr>
        <w:pStyle w:val="CaseBody"/>
      </w:pPr>
      <w:r>
        <w:t xml:space="preserve">Here, the ease was decided by the Court of Chancery on cross-motions for summary judgment. A trial court’s decision granting summary judgment is subject to de novo review.</w:t>
      </w:r>
      <w:r>
        <w:t xml:space="preserve"> </w:t>
      </w:r>
      <w:r>
        <w:rPr>
          <w:iCs/>
          <w:i/>
        </w:rPr>
        <w:t xml:space="preserve">Stroud v. Grace,</w:t>
      </w:r>
      <w:r>
        <w:t xml:space="preserve"> </w:t>
      </w:r>
      <w:r>
        <w:t xml:space="preserve">Del.Supr.,</w:t>
      </w:r>
      <w:r>
        <w:t xml:space="preserve"> </w:t>
      </w:r>
      <w:r>
        <w:t xml:space="preserve">606 A.2d 75</w:t>
      </w:r>
      <w:r>
        <w:t xml:space="preserve">, 81 (1992). Our appellate review implicates a determination of whether the record shows that there is no genuine, material issue of fact and the moving party is entitled to judgment as a matter of law. Ch.Civ.R. 56(c);</w:t>
      </w:r>
      <w:r>
        <w:t xml:space="preserve"> </w:t>
      </w:r>
      <w:r>
        <w:rPr>
          <w:iCs/>
          <w:i/>
        </w:rPr>
        <w:t xml:space="preserve">Fleer Corp. v. Topps Chewing Gum, Inc.,</w:t>
      </w:r>
      <w:r>
        <w:t xml:space="preserve"> </w:t>
      </w:r>
      <w:r>
        <w:t xml:space="preserve">Del.Supr.,</w:t>
      </w:r>
      <w:r>
        <w:t xml:space="preserve"> </w:t>
      </w:r>
      <w:r>
        <w:t xml:space="preserve">539 A.2d 1060</w:t>
      </w:r>
      <w:r>
        <w:t xml:space="preserve">, 1061-62 (1988) (interpreting Ch.Civ.R. 56(c));</w:t>
      </w:r>
      <w:r>
        <w:t xml:space="preserve"> </w:t>
      </w:r>
      <w:r>
        <w:rPr>
          <w:iCs/>
          <w:i/>
        </w:rPr>
        <w:t xml:space="preserve">Bershad v. Curtiss-Wright Corp.,</w:t>
      </w:r>
      <w:r>
        <w:t xml:space="preserve"> </w:t>
      </w:r>
      <w:r>
        <w:t xml:space="preserve">Del.Supr.,</w:t>
      </w:r>
      <w:r>
        <w:t xml:space="preserve"> </w:t>
      </w:r>
      <w:r>
        <w:t xml:space="preserve">535 A.2d 840</w:t>
      </w:r>
      <w:r>
        <w:t xml:space="preserve">, 844 (1987).</w:t>
      </w:r>
    </w:p>
    <w:p>
      <w:pPr>
        <w:pStyle w:val="CaseBody"/>
      </w:pPr>
      <w:r>
        <w:t xml:space="preserve">In making this determination, if the trial court’s factual conclusions “are sufficiently supported by the record and are the product of an orderly and logical deductive process ... we accept them, even though independently we might have reached opposite conclusions.”</w:t>
      </w:r>
      <w:r>
        <w:t xml:space="preserve"> </w:t>
      </w:r>
      <w:r>
        <w:rPr>
          <w:iCs/>
          <w:i/>
        </w:rPr>
        <w:t xml:space="preserve">Levitt v. Bouvier,</w:t>
      </w:r>
      <w:r>
        <w:t xml:space="preserve"> </w:t>
      </w:r>
      <w:r>
        <w:t xml:space="preserve">Del.Supr.,</w:t>
      </w:r>
      <w:r>
        <w:t xml:space="preserve"> </w:t>
      </w:r>
      <w:r>
        <w:t xml:space="preserve">287 A.2d 671</w:t>
      </w:r>
      <w:r>
        <w:t xml:space="preserve">, 673 (1972). Nevertheless, in an appropriate case, this Court may review</w:t>
      </w:r>
      <w:r>
        <w:t xml:space="preserve"> </w:t>
      </w:r>
      <w:r>
        <w:rPr>
          <w:iCs/>
          <w:i/>
        </w:rPr>
        <w:t xml:space="preserve">de novo</w:t>
      </w:r>
      <w:r>
        <w:t xml:space="preserve"> </w:t>
      </w:r>
      <w:r>
        <w:t xml:space="preserve">mixed questions of law and fact, such as determinations of materiality,</w:t>
      </w:r>
      <w:r>
        <w:t xml:space="preserve"> </w:t>
      </w:r>
      <w:r>
        <w:rPr>
          <w:iCs/>
          <w:i/>
        </w:rPr>
        <w:t xml:space="preserve">Zirn v. VLI Corp.,</w:t>
      </w:r>
      <w:r>
        <w:t xml:space="preserve"> </w:t>
      </w:r>
      <w:r>
        <w:t xml:space="preserve">Del.Supr.,</w:t>
      </w:r>
      <w:r>
        <w:t xml:space="preserve"> </w:t>
      </w:r>
      <w:r>
        <w:t xml:space="preserve">621 A.2d 773</w:t>
      </w:r>
      <w:r>
        <w:t xml:space="preserve">, 777 (1993), and in certain cases make its own findings of fact upon the record below,</w:t>
      </w:r>
      <w:r>
        <w:t xml:space="preserve"> </w:t>
      </w:r>
      <w:r>
        <w:rPr>
          <w:iCs/>
          <w:i/>
        </w:rPr>
        <w:t xml:space="preserve">Shell Petroleum, Inc. v. Smith,</w:t>
      </w:r>
      <w:r>
        <w:t xml:space="preserve"> </w:t>
      </w:r>
      <w:r>
        <w:t xml:space="preserve">Del.Supr.,</w:t>
      </w:r>
      <w:r>
        <w:t xml:space="preserve"> </w:t>
      </w:r>
      <w:r>
        <w:t xml:space="preserve">606 A.2d 112</w:t>
      </w:r>
      <w:r>
        <w:t xml:space="preserve">, 114 (1992). The Court will affirm the trial court’s legal rulings unless they represent an “err[or] in formulating or applying legal principles.”</w:t>
      </w:r>
      <w:r>
        <w:t xml:space="preserve"> </w:t>
      </w:r>
      <w:r>
        <w:rPr>
          <w:iCs/>
          <w:i/>
        </w:rPr>
        <w:t xml:space="preserve">Gilbert v. El Paso Co.,</w:t>
      </w:r>
      <w:r>
        <w:t xml:space="preserve"> </w:t>
      </w:r>
      <w:r>
        <w:t xml:space="preserve">Del.Supr.,</w:t>
      </w:r>
      <w:r>
        <w:t xml:space="preserve"> </w:t>
      </w:r>
      <w:r>
        <w:t xml:space="preserve">575 A.2d 1131</w:t>
      </w:r>
      <w:r>
        <w:t xml:space="preserve">, 1142 (1990).</w:t>
      </w:r>
    </w:p>
    <w:p>
      <w:pPr>
        <w:pStyle w:val="CaseBody"/>
      </w:pPr>
      <w:r>
        <w:t xml:space="preserve">IV. DISCLOSURE CLAIMS</w:t>
      </w:r>
    </w:p>
    <w:p>
      <w:pPr>
        <w:pStyle w:val="CaseBody"/>
      </w:pPr>
      <w:r>
        <w:t xml:space="preserve">Plaintiff claims that defendants violated their fiduciary duty of disclosure in four ways. Plaintiffs two material omissions claims are that defendants, though making partial disclosures as to each, omitted (i) Norwest’s $275 million bid for FAC and (ii) Goldman’s valuation of Bancorp shares at $19.26. The misrepresentation claims relate to (i) the negotiation, approval, and attempted renegotiation of the Merger and (ii) the validity and reliability of management’s projections. Additionally, plaintiff argues that BoB is liable as an aider and abettor because it played a significant and substantial role in preparing the allegedly deficient proxy statement.</w:t>
      </w:r>
    </w:p>
    <w:p>
      <w:pPr>
        <w:pStyle w:val="CaseBody"/>
      </w:pPr>
      <w:r>
        <w:t xml:space="preserve">Defendants respond that each of these categories of facts is immaterial and need not have been disclosed. They further contend that disclosure could actually have misled Bancorp stockholders absent extensive qualifiers in the proxy statement. The Court of Chancery found that the alleged omissions and misrepresentations were immaterial as a matter of law and granted summary judgment to defendants. Opinion at 10-20. As to BoB’s liability as an alleged aider and abettor, defendants argue that because the Court of Chancery did not reach this claim, this Court should remand the issue if they are found to have committed disclosure violations.</w:t>
      </w:r>
    </w:p>
    <w:p>
      <w:pPr>
        <w:pStyle w:val="CaseBody"/>
      </w:pPr>
      <w:r>
        <w:t xml:space="preserve">The genesis of Delaware law regarding disclosure obligations can be traced to the seminal ease of</w:t>
      </w:r>
      <w:r>
        <w:t xml:space="preserve"> </w:t>
      </w:r>
      <w:r>
        <w:rPr>
          <w:iCs/>
          <w:i/>
        </w:rPr>
        <w:t xml:space="preserve">Lynch v. Vickers Energy Corp.,</w:t>
      </w:r>
      <w:r>
        <w:t xml:space="preserve"> </w:t>
      </w:r>
      <w:r>
        <w:t xml:space="preserve">Del.Supr.,</w:t>
      </w:r>
      <w:r>
        <w:t xml:space="preserve"> </w:t>
      </w:r>
      <w:r>
        <w:t xml:space="preserve">383 A.2d 278</w:t>
      </w:r>
      <w:r>
        <w:t xml:space="preserve"> </w:t>
      </w:r>
      <w:r>
        <w:t xml:space="preserve">(1978), where, in the context of a self-tender, this Court held that a majority stockholder “owed a fiduciary duty ... which required ‘complete candor’ in disclosing fully ‘all the facts and circumstances surrounding the’ tender offer.”</w:t>
      </w:r>
      <w:r>
        <w:t xml:space="preserve"> </w:t>
      </w:r>
      <w:r>
        <w:t xml:space="preserve">383 A.2d at 279</w:t>
      </w:r>
      <w:r>
        <w:t xml:space="preserve"> </w:t>
      </w:r>
      <w:r>
        <w:t xml:space="preserve">(quoting</w:t>
      </w:r>
      <w:r>
        <w:t xml:space="preserve"> </w:t>
      </w:r>
      <w:r>
        <w:rPr>
          <w:iCs/>
          <w:i/>
        </w:rPr>
        <w:t xml:space="preserve">Lynch v. Vickers Energy Corp.,</w:t>
      </w:r>
      <w:r>
        <w:t xml:space="preserve"> </w:t>
      </w:r>
      <w:r>
        <w:t xml:space="preserve">Del.Ch.,</w:t>
      </w:r>
      <w:r>
        <w:t xml:space="preserve"> </w:t>
      </w:r>
      <w:r>
        <w:t xml:space="preserve">351 A.2d 570</w:t>
      </w:r>
      <w:r>
        <w:t xml:space="preserve">, 573 (1976));</w:t>
      </w:r>
      <w:r>
        <w:t xml:space="preserve"> </w:t>
      </w:r>
      <w:r>
        <w:rPr>
          <w:iCs/>
          <w:i/>
        </w:rPr>
        <w:t xml:space="preserve">accord Shell Petroleum, Inc. v. Smith,</w:t>
      </w:r>
      <w:r>
        <w:t xml:space="preserve"> </w:t>
      </w:r>
      <w:r>
        <w:t xml:space="preserve">Del.Supr.,</w:t>
      </w:r>
      <w:r>
        <w:t xml:space="preserve"> </w:t>
      </w:r>
      <w:r>
        <w:t xml:space="preserve">606 A.2d 112</w:t>
      </w:r>
      <w:r>
        <w:t xml:space="preserve">, 114-15 (1992) (majority stockholder bears burden of showing full disclosure of all facts within its knowledge that are material to stockholder action). A number of subsequent decisions have recognized the existence of fiduciary disclosure obligations.</w:t>
      </w:r>
      <w:r>
        <w:t xml:space="preserve"> </w:t>
      </w:r>
      <w:r>
        <w:rPr>
          <w:iCs/>
          <w:i/>
        </w:rPr>
        <w:t xml:space="preserve">E.g., In re Tri-Star Pictures, Inc.,</w:t>
      </w:r>
      <w:r>
        <w:t xml:space="preserve"> </w:t>
      </w:r>
      <w:r>
        <w:t xml:space="preserve">Del.Supr.,</w:t>
      </w:r>
      <w:r>
        <w:t xml:space="preserve"> </w:t>
      </w:r>
      <w:r>
        <w:t xml:space="preserve">634 A.2d 319</w:t>
      </w:r>
      <w:r>
        <w:t xml:space="preserve">, 331-32, 334 (1993);</w:t>
      </w:r>
      <w:r>
        <w:t xml:space="preserve"> </w:t>
      </w:r>
      <w:r>
        <w:rPr>
          <w:iCs/>
          <w:i/>
        </w:rPr>
        <w:t xml:space="preserve">Cede &amp; Co. v. Technicolor,</w:t>
      </w:r>
      <w:r>
        <w:t xml:space="preserve"> </w:t>
      </w:r>
      <w:r>
        <w:rPr>
          <w:iCs/>
          <w:i/>
        </w:rPr>
        <w:t xml:space="preserve">Inc.,</w:t>
      </w:r>
      <w:r>
        <w:t xml:space="preserve"> </w:t>
      </w:r>
      <w:r>
        <w:t xml:space="preserve">Del.Supr.,</w:t>
      </w:r>
      <w:r>
        <w:t xml:space="preserve"> </w:t>
      </w:r>
      <w:r>
        <w:t xml:space="preserve">634 A.2d 345</w:t>
      </w:r>
      <w:r>
        <w:t xml:space="preserve">, 372-73 (1993);</w:t>
      </w:r>
      <w:r>
        <w:t xml:space="preserve"> </w:t>
      </w:r>
      <w:r>
        <w:rPr>
          <w:iCs/>
          <w:i/>
        </w:rPr>
        <w:t xml:space="preserve">Zirn v. VLI Corp.,</w:t>
      </w:r>
      <w:r>
        <w:t xml:space="preserve"> </w:t>
      </w:r>
      <w:r>
        <w:t xml:space="preserve">Del.Supr.,</w:t>
      </w:r>
      <w:r>
        <w:t xml:space="preserve"> </w:t>
      </w:r>
      <w:r>
        <w:t xml:space="preserve">621 A.2d 773</w:t>
      </w:r>
      <w:r>
        <w:t xml:space="preserve">, 778 (1993);</w:t>
      </w:r>
      <w:r>
        <w:t xml:space="preserve"> </w:t>
      </w:r>
      <w:r>
        <w:rPr>
          <w:iCs/>
          <w:i/>
        </w:rPr>
        <w:t xml:space="preserve">Stroud v. Grace,</w:t>
      </w:r>
      <w:r>
        <w:t xml:space="preserve"> </w:t>
      </w:r>
      <w:r>
        <w:t xml:space="preserve">Del.Supr.,</w:t>
      </w:r>
      <w:r>
        <w:t xml:space="preserve"> </w:t>
      </w:r>
      <w:r>
        <w:t xml:space="preserve">606 A.2d 75</w:t>
      </w:r>
      <w:r>
        <w:t xml:space="preserve">, 84-88 (1992);</w:t>
      </w:r>
      <w:r>
        <w:t xml:space="preserve"> </w:t>
      </w:r>
      <w:r>
        <w:rPr>
          <w:iCs/>
          <w:i/>
        </w:rPr>
        <w:t xml:space="preserve">Bershad v. Curtiss-Wright Corp.,</w:t>
      </w:r>
      <w:r>
        <w:t xml:space="preserve"> </w:t>
      </w:r>
      <w:r>
        <w:t xml:space="preserve">Del.Supr.,</w:t>
      </w:r>
      <w:r>
        <w:t xml:space="preserve"> </w:t>
      </w:r>
      <w:r>
        <w:t xml:space="preserve">535 A.2d 840</w:t>
      </w:r>
      <w:r>
        <w:t xml:space="preserve">, 846 (1987);</w:t>
      </w:r>
      <w:r>
        <w:t xml:space="preserve"> </w:t>
      </w:r>
      <w:r>
        <w:rPr>
          <w:iCs/>
          <w:i/>
        </w:rPr>
        <w:t xml:space="preserve">Rosenblatt v. Getty Oil Co.,</w:t>
      </w:r>
      <w:r>
        <w:t xml:space="preserve"> </w:t>
      </w:r>
      <w:r>
        <w:t xml:space="preserve">Del.Supr.,</w:t>
      </w:r>
      <w:r>
        <w:t xml:space="preserve"> </w:t>
      </w:r>
      <w:r>
        <w:t xml:space="preserve">493 A.2d 929</w:t>
      </w:r>
      <w:r>
        <w:t xml:space="preserve">, 936, 944-45 (1985);</w:t>
      </w:r>
      <w:r>
        <w:t xml:space="preserve"> </w:t>
      </w:r>
      <w:r>
        <w:rPr>
          <w:iCs/>
          <w:i/>
        </w:rPr>
        <w:t xml:space="preserve">Smith v. Van Gorkom,</w:t>
      </w:r>
      <w:r>
        <w:t xml:space="preserve"> </w:t>
      </w:r>
      <w:r>
        <w:t xml:space="preserve">Del.Supr.,</w:t>
      </w:r>
      <w:r>
        <w:t xml:space="preserve"> </w:t>
      </w:r>
      <w:r>
        <w:t xml:space="preserve">488 A.2d 858</w:t>
      </w:r>
      <w:r>
        <w:t xml:space="preserve">, 889-93 (1985);</w:t>
      </w:r>
      <w:r>
        <w:t xml:space="preserve"> </w:t>
      </w:r>
      <w:r>
        <w:rPr>
          <w:iCs/>
          <w:i/>
        </w:rPr>
        <w:t xml:space="preserve">Weinberger v. UOP, Inc.,</w:t>
      </w:r>
      <w:r>
        <w:t xml:space="preserve"> </w:t>
      </w:r>
      <w:r>
        <w:t xml:space="preserve">Del.Supr.,</w:t>
      </w:r>
      <w:r>
        <w:t xml:space="preserve"> </w:t>
      </w:r>
      <w:r>
        <w:t xml:space="preserve">457 A.2d 701</w:t>
      </w:r>
      <w:r>
        <w:t xml:space="preserve">, 710-12 (1983).</w:t>
      </w:r>
    </w:p>
    <w:p>
      <w:pPr>
        <w:pStyle w:val="CaseBody"/>
      </w:pPr>
      <w:r>
        <w:t xml:space="preserve">In</w:t>
      </w:r>
      <w:r>
        <w:t xml:space="preserve"> </w:t>
      </w:r>
      <w:r>
        <w:rPr>
          <w:iCs/>
          <w:i/>
        </w:rPr>
        <w:t xml:space="preserve">Stroud,</w:t>
      </w:r>
      <w:r>
        <w:t xml:space="preserve"> </w:t>
      </w:r>
      <w:r>
        <w:t xml:space="preserve">the Court explicated that the disclosure obligation “represents nothing more than the well-recognized proposition that directors of Delaware corporations are under a fiduciary duty to disclose fully and fairly all material information within the board’s control when it seeks shareholder action.” 606 A.2d at 84;</w:t>
      </w:r>
      <w:r>
        <w:t xml:space="preserve"> </w:t>
      </w:r>
      <w:r>
        <w:rPr>
          <w:iCs/>
          <w:i/>
        </w:rPr>
        <w:t xml:space="preserve">accord Cede,</w:t>
      </w:r>
      <w:r>
        <w:t xml:space="preserve"> </w:t>
      </w:r>
      <w:r>
        <w:t xml:space="preserve">634 A,2d at 372-73;</w:t>
      </w:r>
      <w:r>
        <w:t xml:space="preserve"> </w:t>
      </w:r>
      <w:r>
        <w:rPr>
          <w:iCs/>
          <w:i/>
        </w:rPr>
        <w:t xml:space="preserve">Shell Petroleum,</w:t>
      </w:r>
      <w:r>
        <w:t xml:space="preserve"> </w:t>
      </w:r>
      <w:r>
        <w:t xml:space="preserve">606 A.2d at 113 n. 3. The obligation attaches to proxy statements and any other disclosures in contemplation of stockholder action.</w:t>
      </w:r>
      <w:r>
        <w:t xml:space="preserve"> </w:t>
      </w:r>
      <w:r>
        <w:rPr>
          <w:iCs/>
          <w:i/>
        </w:rPr>
        <w:t xml:space="preserve">Stroud,</w:t>
      </w:r>
      <w:r>
        <w:t xml:space="preserve"> </w:t>
      </w:r>
      <w:r>
        <w:t xml:space="preserve">606 A.2d at 85</w:t>
      </w:r>
      <w:r>
        <w:t xml:space="preserve">;</w:t>
      </w:r>
      <w:r>
        <w:t xml:space="preserve"> </w:t>
      </w:r>
      <w:r>
        <w:rPr>
          <w:iCs/>
          <w:i/>
        </w:rPr>
        <w:t xml:space="preserve">Blasius Indus. v. Atlas Corp.,</w:t>
      </w:r>
      <w:r>
        <w:t xml:space="preserve"> </w:t>
      </w:r>
      <w:r>
        <w:t xml:space="preserve">Del.Ch.,</w:t>
      </w:r>
      <w:r>
        <w:t xml:space="preserve"> </w:t>
      </w:r>
      <w:r>
        <w:t xml:space="preserve">564 A.2d 651</w:t>
      </w:r>
      <w:r>
        <w:t xml:space="preserve">, 659 n. 2 (1988). The essential inquiry is whether the alleged omission or misrepresentation is material.</w:t>
      </w:r>
      <w:r>
        <w:t xml:space="preserve"> </w:t>
      </w:r>
      <w:r>
        <w:rPr>
          <w:iCs/>
          <w:i/>
        </w:rPr>
        <w:t xml:space="preserve">E.g., Stroud,</w:t>
      </w:r>
      <w:r>
        <w:t xml:space="preserve"> </w:t>
      </w:r>
      <w:r>
        <w:t xml:space="preserve">606 A.2d at 84</w:t>
      </w:r>
      <w:r>
        <w:t xml:space="preserve">.</w:t>
      </w:r>
    </w:p>
    <w:p>
      <w:pPr>
        <w:pStyle w:val="BlockText"/>
      </w:pPr>
      <w:r>
        <w:t xml:space="preserve">Materiality is defined as follows: An omitted fact is material if there is a substantial likelihood that a reasonable shareholder would consider it important in deciding how to vote. ... It does not require proof of a substantial likelihood that disclosure of the omitted fact would have caused a reasonable investor to change his vote. What the standard does contemplate is a showing of a substantial likelihood that, under all the circumstances, the omitted fact would have assumed actual significance in the deliberations of the reasonable shareholder. Put another way, there must be a substantial likelihood that the disclosure of the omitted fact would have been viewed by the reasonable investor as having significantly altered the “total mix” of information made available.</w:t>
      </w:r>
    </w:p>
    <w:p>
      <w:pPr>
        <w:pStyle w:val="CaseBody"/>
      </w:pPr>
      <w:r>
        <w:rPr>
          <w:iCs/>
          <w:i/>
        </w:rPr>
        <w:t xml:space="preserve">TSC Indus. v. Northway, Inc.,</w:t>
      </w:r>
      <w:r>
        <w:t xml:space="preserve"> </w:t>
      </w:r>
      <w:r>
        <w:t xml:space="preserve">426 U.S. 438</w:t>
      </w:r>
      <w:r>
        <w:t xml:space="preserve">, 449,</w:t>
      </w:r>
      <w:r>
        <w:t xml:space="preserve"> </w:t>
      </w:r>
      <w:r>
        <w:t xml:space="preserve">96 S.Ct. 2126</w:t>
      </w:r>
      <w:r>
        <w:t xml:space="preserve">, 2132,</w:t>
      </w:r>
      <w:r>
        <w:t xml:space="preserve"> </w:t>
      </w:r>
      <w:r>
        <w:t xml:space="preserve">48 L.Ed.2d 757</w:t>
      </w:r>
      <w:r>
        <w:t xml:space="preserve"> </w:t>
      </w:r>
      <w:r>
        <w:t xml:space="preserve">(1976) (emphasis added);</w:t>
      </w:r>
      <w:r>
        <w:t xml:space="preserve"> </w:t>
      </w:r>
      <w:r>
        <w:rPr>
          <w:iCs/>
          <w:i/>
        </w:rPr>
        <w:t xml:space="preserve">Rosenblatt v. Getty Oil Co.,</w:t>
      </w:r>
      <w:r>
        <w:t xml:space="preserve"> </w:t>
      </w:r>
      <w:r>
        <w:t xml:space="preserve">Del.Supr.,</w:t>
      </w:r>
      <w:r>
        <w:t xml:space="preserve"> </w:t>
      </w:r>
      <w:r>
        <w:t xml:space="preserve">493 A.2d 929</w:t>
      </w:r>
      <w:r>
        <w:t xml:space="preserve">, 944 (1985) (adopting</w:t>
      </w:r>
      <w:r>
        <w:t xml:space="preserve"> </w:t>
      </w:r>
      <w:r>
        <w:rPr>
          <w:iCs/>
          <w:i/>
        </w:rPr>
        <w:t xml:space="preserve">Northway</w:t>
      </w:r>
      <w:r>
        <w:t xml:space="preserve"> </w:t>
      </w:r>
      <w:r>
        <w:t xml:space="preserve">standard as law of, Delaware);</w:t>
      </w:r>
      <w:r>
        <w:t xml:space="preserve"> </w:t>
      </w:r>
      <w:r>
        <w:rPr>
          <w:iCs/>
          <w:i/>
        </w:rPr>
        <w:t xml:space="preserve">see also Zirn v. VLI Corp.,</w:t>
      </w:r>
      <w:r>
        <w:t xml:space="preserve"> </w:t>
      </w:r>
      <w:r>
        <w:t xml:space="preserve">Del.Supr.,</w:t>
      </w:r>
      <w:r>
        <w:t xml:space="preserve"> </w:t>
      </w:r>
      <w:r>
        <w:t xml:space="preserve">621 A.2d 773</w:t>
      </w:r>
      <w:r>
        <w:t xml:space="preserve">, 778-79 (1993). Courts should not assess the qualitative importance of a particular disclosure item,</w:t>
      </w:r>
      <w:r>
        <w:t xml:space="preserve"> </w:t>
      </w:r>
      <w:r>
        <w:rPr>
          <w:iCs/>
          <w:i/>
        </w:rPr>
        <w:t xml:space="preserve">Lynch,</w:t>
      </w:r>
      <w:r>
        <w:rPr>
          <w:iCs/>
          <w:i/>
        </w:rPr>
        <w:t xml:space="preserve"> </w:t>
      </w:r>
      <w:r>
        <w:rPr>
          <w:iCs/>
          <w:i/>
        </w:rPr>
        <w:t xml:space="preserve">383</w:t>
      </w:r>
      <w:r>
        <w:rPr>
          <w:iCs/>
          <w:i/>
        </w:rPr>
        <w:t xml:space="preserve"> </w:t>
      </w:r>
      <w:r>
        <w:t xml:space="preserve">A.2d at 281-82</w:t>
      </w:r>
      <w:r>
        <w:t xml:space="preserve">, because the standard requires “full” disclosure of all material facts,</w:t>
      </w:r>
      <w:r>
        <w:t xml:space="preserve"> </w:t>
      </w:r>
      <w:r>
        <w:rPr>
          <w:iCs/>
          <w:i/>
        </w:rPr>
        <w:t xml:space="preserve">Van Gorkom,</w:t>
      </w:r>
      <w:r>
        <w:rPr>
          <w:iCs/>
          <w:i/>
        </w:rPr>
        <w:t xml:space="preserve"> </w:t>
      </w:r>
      <w:r>
        <w:rPr>
          <w:iCs/>
          <w:i/>
        </w:rPr>
        <w:t xml:space="preserve">488</w:t>
      </w:r>
      <w:r>
        <w:rPr>
          <w:iCs/>
          <w:i/>
        </w:rPr>
        <w:t xml:space="preserve"> </w:t>
      </w:r>
      <w:r>
        <w:t xml:space="preserve">A.2d at 890</w:t>
      </w:r>
      <w:r>
        <w:t xml:space="preserve"> </w:t>
      </w:r>
      <w:r>
        <w:t xml:space="preserve">(noting that</w:t>
      </w:r>
      <w:r>
        <w:t xml:space="preserve"> </w:t>
      </w:r>
      <w:r>
        <w:rPr>
          <w:iCs/>
          <w:i/>
        </w:rPr>
        <w:t xml:space="preserve">Lynch’s</w:t>
      </w:r>
      <w:r>
        <w:t xml:space="preserve"> </w:t>
      </w:r>
      <w:r>
        <w:t xml:space="preserve">requirement to disclose “germane” facts means those that are “material”). Further, materiality is to be assessed from the viewpoint of the “reasonable” stockholder, not from a director’s subjective perspective.</w:t>
      </w:r>
      <w:r>
        <w:t xml:space="preserve"> </w:t>
      </w:r>
      <w:r>
        <w:rPr>
          <w:iCs/>
          <w:i/>
        </w:rPr>
        <w:t xml:space="preserve">Zirn,</w:t>
      </w:r>
      <w:r>
        <w:t xml:space="preserve"> </w:t>
      </w:r>
      <w:r>
        <w:t xml:space="preserve">621 A.2d at 779</w:t>
      </w:r>
      <w:r>
        <w:t xml:space="preserve">.</w:t>
      </w:r>
    </w:p>
    <w:p>
      <w:pPr>
        <w:pStyle w:val="CaseBody"/>
      </w:pPr>
      <w:r>
        <w:t xml:space="preserve">V. DISCLOSURE ISSUES IN THIS CASE</w:t>
      </w:r>
    </w:p>
    <w:p>
      <w:pPr>
        <w:pStyle w:val="CaseBody"/>
      </w:pPr>
      <w:r>
        <w:t xml:space="preserve">The Court of Chancery decided that the contingent FAC bid of $275 million was immaterial as a matter of law “under all the circumstances” because “the sale of FAC was an event that could occur only under certain circumstances (e.g., with regulatoiy approval, and/or concurrent with the sale of Bancorp).” Opinion at 13-14. Plaintiff challenges this holding on two independent grounds: (i) that the FAC bid was material as a matter of law and had to be disclosed in all events; and (ii) that in view of the partial disclosures in the proxy statement the FAC bid became material and the failure to disclose it was misleading. The Vice Chancellor decided this case on the first ground, but failed to address the second ground.</w:t>
      </w:r>
    </w:p>
    <w:p>
      <w:pPr>
        <w:pStyle w:val="CaseBody"/>
      </w:pPr>
      <w:r>
        <w:t xml:space="preserve">In our view, however, the case turns on the partial disclosure issue. We hold that the partial disclosures in the proxy statement were misleading in their description of the background information, and that the misleading partial disclosures made the FAC bid material under all the circumstances. Assuming hypothetically that there had been no partial disclosures as set forth and discussed below, the FAC bid may or may not have been material. We need not address that issue because of our holding that the FAC bid was material in view of the partial disclosures. Therefore, we reverse on that ground alone.</w:t>
      </w:r>
    </w:p>
    <w:p>
      <w:pPr>
        <w:pStyle w:val="CaseBody"/>
      </w:pPr>
      <w:r>
        <w:t xml:space="preserve">We turn now to the partial disclosure-materiality issue. In the instant ease, the proxy statement at page 21 reads, in pertinent part:</w:t>
      </w:r>
    </w:p>
    <w:p>
      <w:pPr>
        <w:pStyle w:val="BlockText"/>
      </w:pPr>
      <w:r>
        <w:t xml:space="preserve">Background of and Reasons for the Affiliation; Recommendation of the Ban-corp Board of Directors</w:t>
      </w:r>
    </w:p>
    <w:p>
      <w:pPr>
        <w:pStyle w:val="BlockText"/>
      </w:pPr>
      <w:r>
        <w:rPr>
          <w:iCs/>
          <w:i/>
        </w:rPr>
        <w:t xml:space="preserve">Background.</w:t>
      </w:r>
      <w:r>
        <w:t xml:space="preserve"> </w:t>
      </w:r>
      <w:r>
        <w:t xml:space="preserve">In April of 1991, Bancorp engaged the investment banking firm of Goldman Sachs to aid it in evaluating various possible financial or strategic alternatives intended to maximize stockholder value, which engagement was publicly announced on April 30, 1991. At the time of Goldman Sachs’ engagement, the Bancorp Board recognized that the strategic alternatives to be considered might include, but not be limited to, the sale of Bancorp or the sale of Society. During the spring of 1991, Society was in the midst of an examination being conducted by the FDIC and was experiencing asset deterioration. It was also a time when there had been, and continued to be, consolidation in the United States banking and financial services industry.</w:t>
      </w:r>
    </w:p>
    <w:p>
      <w:pPr>
        <w:pStyle w:val="BlockText"/>
      </w:pPr>
      <w:r>
        <w:t xml:space="preserve">During the late spring and the summer of 1991, the management of Bancorp, with the assistance of Goldman Sachs, analyzed transactions involving the sale of Bancorp as a whole or the sale of Society or FAC. During the summer and early fall of 1991, management and Goldman Sachs also studied the possibility of a transaction structured as a deposit assumption by a bank or thrift and an asset sale to one or more third parties. During the summer of 1991, Goldman Sachs, on behalf of Bancorp, solicited indications of interest to acquire Bancorp or Society. By the fall of 1991, these efforts had produced no attractive opportunities for the sale of Bancorp or the sale of Society, at which point there began a more intensive evaluation of a three-part strategy in which Society’s loan and investment assets, its ownership interest in FAC and its retail branch bank system would be sold in separate transactions. After Baneorp’s management and Goldman Sachs had investigated such transactions for several months, which investigation included contacting certain entities previously contacted as well as other parties and evaluating certain potential indications of interest, the Bancorp Board of Directors, at a meeting held on May 28, 1992, considered whether to pursue a series of transactions in which (a) FAC would be sold to a third party, (b) substantially all of Society’s assets would be sold to an affiliate of Goldman Sachs, (c) the remainder of Society’s assets (other than cash and its branches) would be placed in a “stub bank” or similar entity and distributed to Bancorp’s stockholders and (d) Bancorp (which would then consist of Society’s deposits and certain other liabilities, its branches and the cash received from the sale of FAC and the sale of assets) would be merged with a subsidiary of Bank of Boston. In such merger, the holders of Bancorp Common Stock would have received shares of Bank of Boston Common Stock. The transactions discussed at the May 28, 1992 Bancorp Board meeting were tentative and the Board was advised that, in light of uncertainties involving the value of certain assets, the value ultimately distributable to stockholders could only be estimated. The Bancorp Board was also informed that a number of steps would have to be completed before the transactions could proceed. These steps included the completion of the sale of FAC in an auction process, the completion by the Goldman Sachs affiliate of its due diligence on Society’s assets and the negotiation and execution of definitive agreements with all interested parties.</w:t>
      </w:r>
    </w:p>
    <w:p>
      <w:pPr>
        <w:pStyle w:val="BlockText"/>
      </w:pPr>
      <w:r>
        <w:t xml:space="preserve">In light of a number of factors, including (a) the lack of certainty of the value to be received in the sale of FAC and Society’s assets and consequently the value to be received by Bancorp’s stockholders, (b) the substantial costs of proceeding to the stage where more certain values would be ascertainable,-(c) the significant risks of failure to close associated with three separate transactions all conditioned upon each other, and the substantial expenses and costs to be incurred in the event of a failure to close and (d) recent improvements in Society’s condition and results and Bancorp’s prospects, the Board of Directors of Bancorp determined at the conclusion of the May 28,1992 meeting that it was in the best interests of Bancorp not to pursue the proposed transactions further and to terminate Goldman Sachs’ efforts in connection with exploring strategic alternatives.</w:t>
      </w:r>
    </w:p>
    <w:p>
      <w:pPr>
        <w:pStyle w:val="CaseBody"/>
      </w:pPr>
      <w:r>
        <w:t xml:space="preserve">(Emphasis added). Plaintiffs partial disclosure arguments stem from the portions of the proxy statement highlighted above.</w:t>
      </w:r>
    </w:p>
    <w:p>
      <w:pPr>
        <w:pStyle w:val="CaseBody"/>
      </w:pPr>
      <w:r>
        <w:t xml:space="preserve">A. Norwest’s $275 Million Contingent Bid for FAC</w:t>
      </w:r>
    </w:p>
    <w:p>
      <w:pPr>
        <w:pStyle w:val="CaseBody"/>
      </w:pPr>
      <w:r>
        <w:t xml:space="preserve">Materiality requires a careful balancing of the potential benefits of disclosure against the possibility of resultant harm. Even assuming that there was no material issue of fact that the FAC bid was contingent on the sale of other parts of Bancorp, and that regulatory approval for a stand-alone sale of FAC pursuant to the May proposal would not have been forthcoming,</w:t>
      </w:r>
      <w:r>
        <w:rPr>
          <w:rStyle w:val="FootnoteReference"/>
        </w:rPr>
        <w:footnoteReference w:customMarkFollows="1" w:id="299"/>
        <w:t xml:space="preserve">14</w:t>
      </w:r>
      <w:r>
        <w:t xml:space="preserve"> </w:t>
      </w:r>
      <w:r>
        <w:t xml:space="preserve">the disclosures in the proxy statement were incomplete and therefore misleading under all the circumstances.</w:t>
      </w:r>
    </w:p>
    <w:p>
      <w:pPr>
        <w:pStyle w:val="CaseBody"/>
      </w:pPr>
      <w:r>
        <w:t xml:space="preserve">One must parse the proxy statement disclosures in light of the essential facts regarding the FAC bid to determine if the disclosures which were made were adequate or incomplete. Set forth below is a parsing of the proxy statement juxtaposed with the findings of the Vice Chancellor concerning the contingent FAC bids.</w:t>
      </w:r>
      <w:r>
        <w:rPr>
          <w:rStyle w:val="FootnoteReference"/>
        </w:rPr>
        <w:footnoteReference w:customMarkFollows="1" w:id="314"/>
        <w:t xml:space="preserve">15</w:t>
      </w:r>
      <w:r>
        <w:t xml:space="preserve"> </w:t>
      </w:r>
      <w:r>
        <w:t xml:space="preserve">According to the proxy statement:</w:t>
      </w:r>
    </w:p>
    <w:p>
      <w:pPr>
        <w:pStyle w:val="BlockText"/>
      </w:pPr>
      <w:r>
        <w:t xml:space="preserve">(1) In 1991 Goldman, on behalf of Bancorp, “solicited indications of interest to acquire Bancorp or Society.”</w:t>
      </w:r>
    </w:p>
    <w:p>
      <w:pPr>
        <w:pStyle w:val="BlockText"/>
      </w:pPr>
      <w:r>
        <w:t xml:space="preserve">(2) By the fall of that year “these efforts had produced no attractive opportunities for the sale of Bancorp or the sale of Society.”</w:t>
      </w:r>
    </w:p>
    <w:p>
      <w:pPr>
        <w:pStyle w:val="BlockText"/>
      </w:pPr>
      <w:r>
        <w:t xml:space="preserve">(3) At that point “there began a more intensive evaluation of a three-part strategy in which Society’s loan and investment assets, its ownership interest in FAC and its retail branch bank system would be sold in separate transactions.”</w:t>
      </w:r>
    </w:p>
    <w:p>
      <w:pPr>
        <w:pStyle w:val="BlockText"/>
      </w:pPr>
      <w:r>
        <w:t xml:space="preserve">(4) Bancorp and Goldman investigated “such transactions for several months.”</w:t>
      </w:r>
    </w:p>
    <w:p>
      <w:pPr>
        <w:pStyle w:val="BlockText"/>
      </w:pPr>
      <w:r>
        <w:t xml:space="preserve">(5) This “investigation included contacting certain entities ... and evaluating certain potential indications of interest.”</w:t>
      </w:r>
    </w:p>
    <w:p>
      <w:pPr>
        <w:pStyle w:val="BlockText"/>
      </w:pPr>
      <w:r>
        <w:t xml:space="preserve">[The Vice Chancellor found, with regard to this “investigation” and these “potential indications of interest,” that:</w:t>
      </w:r>
    </w:p>
    <w:p>
      <w:pPr>
        <w:pStyle w:val="BlockText"/>
      </w:pPr>
      <w:r>
        <w:t xml:space="preserve">[Sjeveral companies submitted bids for FAC, one of which was valued at approximately $275 million. The bids were indeed submitted and were genuine offers to purchase FAC. However, these circumstances do not mean that FAC could be or was intended to be sold, in a stand-alone transaction, to the highest bidder. On the contrary ... the FAC bids were solicited as one part of the proposed Goldman transaction ... [I]f any part of [the May Proposal] was contingent or speculative in any way, the sale of FAC must have been contingent, too ... [T]he sale of FAC was not an event that could occur under any scenario ... the sale of FAC ... could occur only under certain circumstances</w:t>
      </w:r>
      <w:r>
        <w:t xml:space="preserve"> </w:t>
      </w:r>
      <w:r>
        <w:rPr>
          <w:iCs/>
          <w:i/>
        </w:rPr>
        <w:t xml:space="preserve">(e.g.,</w:t>
      </w:r>
      <w:r>
        <w:t xml:space="preserve"> </w:t>
      </w:r>
      <w:r>
        <w:t xml:space="preserve">with regulatory approval, and/or concurrent with the sale of Bancorp).</w:t>
      </w:r>
    </w:p>
    <w:p>
      <w:pPr>
        <w:pStyle w:val="BlockText"/>
      </w:pPr>
      <w:r>
        <w:t xml:space="preserve">Opinion at 13-14.]</w:t>
      </w:r>
    </w:p>
    <w:p>
      <w:pPr>
        <w:pStyle w:val="BlockText"/>
      </w:pPr>
      <w:r>
        <w:t xml:space="preserve">(6) Thereafter the Bancorp board met on May 28, 1992, and “considered whether to pursue a series of transactions in which (a) FAC would be sold to a third party, (b) substantially all of Society’s assets would be sold to ... Goldman ... (c) [the stub assets would be] distributed to Bancorp’s stockholders and (d) Bancorp ... would be merged with a subsidiary of Bank of Boston.”</w:t>
      </w:r>
    </w:p>
    <w:p>
      <w:pPr>
        <w:pStyle w:val="BlockText"/>
      </w:pPr>
      <w:r>
        <w:t xml:space="preserve">(7) The transactions discussed at this meeting “were tentative and the board was advised that, in light of uncertainties involving the value of certain assets, the value ultimately distributable to stockholders could only be estimated.”</w:t>
      </w:r>
    </w:p>
    <w:p>
      <w:pPr>
        <w:pStyle w:val="BlockText"/>
      </w:pPr>
      <w:r>
        <w:t xml:space="preserve">(8) The board was also informed at the May 28, 1992 meeting “that a number of steps would have to be completed before the transactions could proceed.”</w:t>
      </w:r>
    </w:p>
    <w:p>
      <w:pPr>
        <w:pStyle w:val="BlockText"/>
      </w:pPr>
      <w:r>
        <w:t xml:space="preserve">[The Vice Chancellor further found that “as contemplated by Goldman Sachs, the solicitor of the FAC bids, the sale of FAC was but one component in a complicated transaction.” Opinion at 14.]</w:t>
      </w:r>
    </w:p>
    <w:p>
      <w:pPr>
        <w:pStyle w:val="BlockText"/>
      </w:pPr>
      <w:r>
        <w:t xml:space="preserve">(9) “These steps included the completion of the sale of FAC in an auction process.” [In an earlier part of the Opinion the Vice Chancellor had found:</w:t>
      </w:r>
    </w:p>
    <w:p>
      <w:pPr>
        <w:pStyle w:val="BlockText"/>
      </w:pPr>
      <w:r>
        <w:t xml:space="preserve">In order to quantify its strategy, Goldman Sachs sought to value the FAC component of the Proposed Transaction. It accomplished this by conducting an auction of FAC.</w:t>
      </w:r>
    </w:p>
    <w:p>
      <w:pPr>
        <w:pStyle w:val="BlockText"/>
      </w:pPr>
      <w:r>
        <w:t xml:space="preserve">Nine companies submitted “serious” preliminary bids for FAC; Norwest submitted a high bid of $275 million. Goldman Sachs invited the five highest bidders to conduct due diligence of FAC, and after Norwest’s completion of due diligence, it confirmed its offer to buy FAC for $275 million. In May 1992, contracts for the sale of FAC were drafted; the only steps remaining were for Bancorp and its shareholders to approve the Proposed Goldman Transaction and the parties to the sale to sign the agreements.</w:t>
      </w:r>
    </w:p>
    <w:p>
      <w:pPr>
        <w:pStyle w:val="BlockText"/>
      </w:pPr>
      <w:r>
        <w:t xml:space="preserve">Opinion at 2.]</w:t>
      </w:r>
    </w:p>
    <w:p>
      <w:pPr>
        <w:pStyle w:val="BlockText"/>
      </w:pPr>
      <w:r>
        <w:t xml:space="preserve">(10) “In light of a number of factors, including (a) the lack of certainty of the value to be received in the sale of FAC and Society’s assets and consequently the value to be received by Bancorp’s stockholders” and costs, risks of failure to close and recent improvements in Society’s condition and Baneorp’s prospects, the board determined not to pursue the proposed transactions farther.</w:t>
      </w:r>
    </w:p>
    <w:p>
      <w:pPr>
        <w:pStyle w:val="BlockText"/>
      </w:pPr>
      <w:r>
        <w:t xml:space="preserve">[The Vice Chancellor further found: [T]he bids submitted for FAC were highly speculative and contingent. As a result, they in no way established a value of Bancorp.... [TJhey were bids for FAC, not Bancorp. No reasonable shareholder could extrapolate the value of a parent company from the value of one of its subsidiaries. The shareholder would have no way of knowing if other subsidiaries ... had a negative value and the extent of the negative value, if any.</w:t>
      </w:r>
    </w:p>
    <w:p>
      <w:pPr>
        <w:pStyle w:val="BlockText"/>
      </w:pPr>
      <w:r>
        <w:t xml:space="preserve">Opinion at 15.]</w:t>
      </w:r>
    </w:p>
    <w:p>
      <w:pPr>
        <w:pStyle w:val="CaseBody"/>
      </w:pPr>
      <w:r>
        <w:t xml:space="preserve">The problem with the Vice Chancellor’s conclusion that the FAC bid was not material is that the partial and elliptical disclosures in the proxy materials were misleading without a disclosure of the $275 million bid and an explanation of its contingent nature. The Vice Chancellor’s own findings reveal the incompleteness of the disclosures in the proxy statement and how the contingent FAC bids could have been described without inundating the stockholders with information and without “an overemphasis • of the FAC bids.” Opinion at 14.</w:t>
      </w:r>
    </w:p>
    <w:p>
      <w:pPr>
        <w:pStyle w:val="CaseBody"/>
      </w:pPr>
      <w:r>
        <w:t xml:space="preserve">We hold only that, once defendants traveled down the road of partial disclosure of the history leading up to the Merger and used the vague language described, they had an obligation to provide the stockholders with an accurate, full, and fair characterization of those historic events.</w:t>
      </w:r>
      <w:r>
        <w:t xml:space="preserve"> </w:t>
      </w:r>
      <w:r>
        <w:rPr>
          <w:iCs/>
          <w:i/>
        </w:rPr>
        <w:t xml:space="preserve">Cf. Lynch,</w:t>
      </w:r>
      <w:r>
        <w:t xml:space="preserve"> </w:t>
      </w:r>
      <w:r>
        <w:t xml:space="preserve">383 A.2d at 281</w:t>
      </w:r>
      <w:r>
        <w:t xml:space="preserve"> </w:t>
      </w:r>
      <w:r>
        <w:t xml:space="preserve">(holding that defendants violated their disclosure obligations when they partially disclosed a reliable, “floor” asset valuation but did not disclose an equally reliable “ceiling” value).</w:t>
      </w:r>
      <w:r>
        <w:rPr>
          <w:rStyle w:val="FootnoteReference"/>
        </w:rPr>
        <w:footnoteReference w:customMarkFollows="1" w:id="328"/>
        <w:t xml:space="preserve">16</w:t>
      </w:r>
      <w:r>
        <w:t xml:space="preserve"> </w:t>
      </w:r>
      <w:r>
        <w:t xml:space="preserve">We agree with the Vice Chancellor that, as an abstraction, Delaware law does not require disclosure of inherently unreliable or speculative information which would tend to confuse stockholders or inundate them with an overload of information. This principle is consistent with</w:t>
      </w:r>
      <w:r>
        <w:t xml:space="preserve"> </w:t>
      </w:r>
      <w:r>
        <w:rPr>
          <w:iCs/>
          <w:i/>
        </w:rPr>
        <w:t xml:space="preserve">Bershad v. Curtiss-Wright Corp.,</w:t>
      </w:r>
      <w:r>
        <w:t xml:space="preserve"> </w:t>
      </w:r>
      <w:r>
        <w:t xml:space="preserve">Del.Supr.,</w:t>
      </w:r>
      <w:r>
        <w:t xml:space="preserve"> </w:t>
      </w:r>
      <w:r>
        <w:t xml:space="preserve">535 A.2d 840</w:t>
      </w:r>
      <w:r>
        <w:t xml:space="preserve">, 847 (1987) (“Efforts by public corporations to arrange mergers are immaterial under the</w:t>
      </w:r>
      <w:r>
        <w:t xml:space="preserve"> </w:t>
      </w:r>
      <w:r>
        <w:rPr>
          <w:iCs/>
          <w:i/>
        </w:rPr>
        <w:t xml:space="preserve">Rosenblatt v. Getty</w:t>
      </w:r>
      <w:r>
        <w:t xml:space="preserve"> </w:t>
      </w:r>
      <w:r>
        <w:t xml:space="preserve">standard, as a matter of law, until the firms have agreed on the price and structure and the transaction.”).</w:t>
      </w:r>
      <w:r>
        <w:rPr>
          <w:rStyle w:val="FootnoteReference"/>
        </w:rPr>
        <w:footnoteReference w:customMarkFollows="1" w:id="342"/>
        <w:t xml:space="preserve">17</w:t>
      </w:r>
      <w:r>
        <w:t xml:space="preserve"> </w:t>
      </w:r>
      <w:r>
        <w:t xml:space="preserve">But, under the circumstances of this ease — which involve a partial and incomplete disclosure of historical information — we disagree with the Vice Chancellor’s holding that the existence of the $275 million bid for FAC was not material.</w:t>
      </w:r>
      <w:r>
        <w:rPr>
          <w:rStyle w:val="FootnoteReference"/>
        </w:rPr>
        <w:footnoteReference w:customMarkFollows="1" w:id="355"/>
        <w:t xml:space="preserve">18</w:t>
      </w:r>
    </w:p>
    <w:p>
      <w:pPr>
        <w:pStyle w:val="CaseBody"/>
      </w:pPr>
      <w:r>
        <w:t xml:space="preserve">To be sure, the bid for FAC was contingent since it was only one part of an interdependent series of transactions and apparently required regulatory approval.</w:t>
      </w:r>
      <w:r>
        <w:rPr>
          <w:rStyle w:val="FootnoteReference"/>
        </w:rPr>
        <w:footnoteReference w:customMarkFollows="1" w:id="368"/>
        <w:t xml:space="preserve">19</w:t>
      </w:r>
      <w:r>
        <w:t xml:space="preserve"> </w:t>
      </w:r>
      <w:r>
        <w:t xml:space="preserve">It does not follow from this fact, however, that a reasonable stockholder, having been partially informed of the history in the language of the proxy statement, would not have found it significant that one subsidiary of Bancorp had been the subject of a genuine auction bid of $275 million under contingent and explainable circumstances when the Merger transaction itself was valued at $200 million, some 37 percent less than Norwest’s contingent bid for FAC. We find that there is a substantial likelihood that the disclosure of this information would have significantly altered the “total mix” of information in the view of a reasonable stockholder. The voting choice of a stockholder included the decision of whether it was better to remain a stockholder in a continuing Bancorp with FAC as an asset (though there are other components with negative value and it may not be viable to sell FAC alone) or to be transformed into a stockholder in a new entity with Bancorp’s asset/liability mix plus other assets and liabilities combined as part of the surviving entity.</w:t>
      </w:r>
      <w:r>
        <w:rPr>
          <w:rStyle w:val="FootnoteReference"/>
        </w:rPr>
        <w:footnoteReference w:customMarkFollows="1" w:id="381"/>
        <w:t xml:space="preserve">20</w:t>
      </w:r>
      <w:r>
        <w:t xml:space="preserve"> </w:t>
      </w:r>
      <w:r>
        <w:t xml:space="preserve">Without this information, the reasonable stockholder could infer from language in the proxy statement that there only was an “evaluation,” an “investigation,” “certain potential indications of interest,” and that there were no “genuine” bids for actual dollar amounts in an “auction.” Thus, the Court of Chancery erred as to the partial disclosure claim, in granting defendants’ motion for summary judgment, and denying plaintiffs cross-motion for partial summary judgment.</w:t>
      </w:r>
      <w:r>
        <w:rPr>
          <w:rStyle w:val="FootnoteReference"/>
        </w:rPr>
        <w:footnoteReference w:customMarkFollows="1" w:id="394"/>
        <w:t xml:space="preserve">21</w:t>
      </w:r>
    </w:p>
    <w:p>
      <w:pPr>
        <w:pStyle w:val="CaseBody"/>
      </w:pPr>
      <w:r>
        <w:t xml:space="preserve">We have concluded that the partial disclosure issue should be decided on the summary judgment record. For purposes of our decision, predicated as it is on the partial disclosure ground, the record is complete and this Court is in as good a position as the Court of Chancery to decide this mixed question of law and fact.</w:t>
      </w:r>
    </w:p>
    <w:p>
      <w:pPr>
        <w:pStyle w:val="CaseBody"/>
      </w:pPr>
      <w:r>
        <w:t xml:space="preserve">We decide only the case before us.</w:t>
      </w:r>
      <w:r>
        <w:t xml:space="preserve"> </w:t>
      </w:r>
      <w:r>
        <w:rPr>
          <w:iCs/>
          <w:i/>
        </w:rPr>
        <w:t xml:space="preserve">See QVC,</w:t>
      </w:r>
      <w:r>
        <w:t xml:space="preserve"> </w:t>
      </w:r>
      <w:r>
        <w:t xml:space="preserve">687 A.2d at 51. Therefore, it is important to understand what we are not deciding. First, we are not deciding that the FAC bid was material as a matter of law. Second, since we have predicated our decision narrowly on the partial disclosure ground and assumed the facts in the light most favorable to the defendants on the regulatory approval question,</w:t>
      </w:r>
      <w:r>
        <w:rPr>
          <w:rStyle w:val="FootnoteReference"/>
        </w:rPr>
        <w:footnoteReference w:customMarkFollows="1" w:id="406"/>
        <w:t xml:space="preserve">22</w:t>
      </w:r>
      <w:r>
        <w:t xml:space="preserve"> </w:t>
      </w:r>
      <w:r>
        <w:t xml:space="preserve">the material issue of fact analysis on that question is moot.</w:t>
      </w:r>
    </w:p>
    <w:p>
      <w:pPr>
        <w:pStyle w:val="CaseBody"/>
      </w:pPr>
      <w:r>
        <w:t xml:space="preserve">B. Goldman’s Valuation of Bancorp at $19.26 Per Share</w:t>
      </w:r>
    </w:p>
    <w:p>
      <w:pPr>
        <w:pStyle w:val="CaseBody"/>
      </w:pPr>
      <w:r>
        <w:t xml:space="preserve">Plaintiff argues that Goldman’s valuation of Bancorp at $19.26 per share in the Executive Summary of the May Proposal was material in light of the value of those shares under the Merger — $17.30 as of August 28, 1992.</w:t>
      </w:r>
      <w:r>
        <w:rPr>
          <w:rStyle w:val="FootnoteReference"/>
        </w:rPr>
        <w:footnoteReference w:customMarkFollows="1" w:id="418"/>
        <w:t xml:space="preserve">23</w:t>
      </w:r>
      <w:r>
        <w:t xml:space="preserve"> </w:t>
      </w:r>
      <w:r>
        <w:t xml:space="preserve">Defendants counter that Goldman never fixed Bancorp’s share value at $19.26 because the May Proposal explicitly, inextricably bound that figure to a number of speculative contingencies, such as the uncertain value of the stub. The Court of Chancery held that exclusion of the $19.26 figure was proper because it was not material. We agree.</w:t>
      </w:r>
    </w:p>
    <w:p>
      <w:pPr>
        <w:pStyle w:val="CaseBody"/>
      </w:pPr>
      <w:r>
        <w:t xml:space="preserve">Goldman’s share valuation was too unreliable to be material. A board of directors must balance potential benefit versus harm when deciding whether or not to disclose an investment advisor’s earnings per share valuation.</w:t>
      </w:r>
      <w:r>
        <w:t xml:space="preserve"> </w:t>
      </w:r>
      <w:r>
        <w:rPr>
          <w:iCs/>
          <w:i/>
        </w:rPr>
        <w:t xml:space="preserve">In re Vitalink Communications Corp. Shareholders’ Litig.,</w:t>
      </w:r>
      <w:r>
        <w:t xml:space="preserve"> </w:t>
      </w:r>
      <w:r>
        <w:t xml:space="preserve">Del.Ch., C.A. No. 12085,</w:t>
      </w:r>
      <w:r>
        <w:t xml:space="preserve"> </w:t>
      </w:r>
      <w:r>
        <w:rPr>
          <w:iCs/>
          <w:i/>
        </w:rPr>
        <w:t xml:space="preserve">slip op.</w:t>
      </w:r>
      <w:r>
        <w:t xml:space="preserve"> </w:t>
      </w:r>
      <w:r>
        <w:t xml:space="preserve">at 28, Chandler, V.C.,</w:t>
      </w:r>
      <w:r>
        <w:t xml:space="preserve"> </w:t>
      </w:r>
      <w:r>
        <w:t xml:space="preserve">1991 WL 288816</w:t>
      </w:r>
      <w:r>
        <w:t xml:space="preserve"> </w:t>
      </w:r>
      <w:r>
        <w:t xml:space="preserve">(Nov. 8,1991)</w:t>
      </w:r>
      <w:r>
        <w:t xml:space="preserve"> </w:t>
      </w:r>
      <w:r>
        <w:rPr>
          <w:iCs/>
          <w:i/>
        </w:rPr>
        <w:t xml:space="preserve">reprinted in</w:t>
      </w:r>
      <w:r>
        <w:t xml:space="preserve"> </w:t>
      </w:r>
      <w:r>
        <w:t xml:space="preserve">17 Del.J.Corp.L. 1311</w:t>
      </w:r>
      <w:r>
        <w:t xml:space="preserve">,1335 (1992). In opining that an offer is fair, where an investment advisor promulgates a “best case” projection predicated on an interplay of several, uncertain variables, the forecasted value need not be disclosed because it is too speculative and thus immaterial.</w:t>
      </w:r>
      <w:r>
        <w:t xml:space="preserve"> </w:t>
      </w:r>
      <w:r>
        <w:rPr>
          <w:iCs/>
          <w:i/>
        </w:rPr>
        <w:t xml:space="preserve">Weinberger v. Rio Grande Indus.,</w:t>
      </w:r>
      <w:r>
        <w:t xml:space="preserve"> </w:t>
      </w:r>
      <w:r>
        <w:t xml:space="preserve">Del.Ch.,</w:t>
      </w:r>
      <w:r>
        <w:t xml:space="preserve"> </w:t>
      </w:r>
      <w:r>
        <w:t xml:space="preserve">519 A.2d 116</w:t>
      </w:r>
      <w:r>
        <w:t xml:space="preserve">, 129-30 (1986) (earnings projection immaterial even though it depicted outlook more optimistic than that underlying the offer). Disclosing an overly optimistic per share figure may be harmful because it might induce stockholders to hold out for an elusive, higher bid. This risk cannot be reduced significantly by attempting to qualify the figure.</w:t>
      </w:r>
      <w:r>
        <w:t xml:space="preserve"> </w:t>
      </w:r>
      <w:r>
        <w:rPr>
          <w:iCs/>
          <w:i/>
        </w:rPr>
        <w:t xml:space="preserve">Vitalink, slip op.</w:t>
      </w:r>
      <w:r>
        <w:t xml:space="preserve"> </w:t>
      </w:r>
      <w:r>
        <w:t xml:space="preserve">at 29, 17 Del.J.Corp.L. at 1335-86. In fact, disclosure of an unreliable share valuation can, under some circumstances, constitute material misrepresentation.</w:t>
      </w:r>
      <w:r>
        <w:t xml:space="preserve"> </w:t>
      </w:r>
      <w:r>
        <w:rPr>
          <w:iCs/>
          <w:i/>
        </w:rPr>
        <w:t xml:space="preserve">Smith v. Van Gorkom,</w:t>
      </w:r>
      <w:r>
        <w:t xml:space="preserve"> </w:t>
      </w:r>
      <w:r>
        <w:t xml:space="preserve">Del.Supr.,</w:t>
      </w:r>
      <w:r>
        <w:t xml:space="preserve"> </w:t>
      </w:r>
      <w:r>
        <w:t xml:space="preserve">488 A.2d 858</w:t>
      </w:r>
      <w:r>
        <w:t xml:space="preserve">, 891 (1985).</w:t>
      </w:r>
    </w:p>
    <w:p>
      <w:pPr>
        <w:pStyle w:val="CaseBody"/>
      </w:pPr>
      <w:r>
        <w:t xml:space="preserve">In the instant case, plaintiff argues that the $19.26 figure found in the “Estimated Values” section of the Executive Summary, which Goldman used to describe the May Proposal to the board, was fixed. The record refutes plaintiffs claim. First, footnote (c) in the “Estimated Values” section qualifies the “Stub Security” value. It states that the “stub requires some cash to satisfy indemnity. Amount of cash is subject to negotiations with various buyers.” Second, in the section in the Executive Summary titled “Issues to Consider Regarding Valuation Changes,” two concerns are indicative of the uncertainty attached to the $19.26 valuation: (i) if there is a “[mjaterial deterioration of loan portfolio’s credit quality, existence of environmental issues, [or] inability to obtain clear title,” there would be no positive effect and the following negative effect — “Assets will be transferred to stub reducing cash value to stockholders. Deterioration may impair deal economics”; and (ii) if the “[l]oan does not meet secondary market documentation standards,” there again would be no positive effect and the following negative effect — “Legal restrictions in loan documents or servicing agreements may prohibit sale or transfer of loans. Failure to meet standards will increase assets in the stub entity, reducing cash value to shareholders.”</w:t>
      </w:r>
    </w:p>
    <w:p>
      <w:pPr>
        <w:pStyle w:val="CaseBody"/>
      </w:pPr>
      <w:r>
        <w:t xml:space="preserve">Additionally, defendants submitted several affidavits and deposition testimony confirming the unreliability of the stub’s estimated value, which in turn made the $19.26 figure unreliable. Connell in his affidavit stated in relevant part:</w:t>
      </w:r>
    </w:p>
    <w:p>
      <w:pPr>
        <w:pStyle w:val="BlockText"/>
      </w:pPr>
      <w:r>
        <w:t xml:space="preserve">[T]here was a fourth element to the May Proposal. Society had and still has substantial assets which are essentially unsalable, generally comprised of foreclosed commercial real estate which, in many cases, have a negative value due to environmental or-other problems The necessity for this stub entity created further complexity and made it difficult, if not impossible, to value accurately the entire transaction. Although Goldman indicated that the value of the stub might be as high as $3.32 per share ... Goldman made it clear to Board that that value was based on the book value of the stub assets, which is not reflective of the amount of their market or liquidation value. Stated differently, no buyer would purchase such assets at book value at that time.</w:t>
      </w:r>
    </w:p>
    <w:p>
      <w:pPr>
        <w:pStyle w:val="CaseBody"/>
      </w:pPr>
      <w:r>
        <w:t xml:space="preserve">In pertinent part, Berlinski in his affidavit stated:</w:t>
      </w:r>
    </w:p>
    <w:p>
      <w:pPr>
        <w:pStyle w:val="BlockText"/>
      </w:pPr>
      <w:r>
        <w:t xml:space="preserve">The Board ... determined not to proceed further with [the May Proposal] since it viewed it as too speculative, complex and difficult to value.... [T]he values it would achieve were uncertain, in part due to the inability to assess the likely trading value of the stock in the “stub entity” that would hold the Bank’s unsalable assets, such as its foreclosed real estate. We told the Board that the $3.32 per share value we attributed to the stub was simply its estimated book value and that stock in the stub was likely to trade for considerably less.</w:t>
      </w:r>
    </w:p>
    <w:p>
      <w:pPr>
        <w:pStyle w:val="CaseBody"/>
      </w:pPr>
      <w:r>
        <w:t xml:space="preserve">In the relevant portion of Stone’s affidavit, he stated:</w:t>
      </w:r>
    </w:p>
    <w:p>
      <w:pPr>
        <w:pStyle w:val="BlockText"/>
      </w:pPr>
      <w:r>
        <w:t xml:space="preserve">[W]hile I believed [in May 1992 that] it was worth at least pursuing the [May Proposal] further, I certainly did not believe, and to the best of my knowledge, no one else on the Board believed that that proposal — even if it could be successfully concluded — would be worth as much as $19.26. This was in part because the existence of the “stub security” (representing ownership of generally unsalable assets) made it difficult if not impossible to know what the actual value of the proposal would be and the need to set aside cash in the stub to indemnify purchasers of Society’s assets created further uncertainty as to that value. Although Goldman indicated in its presentation to the Board that the stub could have a book value of $3.32 per share, Goldman made it clear to the Board both in its written presentation and orally that this value was speculative and by no means represented the value at which the stub security would trade in the market.</w:t>
      </w:r>
    </w:p>
    <w:p>
      <w:pPr>
        <w:pStyle w:val="CaseBody"/>
      </w:pPr>
      <w:r>
        <w:t xml:space="preserve">In his deposition testimony, Chase stated:</w:t>
      </w:r>
    </w:p>
    <w:p>
      <w:pPr>
        <w:pStyle w:val="BlockText"/>
      </w:pPr>
      <w:r>
        <w:t xml:space="preserve">What Goldman has done in this executive summary ... is offer a projection ... which may or may not have materialized^] ... [The Executive Summary] does, talk about the stub security as it describes $3.32 as a value</w:t>
      </w:r>
      <w:r>
        <w:t xml:space="preserve"> </w:t>
      </w:r>
      <w:r>
        <w:rPr>
          <w:iCs/>
          <w:i/>
        </w:rPr>
        <w:t xml:space="preserve">[sic],</w:t>
      </w:r>
      <w:r>
        <w:t xml:space="preserve"> </w:t>
      </w:r>
      <w:r>
        <w:t xml:space="preserve">and that was one that I just described prior to looking at this, that would have been like a $3.00 minus rather than $3.00 plus. Take $3.00 off the 15.94 which is the per share basic bid and [that] would have dropped the bottom line from $19.26 to like maybe $12 and change, and that’s why I didn’t like [the May Proposal] at all.</w:t>
      </w:r>
      <w:r>
        <w:rPr>
          <w:rStyle w:val="FootnoteReference"/>
        </w:rPr>
        <w:footnoteReference w:customMarkFollows="1" w:id="430"/>
        <w:t xml:space="preserve">24</w:t>
      </w:r>
    </w:p>
    <w:p>
      <w:pPr>
        <w:pStyle w:val="CaseBody"/>
      </w:pPr>
      <w:r>
        <w:t xml:space="preserve">Defendants’ submissions shifted the burden to plaintiff to counter their claim that the stub had some value less than the estimated $3.32 per share.</w:t>
      </w:r>
      <w:r>
        <w:t xml:space="preserve"> </w:t>
      </w:r>
      <w:r>
        <w:rPr>
          <w:iCs/>
          <w:i/>
        </w:rPr>
        <w:t xml:space="preserve">See</w:t>
      </w:r>
      <w:r>
        <w:t xml:space="preserve"> </w:t>
      </w:r>
      <w:r>
        <w:t xml:space="preserve">Ch.Civ.R. 56(e);</w:t>
      </w:r>
      <w:r>
        <w:t xml:space="preserve"> </w:t>
      </w:r>
      <w:r>
        <w:rPr>
          <w:iCs/>
          <w:i/>
        </w:rPr>
        <w:t xml:space="preserve">Irwin &amp; Leighton, Inc. v. W.M. Anderson,</w:t>
      </w:r>
      <w:r>
        <w:t xml:space="preserve"> </w:t>
      </w:r>
      <w:r>
        <w:t xml:space="preserve">Del.Ch.,</w:t>
      </w:r>
      <w:r>
        <w:t xml:space="preserve"> </w:t>
      </w:r>
      <w:r>
        <w:t xml:space="preserve">532 A.2d 983</w:t>
      </w:r>
      <w:r>
        <w:t xml:space="preserve">, 986 (1987);</w:t>
      </w:r>
      <w:r>
        <w:t xml:space="preserve"> </w:t>
      </w:r>
      <w:r>
        <w:rPr>
          <w:iCs/>
          <w:i/>
        </w:rPr>
        <w:t xml:space="preserve">Tanzer v. International Gen. Indus.,</w:t>
      </w:r>
      <w:r>
        <w:t xml:space="preserve"> </w:t>
      </w:r>
      <w:r>
        <w:t xml:space="preserve">Del.Ch.,</w:t>
      </w:r>
      <w:r>
        <w:t xml:space="preserve"> </w:t>
      </w:r>
      <w:r>
        <w:t xml:space="preserve">402 A.2d 382</w:t>
      </w:r>
      <w:r>
        <w:t xml:space="preserve">, 385 (1979). Rather than make any such offer of proof, plaintiff elected to argue in the alternative without ever having made an affirmative case that the $3.32 figure reflected a realizable value.</w:t>
      </w:r>
      <w:r>
        <w:rPr>
          <w:rStyle w:val="FootnoteReference"/>
        </w:rPr>
        <w:footnoteReference w:customMarkFollows="1" w:id="441"/>
        <w:t xml:space="preserve">25</w:t>
      </w:r>
      <w:r>
        <w:t xml:space="preserve"> </w:t>
      </w:r>
      <w:r>
        <w:t xml:space="preserve">Accordingly, plaintiff failed to meet his counter-burden.</w:t>
      </w:r>
      <w:r>
        <w:t xml:space="preserve"> </w:t>
      </w:r>
      <w:r>
        <w:rPr>
          <w:iCs/>
          <w:i/>
        </w:rPr>
        <w:t xml:space="preserve">See</w:t>
      </w:r>
      <w:r>
        <w:t xml:space="preserve"> </w:t>
      </w:r>
      <w:r>
        <w:t xml:space="preserve">Ch.Civ.R. 56(e);</w:t>
      </w:r>
      <w:r>
        <w:t xml:space="preserve"> </w:t>
      </w:r>
      <w:r>
        <w:rPr>
          <w:iCs/>
          <w:i/>
        </w:rPr>
        <w:t xml:space="preserve">Irwin &amp; Leighton,</w:t>
      </w:r>
      <w:r>
        <w:t xml:space="preserve"> </w:t>
      </w:r>
      <w:r>
        <w:t xml:space="preserve">532 A.2d at 986</w:t>
      </w:r>
      <w:r>
        <w:t xml:space="preserve">;</w:t>
      </w:r>
      <w:r>
        <w:t xml:space="preserve"> </w:t>
      </w:r>
      <w:r>
        <w:rPr>
          <w:iCs/>
          <w:i/>
        </w:rPr>
        <w:t xml:space="preserve">Tanzer,</w:t>
      </w:r>
      <w:r>
        <w:t xml:space="preserve"> </w:t>
      </w:r>
      <w:r>
        <w:t xml:space="preserve">402 A.2d at 385</w:t>
      </w:r>
      <w:r>
        <w:t xml:space="preserve">.</w:t>
      </w:r>
      <w:r>
        <w:rPr>
          <w:rStyle w:val="FootnoteReference"/>
        </w:rPr>
        <w:footnoteReference w:customMarkFollows="1" w:id="452"/>
        <w:t xml:space="preserve">26</w:t>
      </w:r>
    </w:p>
    <w:p>
      <w:pPr>
        <w:pStyle w:val="CaseBody"/>
      </w:pPr>
      <w:r>
        <w:t xml:space="preserve">Unlike the elliptical disclosure of facts surrounding Norwest’s $275 million bid for FAC, discussed</w:t>
      </w:r>
      <w:r>
        <w:t xml:space="preserve"> </w:t>
      </w:r>
      <w:r>
        <w:rPr>
          <w:iCs/>
          <w:i/>
        </w:rPr>
        <w:t xml:space="preserve">supra,</w:t>
      </w:r>
      <w:r>
        <w:t xml:space="preserve"> </w:t>
      </w:r>
      <w:r>
        <w:t xml:space="preserve">defendants made a simple, accurate disclosure in the proxy statement relating to the value of Bancorp shares under the May Proposal: “[T]he Board was advised that, in light of uncertainties involving' the value of negative assets, the value ultimately distributable to stockholders could only be estimated.” Given that the finding of the Court of Chancery as to the unreliability of the $19.26 figure is supported by the record, the statement above was neither misleading nor incomplete. Thus, the trial court did not err in holding the $19.26 estimate immaterial as a matter of law.</w:t>
      </w:r>
      <w:r>
        <w:t xml:space="preserve"> </w:t>
      </w:r>
      <w:r>
        <w:rPr>
          <w:iCs/>
          <w:i/>
        </w:rPr>
        <w:t xml:space="preserve">E.g., Vitalink, slip op.</w:t>
      </w:r>
      <w:r>
        <w:t xml:space="preserve"> </w:t>
      </w:r>
      <w:r>
        <w:t xml:space="preserve">at 28-29, 17 Del.J.Corp.L. at 1335-36;</w:t>
      </w:r>
      <w:r>
        <w:t xml:space="preserve"> </w:t>
      </w:r>
      <w:r>
        <w:rPr>
          <w:iCs/>
          <w:i/>
        </w:rPr>
        <w:t xml:space="preserve">Rio Grande,</w:t>
      </w:r>
      <w:r>
        <w:t xml:space="preserve"> </w:t>
      </w:r>
      <w:r>
        <w:t xml:space="preserve">519 A.2d at 129-30</w:t>
      </w:r>
      <w:r>
        <w:t xml:space="preserve">.</w:t>
      </w:r>
    </w:p>
    <w:p>
      <w:pPr>
        <w:pStyle w:val="CaseBody"/>
      </w:pPr>
      <w:r>
        <w:t xml:space="preserve">C. The Merger Negotiations</w:t>
      </w:r>
    </w:p>
    <w:p>
      <w:pPr>
        <w:pStyle w:val="CaseBody"/>
      </w:pPr>
      <w:r>
        <w:t xml:space="preserve">Plaintiff raises four misrepresentation arguments relating to the disclosure of merger negotiations in the proxy statement: that the statement (i) disclosed that the board had negotiated the Merger when in fact Connell “negotiated” the Merger during the summer of 1992 without board approval, himself arriving at the $20 figure for the share cap; (ii) should have disclosed more emphatically Weinerman’s and the Chairman’s abstentions; (iii) should not have described the final Merger vote as “unanimous” when in fact the vote purportedly was eight in favor, one in opposition, and five abstaining (8-1-5); and (iv) should have been supplemented with disclosure of the board’s post-approval “renegotiation” meetings with BoB. The Court of Chancery held that these purported “facts” were immaterial. We agree.</w:t>
      </w:r>
    </w:p>
    <w:p>
      <w:pPr>
        <w:pStyle w:val="CaseBody"/>
      </w:pPr>
      <w:r>
        <w:t xml:space="preserve">Plaintiffs misrepresentation claims lack merit. His claim that Connell first suggested the $20 share cap figure, which was not the exchange value as of the date the board approved the Merger, does not satisfy the materiality test under the circumstances of this case.</w:t>
      </w:r>
      <w:r>
        <w:t xml:space="preserve"> </w:t>
      </w:r>
      <w:r>
        <w:rPr>
          <w:iCs/>
          <w:i/>
        </w:rPr>
        <w:t xml:space="preserve">See Cede &amp; Co. v. Technicolor, Inc.,</w:t>
      </w:r>
      <w:r>
        <w:t xml:space="preserve"> </w:t>
      </w:r>
      <w:r>
        <w:t xml:space="preserve">Del.Supr.,</w:t>
      </w:r>
      <w:r>
        <w:t xml:space="preserve"> </w:t>
      </w:r>
      <w:r>
        <w:t xml:space="preserve">634 A.2d 345</w:t>
      </w:r>
      <w:r>
        <w:t xml:space="preserve">, 372 (1993) (affirming trial court’s finding that there was no need to disclose a share value which a target director initially deemed acceptable, without consulting investment ad-visors, because “non-disclosure [of such was] plainly not material”).</w:t>
      </w:r>
      <w:r>
        <w:t xml:space="preserve"> </w:t>
      </w:r>
      <w:r>
        <w:rPr>
          <w:iCs/>
          <w:i/>
        </w:rPr>
        <w:t xml:space="preserve">But cf. Smith v. Van Gorkom,</w:t>
      </w:r>
      <w:r>
        <w:t xml:space="preserve"> </w:t>
      </w:r>
      <w:r>
        <w:t xml:space="preserve">Del.Supr.,</w:t>
      </w:r>
      <w:r>
        <w:t xml:space="preserve"> </w:t>
      </w:r>
      <w:r>
        <w:t xml:space="preserve">488 A.2d 858</w:t>
      </w:r>
      <w:r>
        <w:t xml:space="preserve">, 890-92 (1985) (finding violation of disclosure obligations where proxy statement partially disclosed that target director first suggested final, agreed-upon merger share price but failed to describe accurately the motive behind focusing on that figure). Given that the proxy statement described Weinerman’s and the Chairman’s abstentions and their respective reasons therefor in great detail,</w:t>
      </w:r>
      <w:r>
        <w:rPr>
          <w:rStyle w:val="FootnoteReference"/>
        </w:rPr>
        <w:footnoteReference w:customMarkFollows="1" w:id="463"/>
        <w:t xml:space="preserve">27</w:t>
      </w:r>
      <w:r>
        <w:t xml:space="preserve"> </w:t>
      </w:r>
      <w:r>
        <w:t xml:space="preserve">plaintiffs second argument is without merit.</w:t>
      </w:r>
    </w:p>
    <w:p>
      <w:pPr>
        <w:pStyle w:val="CaseBody"/>
      </w:pPr>
      <w:r>
        <w:t xml:space="preserve">The third and fourth arguments simply mischaracterize the facts. With regard to the third argument, the 8-1-5 vote was an interim one which was disclosed; the final vote, which also was disclosed, was twelve in favor with two abstentions. Further, the description of the 12-0-2 vote— “unanimous[ ] ... (with two directors abstaining)” — was proper.</w:t>
      </w:r>
      <w:r>
        <w:t xml:space="preserve"> </w:t>
      </w:r>
      <w:r>
        <w:rPr>
          <w:iCs/>
          <w:i/>
        </w:rPr>
        <w:t xml:space="preserve">See Weinberger v. UOP, Inc.,</w:t>
      </w:r>
      <w:r>
        <w:t xml:space="preserve"> </w:t>
      </w:r>
      <w:r>
        <w:t xml:space="preserve">Del.Ch.,</w:t>
      </w:r>
      <w:r>
        <w:t xml:space="preserve"> </w:t>
      </w:r>
      <w:r>
        <w:t xml:space="preserve">426 A.2d 1333</w:t>
      </w:r>
      <w:r>
        <w:t xml:space="preserve">, 1353 (1981),</w:t>
      </w:r>
      <w:r>
        <w:t xml:space="preserve"> </w:t>
      </w:r>
      <w:r>
        <w:rPr>
          <w:iCs/>
          <w:i/>
        </w:rPr>
        <w:t xml:space="preserve">rev’d on other grounds,</w:t>
      </w:r>
      <w:r>
        <w:t xml:space="preserve"> </w:t>
      </w:r>
      <w:r>
        <w:t xml:space="preserve">Del.Supr.,</w:t>
      </w:r>
      <w:r>
        <w:t xml:space="preserve"> </w:t>
      </w:r>
      <w:r>
        <w:t xml:space="preserve">457 A.2d 701</w:t>
      </w:r>
      <w:r>
        <w:t xml:space="preserve"> </w:t>
      </w:r>
      <w:r>
        <w:t xml:space="preserve">(1983). As to plaintiffs final argument, the board’s discussion with BoB did not involve a “renegotiation” of the Merger. The primary purpose of the meeting was to ensure compliance with the terms and conditions of the original, approved Merger — more specifically, that the closing of the Merger be timely. Such subsequent, purely implemental meetings are immaterial under the circumstances of this case.</w:t>
      </w:r>
      <w:r>
        <w:t xml:space="preserve"> </w:t>
      </w:r>
      <w:r>
        <w:rPr>
          <w:iCs/>
          <w:i/>
        </w:rPr>
        <w:t xml:space="preserve">See Bershad v. Curtiss-Wright Corp.,</w:t>
      </w:r>
      <w:r>
        <w:t xml:space="preserve"> </w:t>
      </w:r>
      <w:r>
        <w:t xml:space="preserve">Del.Supr.,</w:t>
      </w:r>
      <w:r>
        <w:t xml:space="preserve"> </w:t>
      </w:r>
      <w:r>
        <w:t xml:space="preserve">535 A.2d 840</w:t>
      </w:r>
      <w:r>
        <w:t xml:space="preserve">, 847 (1987) (holding that there is no requirement under</w:t>
      </w:r>
      <w:r>
        <w:t xml:space="preserve"> </w:t>
      </w:r>
      <w:r>
        <w:rPr>
          <w:iCs/>
          <w:i/>
        </w:rPr>
        <w:t xml:space="preserve">Rosenblatt</w:t>
      </w:r>
      <w:r>
        <w:t xml:space="preserve"> </w:t>
      </w:r>
      <w:r>
        <w:t xml:space="preserve">of “play-byplay” disclosure of merger negotiations because such details would not alter the “total mix” of information provided stockholders and thus are immaterial). Thus, the Court of Chancery did not err in rejecting plaintiffs claims relating to the Merger negotiations.</w:t>
      </w:r>
    </w:p>
    <w:p>
      <w:pPr>
        <w:pStyle w:val="CaseBody"/>
      </w:pPr>
      <w:r>
        <w:t xml:space="preserve">D. The Board’s Disavowal of the Reliability of the Management Projections</w:t>
      </w:r>
    </w:p>
    <w:p>
      <w:pPr>
        <w:pStyle w:val="CaseBody"/>
      </w:pPr>
      <w:r>
        <w:t xml:space="preserve">Plaintiff argues that the proxy statement misled stockholders by disclosing that the board did not rely on Goldman’s earnings projections, prepared in connection with the May Proposal, when in fact the board relied on such projections in evaluating the fairness of the Merger. In support, Plaintiff relies on a memorandum dated May 26, 1992, from Connell to the board (the “Connell memo”) regarding “Project Elite” (the May Proposal). The Court of Chancery rejected plaintiffs claim as factually unsupported.</w:t>
      </w:r>
    </w:p>
    <w:p>
      <w:pPr>
        <w:pStyle w:val="CaseBody"/>
      </w:pPr>
      <w:r>
        <w:t xml:space="preserve">Plaintiffs claim is without merit. In relevant part, the proxy statement reads:</w:t>
      </w:r>
    </w:p>
    <w:p>
      <w:pPr>
        <w:pStyle w:val="BlockText"/>
      </w:pPr>
      <w:r>
        <w:t xml:space="preserve">(With respect to Bancorp’s prospects, the Board of Directors took into account, among other things, management’s base ease projections (prepared in April, 1992 in conjunction with Bancorp’s capital plan for regulatory purposes) (the “base case”) and certain alternative projections prepared by management under more favorable assumptions (the “best case”). The projected 1994 earnings per share (“EPS”) under the base case and best case were $1.79 and $2.75, respectively, which reflected numerous assumptions [listing assumptions]. It should be noted that many of the assumptions, including those referenced above, were outside the control of Bancorp, and neither Bancorp nor any other person or entity makes any representation as to their achievability [sic]; such projections have not been updated and Bancorp does not assume hereby any obligation to update them. Accordingly, neither Bancorp nor any other person or entity believes that Bancorp stockholders should rely on such projections.)</w:t>
      </w:r>
    </w:p>
    <w:p>
      <w:pPr>
        <w:pStyle w:val="CaseBody"/>
      </w:pPr>
      <w:r>
        <w:t xml:space="preserve">(Emphasis added). The crux of plaintiffs argument is that the board (or at least management) relied on the “best case” projections in evaluating the fairness of the Merger. The Connell memo, however, does not rely on the “best case” scenario. Rather, it concludes that, because the risks associated with achieving the “best case” scenario outweigh the potential benefits, the board should reject the “best case” projection and instead pursue the May Proposal.</w:t>
      </w:r>
      <w:r>
        <w:rPr>
          <w:rStyle w:val="FootnoteReference"/>
        </w:rPr>
        <w:footnoteReference w:customMarkFollows="1" w:id="473"/>
        <w:t xml:space="preserve">28</w:t>
      </w:r>
      <w:r>
        <w:t xml:space="preserve"> </w:t>
      </w:r>
      <w:r>
        <w:t xml:space="preserve">Nothing in the challenged, above-highlighted portion of the proxy statement was inaccurate or misleading.</w:t>
      </w:r>
      <w:r>
        <w:rPr>
          <w:rStyle w:val="FootnoteReference"/>
        </w:rPr>
        <w:footnoteReference w:customMarkFollows="1" w:id="482"/>
        <w:t xml:space="preserve">29</w:t>
      </w:r>
    </w:p>
    <w:p>
      <w:pPr>
        <w:pStyle w:val="CaseBody"/>
      </w:pPr>
      <w:r>
        <w:t xml:space="preserve">VI. SECTION 102(b)(7) PROTECTION</w:t>
      </w:r>
    </w:p>
    <w:p>
      <w:pPr>
        <w:pStyle w:val="CaseBody"/>
      </w:pPr>
      <w:r>
        <w:t xml:space="preserve">Plaintiff argues that the exemption from liability in Bancorp’s certificate of incorporation, adopted pursuant to Section 102(b)(7), does not extend to disclosure claims, and that, even if the provision so extended, the individual defendants’ conduct here falls within two exceptions. Plaintiff further contends that his claims against Connell for disclosure violations in his capacity as an officer (rather than a director) would still survive. Finally, plaintiff argues that the individual defendants waived their Section 102(b)(7) protection in the Court of Chancery. The Court of Chancery did not reach the Section 102(b)(7) issue. In view of our finding that there was a disclosure violation, we are required to reach these questions. We hold that Section 102(b)(7), as adopted by Bancorp, shields the individual defendants from liability, and that the shield was not waived.</w:t>
      </w:r>
    </w:p>
    <w:p>
      <w:pPr>
        <w:pStyle w:val="CaseBody"/>
      </w:pPr>
      <w:r>
        <w:t xml:space="preserve">A. Application of Section 102(b)(7) to Disclosure Claims</w:t>
      </w:r>
    </w:p>
    <w:p>
      <w:pPr>
        <w:pStyle w:val="CaseBody"/>
      </w:pPr>
      <w:r>
        <w:t xml:space="preserve">Article XIII of Bancorp’s certificate of incorporation, which parallels the language in Section 102(b)(7), states in relevant part:</w:t>
      </w:r>
    </w:p>
    <w:p>
      <w:pPr>
        <w:pStyle w:val="BlockText"/>
      </w:pPr>
      <w:r>
        <w:t xml:space="preserve">No director of the Corporation shall be liable to the Corporation or its stockholders for monetary damages for breach of fiduciary duty as a director, except for liability: (i) for any breach of the director’s duty of loyalty to the Corporation or its stockholders; (n) for acts or omissions not in good faith or which involve intentional misconduct or a knowing violation of the law ...</w:t>
      </w:r>
    </w:p>
    <w:p>
      <w:pPr>
        <w:pStyle w:val="CaseBody"/>
      </w:pPr>
      <w:r>
        <w:t xml:space="preserve">(Emphasis added). Plaintiff claims that the legislative history of Section 102(b)(7) supports his argument that the shield is not applicable here. Plaintiffs argument, however, bypasses a logical step in statutory analysis.</w:t>
      </w:r>
      <w:r>
        <w:rPr>
          <w:rStyle w:val="FootnoteReference"/>
        </w:rPr>
        <w:footnoteReference w:customMarkFollows="1" w:id="490"/>
        <w:t xml:space="preserve">30</w:t>
      </w:r>
      <w:r>
        <w:t xml:space="preserve"> </w:t>
      </w:r>
      <w:r>
        <w:t xml:space="preserve">A court should not resort to legislative history in interpreting a statute where statutory language provides unambiguously an answer to the question at hand.</w:t>
      </w:r>
      <w:r>
        <w:t xml:space="preserve"> </w:t>
      </w:r>
      <w:r>
        <w:rPr>
          <w:iCs/>
          <w:i/>
        </w:rPr>
        <w:t xml:space="preserve">E.g., Grand Ventures, Inc. v. Whaley,</w:t>
      </w:r>
      <w:r>
        <w:t xml:space="preserve"> </w:t>
      </w:r>
      <w:r>
        <w:t xml:space="preserve">Del.Supr.,</w:t>
      </w:r>
      <w:r>
        <w:t xml:space="preserve"> </w:t>
      </w:r>
      <w:r>
        <w:t xml:space="preserve">632 A.2d 63</w:t>
      </w:r>
      <w:r>
        <w:t xml:space="preserve">, 68 (1993) (“In the absence of any ambiguity, the language of the statute must be viewed as conclusive of the legislative intent. ... The judicial role is then limited to an application of the literal meaning of the words[]”) (internal citation omitted);</w:t>
      </w:r>
      <w:r>
        <w:t xml:space="preserve"> </w:t>
      </w:r>
      <w:r>
        <w:rPr>
          <w:iCs/>
          <w:i/>
        </w:rPr>
        <w:t xml:space="preserve">Hudson Farms, Inc. v. McGrellis,</w:t>
      </w:r>
      <w:r>
        <w:t xml:space="preserve"> </w:t>
      </w:r>
      <w:r>
        <w:t xml:space="preserve">Del.Supr.,</w:t>
      </w:r>
      <w:r>
        <w:t xml:space="preserve"> </w:t>
      </w:r>
      <w:r>
        <w:t xml:space="preserve">620 A.2d 215</w:t>
      </w:r>
      <w:r>
        <w:t xml:space="preserve">, 217 (1993) (“If there is no reasonable doubt as to the meaning of the words used, the statute is unambiguous and the Court’s role is limited to an application of the literal meaning of the words[ ]”);</w:t>
      </w:r>
      <w:r>
        <w:t xml:space="preserve"> </w:t>
      </w:r>
      <w:r>
        <w:rPr>
          <w:iCs/>
          <w:i/>
        </w:rPr>
        <w:t xml:space="preserve">Silverbrook Cemetery Co. v. Department of Fin.,</w:t>
      </w:r>
      <w:r>
        <w:t xml:space="preserve"> </w:t>
      </w:r>
      <w:r>
        <w:t xml:space="preserve">Del.Supr.,</w:t>
      </w:r>
      <w:r>
        <w:t xml:space="preserve"> </w:t>
      </w:r>
      <w:r>
        <w:t xml:space="preserve">449 A.2d 241</w:t>
      </w:r>
      <w:r>
        <w:t xml:space="preserve">, 242 (1982) (holding that trial court erred by engaging in statutory interpretation where interplay of two provisions yielded clear and unambiguous result).</w:t>
      </w:r>
      <w:r>
        <w:rPr>
          <w:rStyle w:val="FootnoteReference"/>
        </w:rPr>
        <w:footnoteReference w:customMarkFollows="1" w:id="498"/>
        <w:t xml:space="preserve">31</w:t>
      </w:r>
    </w:p>
    <w:p>
      <w:pPr>
        <w:pStyle w:val="CaseBody"/>
      </w:pPr>
      <w:r>
        <w:t xml:space="preserve">In the instant case, plaintiff’s claim that Section 102(b)(7) does not extend to disclosure violations must be rejected as contrary to the express, unambiguous language of that provision. Section 102(b)(7) provides protection “for breach of fiduciary duty.” Given that the fiduciary disclosure requirements were well-established when Section 102(b)(7) was enacted and were nonetheless not excepted expressly from coverage,</w:t>
      </w:r>
      <w:r>
        <w:t xml:space="preserve"> </w:t>
      </w:r>
      <w:r>
        <w:rPr>
          <w:iCs/>
          <w:i/>
        </w:rPr>
        <w:t xml:space="preserve">see Hudson Farms,</w:t>
      </w:r>
      <w:r>
        <w:t xml:space="preserve"> </w:t>
      </w:r>
      <w:r>
        <w:t xml:space="preserve">620 A.2d at 218</w:t>
      </w:r>
      <w:r>
        <w:t xml:space="preserve"> </w:t>
      </w:r>
      <w:r>
        <w:t xml:space="preserve">(“it is presumed that the General Assembly is aware of existing law when it acts”), there is no reason to go beyond the text of the statute,</w:t>
      </w:r>
      <w:r>
        <w:t xml:space="preserve"> </w:t>
      </w:r>
      <w:r>
        <w:rPr>
          <w:iCs/>
          <w:i/>
        </w:rPr>
        <w:t xml:space="preserve">see, e.g., Grand Ventures,</w:t>
      </w:r>
      <w:r>
        <w:t xml:space="preserve"> </w:t>
      </w:r>
      <w:r>
        <w:t xml:space="preserve">632 A.2d at 68</w:t>
      </w:r>
      <w:r>
        <w:t xml:space="preserve">;</w:t>
      </w:r>
      <w:r>
        <w:t xml:space="preserve"> </w:t>
      </w:r>
      <w:r>
        <w:rPr>
          <w:iCs/>
          <w:i/>
        </w:rPr>
        <w:t xml:space="preserve">Hudson Farms,</w:t>
      </w:r>
      <w:r>
        <w:t xml:space="preserve"> </w:t>
      </w:r>
      <w:r>
        <w:t xml:space="preserve">620 A.2d at 217</w:t>
      </w:r>
      <w:r>
        <w:t xml:space="preserve">. Thus, claims alleging disclosure violations that do not otherwise fall within any exception are protected by Section 102(b)(7) and any certificate of incorporation provision (such as Article XIII) adopted pursuant thereto. In any event, nothing in the legislative history of the adoption of Section 102(b)(7) is inconsistent with the result we reach herein.</w:t>
      </w:r>
    </w:p>
    <w:p>
      <w:pPr>
        <w:pStyle w:val="CaseBody"/>
      </w:pPr>
      <w:r>
        <w:t xml:space="preserve">B. Applicability of the Exceptions to Section 102(b)(7)</w:t>
      </w:r>
    </w:p>
    <w:p>
      <w:pPr>
        <w:pStyle w:val="CaseBody"/>
      </w:pPr>
      <w:r>
        <w:t xml:space="preserve">Plaintiff argues that the individual defendants’ conduct implicates the duty of loyalty and the proscription against knowing, intentional violations of law.</w:t>
      </w:r>
      <w:r>
        <w:rPr>
          <w:rStyle w:val="FootnoteReference"/>
        </w:rPr>
        <w:footnoteReference w:customMarkFollows="1" w:id="506"/>
        <w:t xml:space="preserve">32</w:t>
      </w:r>
      <w:r>
        <w:t xml:space="preserve"> </w:t>
      </w:r>
      <w:r>
        <w:t xml:space="preserve">He argues that the individual defendants’ conduct falls within the exceptions in Section 102(b)(7)(i) &amp; (ii) because they: (i) “improperly interfer[ed] with the voting process by knowingly or deliberately failing to make proper disclosure”; (ii) acted in bad faith and recklessly; and (iii) improperly granted no-shop and lock-up clauses as part of the Merger.</w:t>
      </w:r>
      <w:r>
        <w:rPr>
          <w:rStyle w:val="FootnoteReference"/>
        </w:rPr>
        <w:footnoteReference w:customMarkFollows="1" w:id="514"/>
        <w:t xml:space="preserve">33</w:t>
      </w:r>
      <w:r>
        <w:t xml:space="preserve"> </w:t>
      </w:r>
      <w:r>
        <w:t xml:space="preserve">Plaintiff also contends that Connell and Stang were interested directors who violated their duty of loyalty and that Connell’s actions in his role as an officer fall outside Section 102(b)(7)’s protection.</w:t>
      </w:r>
    </w:p>
    <w:p>
      <w:pPr>
        <w:pStyle w:val="CaseBody"/>
      </w:pPr>
      <w:r>
        <w:t xml:space="preserve">The individual defendants counter that plaintiffs claims are essentially conclusory for there is no affirmative proof that they knowingly or deliberately failed to disclose facts they knew were material. That is, they argue that they balanced in good faith which facts to disclose against those to withhold as immaterial. Next, they assert that case law does not support plaintiffs claim relating to the no-shop and lock-up clauses under the facts of this case. Finally, the individual defendants contend that the claim relating to Connell’s conduct as an officer is barred pursuant to Supreme Court Rule 8 because it was not raised in the Court of Chancery.</w:t>
      </w:r>
      <w:r>
        <w:rPr>
          <w:rStyle w:val="FootnoteReference"/>
        </w:rPr>
        <w:footnoteReference w:customMarkFollows="1" w:id="522"/>
        <w:t xml:space="preserve">34</w:t>
      </w:r>
      <w:r>
        <w:t xml:space="preserve"> </w:t>
      </w:r>
      <w:r>
        <w:t xml:space="preserve">On the merits, they assert that plaintiff has failed to segregate any of Connell’s actions as an officer that fall within the exceptions to Section 102(b)(7).</w:t>
      </w:r>
    </w:p>
    <w:p>
      <w:pPr>
        <w:pStyle w:val="CaseBody"/>
      </w:pPr>
      <w:r>
        <w:t xml:space="preserve">Plaintiffs claims are not supported by the record or Delaware law. The individual defendants did not violate the duty of loyalty under the facts of this case.</w:t>
      </w:r>
      <w:r>
        <w:rPr>
          <w:rStyle w:val="FootnoteReference"/>
        </w:rPr>
        <w:footnoteReference w:customMarkFollows="1" w:id="530"/>
        <w:t xml:space="preserve">35</w:t>
      </w:r>
      <w:r>
        <w:t xml:space="preserve"> </w:t>
      </w:r>
      <w:r>
        <w:t xml:space="preserve">Plaintiffs intentional violation argument is unsupported by the record.</w:t>
      </w:r>
      <w:r>
        <w:rPr>
          <w:rStyle w:val="FootnoteReference"/>
        </w:rPr>
        <w:footnoteReference w:customMarkFollows="1" w:id="537"/>
        <w:t xml:space="preserve">36</w:t>
      </w:r>
      <w:r>
        <w:t xml:space="preserve"> </w:t>
      </w:r>
      <w:r>
        <w:t xml:space="preserve">As to plaintiffs third claim, though the granting of no-shop and lock-up rights can under certain circumstances implicate the duty of loyalty, without any additional, supportive factual basis for his claim, sufficient at least to create a genuine issue of material fact, plaintiffs reliance on</w:t>
      </w:r>
      <w:r>
        <w:t xml:space="preserve"> </w:t>
      </w:r>
      <w:r>
        <w:rPr>
          <w:iCs/>
          <w:i/>
        </w:rPr>
        <w:t xml:space="preserve">Mills</w:t>
      </w:r>
      <w:r>
        <w:t xml:space="preserve"> </w:t>
      </w:r>
      <w:r>
        <w:t xml:space="preserve">and</w:t>
      </w:r>
      <w:r>
        <w:t xml:space="preserve"> </w:t>
      </w:r>
      <w:r>
        <w:rPr>
          <w:iCs/>
          <w:i/>
        </w:rPr>
        <w:t xml:space="preserve">Unocal</w:t>
      </w:r>
      <w:r>
        <w:t xml:space="preserve"> </w:t>
      </w:r>
      <w:r>
        <w:t xml:space="preserve">is unpersuasive. Even assuming that plaintiffs final argument is not procedurally barred, it lacks merit because plaintiff has failed to highlight any specific actions Con-nell undertook as an officer (as distinct from actions as a director) that fall within the two pertinent exceptions to Section 102(b)(7).</w:t>
      </w:r>
      <w:r>
        <w:t xml:space="preserve"> </w:t>
      </w:r>
      <w:r>
        <w:rPr>
          <w:iCs/>
          <w:i/>
        </w:rPr>
        <w:t xml:space="preserve">See</w:t>
      </w:r>
      <w:r>
        <w:t xml:space="preserve"> </w:t>
      </w:r>
      <w:r>
        <w:t xml:space="preserve">R. Franklin Balotti &amp; Jesse A. Finkel-stein,</w:t>
      </w:r>
      <w:r>
        <w:t xml:space="preserve"> </w:t>
      </w:r>
      <w:r>
        <w:rPr>
          <w:iCs/>
          <w:i/>
        </w:rPr>
        <w:t xml:space="preserve">Delaware Law of Corp. &amp; Business Org.</w:t>
      </w:r>
      <w:r>
        <w:t xml:space="preserve"> </w:t>
      </w:r>
      <w:r>
        <w:t xml:space="preserve">§ 4.19, at 4-335 (Supp.1992) (where a defendant is a director and officer, only those actions taken solely in the defendant’s capacity as an officer are outside the purview of Section 102(b)(7)).</w:t>
      </w:r>
      <w:r>
        <w:rPr>
          <w:rStyle w:val="FootnoteReference"/>
        </w:rPr>
        <w:footnoteReference w:customMarkFollows="1" w:id="544"/>
        <w:t xml:space="preserve">37</w:t>
      </w:r>
    </w:p>
    <w:p>
      <w:pPr>
        <w:pStyle w:val="CaseBody"/>
      </w:pPr>
      <w:r>
        <w:t xml:space="preserve">C. Waiver of the Section 102(b)(7) Shield</w:t>
      </w:r>
    </w:p>
    <w:p>
      <w:pPr>
        <w:pStyle w:val="CaseBody"/>
      </w:pPr>
      <w:r>
        <w:t xml:space="preserve">Plaintiff argues that the individual defendants can, and did, waive their Section 102(b)(7) contractual protection. The individual defendants “are prepared to assume” that the shield provided by Section 102(b)(7) can be waived, but argue that such waiver must be clear and unambiguous, which they contend is absent here.</w:t>
      </w:r>
      <w:r>
        <w:rPr>
          <w:rStyle w:val="FootnoteReference"/>
        </w:rPr>
        <w:footnoteReference w:customMarkFollows="1" w:id="551"/>
        <w:t xml:space="preserve">38</w:t>
      </w:r>
      <w:r>
        <w:t xml:space="preserve"> </w:t>
      </w:r>
      <w:r>
        <w:t xml:space="preserve">We agree.</w:t>
      </w:r>
    </w:p>
    <w:p>
      <w:pPr>
        <w:pStyle w:val="CaseBody"/>
      </w:pPr>
      <w:r>
        <w:t xml:space="preserve">The individual defendants did not waive their Section 102(b)(7) protection. “The standard for finding waiver in Delaware is quite exacting. Waiver is the voluntary and intentional relinquishment of a known right_ It implies knowledge of all material facts and intent to waive.’ Moreover, ‘the facts relied upon must be unequivocal in nature.’ ”</w:t>
      </w:r>
      <w:r>
        <w:t xml:space="preserve"> </w:t>
      </w:r>
      <w:r>
        <w:rPr>
          <w:iCs/>
          <w:i/>
        </w:rPr>
        <w:t xml:space="preserve">American Family Mortgage Corp. v. Acierno,</w:t>
      </w:r>
      <w:r>
        <w:t xml:space="preserve"> </w:t>
      </w:r>
      <w:r>
        <w:t xml:space="preserve">Del.Supr., No. 290, 1993,</w:t>
      </w:r>
      <w:r>
        <w:t xml:space="preserve"> </w:t>
      </w:r>
      <w:r>
        <w:rPr>
          <w:iCs/>
          <w:i/>
        </w:rPr>
        <w:t xml:space="preserve">slip op.</w:t>
      </w:r>
      <w:r>
        <w:t xml:space="preserve"> </w:t>
      </w:r>
      <w:r>
        <w:t xml:space="preserve">at 12,</w:t>
      </w:r>
      <w:r>
        <w:t xml:space="preserve"> </w:t>
      </w:r>
      <w:r>
        <w:t xml:space="preserve">1994 WL 144591</w:t>
      </w:r>
      <w:r>
        <w:t xml:space="preserve"> </w:t>
      </w:r>
      <w:r>
        <w:t xml:space="preserve">*5, Moore, J. (Mar. 28, 1994) (ORDER) (quoting</w:t>
      </w:r>
      <w:r>
        <w:t xml:space="preserve"> </w:t>
      </w:r>
      <w:r>
        <w:rPr>
          <w:iCs/>
          <w:i/>
        </w:rPr>
        <w:t xml:space="preserve">Realty Growth Inv. v. Council of Unit Owners,</w:t>
      </w:r>
      <w:r>
        <w:t xml:space="preserve"> </w:t>
      </w:r>
      <w:r>
        <w:t xml:space="preserve">Del.Supr.,</w:t>
      </w:r>
      <w:r>
        <w:t xml:space="preserve"> </w:t>
      </w:r>
      <w:r>
        <w:t xml:space="preserve">453 A.2d 450</w:t>
      </w:r>
      <w:r>
        <w:t xml:space="preserve">, 456 (1982)) (internal citations omitted). In the instant case, the following colloquy occurred in the Court of Chancery during argument on plaintiff’s motion for a preliminary injunction:</w:t>
      </w:r>
    </w:p>
    <w:p>
      <w:pPr>
        <w:pStyle w:val="BlockText"/>
      </w:pPr>
      <w:r>
        <w:t xml:space="preserve">MR. ZIEGLER [defense counsel]: ... [T]here are remedies available to this plaintiff if in the end, after a trial, it should turn out — if there needs to be a trial — that any of these added bits of information could be determined, in fact, to have been material and not confusing, so that the balance of equities clearly favors letting this transaction proceed to a closing.</w:t>
      </w:r>
    </w:p>
    <w:p>
      <w:pPr>
        <w:pStyle w:val="BlockText"/>
      </w:pPr>
      <w:r>
        <w:t xml:space="preserve">If the Court has no questions—</w:t>
      </w:r>
    </w:p>
    <w:p>
      <w:pPr>
        <w:pStyle w:val="BlockText"/>
      </w:pPr>
      <w:r>
        <w:t xml:space="preserve">THE COURT: Finish that thought for me. I didn’t really — if there were ... misleading disclosures, how would I remedy those if they weren’t corrected at this stage, after a trial?</w:t>
      </w:r>
    </w:p>
    <w:p>
      <w:pPr>
        <w:pStyle w:val="BlockText"/>
      </w:pPr>
      <w:r>
        <w:t xml:space="preserve">MR. ZIEGLER: Your Honor, it has — I believe this Court has fashioned remedies in such circumstances. In addition, in the</w:t>
      </w:r>
      <w:r>
        <w:t xml:space="preserve"> </w:t>
      </w:r>
      <w:r>
        <w:rPr>
          <w:iCs/>
          <w:i/>
        </w:rPr>
        <w:t xml:space="preserve">Ocean Drilling</w:t>
      </w:r>
      <w:r>
        <w:t xml:space="preserve"> </w:t>
      </w:r>
      <w:r>
        <w:t xml:space="preserve">case, the Court concluded in fact — denied an injunction in much more colorable circumstances than we have here on the ground that because it was a stock-for-stock exchange, a quasi-appraisal remedy could be fashioned. I believe the Court could attempt to determine the value of non-disclosures, so to speak, or determine a quasi-appraisal remedy.</w:t>
      </w:r>
    </w:p>
    <w:p>
      <w:pPr>
        <w:pStyle w:val="CaseBody"/>
      </w:pPr>
      <w:r>
        <w:t xml:space="preserve">(Emphasis added). Plaintiff’s interpretation of the reference to “the value of non-disclosures” hardly constitutes the unequivocal facts necessary to find a voluntary, intentional relinquishment of the protection of Section 102(b)(7). Thus, plaintiffs waiver argument lacks merit.</w:t>
      </w:r>
    </w:p>
    <w:p>
      <w:pPr>
        <w:pStyle w:val="CaseBody"/>
      </w:pPr>
      <w:r>
        <w:t xml:space="preserve">VII.</w:t>
      </w:r>
      <w:r>
        <w:t xml:space="preserve"> </w:t>
      </w:r>
      <w:r>
        <w:rPr>
          <w:iCs/>
          <w:i/>
        </w:rPr>
        <w:t xml:space="preserve">“REVLON</w:t>
      </w:r>
      <w:r>
        <w:t xml:space="preserve"> </w:t>
      </w:r>
      <w:r>
        <w:t xml:space="preserve">CLAIM”</w:t>
      </w:r>
    </w:p>
    <w:p>
      <w:pPr>
        <w:pStyle w:val="CaseBody"/>
      </w:pPr>
      <w:r>
        <w:t xml:space="preserve">Plaintiff argues that the Court of Chancery erred in holding that Revlon</w:t>
      </w:r>
      <w:r>
        <w:rPr>
          <w:rStyle w:val="FootnoteReference"/>
        </w:rPr>
        <w:footnoteReference w:customMarkFollows="1" w:id="557"/>
        <w:t xml:space="preserve">39</w:t>
      </w:r>
      <w:r>
        <w:t xml:space="preserve"> </w:t>
      </w:r>
      <w:r>
        <w:t xml:space="preserve">was not “triggered” under the facts of this case because (i) Bancorp was seeking to sell itself and (ii) the Merger constituted a change in control. He contends that the board breached its</w:t>
      </w:r>
      <w:r>
        <w:t xml:space="preserve"> </w:t>
      </w:r>
      <w:r>
        <w:rPr>
          <w:iCs/>
          <w:i/>
        </w:rPr>
        <w:t xml:space="preserve">“Revlon</w:t>
      </w:r>
      <w:r>
        <w:t xml:space="preserve"> </w:t>
      </w:r>
      <w:r>
        <w:t xml:space="preserve">duties.”</w:t>
      </w:r>
      <w:r>
        <w:rPr>
          <w:rStyle w:val="FootnoteReference"/>
        </w:rPr>
        <w:footnoteReference w:customMarkFollows="1" w:id="563"/>
        <w:t xml:space="preserve">40</w:t>
      </w:r>
      <w:r>
        <w:t xml:space="preserve"> </w:t>
      </w:r>
      <w:r>
        <w:t xml:space="preserve">Defendants contend that</w:t>
      </w:r>
      <w:r>
        <w:t xml:space="preserve"> </w:t>
      </w:r>
      <w:r>
        <w:rPr>
          <w:iCs/>
          <w:i/>
        </w:rPr>
        <w:t xml:space="preserve">Revlon</w:t>
      </w:r>
      <w:r>
        <w:t xml:space="preserve"> </w:t>
      </w:r>
      <w:r>
        <w:t xml:space="preserve">was not implicated and, even if it were, they fulfilled their duties. They further argue that, even if their conduct fell short of the requirements of</w:t>
      </w:r>
      <w:r>
        <w:t xml:space="preserve"> </w:t>
      </w:r>
      <w:r>
        <w:rPr>
          <w:iCs/>
          <w:i/>
        </w:rPr>
        <w:t xml:space="preserve">Revlon,</w:t>
      </w:r>
      <w:r>
        <w:t xml:space="preserve"> </w:t>
      </w:r>
      <w:r>
        <w:t xml:space="preserve">Bancorp stockholders ratified any improprieties by voting in favor of the Merger.</w:t>
      </w:r>
      <w:r>
        <w:rPr>
          <w:rStyle w:val="FootnoteReference"/>
        </w:rPr>
        <w:footnoteReference w:customMarkFollows="1" w:id="569"/>
        <w:t xml:space="preserve">41</w:t>
      </w:r>
      <w:r>
        <w:t xml:space="preserve"> </w:t>
      </w:r>
      <w:r>
        <w:t xml:space="preserve">The Court of Chancery held that</w:t>
      </w:r>
      <w:r>
        <w:t xml:space="preserve"> </w:t>
      </w:r>
      <w:r>
        <w:rPr>
          <w:iCs/>
          <w:i/>
        </w:rPr>
        <w:t xml:space="preserve">Revlon</w:t>
      </w:r>
      <w:r>
        <w:t xml:space="preserve"> </w:t>
      </w:r>
      <w:r>
        <w:t xml:space="preserve">was inapplicable under the facts of this case because the Merger did not involve a change in control.</w:t>
      </w:r>
      <w:r>
        <w:rPr>
          <w:rStyle w:val="FootnoteReference"/>
        </w:rPr>
        <w:footnoteReference w:customMarkFollows="1" w:id="575"/>
        <w:t xml:space="preserve">42</w:t>
      </w:r>
      <w:r>
        <w:t xml:space="preserve"> </w:t>
      </w:r>
      <w:r>
        <w:t xml:space="preserve">We agree.</w:t>
      </w:r>
      <w:r>
        <w:rPr>
          <w:rStyle w:val="FootnoteReference"/>
        </w:rPr>
        <w:footnoteReference w:customMarkFollows="1" w:id="581"/>
        <w:t xml:space="preserve">43</w:t>
      </w:r>
    </w:p>
    <w:p>
      <w:pPr>
        <w:pStyle w:val="CaseBody"/>
      </w:pPr>
      <w:r>
        <w:t xml:space="preserve">The Court need not apply enhanced scrutiny under the circumstances of this ease. The directors of a corporation “have the obligation of acting reasonably to seek the transaction offering the best value reasonably available to the stockholders,”</w:t>
      </w:r>
      <w:r>
        <w:t xml:space="preserve"> </w:t>
      </w:r>
      <w:r>
        <w:rPr>
          <w:iCs/>
          <w:i/>
        </w:rPr>
        <w:t xml:space="preserve">Paramount Communications, Inc. v. QVC Network, Inc.,</w:t>
      </w:r>
      <w:r>
        <w:t xml:space="preserve"> </w:t>
      </w:r>
      <w:r>
        <w:t xml:space="preserve">Del.Supr.,</w:t>
      </w:r>
      <w:r>
        <w:t xml:space="preserve"> </w:t>
      </w:r>
      <w:r>
        <w:t xml:space="preserve">637 A.2d 34</w:t>
      </w:r>
      <w:r>
        <w:t xml:space="preserve">, 43 (1994), in at least the following three scenarios: (1) “when a corporation initiates an active bidding process seeking to sell itself or to effect a business reorganization involving a clear break-up of the company,”</w:t>
      </w:r>
      <w:r>
        <w:t xml:space="preserve"> </w:t>
      </w:r>
      <w:r>
        <w:rPr>
          <w:iCs/>
          <w:i/>
        </w:rPr>
        <w:t xml:space="preserve">Paramount Communications, Inc. v. Time Inc.,</w:t>
      </w:r>
      <w:r>
        <w:t xml:space="preserve"> </w:t>
      </w:r>
      <w:r>
        <w:t xml:space="preserve">Del.Supr.,</w:t>
      </w:r>
      <w:r>
        <w:t xml:space="preserve"> </w:t>
      </w:r>
      <w:r>
        <w:t xml:space="preserve">571 A.2d 1140</w:t>
      </w:r>
      <w:r>
        <w:t xml:space="preserve">, 1150 (1990)</w:t>
      </w:r>
      <w:r>
        <w:t xml:space="preserve"> </w:t>
      </w:r>
      <w:r>
        <w:rPr>
          <w:iCs/>
          <w:i/>
        </w:rPr>
        <w:t xml:space="preserve">[Time-Warner];</w:t>
      </w:r>
      <w:r>
        <w:t xml:space="preserve"> </w:t>
      </w:r>
      <w:r>
        <w:t xml:space="preserve">(2) “where, in response to a bidder’s offer, a target abandons its long-term strategy and seeks an alternative transaction involving the break-up of the company,”</w:t>
      </w:r>
      <w:r>
        <w:t xml:space="preserve"> </w:t>
      </w:r>
      <w:r>
        <w:rPr>
          <w:iCs/>
          <w:i/>
        </w:rPr>
        <w:t xml:space="preserve">id;</w:t>
      </w:r>
      <w:r>
        <w:t xml:space="preserve"> </w:t>
      </w:r>
      <w:r>
        <w:t xml:space="preserve">or (3) when approval of a transaction results in a “sale or change of control,”</w:t>
      </w:r>
      <w:r>
        <w:t xml:space="preserve"> </w:t>
      </w:r>
      <w:r>
        <w:rPr>
          <w:iCs/>
          <w:i/>
        </w:rPr>
        <w:t xml:space="preserve">QVC,</w:t>
      </w:r>
      <w:r>
        <w:t xml:space="preserve"> </w:t>
      </w:r>
      <w:r>
        <w:t xml:space="preserve">637 A.2d at</w:t>
      </w:r>
      <w:r>
        <w:t xml:space="preserve"> </w:t>
      </w:r>
      <w:r>
        <w:t xml:space="preserve">42 — 43, 47. In the latter situation, there is no “sale or change in control” when “ ‘[e]ontrol of both [companies] remain[s] in a large, fluid, changeable and changing market.’ ”</w:t>
      </w:r>
      <w:r>
        <w:t xml:space="preserve"> </w:t>
      </w:r>
      <w:r>
        <w:rPr>
          <w:iCs/>
          <w:i/>
        </w:rPr>
        <w:t xml:space="preserve">Id</w:t>
      </w:r>
      <w:r>
        <w:t xml:space="preserve"> </w:t>
      </w:r>
      <w:r>
        <w:t xml:space="preserve">at 47 (citation and emphasis omitted).</w:t>
      </w:r>
      <w:r>
        <w:rPr>
          <w:rStyle w:val="FootnoteReference"/>
        </w:rPr>
        <w:footnoteReference w:customMarkFollows="1" w:id="587"/>
        <w:t xml:space="preserve">44</w:t>
      </w:r>
    </w:p>
    <w:p>
      <w:pPr>
        <w:pStyle w:val="CaseBody"/>
      </w:pPr>
      <w:r>
        <w:t xml:space="preserve">In the instant case, the events transpiring between May 28, 1992 (when the board rejected the May Proposal), and August 31, 1992 (when the board approved the Merger), and thereafter do not fit the circumstances requiring enhanced scrutiny of board action. Plaintiff emphasizes Time-Wamer’s language “seeking to sell itself’ in arguing that</w:t>
      </w:r>
      <w:r>
        <w:t xml:space="preserve"> </w:t>
      </w:r>
      <w:r>
        <w:rPr>
          <w:iCs/>
          <w:i/>
        </w:rPr>
        <w:t xml:space="preserve">Revlon</w:t>
      </w:r>
      <w:r>
        <w:t xml:space="preserve"> </w:t>
      </w:r>
      <w:r>
        <w:t xml:space="preserve">was implicated, but that argument fails because,- to fall within that category, the target must have “initiate[d] an active bidding process.”</w:t>
      </w:r>
      <w:r>
        <w:t xml:space="preserve"> </w:t>
      </w:r>
      <w:r>
        <w:rPr>
          <w:iCs/>
          <w:i/>
        </w:rPr>
        <w:t xml:space="preserve">See Time,</w:t>
      </w:r>
      <w:r>
        <w:t xml:space="preserve"> </w:t>
      </w:r>
      <w:r>
        <w:t xml:space="preserve">571 A.2d at 1150</w:t>
      </w:r>
      <w:r>
        <w:t xml:space="preserve">. He also focuses on the board’s subjective intent, a basis for enhancing director’s duties which was rejected in</w:t>
      </w:r>
      <w:r>
        <w:t xml:space="preserve"> </w:t>
      </w:r>
      <w:r>
        <w:rPr>
          <w:iCs/>
          <w:i/>
        </w:rPr>
        <w:t xml:space="preserve">Time-Wamer. See id</w:t>
      </w:r>
      <w:r>
        <w:t xml:space="preserve"> </w:t>
      </w:r>
      <w:r>
        <w:t xml:space="preserve">at 1151.</w:t>
      </w:r>
    </w:p>
    <w:p>
      <w:pPr>
        <w:pStyle w:val="CaseBody"/>
      </w:pPr>
      <w:r>
        <w:t xml:space="preserve">Alternatively, plaintiff argues that there was a “sale or change in control” of Bancorp because its former stockholders are now relegated to minority status in BoB, losing their opportunity to enjoy a control premium. As a continuing BoB stockholder, plaintiffs opportunity to receive a control premium is not foreclosed.</w:t>
      </w:r>
      <w:r>
        <w:rPr>
          <w:rStyle w:val="FootnoteReference"/>
        </w:rPr>
        <w:footnoteReference w:customMarkFollows="1" w:id="593"/>
        <w:t xml:space="preserve">45</w:t>
      </w:r>
      <w:r>
        <w:t xml:space="preserve"> </w:t>
      </w:r>
      <w:r>
        <w:t xml:space="preserve">Thus, plaintiffs claim that enhanced scrutiny is required under the circumstances of this case lacks merit and the Court of Chancery did not err in so holding.</w:t>
      </w:r>
    </w:p>
    <w:p>
      <w:pPr>
        <w:pStyle w:val="CaseBody"/>
      </w:pPr>
      <w:r>
        <w:t xml:space="preserve">VIII. CONCLUSION</w:t>
      </w:r>
    </w:p>
    <w:p>
      <w:pPr>
        <w:pStyle w:val="CaseBody"/>
      </w:pPr>
      <w:r>
        <w:t xml:space="preserve">We hold that the Court of Chancery erred in rejecting plaintiffs claim that an appropriately explained reference to the FAC bid in the context of the historic disclosures made in the proxy statement was required. We do not reach plaintiffs claim that the contingent FAC bid was material and had to be disclosed regardless of the partial disclosures in the proxy statement. We affirm the Court of Chancery in all other respects.</w:t>
      </w:r>
    </w:p>
    <w:p>
      <w:pPr>
        <w:pStyle w:val="CaseBody"/>
      </w:pPr>
      <w:r>
        <w:t xml:space="preserve">We further hold that Article XIII of Ban-corp’s certificate of incorporation shields the individual defendants from liability, and that the liability shield was not waived. Finally, we hold that the circumstances of this case do not require heightened scrutiny of the board’s approval of the Merger and thus plaintiffs claim premised on a contrary argument lacks merit.</w:t>
      </w:r>
    </w:p>
    <w:p>
      <w:pPr>
        <w:pStyle w:val="CaseBody"/>
      </w:pPr>
      <w:r>
        <w:t xml:space="preserve">We therefore REVERSE the judgment of the Court of Chancery dismissing the action based on its grant of summary judgment to defendants, and denial of plaintiffs cross-motion for partial summary judgment solely as to the FAC nondisclosure claim based on the partial disclosure theory. Accordingly, we REMAND that claim and plaintiffs aiding and abetting claim against BoB to the Court of Chancery for proceedings consistent with this opinion. We AFFIRM in all other respects the denial of plaintiffs cross-motion for partial summary judgment. We also AFFIRM the grant of summary judgment by the Court of Chancery to defendants as to plaintiffs second, third, and fourth disclosure claims, and his</w:t>
      </w:r>
      <w:r>
        <w:t xml:space="preserve"> </w:t>
      </w:r>
      <w:r>
        <w:rPr>
          <w:iCs/>
          <w:i/>
        </w:rPr>
        <w:t xml:space="preserve">“Revlon</w:t>
      </w:r>
      <w:r>
        <w:t xml:space="preserve"> </w:t>
      </w:r>
      <w:r>
        <w:t xml:space="preserve">claim.”</w:t>
      </w:r>
    </w:p>
    <w:p>
      <w:pPr>
        <w:pStyle w:val="CaseBody"/>
      </w:pPr>
      <w:r>
        <w:t xml:space="preserve">With regard to the issue or issues before the Court of Chancery on remand, we decide only that there is no liability as to any individual defendant. We do not decide whether or not there is any remedy as to any corporate defendant. We leave it to the Court of Chancery to determine whether or not any such remedy is appropriate and, if so, to fashion such a remedy. Jurisdiction in this Court is not reserved.</w:t>
      </w:r>
    </w:p>
    <w:bookmarkStart w:id="130" w:name="_auto_toc_130"/>
    <w:bookmarkEnd w:id="130"/>
    <w:p>
      <w:pPr>
        <w:pStyle w:val="ResourceNumber"/>
      </w:pPr>
      <w:r>
        <w:t xml:space="preserve">10.2.6</w:t>
      </w:r>
    </w:p>
    <w:p>
      <w:pPr>
        <w:pStyle w:val="ResourceTitle"/>
      </w:pPr>
      <w:r>
        <w:t xml:space="preserve">Paramount Communications, Inc. v. QVC Network, Inc.</w:t>
      </w:r>
    </w:p>
    <w:p>
      <w:pPr>
        <w:pStyle w:val="HeadFieldSeparator"/>
      </w:pPr>
      <w:r>
        <w:t xml:space="preserve"> </w:t>
      </w:r>
    </w:p>
    <w:p>
      <w:pPr>
        <w:pStyle w:val="ResourceHeadnote"/>
      </w:pPr>
      <w:r>
        <w:t xml:space="preserve">The court in QVC returns to the question of application of the intermediate standard under Revlon. Ultimately, QVC will become a very important case in the development and application of the Revlon standard. In QVC, the court makes it clear that Revlon is not about a new standard of review but rather, akin to Unocal, it is an inquiry into the motive and means of the board.</w:t>
      </w:r>
    </w:p>
    <w:p>
      <w:pPr>
        <w:pStyle w:val="ResourceHeadnote"/>
      </w:pPr>
      <w:r>
        <w:t xml:space="preserve">If the board's motive is impaired by conflicts of interest, or if the board's means in defending its decision merge with a preferred party are draconian, the court will apply the entire fairness standard to a review of that decision. If not, then the a board's decision to engage in a sale of control transaction will get the presumption of business judgment, even if that decision is not perfect or, in hindsight, appears unwise.</w:t>
      </w:r>
    </w:p>
    <w:p>
      <w:pPr>
        <w:pStyle w:val="HeadEnd"/>
      </w:pPr>
      <w:r>
        <w:t xml:space="preserve"> </w:t>
      </w:r>
    </w:p>
    <w:p>
      <w:pPr>
        <w:pStyle w:val="CaseHeader"/>
      </w:pPr>
      <w:r>
        <w:t xml:space="preserve">Delaware Supreme Court</w:t>
      </w:r>
    </w:p>
    <w:p>
      <w:pPr>
        <w:pStyle w:val="CaseHeader"/>
      </w:pPr>
      <w:r>
        <w:t xml:space="preserve">637 A.2d 34</w:t>
      </w:r>
    </w:p>
    <w:p>
      <w:pPr>
        <w:pStyle w:val="CaseHeader"/>
      </w:pPr>
      <w:r>
        <w:t xml:space="preserve">1993-12-09</w:t>
      </w:r>
    </w:p>
    <w:p>
      <w:pPr>
        <w:pStyle w:val="CaseBody"/>
      </w:pPr>
      <w:r>
        <w:t xml:space="preserve">637 A.2d 34 (1994)</w:t>
      </w:r>
    </w:p>
    <w:p>
      <w:pPr>
        <w:pStyle w:val="CaseHeader"/>
      </w:pPr>
      <w:r>
        <w:t xml:space="preserve">PARAMOUNT COMMUNICATIONS INC.</w:t>
      </w:r>
      <w:r>
        <w:rPr>
          <w:rStyle w:val="ReplacementText"/>
        </w:rPr>
        <w:t xml:space="preserve"> </w:t>
      </w:r>
      <w:r>
        <w:rPr>
          <w:rStyle w:val="ReplacementText"/>
        </w:rPr>
        <w:t xml:space="preserve">v. QVC</w:t>
      </w:r>
    </w:p>
    <w:bookmarkStart w:id="304" w:name="veasey-chief-justice."/>
    <w:p>
      <w:pPr>
        <w:pStyle w:val="Heading2"/>
      </w:pPr>
      <w:r>
        <w:t xml:space="preserve">VEASEY, Chief Justice.</w:t>
      </w:r>
    </w:p>
    <w:p>
      <w:pPr>
        <w:pStyle w:val="CaseBody"/>
      </w:pPr>
      <w:r>
        <w:t xml:space="preserve">In this appeal we review an order of the Court of Chancery dated November 24, 1993 (the "November 24 Order"), preliminarily enjoining certain defensive measures designed to facilitate a so-called strategic alliance between Viacom Inc. ("Viacom") and Paramount Communications Inc. ("Paramount") approved by the board of directors of Paramount (the "Paramount Board" or the "Paramount directors") and to thwart an unsolicited, more valuable, tender offer by QVC Network Inc. ("QVC"). In affirming, we hold that the sale of control in this case, which is at the heart of the proposed strategic alliance, implicates enhanced judicial scrutiny of the conduct of the Paramount Board under</w:t>
      </w:r>
      <w:r>
        <w:t xml:space="preserve"> </w:t>
      </w:r>
      <w:r>
        <w:rPr>
          <w:iCs/>
          <w:i/>
        </w:rPr>
        <w:t xml:space="preserve">Unocal Corp. v. Mesa Petroleum Co.,</w:t>
      </w:r>
      <w:r>
        <w:t xml:space="preserve"> </w:t>
      </w:r>
      <w:r>
        <w:t xml:space="preserve">Del. Supr., 493 A.2d 946 (1985), and</w:t>
      </w:r>
      <w:r>
        <w:t xml:space="preserve"> </w:t>
      </w:r>
      <w:r>
        <w:rPr>
          <w:iCs/>
          <w:i/>
        </w:rPr>
        <w:t xml:space="preserve">Revlon, Inc. v. MacAndrews &amp; Forbes Holdings, Inc.,</w:t>
      </w:r>
      <w:r>
        <w:t xml:space="preserve"> </w:t>
      </w:r>
      <w:r>
        <w:t xml:space="preserve">Del.Supr., 506 A.2d 173 (1986). We further hold that the conduct of the Paramount Board was not reasonable as to process or result.</w:t>
      </w:r>
    </w:p>
    <w:p>
      <w:pPr>
        <w:pStyle w:val="CaseBody"/>
      </w:pPr>
      <w:r>
        <w:rPr>
          <w:rStyle w:val="Elision"/>
        </w:rPr>
        <w:t xml:space="preserve">[ … ]</w:t>
      </w:r>
    </w:p>
    <w:bookmarkEnd w:id="304"/>
    <w:bookmarkStart w:id="305" w:name="i.-facts-2"/>
    <w:p>
      <w:pPr>
        <w:pStyle w:val="Heading2"/>
      </w:pPr>
      <w:r>
        <w:t xml:space="preserve">I. FACTS</w:t>
      </w:r>
    </w:p>
    <w:p>
      <w:pPr>
        <w:pStyle w:val="CaseBody"/>
      </w:pPr>
      <w:r>
        <w:rPr>
          <w:rStyle w:val="Elision"/>
        </w:rPr>
        <w:t xml:space="preserve">[ … ]</w:t>
      </w:r>
    </w:p>
    <w:p>
      <w:pPr>
        <w:pStyle w:val="CaseBody"/>
      </w:pPr>
      <w:r>
        <w:t xml:space="preserve">Paramount is a Delaware corporation with its principal offices in New York City. Approximately 118 million shares of Paramount's common stock are outstanding and traded on the New York Stock Exchange. The majority of Paramount's stock is publicly held by numerous unaffiliated investors. Paramount owns and operates a diverse group of entertainment businesses, including motion picture and television studios, book publishers, professional sports teams, and amusement parks.</w:t>
      </w:r>
    </w:p>
    <w:p>
      <w:pPr>
        <w:pStyle w:val="CaseBody"/>
      </w:pPr>
      <w:r>
        <w:rPr>
          <w:rStyle w:val="Elision"/>
        </w:rPr>
        <w:t xml:space="preserve">[ … ]</w:t>
      </w:r>
    </w:p>
    <w:p>
      <w:pPr>
        <w:pStyle w:val="CaseBody"/>
      </w:pPr>
      <w:r>
        <w:t xml:space="preserve">Viacom is a Delaware corporation with its headquarters in Massachusetts. Viacom is controlled by Sumner M. Redstone ("Red-stone"), its Chairman and Chief Executive Officer, who owns indirectly approximately 85.2 percent of Viacom's voting Class A stock and approximately 69.2 percent of Viacom's nonvoting Class B stock through National Amusements, Inc. ("NAI"), an entity 91.7 percent owned by Redstone.</w:t>
      </w:r>
      <w:r>
        <w:t xml:space="preserve"> </w:t>
      </w:r>
      <w:r>
        <w:rPr>
          <w:rStyle w:val="Elision"/>
        </w:rPr>
        <w:t xml:space="preserve">[ … ]</w:t>
      </w:r>
    </w:p>
    <w:p>
      <w:pPr>
        <w:pStyle w:val="CaseBody"/>
      </w:pPr>
      <w:r>
        <w:t xml:space="preserve">QVC is a Delaware corporation with its headquarters in West Chester, Pennsylvania. QVC has several large stockholders, including Liberty Media Corporation, Comcast Corporation, Advance Publications, Inc., and Cox Enterprises Inc. Barry Diller ("Diller"), the Chairman and Chief Executive Officer of QVC, is also a substantial stockholder.</w:t>
      </w:r>
      <w:r>
        <w:t xml:space="preserve"> </w:t>
      </w:r>
      <w:r>
        <w:rPr>
          <w:rStyle w:val="Elision"/>
        </w:rPr>
        <w:t xml:space="preserve">[ … ]</w:t>
      </w:r>
    </w:p>
    <w:p>
      <w:pPr>
        <w:pStyle w:val="CaseBody"/>
      </w:pPr>
      <w:r>
        <w:t xml:space="preserve">Beginning in the late 1980s, Paramount investigated the possibility of acquiring or merging with other companies in the entertainment, media, or communications industry. Paramount considered such transactions to be desirable, and perhaps necessary, in order to keep pace with competitors in the rapidly evolving field of entertainment and communications. Consistent with its goal of strategic expansion, Paramount made a tender offer for Time Inc. in 1989, but was ultimately unsuccessful.</w:t>
      </w:r>
      <w:r>
        <w:t xml:space="preserve"> </w:t>
      </w:r>
      <w:r>
        <w:rPr>
          <w:iCs/>
          <w:i/>
        </w:rPr>
        <w:t xml:space="preserve">See</w:t>
      </w:r>
      <w:r>
        <w:t xml:space="preserve"> </w:t>
      </w:r>
      <w:r>
        <w:rPr>
          <w:iCs/>
          <w:i/>
        </w:rPr>
        <w:t xml:space="preserve">Paramount Communications, Inc. v. Time Inc.,</w:t>
      </w:r>
      <w:r>
        <w:t xml:space="preserve"> </w:t>
      </w:r>
      <w:r>
        <w:t xml:space="preserve">Del. Supr., 571 A.2d 1140 (1990) ("</w:t>
      </w:r>
      <w:r>
        <w:rPr>
          <w:iCs/>
          <w:i/>
        </w:rPr>
        <w:t xml:space="preserve">Time-Warner</w:t>
      </w:r>
      <w:r>
        <w:t xml:space="preserve">").</w:t>
      </w:r>
    </w:p>
    <w:p>
      <w:pPr>
        <w:pStyle w:val="CaseBody"/>
      </w:pPr>
      <w:r>
        <w:t xml:space="preserve">Although Paramount had considered a possible combination of Paramount and Viacom as early as 1990, recent efforts to explore such a transaction began at a dinner meeting between Redstone and Davis on April 20, 1993.</w:t>
      </w:r>
      <w:r>
        <w:t xml:space="preserve"> </w:t>
      </w:r>
      <w:r>
        <w:rPr>
          <w:rStyle w:val="Elision"/>
        </w:rPr>
        <w:t xml:space="preserve">[ … ]</w:t>
      </w:r>
    </w:p>
    <w:p>
      <w:pPr>
        <w:pStyle w:val="CaseBody"/>
      </w:pPr>
      <w:r>
        <w:t xml:space="preserve">It was tentatively agreed that Davis would be the chief executive officer and Redstone would be the controlling stockholder of the combined company, but the parties could not reach agreement on the merger price and the terms of a stock option to be granted to Viacom. With respect to price, Viacom offered a package of cash and stock (primarily Viacom Class B nonvoting stock) with a market value of approximately $61 per share, but Paramount wanted at least $70 per share.</w:t>
      </w:r>
    </w:p>
    <w:p>
      <w:pPr>
        <w:pStyle w:val="CaseBody"/>
      </w:pPr>
      <w:r>
        <w:t xml:space="preserve">Shortly after negotiations broke down in July 1993, two notable events occurred. First, Davis apparently learned of QVC's potential interest in Paramount, and told Diller over lunch on July 21, 1993, that Paramount was not for sale. Second, the market value of Viacom's Class B nonvoting stock increased from $46.875 on July 6 to $57.25 on August 20. QVC claims (and Viacom disputes) that this price increase was caused by open market purchases of such stock by Redstone or entities controlled by him.</w:t>
      </w:r>
    </w:p>
    <w:p>
      <w:pPr>
        <w:pStyle w:val="CaseBody"/>
      </w:pPr>
      <w:r>
        <w:t xml:space="preserve">[39] On August 20, 1993, discussions between Paramount and Viacom resumed when Greenhill arranged another meeting between Davis and Redstone. After a short hiatus, the parties negotiated in earnest in early September, and performed due diligence with the assistance of their financial advisors, Lazard Freres &amp; Co. ("Lazard") for Paramount and Smith Barney for Viacom. On September 9, 1993, the Paramount Board was informed about the status of the negotiations and was provided information by Lazard, including an analysis of the proposed transaction.</w:t>
      </w:r>
    </w:p>
    <w:p>
      <w:pPr>
        <w:pStyle w:val="CaseBody"/>
      </w:pPr>
      <w:r>
        <w:t xml:space="preserve">On September 12, 1993, the Paramount Board met again and unanimously approved the Original Merger Agreement whereby Paramount would merge with and into Viacom. The terms of the merger provided that each share of Paramount common stock would be converted into 0.10 shares of Viacom Class A voting stock, 0.90 shares of Viacom Class B nonvoting stock, and $9.10 in cash. In addition, the Paramount Board agreed to amend its "poison pill" Rights Agreement to exempt the proposed merger with Viacom. The Original Merger Agreement also contained several provisions designed to make it more difficult for a potential competing bid to succeed. We focus, as did the Court of Chancery, on three of these defensive provisions: a "no-shop" provision (the "No-Shop Provision"), the Termination Fee, and the Stock Option Agreement.</w:t>
      </w:r>
    </w:p>
    <w:p>
      <w:pPr>
        <w:pStyle w:val="CaseBody"/>
      </w:pPr>
      <w:r>
        <w:t xml:space="preserve">First, under the No-Shop Provision, the Paramount Board agreed that Paramount would not solicit, encourage, discuss, negotiate, or endorse any competing transaction unless: (a) a third party "makes an unsolicited written, bona fide proposal, which is not subject to any material contingencies relating to financing"; and (b) the Paramount Board determines that discussions or negotiations with the third party are necessary for the Paramount Board to comply with its fiduciary duties.</w:t>
      </w:r>
    </w:p>
    <w:p>
      <w:pPr>
        <w:pStyle w:val="CaseBody"/>
      </w:pPr>
      <w:r>
        <w:t xml:space="preserve">Second, under the Termination Fee provision, Viacom would receive a $100 million termination fee if: (a) Paramount terminated the Original Merger Agreement because of a competing transaction; (b) Paramount's stockholders did not approve the merger; or (c) the Paramount Board recommended a competing transaction.</w:t>
      </w:r>
    </w:p>
    <w:p>
      <w:pPr>
        <w:pStyle w:val="CaseBody"/>
      </w:pPr>
      <w:r>
        <w:t xml:space="preserve">The third and most significant deterrent device was the Stock Option Agreement, which granted to Viacom an option to purchase approximately 19.9 percent (23,699,000 shares) of Paramount's outstanding common stock at $69.14 per share if any of the triggering events for the Termination Fee occurred. In addition to the customary terms that are normally associated with a stock option, the Stock Option Agreement contained two provisions that were both unusual and highly beneficial to Viacom: (a) Viacom was permitted to pay for the shares with a senior subordinated note of questionable marketability instead of cash, thereby avoiding the need to raise the $1.6 billion purchase price (the "Note Feature"); and (b) Viacom could elect to require Paramount to pay Viacom in cash a sum equal to the difference between the purchase price and the market price of Paramount's stock (the "Put Feature"). Because the Stock Option Agreement was not "capped" to limit its maximum dollar value, it had the potential to reach (and in this case did reach) unreasonable levels.</w:t>
      </w:r>
    </w:p>
    <w:p>
      <w:pPr>
        <w:pStyle w:val="CaseBody"/>
      </w:pPr>
      <w:r>
        <w:t xml:space="preserve">After the execution of the Original Merger Agreement and the Stock Option Agreement on September 12, 1993, Paramount and Viacom announced their proposed merger. In a number of public statements, the parties indicated that the pending transaction was a virtual certainty. Redstone described it as a "marriage" that would "never be torn asunder" and stated that only a "nuclear attack" could break the deal. Redstone also called Diller and John Malone of Tele-Communications Inc., a major stockholder of QVC, to dissuade them from making a competing bid.</w:t>
      </w:r>
    </w:p>
    <w:p>
      <w:pPr>
        <w:pStyle w:val="CaseBody"/>
      </w:pPr>
      <w:r>
        <w:t xml:space="preserve">Despite these attempts to discourage a competing bid, Diller sent a letter to Davis on September 20, 1993, proposing a merger in which QVC would acquire Paramount for approximately $80 per share, consisting of 0.893 shares of QVC common stock and $30 in cash.</w:t>
      </w:r>
      <w:r>
        <w:t xml:space="preserve"> </w:t>
      </w:r>
      <w:r>
        <w:rPr>
          <w:rStyle w:val="Elision"/>
        </w:rPr>
        <w:t xml:space="preserve">[ … ]</w:t>
      </w:r>
    </w:p>
    <w:p>
      <w:pPr>
        <w:pStyle w:val="CaseBody"/>
      </w:pPr>
      <w:r>
        <w:t xml:space="preserve">On October 21, 1993, QVC filed this action and publicly announced an $80 cash tender offer for 51 percent of Paramount's outstanding shares (the "QVC tender offer"). Each remaining share of Paramount common stock would be converted into 1.42857 shares of QVC common stock in a second-step merger. The tender offer was conditioned on, among other things, the invalidation of the Stock Option Agreement, which was worth over $200 million by that point.</w:t>
      </w:r>
      <w:hyperlink w:anchor="Xb3d4c0cae0ad9153a272602cc75e497eafe2fcd">
        <w:r>
          <w:rPr>
            <w:rStyle w:val="Hyperlink"/>
            <w:vertAlign w:val="superscript"/>
          </w:rPr>
          <w:t xml:space="preserve">[5]</w:t>
        </w:r>
      </w:hyperlink>
      <w:r>
        <w:t xml:space="preserve"> </w:t>
      </w:r>
      <w:r>
        <w:t xml:space="preserve">QVC contends that it had to commence a tender offer because of the slow pace of the merger discussions and the need to begin seeking clearance under federal antitrust laws.</w:t>
      </w:r>
    </w:p>
    <w:p>
      <w:pPr>
        <w:pStyle w:val="CaseBody"/>
      </w:pPr>
      <w:r>
        <w:t xml:space="preserve">Confronted by QVC's hostile bid, which on its face offered over $10 per share more than the consideration provided by the Original Merger Agreement, Viacom realized that it would need to raise its bid in order to remain competitive. Within hours after QVC's tender offer was announced, Viacom entered into discussions with Paramount concerning a revised transaction. These discussions led to serious negotiations concerning a comprehensive amendment to the original Paramount-Viacom transaction. In effect, the opportunity for a "new deal" with Viacom was at hand for the Paramount Board. With the QVC hostile bid offering greater value to the Paramount stockholders, the Paramount Board had considerable leverage with Viacom.</w:t>
      </w:r>
    </w:p>
    <w:p>
      <w:pPr>
        <w:pStyle w:val="CaseBody"/>
      </w:pPr>
      <w:r>
        <w:t xml:space="preserve">At a special meeting on October 24, 1993, the Paramount Board approved the Amended Merger Agreement and an amendment to the Stock Option Agreement. The Amended Merger Agreement was, however, essentially the same as the Original Merger Agreement, except that it included a few new provisions. One provision related to an $80 per share cash tender offer by Viacom for 51 percent of Paramount's stock, and another changed the merger consideration so that each share of Paramount would be converted into 0.20408 shares of Viacom Class A voting stock, 1.08317 shares of Viacom Class B nonvoting stock, and 0.20408 shares of a new series of Viacom convertible preferred stock. The Amended Merger Agreement also added a provision giving Paramount the right not to amend its Rights Agreement to exempt Viacom if the Paramount Board determined that such an amendment would be inconsistent with its fiduciary duties because another offer constituted a "better alternative."</w:t>
      </w:r>
      <w:hyperlink w:anchor="X152dfe38e6dee9810cb2f8b879d6d28166983df">
        <w:r>
          <w:rPr>
            <w:rStyle w:val="Hyperlink"/>
            <w:vertAlign w:val="superscript"/>
          </w:rPr>
          <w:t xml:space="preserve">[6]</w:t>
        </w:r>
      </w:hyperlink>
      <w:r>
        <w:t xml:space="preserve"> </w:t>
      </w:r>
      <w:r>
        <w:t xml:space="preserve">Finally, the Paramount Board was given the power to terminate the Amended Merger Agreement if it withdrew its recommendation of the Viacom transaction or recommended a competing transaction.</w:t>
      </w:r>
    </w:p>
    <w:p>
      <w:pPr>
        <w:pStyle w:val="CaseBody"/>
      </w:pPr>
      <w:r>
        <w:t xml:space="preserve">Although the Amended Merger Agreement offered more consideration to the Paramount stockholders and somewhat more flexibility to the Paramount Board than did the Original Merger Agreement, the defensive measures designed to make a competing bid more difficult were not removed or modified. [41] In particular, there is no evidence in the record that Paramount sought to use its newly-acquired leverage to eliminate or modify the No-Shop Provision, the Termination Fee, or the Stock Option Agreement when the subject of amending the Original Merger Agreement was on the table.</w:t>
      </w:r>
    </w:p>
    <w:p>
      <w:pPr>
        <w:pStyle w:val="CaseBody"/>
      </w:pPr>
      <w:r>
        <w:rPr>
          <w:rStyle w:val="Elision"/>
        </w:rPr>
        <w:t xml:space="preserve">[ … ]</w:t>
      </w:r>
    </w:p>
    <w:p>
      <w:pPr>
        <w:pStyle w:val="CaseBody"/>
      </w:pPr>
      <w:r>
        <w:t xml:space="preserve">On November 6, 1993, Viacom unilaterally raised its tender offer price to $85 per share in cash and offered a comparable increase in the value of the securities being proposed in the second-step merger.</w:t>
      </w:r>
      <w:r>
        <w:t xml:space="preserve"> </w:t>
      </w:r>
      <w:r>
        <w:rPr>
          <w:rStyle w:val="Elision"/>
        </w:rPr>
        <w:t xml:space="preserve">[ … ]</w:t>
      </w:r>
    </w:p>
    <w:p>
      <w:pPr>
        <w:pStyle w:val="CaseBody"/>
      </w:pPr>
      <w:r>
        <w:t xml:space="preserve">QVC responded to Viacom's higher bid on November 12 by increasing its tender offer to $90 per share and by increasing the securities for its second-step merger by a similar amount.</w:t>
      </w:r>
      <w:r>
        <w:t xml:space="preserve"> </w:t>
      </w:r>
      <w:r>
        <w:rPr>
          <w:rStyle w:val="Elision"/>
        </w:rPr>
        <w:t xml:space="preserve">[ … ]</w:t>
      </w:r>
    </w:p>
    <w:p>
      <w:pPr>
        <w:pStyle w:val="CaseBody"/>
      </w:pPr>
      <w:r>
        <w:t xml:space="preserve">At its meeting on November 15, 1993, the Paramount Board determined that the new QVC offer was not in the best interests of the stockholders. The purported basis for this conclusion was that QVC's bid was excessively conditional. The Paramount Board did not communicate with QVC regarding the status of the conditions because it believed that the No-Shop Provision prevented such communication in the absence of firm financing. Several Paramount directors also testified that they believed the Viacom transaction would be more advantageous to Paramount's future business prospects than a QVC transaction.</w:t>
      </w:r>
      <w:hyperlink w:anchor="Xfeaf48b651d91f3a2fe3803c2177c849a25e9d5">
        <w:r>
          <w:rPr>
            <w:rStyle w:val="Hyperlink"/>
            <w:vertAlign w:val="superscript"/>
          </w:rPr>
          <w:t xml:space="preserve">[7]</w:t>
        </w:r>
      </w:hyperlink>
      <w:r>
        <w:t xml:space="preserve"> </w:t>
      </w:r>
      <w:r>
        <w:t xml:space="preserve">Although a number of materials were distributed to the Paramount Board describing the Viacom and QVC transactions, the only quantitative analysis of the consideration to be received by the stockholders under each proposal was based on then-current market prices of the securities involved, not on the anticipated value of such securities at the time when the stockholders would receive them.</w:t>
      </w:r>
      <w:hyperlink w:anchor="Xd9001f0c429ecb36356712012137eb7edfa8fe5">
        <w:r>
          <w:rPr>
            <w:rStyle w:val="Hyperlink"/>
            <w:vertAlign w:val="superscript"/>
          </w:rPr>
          <w:t xml:space="preserve">[8]</w:t>
        </w:r>
      </w:hyperlink>
    </w:p>
    <w:p>
      <w:pPr>
        <w:pStyle w:val="CaseBody"/>
      </w:pPr>
      <w:r>
        <w:t xml:space="preserve">The preliminary injunction hearing in this case took place on November 16, 1993. On November 19, Diller wrote to the Paramount Board to inform it that QVC had obtained financing commitments for its tender offer and that there was no antitrust obstacle to the offer.</w:t>
      </w:r>
      <w:r>
        <w:t xml:space="preserve"> </w:t>
      </w:r>
      <w:r>
        <w:rPr>
          <w:rStyle w:val="Elision"/>
        </w:rPr>
        <w:t xml:space="preserve">[ … ]</w:t>
      </w:r>
    </w:p>
    <w:bookmarkEnd w:id="305"/>
    <w:bookmarkStart w:id="306" w:name="X8e369bb63013d3512a3a48a20464dd6401ca73e"/>
    <w:p>
      <w:pPr>
        <w:pStyle w:val="Heading2"/>
      </w:pPr>
      <w:r>
        <w:t xml:space="preserve">II. APPLICABLE PRINCIPLES OF ESTABLISHED DELAWARE LAW</w:t>
      </w:r>
    </w:p>
    <w:p>
      <w:pPr>
        <w:pStyle w:val="CaseBody"/>
      </w:pPr>
      <w:r>
        <w:t xml:space="preserve">The General Corporation Law of the State of Delaware (the "General Corporation Law") and the decisions of this Court have repeatedly recognized the fundamental principle that the management of the business and affairs of a Delaware corporation is entrusted to its directors, who are the duly elected and authorized representatives of the [42] stockholders. 8</w:t>
      </w:r>
      <w:r>
        <w:t xml:space="preserve"> </w:t>
      </w:r>
      <w:r>
        <w:rPr>
          <w:iCs/>
          <w:i/>
        </w:rPr>
        <w:t xml:space="preserve">Del.C.</w:t>
      </w:r>
      <w:r>
        <w:t xml:space="preserve"> </w:t>
      </w:r>
      <w:r>
        <w:t xml:space="preserve">§ 141(a);</w:t>
      </w:r>
      <w:r>
        <w:t xml:space="preserve"> </w:t>
      </w:r>
      <w:r>
        <w:rPr>
          <w:iCs/>
          <w:i/>
        </w:rPr>
        <w:t xml:space="preserve">Aronson v. Lewis,</w:t>
      </w:r>
      <w:r>
        <w:t xml:space="preserve"> </w:t>
      </w:r>
      <w:r>
        <w:t xml:space="preserve">Del.Supr., 473 A.2d 805, 811-12 (1984);</w:t>
      </w:r>
      <w:r>
        <w:t xml:space="preserve"> </w:t>
      </w:r>
      <w:r>
        <w:rPr>
          <w:iCs/>
          <w:i/>
        </w:rPr>
        <w:t xml:space="preserve">Pogostin v. Rice,</w:t>
      </w:r>
      <w:r>
        <w:t xml:space="preserve"> </w:t>
      </w:r>
      <w:r>
        <w:t xml:space="preserve">Del.Supr., 480 A.2d 619, 624 (1984). Under normal circumstances, neither the courts nor the stockholders should interfere with the managerial decisions of the directors. The business judgment rule embodies the deference to which such decisions are entitled.</w:t>
      </w:r>
      <w:r>
        <w:t xml:space="preserve"> </w:t>
      </w:r>
      <w:r>
        <w:rPr>
          <w:rStyle w:val="Elision"/>
        </w:rPr>
        <w:t xml:space="preserve">[ … ]</w:t>
      </w:r>
    </w:p>
    <w:p>
      <w:pPr>
        <w:pStyle w:val="CaseBody"/>
      </w:pPr>
      <w:r>
        <w:t xml:space="preserve">Nevertheless, there are rare situations which mandate that a court take a more direct and active role in overseeing the decisions made and actions taken by directors. In these situations, a court subjects the directors' conduct to enhanced scrutiny to ensure that it is reasonable.</w:t>
      </w:r>
      <w:hyperlink w:anchor="X5b9736af88fa18206467b9e4f09436200e4eb2f">
        <w:r>
          <w:rPr>
            <w:rStyle w:val="Hyperlink"/>
            <w:vertAlign w:val="superscript"/>
          </w:rPr>
          <w:t xml:space="preserve">[9]</w:t>
        </w:r>
      </w:hyperlink>
      <w:r>
        <w:t xml:space="preserve"> </w:t>
      </w:r>
      <w:r>
        <w:t xml:space="preserve">The decisions of this Court have clearly established the circumstances where such enhanced scrutiny will be applied.</w:t>
      </w:r>
      <w:r>
        <w:t xml:space="preserve"> </w:t>
      </w:r>
      <w:r>
        <w:rPr>
          <w:iCs/>
          <w:i/>
        </w:rPr>
        <w:t xml:space="preserve">E.g.,</w:t>
      </w:r>
      <w:r>
        <w:t xml:space="preserve"> </w:t>
      </w:r>
      <w:r>
        <w:rPr>
          <w:iCs/>
          <w:i/>
        </w:rPr>
        <w:t xml:space="preserve">Unocal,</w:t>
      </w:r>
      <w:r>
        <w:t xml:space="preserve"> </w:t>
      </w:r>
      <w:r>
        <w:t xml:space="preserve">493 A.2d 946;</w:t>
      </w:r>
      <w:r>
        <w:t xml:space="preserve"> </w:t>
      </w:r>
      <w:r>
        <w:rPr>
          <w:iCs/>
          <w:i/>
        </w:rPr>
        <w:t xml:space="preserve">Moran v. Household Int'l, Inc.,</w:t>
      </w:r>
      <w:r>
        <w:t xml:space="preserve"> </w:t>
      </w:r>
      <w:r>
        <w:t xml:space="preserve">Del.Supr., 500 A.2d 1346 (1985);</w:t>
      </w:r>
      <w:r>
        <w:t xml:space="preserve"> </w:t>
      </w:r>
      <w:r>
        <w:rPr>
          <w:iCs/>
          <w:i/>
        </w:rPr>
        <w:t xml:space="preserve">Revlon,</w:t>
      </w:r>
      <w:r>
        <w:t xml:space="preserve"> </w:t>
      </w:r>
      <w:r>
        <w:t xml:space="preserve">506 A.2d 173;</w:t>
      </w:r>
      <w:r>
        <w:t xml:space="preserve"> </w:t>
      </w:r>
      <w:r>
        <w:rPr>
          <w:iCs/>
          <w:i/>
        </w:rPr>
        <w:t xml:space="preserve">Mills Acquisition Co. v. Macmillan, Inc.,</w:t>
      </w:r>
      <w:r>
        <w:t xml:space="preserve"> </w:t>
      </w:r>
      <w:r>
        <w:t xml:space="preserve">Del.Supr., 559 A.2d 1261 (1989);</w:t>
      </w:r>
      <w:r>
        <w:t xml:space="preserve"> </w:t>
      </w:r>
      <w:r>
        <w:rPr>
          <w:iCs/>
          <w:i/>
        </w:rPr>
        <w:t xml:space="preserve">Gilbert v. El Paso Co.,</w:t>
      </w:r>
      <w:r>
        <w:t xml:space="preserve"> </w:t>
      </w:r>
      <w:r>
        <w:t xml:space="preserve">Del.Supr., 575 A.2d 1131 (1990). The case at bar implicates two such circumstances: (1) the approval of a transaction resulting in a sale of control, and (2) the adoption of defensive measures in response to a threat to corporate control.</w:t>
      </w:r>
    </w:p>
    <w:bookmarkEnd w:id="306"/>
    <w:bookmarkStart w:id="307" w:name="Xd3506013b5059047f272212a210f2f3ca395572"/>
    <w:p>
      <w:pPr>
        <w:pStyle w:val="Heading2"/>
      </w:pPr>
      <w:r>
        <w:t xml:space="preserve">A. The Significance of a Sale or Change</w:t>
      </w:r>
      <w:hyperlink w:anchor="X9bffb58bf004b1d08f4e78538c5b0cb8c63f43c">
        <w:r>
          <w:rPr>
            <w:rStyle w:val="Hyperlink"/>
            <w:vertAlign w:val="superscript"/>
          </w:rPr>
          <w:t xml:space="preserve">[10]</w:t>
        </w:r>
      </w:hyperlink>
      <w:r>
        <w:t xml:space="preserve"> </w:t>
      </w:r>
      <w:r>
        <w:t xml:space="preserve">of Control</w:t>
      </w:r>
    </w:p>
    <w:p>
      <w:pPr>
        <w:pStyle w:val="CaseBody"/>
      </w:pPr>
      <w:r>
        <w:t xml:space="preserve">When a majority of a corporation's voting shares are acquired by a single person or entity, or by a cohesive group acting together, there is a significant diminution in the voting power of those who thereby become minority stockholders. Under the statutory framework of the General Corporation Law, many of the most fundamental corporate changes can be implemented only if they are approved by a majority vote of the stockholders.</w:t>
      </w:r>
      <w:r>
        <w:t xml:space="preserve"> </w:t>
      </w:r>
      <w:r>
        <w:rPr>
          <w:rStyle w:val="Elision"/>
        </w:rPr>
        <w:t xml:space="preserve">[ … ]</w:t>
      </w:r>
    </w:p>
    <w:p>
      <w:pPr>
        <w:pStyle w:val="CaseBody"/>
      </w:pPr>
      <w:r>
        <w:t xml:space="preserve">In the absence of devices protecting the minority stockholders,</w:t>
      </w:r>
      <w:hyperlink w:anchor="X92c2ec056279ddb5b67888f0470434d73bb27aa">
        <w:r>
          <w:rPr>
            <w:rStyle w:val="Hyperlink"/>
            <w:vertAlign w:val="superscript"/>
          </w:rPr>
          <w:t xml:space="preserve">[12]</w:t>
        </w:r>
      </w:hyperlink>
      <w:r>
        <w:t xml:space="preserve"> </w:t>
      </w:r>
      <w:r>
        <w:t xml:space="preserve">stockholder votes are likely to become mere formalities where there is a majority stockholder.</w:t>
      </w:r>
      <w:r>
        <w:t xml:space="preserve"> </w:t>
      </w:r>
      <w:r>
        <w:rPr>
          <w:rStyle w:val="Elision"/>
        </w:rPr>
        <w:t xml:space="preserve">[ … ]</w:t>
      </w:r>
      <w:r>
        <w:t xml:space="preserve"> </w:t>
      </w:r>
      <w:r>
        <w:t xml:space="preserve">Absent effective protective provisions, minority stockholders must rely for protection solely on the fiduciary duties owed to them by the directors and the majority stockholder, since the minority stockholders have lost the power to influence corporate direction through the ballot. The acquisition of majority status and the consequent privilege of exerting the powers of majority ownership come at a price. That price is usually a control premium which recognizes not only the value of a control block of shares, but also compensates the minority stockholders for their resulting loss of voting power.</w:t>
      </w:r>
    </w:p>
    <w:p>
      <w:pPr>
        <w:pStyle w:val="CaseBody"/>
      </w:pPr>
      <w:r>
        <w:t xml:space="preserve">In the case before us, the public stockholders (in the aggregate) currently own a majority of Paramount's voting stock. Control of the corporation is not vested in a single person, entity, or group, but vested in the fluid aggregation of unaffiliated stockholders. In the event the Paramount-Viacom transaction is consummated, the public stockholders will receive cash and a minority equity voting position in the surviving corporation. Following such consummation, there will be a controlling stockholder who will have the voting power to: (a) elect directors; (b) cause a break-up of the corporation; (c) merge it with another company; (d) cash-out the public stockholders; (e) amend the certificate of incorporation; (f) sell all or substantially all of the corporate assets; or (g) otherwise alter materially the nature of the corporation and the public stockholders' interests. Irrespective of the present Paramount Board's vision of a long-term strategic alliance with Viacom, the proposed sale of control would provide the new controlling stockholder with the power to alter that vision.</w:t>
      </w:r>
    </w:p>
    <w:p>
      <w:pPr>
        <w:pStyle w:val="CaseBody"/>
      </w:pPr>
      <w:r>
        <w:t xml:space="preserve">Because of the intended sale of control, the Paramount-Viacom transaction has economic consequences of considerable significance to the Paramount stockholders. Once control has shifted, the current Paramount stockholders will have no leverage in the future to demand another control premium. As a result, the Paramount stockholders are entitled to receive, and should receive, a control premium and/or protective devices of significant value. There being no such protective provisions in the Viacom-Paramount transaction, the Paramount directors had an obligation to take the maximum advantage of the current opportunity to realize for the stockholders the best value reasonably available.</w:t>
      </w:r>
    </w:p>
    <w:bookmarkEnd w:id="307"/>
    <w:bookmarkStart w:id="308" w:name="X3f4a2096714d4fbd806394c32e37f4293442021"/>
    <w:p>
      <w:pPr>
        <w:pStyle w:val="Heading2"/>
      </w:pPr>
      <w:r>
        <w:t xml:space="preserve">B. The Obligations of Directors in a Sale or Change of Control Transaction</w:t>
      </w:r>
    </w:p>
    <w:p>
      <w:pPr>
        <w:pStyle w:val="CaseBody"/>
      </w:pPr>
      <w:r>
        <w:t xml:space="preserve">The consequences of a sale of control impose special obligations on the directors of a corporation.</w:t>
      </w:r>
      <w:hyperlink w:anchor="X4cda9f55b04a556551835da09c2352034a9ea59">
        <w:r>
          <w:rPr>
            <w:rStyle w:val="Hyperlink"/>
            <w:vertAlign w:val="superscript"/>
          </w:rPr>
          <w:t xml:space="preserve">[13]</w:t>
        </w:r>
      </w:hyperlink>
      <w:r>
        <w:t xml:space="preserve"> </w:t>
      </w:r>
      <w:r>
        <w:t xml:space="preserve">In particular, they have the obligation of acting reasonably to seek the transaction offering the best value reasonably available to the stockholders. The courts will apply enhanced scrutiny to ensure that the directors have acted reasonably.</w:t>
      </w:r>
      <w:r>
        <w:t xml:space="preserve"> </w:t>
      </w:r>
      <w:r>
        <w:rPr>
          <w:rStyle w:val="Elision"/>
        </w:rPr>
        <w:t xml:space="preserve">[ … ]</w:t>
      </w:r>
    </w:p>
    <w:p>
      <w:pPr>
        <w:pStyle w:val="CaseBody"/>
      </w:pPr>
      <w:r>
        <w:t xml:space="preserve">In the sale of control context, the directors must focus on one primary objective — to secure the transaction offering the best value reasonably available for the stockholders — and they must exercise their fiduciary duties to further that end.</w:t>
      </w:r>
      <w:r>
        <w:t xml:space="preserve"> </w:t>
      </w:r>
      <w:r>
        <w:rPr>
          <w:rStyle w:val="Elision"/>
        </w:rPr>
        <w:t xml:space="preserve">[ … ]</w:t>
      </w:r>
    </w:p>
    <w:p>
      <w:pPr>
        <w:pStyle w:val="CaseBody"/>
      </w:pPr>
      <w:r>
        <w:rPr>
          <w:iCs/>
          <w:i/>
        </w:rPr>
        <w:t xml:space="preserve">Barkan</w:t>
      </w:r>
      <w:r>
        <w:t xml:space="preserve"> </w:t>
      </w:r>
      <w:r>
        <w:t xml:space="preserve">teaches some of the methods by which a board can fulfill its obligation to seek the best value reasonably available to the stockholders.</w:t>
      </w:r>
      <w:r>
        <w:t xml:space="preserve"> </w:t>
      </w:r>
      <w:r>
        <w:rPr>
          <w:rStyle w:val="Elision"/>
        </w:rPr>
        <w:t xml:space="preserve">[ … ]</w:t>
      </w:r>
      <w:r>
        <w:t xml:space="preserve">These methods are designed to determine the existence and viability of possible alternatives. They include conducting an auction, canvassing the market, etc. Delaware law recognizes that there is "no single blueprint" that directors must follow.</w:t>
      </w:r>
      <w:r>
        <w:t xml:space="preserve"> </w:t>
      </w:r>
      <w:r>
        <w:rPr>
          <w:rStyle w:val="Elision"/>
        </w:rPr>
        <w:t xml:space="preserve">[ … ]</w:t>
      </w:r>
    </w:p>
    <w:p>
      <w:pPr>
        <w:pStyle w:val="CaseBody"/>
      </w:pPr>
      <w:r>
        <w:t xml:space="preserve">In determining which alternative provides the best value for the stockholders, a board of directors is not limited to considering only the amount of cash involved, and is not required to ignore totally its view of the future value of a strategic alliance.</w:t>
      </w:r>
      <w:r>
        <w:t xml:space="preserve"> </w:t>
      </w:r>
      <w:r>
        <w:rPr>
          <w:iCs/>
          <w:i/>
        </w:rPr>
        <w:t xml:space="preserve">See</w:t>
      </w:r>
      <w:r>
        <w:t xml:space="preserve"> </w:t>
      </w:r>
      <w:r>
        <w:rPr>
          <w:iCs/>
          <w:i/>
        </w:rPr>
        <w:t xml:space="preserve">Macmillan,</w:t>
      </w:r>
      <w:r>
        <w:t xml:space="preserve"> </w:t>
      </w:r>
      <w:r>
        <w:t xml:space="preserve">559 A.2d at 1282 n. 29. Instead, the directors should analyze the entire situation and evaluate in a disciplined manner the consideration being offered. Where stock or other non-cash consideration is involved, the board should try to quantify its value, if feasible, to achieve an objective comparison of the alternatives.</w:t>
      </w:r>
      <w:hyperlink w:anchor="X6816ca304e4873245c099b125d35655ba78d92b">
        <w:r>
          <w:rPr>
            <w:rStyle w:val="Hyperlink"/>
            <w:vertAlign w:val="superscript"/>
          </w:rPr>
          <w:t xml:space="preserve">[14]</w:t>
        </w:r>
      </w:hyperlink>
      <w:r>
        <w:t xml:space="preserve"> </w:t>
      </w:r>
      <w:r>
        <w:t xml:space="preserve">In addition, the board may assess a variety of practical considerations relating to each alternative, including:</w:t>
      </w:r>
    </w:p>
    <w:p>
      <w:pPr>
        <w:pStyle w:val="BlockText"/>
      </w:pPr>
      <w:r>
        <w:t xml:space="preserve">[an offer's] fairness and feasibility; the proposed or actual financing for the offer, and the consequences of that financing; questions of illegality; ... the risk of nonconsum[m]ation;... the bidder's identity, prior background and other business venture experiences; and the bidder's business plans for the corporation and their effects on stockholder interests.</w:t>
      </w:r>
    </w:p>
    <w:p>
      <w:pPr>
        <w:pStyle w:val="CaseBody"/>
      </w:pPr>
      <w:r>
        <w:rPr>
          <w:rStyle w:val="Elision"/>
        </w:rPr>
        <w:t xml:space="preserve">[ … ]</w:t>
      </w:r>
      <w:r>
        <w:t xml:space="preserve">While the assessment of these factors may be complex, [45] the board's goal is straightforward: Having informed themselves of all material information reasonably available, the directors must decide which alternative is most likely to offer the best value reasonably available to the stockholders.</w:t>
      </w:r>
    </w:p>
    <w:bookmarkEnd w:id="308"/>
    <w:bookmarkStart w:id="309" w:name="Xa825af6afa93661825c8702c56d40fe4bb0f29f"/>
    <w:p>
      <w:pPr>
        <w:pStyle w:val="Heading2"/>
      </w:pPr>
      <w:r>
        <w:t xml:space="preserve">C. Enhanced Judicial Scrutiny of a Sale or Change of Control Transaction</w:t>
      </w:r>
    </w:p>
    <w:p>
      <w:pPr>
        <w:pStyle w:val="CaseBody"/>
      </w:pPr>
      <w:r>
        <w:t xml:space="preserve">Board action in the circumstances presented here is subject to enhanced scrutiny. Such scrutiny is mandated by: (a) the threatened diminution of the current stockholders' voting power; (b) the fact that an asset belonging to public stockholders (a control premium) is being sold and may never be available again; and (c) the traditional concern of Delaware courts for actions which impair or impede stockholder voting rights (see</w:t>
      </w:r>
      <w:r>
        <w:t xml:space="preserve"> </w:t>
      </w:r>
      <w:r>
        <w:rPr>
          <w:iCs/>
          <w:i/>
        </w:rPr>
        <w:t xml:space="preserve">supra</w:t>
      </w:r>
      <w:r>
        <w:t xml:space="preserve"> </w:t>
      </w:r>
      <w:r>
        <w:t xml:space="preserve">note 11). In</w:t>
      </w:r>
      <w:r>
        <w:t xml:space="preserve"> </w:t>
      </w:r>
      <w:r>
        <w:rPr>
          <w:iCs/>
          <w:i/>
        </w:rPr>
        <w:t xml:space="preserve">Macmillan,</w:t>
      </w:r>
      <w:r>
        <w:t xml:space="preserve"> </w:t>
      </w:r>
      <w:r>
        <w:t xml:space="preserve">this Court held:</w:t>
      </w:r>
    </w:p>
    <w:p>
      <w:pPr>
        <w:pStyle w:val="BlockText"/>
      </w:pPr>
      <w:r>
        <w:t xml:space="preserve">When</w:t>
      </w:r>
      <w:r>
        <w:t xml:space="preserve"> </w:t>
      </w:r>
      <w:r>
        <w:rPr>
          <w:iCs/>
          <w:i/>
        </w:rPr>
        <w:t xml:space="preserve">Revlon</w:t>
      </w:r>
      <w:r>
        <w:t xml:space="preserve"> </w:t>
      </w:r>
      <w:r>
        <w:t xml:space="preserve">duties devolve upon directors, this Court will continue to exact an enhanced judicial scrutiny at the threshold, as in</w:t>
      </w:r>
      <w:r>
        <w:t xml:space="preserve"> </w:t>
      </w:r>
      <w:r>
        <w:rPr>
          <w:iCs/>
          <w:i/>
        </w:rPr>
        <w:t xml:space="preserve">Unocal,</w:t>
      </w:r>
      <w:r>
        <w:t xml:space="preserve"> </w:t>
      </w:r>
      <w:r>
        <w:t xml:space="preserve">before the normal presumptions of the business judgment rule will apply.</w:t>
      </w:r>
      <w:hyperlink w:anchor="Xf2d73e67f112ac945056a3ca0f8cc835ba4c9b1">
        <w:r>
          <w:rPr>
            <w:rStyle w:val="Hyperlink"/>
            <w:vertAlign w:val="superscript"/>
          </w:rPr>
          <w:t xml:space="preserve">[15]</w:t>
        </w:r>
      </w:hyperlink>
    </w:p>
    <w:p>
      <w:pPr>
        <w:pStyle w:val="CaseBody"/>
      </w:pPr>
      <w:r>
        <w:t xml:space="preserve">559 A.2d at 1288. The</w:t>
      </w:r>
      <w:r>
        <w:t xml:space="preserve"> </w:t>
      </w:r>
      <w:r>
        <w:rPr>
          <w:iCs/>
          <w:i/>
        </w:rPr>
        <w:t xml:space="preserve">Macmillan</w:t>
      </w:r>
      <w:r>
        <w:t xml:space="preserve"> </w:t>
      </w:r>
      <w:r>
        <w:t xml:space="preserve">decision articulates a specific two-part test for analyzing board action where competing bidders are not treated equally:</w:t>
      </w:r>
      <w:hyperlink w:anchor="X01ee88a6689ddd0afe58cd4ff4bd61199afc68e">
        <w:r>
          <w:rPr>
            <w:rStyle w:val="Hyperlink"/>
            <w:vertAlign w:val="superscript"/>
          </w:rPr>
          <w:t xml:space="preserve">[16]</w:t>
        </w:r>
      </w:hyperlink>
    </w:p>
    <w:p>
      <w:pPr>
        <w:pStyle w:val="BlockText"/>
      </w:pPr>
      <w:r>
        <w:t xml:space="preserve">In the face of disparate treatment, the trial court must first examine whether the directors properly perceived that shareholder interests were enhanced. In any event the board's action must be reasonable in relation to the advantage sought to be achieved, or conversely, to the threat which a particular bid allegedly poses to stockholder interests.</w:t>
      </w:r>
    </w:p>
    <w:p>
      <w:pPr>
        <w:pStyle w:val="CaseBody"/>
      </w:pPr>
      <w:r>
        <w:rPr>
          <w:rStyle w:val="Elision"/>
        </w:rPr>
        <w:t xml:space="preserve">[ … ]</w:t>
      </w:r>
    </w:p>
    <w:p>
      <w:pPr>
        <w:pStyle w:val="CaseBody"/>
      </w:pPr>
      <w:r>
        <w:t xml:space="preserve">The key features of an enhanced scrutiny test are: (a) a judicial determination regarding the adequacy of the decisionmaking process employed by the directors, including the information on which the directors based their decision; and (b) a judicial examination of the reasonableness of the directors' action in light of the circumstances then existing. The directors have the burden of proving that they were adequately informed and acted reasonably.</w:t>
      </w:r>
    </w:p>
    <w:p>
      <w:pPr>
        <w:pStyle w:val="CaseBody"/>
      </w:pPr>
      <w:r>
        <w:t xml:space="preserve">Although an enhanced scrutiny test involves a review of the reasonableness of the substantive merits of a board's actions,</w:t>
      </w:r>
      <w:hyperlink w:anchor="X7c113bc03cf01ce4ce0efa1c9ade957283dd6bb">
        <w:r>
          <w:rPr>
            <w:rStyle w:val="Hyperlink"/>
            <w:vertAlign w:val="superscript"/>
          </w:rPr>
          <w:t xml:space="preserve">[17]</w:t>
        </w:r>
      </w:hyperlink>
      <w:r>
        <w:t xml:space="preserve"> </w:t>
      </w:r>
      <w:r>
        <w:t xml:space="preserve">a court should not ignore the complexity of the directors' task in a sale of control. There are many business and financial considerations implicated in investigating and selecting the best value reasonably available. The board of directors is the corporate decisionmaking body best equipped to make these judgments. Accordingly, a court applying enhanced judicial scrutiny should be deciding whether the directors made a reasonable decision, not a perfect decision. If a board selected one of several reasonable alternatives, a court should not second-guess that choice even though it might have decided otherwise or subsequent events may have cast doubt on the board's determination. Thus, courts will not substitute their business judgment for that of the directors, but will determine if the directors' decision was, on balance, within a range of reasonableness.</w:t>
      </w:r>
      <w:r>
        <w:t xml:space="preserve"> </w:t>
      </w:r>
      <w:r>
        <w:rPr>
          <w:rStyle w:val="Elision"/>
        </w:rPr>
        <w:t xml:space="preserve">[ … ]</w:t>
      </w:r>
    </w:p>
    <w:bookmarkEnd w:id="309"/>
    <w:bookmarkStart w:id="310" w:name="d.-revlon-and-time-warner-distinguished"/>
    <w:p>
      <w:pPr>
        <w:pStyle w:val="Heading2"/>
      </w:pPr>
      <w:r>
        <w:t xml:space="preserve">D. Revlon and Time-Warner Distinguished</w:t>
      </w:r>
    </w:p>
    <w:p>
      <w:pPr>
        <w:pStyle w:val="CaseBody"/>
      </w:pPr>
      <w:r>
        <w:t xml:space="preserve">The Paramount defendants and Viacom assert that the fiduciary obligations and the enhanced judicial scrutiny discussed above are not implicated in this case in the absence of a "break-up" of the corporation, and that the order granting the preliminary injunction should be reversed. This argument is based on their erroneous interpretation of our decisions in</w:t>
      </w:r>
      <w:r>
        <w:t xml:space="preserve"> </w:t>
      </w:r>
      <w:r>
        <w:rPr>
          <w:iCs/>
          <w:i/>
        </w:rPr>
        <w:t xml:space="preserve">Revlon</w:t>
      </w:r>
      <w:r>
        <w:t xml:space="preserve"> </w:t>
      </w:r>
      <w:r>
        <w:t xml:space="preserve">and</w:t>
      </w:r>
      <w:r>
        <w:t xml:space="preserve"> </w:t>
      </w:r>
      <w:r>
        <w:rPr>
          <w:iCs/>
          <w:i/>
        </w:rPr>
        <w:t xml:space="preserve">Time-Warner.</w:t>
      </w:r>
    </w:p>
    <w:p>
      <w:pPr>
        <w:pStyle w:val="CaseBody"/>
      </w:pPr>
      <w:r>
        <w:t xml:space="preserve">In</w:t>
      </w:r>
      <w:r>
        <w:t xml:space="preserve"> </w:t>
      </w:r>
      <w:r>
        <w:rPr>
          <w:iCs/>
          <w:i/>
        </w:rPr>
        <w:t xml:space="preserve">Revlon,</w:t>
      </w:r>
      <w:r>
        <w:t xml:space="preserve"> </w:t>
      </w:r>
      <w:r>
        <w:t xml:space="preserve">we reviewed the actions of the board of directors of Revlon, Inc. ("Revlon"), which had rebuffed the overtures of Pantry Pride, Inc. and had instead entered into an agreement with Forstmann Little &amp; Co. ("Forstmann") providing for the acquisition of 100 percent of Revlon's outstanding stock by Forstmann and the subsequent break-up of Revlon. Based on the facts and circumstances present in</w:t>
      </w:r>
      <w:r>
        <w:t xml:space="preserve"> </w:t>
      </w:r>
      <w:r>
        <w:rPr>
          <w:iCs/>
          <w:i/>
        </w:rPr>
        <w:t xml:space="preserve">Revlon,</w:t>
      </w:r>
      <w:r>
        <w:t xml:space="preserve"> </w:t>
      </w:r>
      <w:r>
        <w:t xml:space="preserve">we held that "[t]he directors' role changed from defenders of the corporate bastion to auctioneers charged with getting the best price for the stockholders at a sale of the company." 506 A.2d at 182. We further held that "when a board ends an intense bidding contest on an insubstantial basis, ... [that] action cannot withstand the enhanced scrutiny which</w:t>
      </w:r>
      <w:r>
        <w:t xml:space="preserve"> </w:t>
      </w:r>
      <w:r>
        <w:rPr>
          <w:iCs/>
          <w:i/>
        </w:rPr>
        <w:t xml:space="preserve">Unocal</w:t>
      </w:r>
      <w:r>
        <w:t xml:space="preserve"> </w:t>
      </w:r>
      <w:r>
        <w:t xml:space="preserve">requires of director conduct."</w:t>
      </w:r>
      <w:r>
        <w:t xml:space="preserve"> </w:t>
      </w:r>
      <w:r>
        <w:rPr>
          <w:iCs/>
          <w:i/>
        </w:rPr>
        <w:t xml:space="preserve">Id.</w:t>
      </w:r>
      <w:r>
        <w:t xml:space="preserve"> </w:t>
      </w:r>
      <w:r>
        <w:t xml:space="preserve">at 184.</w:t>
      </w:r>
    </w:p>
    <w:p>
      <w:pPr>
        <w:pStyle w:val="CaseBody"/>
      </w:pPr>
      <w:r>
        <w:t xml:space="preserve">It is true that one of the circumstances bearing on these holdings was the fact that "the break-up of the company . . . had become a reality which even the directors embraced."</w:t>
      </w:r>
      <w:r>
        <w:t xml:space="preserve"> </w:t>
      </w:r>
      <w:r>
        <w:rPr>
          <w:iCs/>
          <w:i/>
        </w:rPr>
        <w:t xml:space="preserve">Id.</w:t>
      </w:r>
      <w:r>
        <w:t xml:space="preserve"> </w:t>
      </w:r>
      <w:r>
        <w:t xml:space="preserve">at 182. It does not follow, however, that a "break-up" must be present and "inevitable" before directors are subject to enhanced judicial scrutiny and are required to pursue a transaction that is calculated to produce the best value reasonably available to the stockholders. In fact, we stated in</w:t>
      </w:r>
      <w:r>
        <w:t xml:space="preserve"> </w:t>
      </w:r>
      <w:r>
        <w:rPr>
          <w:iCs/>
          <w:i/>
        </w:rPr>
        <w:t xml:space="preserve">Revlon</w:t>
      </w:r>
      <w:r>
        <w:t xml:space="preserve"> </w:t>
      </w:r>
      <w:r>
        <w:t xml:space="preserve">that "when bidders make relatively similar offers, or dissolution of the company becomes inevitable, the directors cannot fulfill their enhanced</w:t>
      </w:r>
      <w:r>
        <w:t xml:space="preserve"> </w:t>
      </w:r>
      <w:r>
        <w:rPr>
          <w:iCs/>
          <w:i/>
        </w:rPr>
        <w:t xml:space="preserve">Unocal</w:t>
      </w:r>
      <w:r>
        <w:t xml:space="preserve"> </w:t>
      </w:r>
      <w:r>
        <w:t xml:space="preserve">duties by playing favorites with the contending factions."</w:t>
      </w:r>
      <w:r>
        <w:t xml:space="preserve"> </w:t>
      </w:r>
      <w:r>
        <w:rPr>
          <w:iCs/>
          <w:i/>
        </w:rPr>
        <w:t xml:space="preserve">Id.</w:t>
      </w:r>
      <w:r>
        <w:t xml:space="preserve"> </w:t>
      </w:r>
      <w:r>
        <w:t xml:space="preserve">at 184 (emphasis added).</w:t>
      </w:r>
      <w:r>
        <w:t xml:space="preserve"> </w:t>
      </w:r>
      <w:r>
        <w:rPr>
          <w:iCs/>
          <w:i/>
        </w:rPr>
        <w:t xml:space="preserve">Revlon</w:t>
      </w:r>
      <w:r>
        <w:t xml:space="preserve"> </w:t>
      </w:r>
      <w:r>
        <w:t xml:space="preserve">thus does not hold that an inevitable dissolution or "break-up" is necessary.</w:t>
      </w:r>
    </w:p>
    <w:p>
      <w:pPr>
        <w:pStyle w:val="CaseBody"/>
      </w:pPr>
      <w:r>
        <w:t xml:space="preserve">The decisions of this Court following</w:t>
      </w:r>
      <w:r>
        <w:t xml:space="preserve"> </w:t>
      </w:r>
      <w:r>
        <w:rPr>
          <w:iCs/>
          <w:i/>
        </w:rPr>
        <w:t xml:space="preserve">Revlon</w:t>
      </w:r>
      <w:r>
        <w:t xml:space="preserve"> </w:t>
      </w:r>
      <w:r>
        <w:t xml:space="preserve">reinforced the applicability of enhanced scrutiny and the directors' obligation to seek the best value reasonably available for the stockholders where there is a pending sale of control, regardless of whether or not there is to be a break-up of the corporation. In</w:t>
      </w:r>
      <w:r>
        <w:t xml:space="preserve"> </w:t>
      </w:r>
      <w:r>
        <w:rPr>
          <w:iCs/>
          <w:i/>
        </w:rPr>
        <w:t xml:space="preserve">Macmillan,</w:t>
      </w:r>
      <w:r>
        <w:t xml:space="preserve"> </w:t>
      </w:r>
      <w:r>
        <w:t xml:space="preserve">this Court held:</w:t>
      </w:r>
    </w:p>
    <w:p>
      <w:pPr>
        <w:pStyle w:val="BlockText"/>
      </w:pPr>
      <w:r>
        <w:t xml:space="preserve">We stated in</w:t>
      </w:r>
      <w:r>
        <w:t xml:space="preserve"> </w:t>
      </w:r>
      <w:r>
        <w:rPr>
          <w:iCs/>
          <w:i/>
        </w:rPr>
        <w:t xml:space="preserve">Revlon,</w:t>
      </w:r>
      <w:r>
        <w:t xml:space="preserve"> </w:t>
      </w:r>
      <w:r>
        <w:t xml:space="preserve">and again here, that in a sale of corporate control the responsibility of the directors is to get the highest value reasonably attainable for the shareholders.</w:t>
      </w:r>
    </w:p>
    <w:p>
      <w:pPr>
        <w:pStyle w:val="CaseBody"/>
      </w:pPr>
      <w:r>
        <w:t xml:space="preserve">559 A.2d at 1288 (emphasis added). In</w:t>
      </w:r>
      <w:r>
        <w:t xml:space="preserve"> </w:t>
      </w:r>
      <w:r>
        <w:rPr>
          <w:iCs/>
          <w:i/>
        </w:rPr>
        <w:t xml:space="preserve">Barkan,</w:t>
      </w:r>
      <w:r>
        <w:t xml:space="preserve"> </w:t>
      </w:r>
      <w:r>
        <w:t xml:space="preserve">we observed further:</w:t>
      </w:r>
    </w:p>
    <w:p>
      <w:pPr>
        <w:pStyle w:val="BlockText"/>
      </w:pPr>
      <w:r>
        <w:t xml:space="preserve">We believe that the general principles announced in</w:t>
      </w:r>
      <w:r>
        <w:t xml:space="preserve"> </w:t>
      </w:r>
      <w:r>
        <w:rPr>
          <w:iCs/>
          <w:i/>
        </w:rPr>
        <w:t xml:space="preserve">Revlon,</w:t>
      </w:r>
      <w:r>
        <w:t xml:space="preserve"> </w:t>
      </w:r>
      <w:r>
        <w:t xml:space="preserve">in</w:t>
      </w:r>
      <w:r>
        <w:t xml:space="preserve"> </w:t>
      </w:r>
      <w:r>
        <w:rPr>
          <w:iCs/>
          <w:i/>
        </w:rPr>
        <w:t xml:space="preserve">Unocal Corp. v. Mesa Petroleum Co.,</w:t>
      </w:r>
      <w:r>
        <w:t xml:space="preserve"> </w:t>
      </w:r>
      <w:r>
        <w:t xml:space="preserve">Del.Supr., 493 A.2d 946 (1985), and in</w:t>
      </w:r>
      <w:r>
        <w:t xml:space="preserve"> </w:t>
      </w:r>
      <w:r>
        <w:rPr>
          <w:iCs/>
          <w:i/>
        </w:rPr>
        <w:t xml:space="preserve">Moran v. Household International, Inc.,</w:t>
      </w:r>
      <w:r>
        <w:t xml:space="preserve"> </w:t>
      </w:r>
      <w:r>
        <w:t xml:space="preserve">Del.Supr., 500 A.2d 1346 (1985) govern this case and every case in which a fundamental change of corporate control occurs or is contemplated.</w:t>
      </w:r>
    </w:p>
    <w:p>
      <w:pPr>
        <w:pStyle w:val="CaseBody"/>
      </w:pPr>
      <w:r>
        <w:t xml:space="preserve">567 A.2d at 1286 (emphasis added).</w:t>
      </w:r>
    </w:p>
    <w:p>
      <w:pPr>
        <w:pStyle w:val="CaseBody"/>
      </w:pPr>
      <w:r>
        <w:t xml:space="preserve">Although</w:t>
      </w:r>
      <w:r>
        <w:t xml:space="preserve"> </w:t>
      </w:r>
      <w:r>
        <w:rPr>
          <w:iCs/>
          <w:i/>
        </w:rPr>
        <w:t xml:space="preserve">Macmillan</w:t>
      </w:r>
      <w:r>
        <w:t xml:space="preserve"> </w:t>
      </w:r>
      <w:r>
        <w:t xml:space="preserve">and</w:t>
      </w:r>
      <w:r>
        <w:t xml:space="preserve"> </w:t>
      </w:r>
      <w:r>
        <w:rPr>
          <w:iCs/>
          <w:i/>
        </w:rPr>
        <w:t xml:space="preserve">Barkan</w:t>
      </w:r>
      <w:r>
        <w:t xml:space="preserve"> </w:t>
      </w:r>
      <w:r>
        <w:t xml:space="preserve">are clear in holding that a change of control imposes on directors the obligation to obtain the best value reasonably available to the stockholders, the Paramount defendants have interpreted our decision in</w:t>
      </w:r>
      <w:r>
        <w:t xml:space="preserve"> </w:t>
      </w:r>
      <w:r>
        <w:rPr>
          <w:iCs/>
          <w:i/>
        </w:rPr>
        <w:t xml:space="preserve">Time-Warner</w:t>
      </w:r>
      <w:r>
        <w:t xml:space="preserve"> </w:t>
      </w:r>
      <w:r>
        <w:t xml:space="preserve">as requiring a corporate break-up in order for that obligation to apply. The facts in</w:t>
      </w:r>
      <w:r>
        <w:t xml:space="preserve"> </w:t>
      </w:r>
      <w:r>
        <w:rPr>
          <w:iCs/>
          <w:i/>
        </w:rPr>
        <w:t xml:space="preserve">Time-Warner,</w:t>
      </w:r>
      <w:r>
        <w:t xml:space="preserve"> </w:t>
      </w:r>
      <w:r>
        <w:t xml:space="preserve">however, were quite different from the facts of this case, and refute Paramount's position here. In</w:t>
      </w:r>
      <w:r>
        <w:t xml:space="preserve"> </w:t>
      </w:r>
      <w:r>
        <w:rPr>
          <w:iCs/>
          <w:i/>
        </w:rPr>
        <w:t xml:space="preserve">Time-Warner,</w:t>
      </w:r>
      <w:r>
        <w:t xml:space="preserve"> </w:t>
      </w:r>
      <w:r>
        <w:t xml:space="preserve">the Chancellor held that there was no change of control in the original stock-for-stock merger between Time and Warner because Time would be owned by a fluid aggregation of unaffiliated stockholders both before and after the merger:</w:t>
      </w:r>
    </w:p>
    <w:p>
      <w:pPr>
        <w:pStyle w:val="BlockText"/>
      </w:pPr>
      <w:r>
        <w:t xml:space="preserve">If the appropriate inquiry is whether a change in control is contemplated, the answer must be sought in the specific circumstances surrounding the transaction. Surely under some circumstances a stock for stock merger could reflect a transfer of corporate control. That would, for example, plainly be the case here if Warner were a private company. But where, as [47] here, the shares of both constituent corporations are widely held, corporate control can be expected to remain unaffected by a stock for stock merger. This in my judgment was the situation with respect to the original merger agreement. When the specifics of that situation are reviewed, it is seen that, aside from legal technicalities and aside from arrangements thought to enhance the prospect for the ultimate succession of [Nicholas J. Nicholas, Jr., president of Time], neither corporation could be said to be acquiring the other. Control of both remained in a large, fluid, changeable and changing market.</w:t>
      </w:r>
    </w:p>
    <w:p>
      <w:pPr>
        <w:pStyle w:val="BlockText"/>
      </w:pPr>
      <w:r>
        <w:t xml:space="preserve">The existence of a control block of stock in the hands of a single shareholder or a group with loyalty to each other does have real consequences to the financial value of "minority" stock. The law offers some protection to such shares through the imposition of a fiduciary duty upon controlling shareholders. But here, effectuation of the merger would not have subjected Time shareholders to the risks and consequences of holders of minority shares. This is a reflection of the fact that no control passed to anyone in the transaction contemplated. The shareholders of Time would have "suffered" dilution, of course, but they would suffer the same type of dilution upon the public distribution of new stock.</w:t>
      </w:r>
    </w:p>
    <w:p>
      <w:pPr>
        <w:pStyle w:val="CaseBody"/>
      </w:pPr>
      <w:r>
        <w:rPr>
          <w:iCs/>
          <w:i/>
        </w:rPr>
        <w:t xml:space="preserve">Paramount Communications Inc. v. Time Inc.,</w:t>
      </w:r>
      <w:r>
        <w:t xml:space="preserve"> </w:t>
      </w:r>
      <w:r>
        <w:t xml:space="preserve">Del.Ch., No. 10866, 1989 WL 79880, Allen, C. (July 17, 1989), reprinted at 15 Del.J.Corp.L. 700, 739 (emphasis added). Moreover, the transaction actually consummated in</w:t>
      </w:r>
      <w:r>
        <w:t xml:space="preserve"> </w:t>
      </w:r>
      <w:r>
        <w:rPr>
          <w:iCs/>
          <w:i/>
        </w:rPr>
        <w:t xml:space="preserve">Time-Warner</w:t>
      </w:r>
      <w:r>
        <w:t xml:space="preserve"> </w:t>
      </w:r>
      <w:r>
        <w:t xml:space="preserve">was not a merger, as originally planned, but a sale of Warner's stock to Time.</w:t>
      </w:r>
    </w:p>
    <w:p>
      <w:pPr>
        <w:pStyle w:val="CaseBody"/>
      </w:pPr>
      <w:r>
        <w:t xml:space="preserve">In our affirmance of the Court of Chancery's well-reasoned decision, this Court held that "The Chancellor's findings of fact are supported by the record and his conclusion is correct as a matter of law." 571 A.2d at 1150 (emphasis added). Nevertheless, the Paramount defendants here have argued that a break-up is a requirement and have focused on the following language in our</w:t>
      </w:r>
      <w:r>
        <w:t xml:space="preserve"> </w:t>
      </w:r>
      <w:r>
        <w:rPr>
          <w:iCs/>
          <w:i/>
        </w:rPr>
        <w:t xml:space="preserve">Time-Warner</w:t>
      </w:r>
      <w:r>
        <w:t xml:space="preserve"> </w:t>
      </w:r>
      <w:r>
        <w:t xml:space="preserve">decision:</w:t>
      </w:r>
    </w:p>
    <w:p>
      <w:pPr>
        <w:pStyle w:val="BlockText"/>
      </w:pPr>
      <w:r>
        <w:t xml:space="preserve">However, we premise our rejection of plaintiffs'</w:t>
      </w:r>
      <w:r>
        <w:t xml:space="preserve"> </w:t>
      </w:r>
      <w:r>
        <w:rPr>
          <w:iCs/>
          <w:i/>
        </w:rPr>
        <w:t xml:space="preserve">Revlon</w:t>
      </w:r>
      <w:r>
        <w:t xml:space="preserve"> </w:t>
      </w:r>
      <w:r>
        <w:t xml:space="preserve">claim on different grounds, namely, the absence of any substantial evidence to conclude that Time's board, in negotiating with Warner, made the dissolution or break-up of the corporate entity inevitable, as was the case in</w:t>
      </w:r>
      <w:r>
        <w:t xml:space="preserve"> </w:t>
      </w:r>
      <w:r>
        <w:rPr>
          <w:iCs/>
          <w:i/>
        </w:rPr>
        <w:t xml:space="preserve">Revlon.</w:t>
      </w:r>
    </w:p>
    <w:p>
      <w:pPr>
        <w:pStyle w:val="BlockText"/>
      </w:pPr>
      <w:r>
        <w:t xml:space="preserve">Under Delaware law there are, generally speaking and without excluding other possibilities, two circumstances which may implicate</w:t>
      </w:r>
      <w:r>
        <w:t xml:space="preserve"> </w:t>
      </w:r>
      <w:r>
        <w:rPr>
          <w:iCs/>
          <w:i/>
        </w:rPr>
        <w:t xml:space="preserve">Revlon</w:t>
      </w:r>
      <w:r>
        <w:t xml:space="preserve"> </w:t>
      </w:r>
      <w:r>
        <w:t xml:space="preserve">duties. The first, and clearer one, is when a corporation initiates an active bidding process seeking to sell itself or to effect a business reorganization involving a clear break-up of the company. However,</w:t>
      </w:r>
      <w:r>
        <w:t xml:space="preserve"> </w:t>
      </w:r>
      <w:r>
        <w:rPr>
          <w:iCs/>
          <w:i/>
        </w:rPr>
        <w:t xml:space="preserve">Revlon</w:t>
      </w:r>
      <w:r>
        <w:t xml:space="preserve"> </w:t>
      </w:r>
      <w:r>
        <w:t xml:space="preserve">duties may also be triggered where, in response to a bidder's offer, a target abandons its long-term strategy and seeks an alternative transaction involving the breakup of the company.</w:t>
      </w:r>
    </w:p>
    <w:p>
      <w:pPr>
        <w:pStyle w:val="CaseBody"/>
      </w:pPr>
      <w:r>
        <w:rPr>
          <w:iCs/>
          <w:i/>
        </w:rPr>
        <w:t xml:space="preserve">Id.</w:t>
      </w:r>
      <w:r>
        <w:t xml:space="preserve"> </w:t>
      </w:r>
      <w:r>
        <w:t xml:space="preserve">at 1150 (emphasis added) (citation and footnote omitted).</w:t>
      </w:r>
    </w:p>
    <w:p>
      <w:pPr>
        <w:pStyle w:val="CaseBody"/>
      </w:pPr>
      <w:r>
        <w:t xml:space="preserve">The Paramount defendants have misread the holding of</w:t>
      </w:r>
      <w:r>
        <w:t xml:space="preserve"> </w:t>
      </w:r>
      <w:r>
        <w:rPr>
          <w:iCs/>
          <w:i/>
        </w:rPr>
        <w:t xml:space="preserve">Time-Warner.</w:t>
      </w:r>
      <w:r>
        <w:t xml:space="preserve"> </w:t>
      </w:r>
      <w:r>
        <w:t xml:space="preserve">Contrary to their argument, our decision in</w:t>
      </w:r>
      <w:r>
        <w:t xml:space="preserve"> </w:t>
      </w:r>
      <w:r>
        <w:rPr>
          <w:iCs/>
          <w:i/>
        </w:rPr>
        <w:t xml:space="preserve">Time-Warner</w:t>
      </w:r>
      <w:r>
        <w:t xml:space="preserve"> </w:t>
      </w:r>
      <w:r>
        <w:t xml:space="preserve">expressly states that the two general scenarios discussed in the above-quoted paragraph are not the only instances where "</w:t>
      </w:r>
      <w:r>
        <w:rPr>
          <w:iCs/>
          <w:i/>
        </w:rPr>
        <w:t xml:space="preserve">Revlon</w:t>
      </w:r>
      <w:r>
        <w:t xml:space="preserve"> </w:t>
      </w:r>
      <w:r>
        <w:t xml:space="preserve">duties" may be implicated. The Paramount defendants' argument totally ignores the phrase "without excluding other possibilities." Moreover, the instant case is clearly within the first general scenario set forth in</w:t>
      </w:r>
      <w:r>
        <w:t xml:space="preserve"> </w:t>
      </w:r>
      <w:r>
        <w:rPr>
          <w:iCs/>
          <w:i/>
        </w:rPr>
        <w:t xml:space="preserve">Time-Warner.</w:t>
      </w:r>
      <w:r>
        <w:t xml:space="preserve"> </w:t>
      </w:r>
      <w:r>
        <w:t xml:space="preserve">The Paramount Board, albeit unintentionally, had "initiate[d] an active bidding process seeking to sell itself" by agreeing to sell control of the corporation to Viacom in circumstances where another potential acquiror (QVC) was equally interested in being a bidder.</w:t>
      </w:r>
    </w:p>
    <w:p>
      <w:pPr>
        <w:pStyle w:val="CaseBody"/>
      </w:pPr>
      <w:r>
        <w:t xml:space="preserve">The Paramount defendants' position that both a change of control and a break-up are required must be rejected. Such a holding would unduly restrict the application of</w:t>
      </w:r>
      <w:r>
        <w:t xml:space="preserve"> </w:t>
      </w:r>
      <w:r>
        <w:rPr>
          <w:iCs/>
          <w:i/>
        </w:rPr>
        <w:t xml:space="preserve">Revlon,</w:t>
      </w:r>
      <w:r>
        <w:t xml:space="preserve"> </w:t>
      </w:r>
      <w:r>
        <w:t xml:space="preserve">is inconsistent with this Court's decisions in</w:t>
      </w:r>
      <w:r>
        <w:t xml:space="preserve"> </w:t>
      </w:r>
      <w:r>
        <w:rPr>
          <w:iCs/>
          <w:i/>
        </w:rPr>
        <w:t xml:space="preserve">Barkan</w:t>
      </w:r>
      <w:r>
        <w:t xml:space="preserve"> </w:t>
      </w:r>
      <w:r>
        <w:t xml:space="preserve">and</w:t>
      </w:r>
      <w:r>
        <w:t xml:space="preserve"> </w:t>
      </w:r>
      <w:r>
        <w:rPr>
          <w:iCs/>
          <w:i/>
        </w:rPr>
        <w:t xml:space="preserve">Macmillan,</w:t>
      </w:r>
      <w:r>
        <w:t xml:space="preserve"> </w:t>
      </w:r>
      <w:r>
        <w:t xml:space="preserve">and has no basis in policy. There are few events that have a more significant impact on the stockholders than a sale of control or a corporate breakup. Each event represents a fundamental [48] (and perhaps irrevocable) change in the nature of the corporate enterprise from a practical standpoint. It is the significance of each of these events that justifies: (a) focusing on the directors' obligation to seek the best value reasonably available to the stockholders; and (b) requiring a close scrutiny of board action which could be contrary to the stockholders' interests.</w:t>
      </w:r>
    </w:p>
    <w:p>
      <w:pPr>
        <w:pStyle w:val="CaseBody"/>
      </w:pPr>
      <w:r>
        <w:t xml:space="preserve">Accordingly, when a corporation undertakes a transaction which will cause: (a) a change in corporate control; or (b) a breakup of the corporate entity, the directors' obligation is to seek the best value reasonably available to the stockholders. This obligation arises because the effect of the Viacom-Paramount transaction, if consummated, is to shift control of Paramount from the public stockholders to a controlling stockholder, Viacom. Neither</w:t>
      </w:r>
      <w:r>
        <w:t xml:space="preserve"> </w:t>
      </w:r>
      <w:r>
        <w:rPr>
          <w:iCs/>
          <w:i/>
        </w:rPr>
        <w:t xml:space="preserve">Time-Warner</w:t>
      </w:r>
      <w:r>
        <w:t xml:space="preserve"> </w:t>
      </w:r>
      <w:r>
        <w:t xml:space="preserve">nor any other decision of this Court holds that a "break-up" of the company is essential to give rise to this obligation where there is a sale of control.</w:t>
      </w:r>
    </w:p>
    <w:bookmarkEnd w:id="310"/>
    <w:bookmarkStart w:id="311" w:name="X6a93cc88154ba82b43f79fb16af311e53caa63d"/>
    <w:p>
      <w:pPr>
        <w:pStyle w:val="Heading2"/>
      </w:pPr>
      <w:r>
        <w:t xml:space="preserve">III. BREACH OF FIDUCIARY DUTIES BY PARAMOUNT BOARD</w:t>
      </w:r>
    </w:p>
    <w:p>
      <w:pPr>
        <w:pStyle w:val="CaseBody"/>
      </w:pPr>
      <w:r>
        <w:t xml:space="preserve">We now turn to duties of the Paramount Board under the facts of this case and our conclusions as to the breaches of those duties which warrant injunctive relief.</w:t>
      </w:r>
    </w:p>
    <w:bookmarkEnd w:id="311"/>
    <w:bookmarkStart w:id="312" w:name="X0b30953f8c1204741cff9d25fb8a742f64f9a63"/>
    <w:p>
      <w:pPr>
        <w:pStyle w:val="Heading2"/>
      </w:pPr>
      <w:r>
        <w:t xml:space="preserve">A. The Specific Obligations of the Paramount Board</w:t>
      </w:r>
    </w:p>
    <w:p>
      <w:pPr>
        <w:pStyle w:val="CaseBody"/>
      </w:pPr>
      <w:r>
        <w:t xml:space="preserve">Under the facts of this case, the Paramount directors had the obligation: (a) to be diligent and vigilant in examining critically the Paramount-Viacom transaction and the QVC tender offers; (b) to act in good faith; (c) to obtain, and act with due care on, all material information reasonably available, including information necessary to compare the two offers to determine which of these transactions, or an alternative course of action, would provide the best value reasonably available to the stockholders; and (d) to negotiate actively and in good faith with both Viacom and QVC to that end.</w:t>
      </w:r>
    </w:p>
    <w:p>
      <w:pPr>
        <w:pStyle w:val="CaseBody"/>
      </w:pPr>
      <w:r>
        <w:t xml:space="preserve">Having decided to sell control of the corporation, the Paramount directors were required to evaluate critically whether or not all material aspects of the Paramount-Viacom transaction (separately and in the aggregate) were reasonable and in the best interests of the Paramount stockholders in light of current circumstances, including: the change of control premium, the Stock Option Agreement, the Termination Fee, the coercive nature of both the Viacom and QVC tender offers,</w:t>
      </w:r>
      <w:hyperlink w:anchor="X2f7d74e68becb318f77d5e4e0b9cf1e43023e1f">
        <w:r>
          <w:rPr>
            <w:rStyle w:val="Hyperlink"/>
            <w:vertAlign w:val="superscript"/>
          </w:rPr>
          <w:t xml:space="preserve">[18]</w:t>
        </w:r>
      </w:hyperlink>
      <w:r>
        <w:t xml:space="preserve"> </w:t>
      </w:r>
      <w:r>
        <w:t xml:space="preserve">the No-Shop Provision, and the proposed disparate use of the Rights Agreement as to the Viacom and QVC tender offers, respectively.</w:t>
      </w:r>
    </w:p>
    <w:p>
      <w:pPr>
        <w:pStyle w:val="CaseBody"/>
      </w:pPr>
      <w:r>
        <w:t xml:space="preserve">These obligations necessarily implicated various issues, including the questions of whether or not those provisions and other aspects of the Paramount-Viacom transaction (separately and in the aggregate): (a) adversely affected the value provided to the Paramount stockholders; (b) inhibited or encouraged alternative bids; (c) were enforceable contractual obligations in light of the directors' fiduciary duties; and (d) in the end would advance or retard the Paramount directors' obligation to secure for the Paramount stockholders the best value reasonably available under the circumstances.</w:t>
      </w:r>
    </w:p>
    <w:p>
      <w:pPr>
        <w:pStyle w:val="CaseBody"/>
      </w:pPr>
      <w:r>
        <w:t xml:space="preserve">The Paramount defendants contend that they were precluded by certain contractual provisions, including the No-Shop Provision, from negotiating with QVC or seeking alternatives. Such provisions, whether or not they are presumptively valid in the abstract, may not validly define or limit the directors' fiduciary duties under Delaware law or prevent the Paramount directors from carrying out their fiduciary duties under Delaware law. To the extent such provisions are inconsistent with those duties, they are invalid and unenforceable.</w:t>
      </w:r>
      <w:r>
        <w:t xml:space="preserve"> </w:t>
      </w:r>
      <w:r>
        <w:rPr>
          <w:iCs/>
          <w:i/>
        </w:rPr>
        <w:t xml:space="preserve">See</w:t>
      </w:r>
      <w:r>
        <w:t xml:space="preserve"> </w:t>
      </w:r>
      <w:r>
        <w:rPr>
          <w:iCs/>
          <w:i/>
        </w:rPr>
        <w:t xml:space="preserve">Revlon,</w:t>
      </w:r>
      <w:r>
        <w:t xml:space="preserve"> </w:t>
      </w:r>
      <w:r>
        <w:t xml:space="preserve">506 A.2d at 184-85.</w:t>
      </w:r>
    </w:p>
    <w:p>
      <w:pPr>
        <w:pStyle w:val="CaseBody"/>
      </w:pPr>
      <w:r>
        <w:t xml:space="preserve">Since the Paramount directors had already decided to sell control, they had an obligation [49] to continue their search for the best value reasonably available to the stockholders. This continuing obligation included the responsibility, at the October 24 board meeting and thereafter, to evaluate critically both the QVC tender offers and the Paramount-Viacom transaction to determine if: (a) the QVC tender offer was, or would continue to be, conditional; (b) the QVC tender offer could be improved; (c) the Viacom tender offer or other aspects of the Paramount-Viacom transaction could be improved; (d) each of the respective offers would be reasonably likely to come to closure, and under what circumstances; (e) other material information was reasonably available for consideration by the Paramount directors; (f) there were viable and realistic alternative courses of action; and (g) the timing constraints could be managed so the directors could consider these matters carefully and deliberately.</w:t>
      </w:r>
    </w:p>
    <w:bookmarkEnd w:id="312"/>
    <w:bookmarkStart w:id="313" w:name="X8ba942b0c2928ded9f31610615633c2351767b6"/>
    <w:p>
      <w:pPr>
        <w:pStyle w:val="Heading2"/>
      </w:pPr>
      <w:r>
        <w:t xml:space="preserve">B. The Breaches of Fiduciary Duty by the Paramount Board</w:t>
      </w:r>
    </w:p>
    <w:p>
      <w:pPr>
        <w:pStyle w:val="CaseBody"/>
      </w:pPr>
      <w:r>
        <w:t xml:space="preserve">The Paramount directors made the decision on September 12, 1993, that, in their judgment, a strategic merger with Viacom on the economic terms of the Original Merger Agreement was in the best interests of Paramount and its stockholders. Those terms provided a modest change of control premium to the stockholders. The directors also decided at that time that it was appropriate to agree to certain defensive measures (the Stock Option Agreement, the Termination Fee, and the No-Shop Provision) insisted upon by Viacom as part of that economic transaction. Those defensive measures, coupled with the sale of control and subsequent disparate treatment of competing bidders, implicated the judicial scrutiny of</w:t>
      </w:r>
      <w:r>
        <w:t xml:space="preserve"> </w:t>
      </w:r>
      <w:r>
        <w:rPr>
          <w:iCs/>
          <w:i/>
        </w:rPr>
        <w:t xml:space="preserve">Unocal, Revlon, Macmillan,</w:t>
      </w:r>
      <w:r>
        <w:t xml:space="preserve"> </w:t>
      </w:r>
      <w:r>
        <w:t xml:space="preserve">and their progeny. We conclude that the Paramount directors' process was not reasonable, and the result achieved for the stockholders was not reasonable under the circumstances.</w:t>
      </w:r>
    </w:p>
    <w:p>
      <w:pPr>
        <w:pStyle w:val="CaseBody"/>
      </w:pPr>
      <w:r>
        <w:t xml:space="preserve">When entering into the Original Merger Agreement, and thereafter, the Paramount Board clearly gave insufficient attention to the potential consequences of the defensive measures demanded by Viacom. The Stock Option Agreement had a number of unusual and potentially "draconian"</w:t>
      </w:r>
      <w:hyperlink w:anchor="X0266d0765673c56ee2799974bf7ad1411c4c35b">
        <w:r>
          <w:rPr>
            <w:rStyle w:val="Hyperlink"/>
            <w:vertAlign w:val="superscript"/>
          </w:rPr>
          <w:t xml:space="preserve">[19]</w:t>
        </w:r>
      </w:hyperlink>
      <w:r>
        <w:t xml:space="preserve"> </w:t>
      </w:r>
      <w:r>
        <w:t xml:space="preserve">provisions, including the Note Feature and the Put Feature. Furthermore, the Termination Fee, whether or not unreasonable by itself, clearly made Paramount less attractive to other bidders, when coupled with the Stock Option Agreement. Finally, the No-Shop Provision inhibited the Paramount Board's ability to negotiate with other potential bidders, particularly QVC which had already expressed an interest in Paramount.</w:t>
      </w:r>
      <w:hyperlink w:anchor="Xc388cdbf39ade3deb976dfebfc625375d0e9dd6">
        <w:r>
          <w:rPr>
            <w:rStyle w:val="Hyperlink"/>
            <w:vertAlign w:val="superscript"/>
          </w:rPr>
          <w:t xml:space="preserve">[20]</w:t>
        </w:r>
      </w:hyperlink>
    </w:p>
    <w:p>
      <w:pPr>
        <w:pStyle w:val="CaseBody"/>
      </w:pPr>
      <w:r>
        <w:t xml:space="preserve">Throughout the applicable time period, and especially from the first QVC merger proposal on September 20 through the Paramount Board meeting on November 15, QVC's interest in Paramount provided the opportunity for the Paramount Board to seek significantly higher value for the Paramount stockholders than that being offered by Viacom. QVC persistently demonstrated its intention to meet and exceed the Viacom offers, and [50] frequently expressed its willingness to negotiate possible further increases.</w:t>
      </w:r>
    </w:p>
    <w:p>
      <w:pPr>
        <w:pStyle w:val="CaseBody"/>
      </w:pPr>
      <w:r>
        <w:t xml:space="preserve">The Paramount directors had the opportunity in the October 23-24 time frame, when the Original Merger Agreement was renegotiated, to take appropriate action to modify the improper defensive measures as well as to improve the economic terms of the Paramount-Viacom transaction. Under the circumstances existing at that time, it should have been clear to the Paramount Board that the Stock Option Agreement, coupled with the Termination Fee and the No-Shop Clause, were impeding the realization of the best value reasonably available to the Paramount stockholders. Nevertheless, the Paramount Board made no effort to eliminate or modify these counterproductive devices, and instead continued to cling to its vision of a strategic alliance with Viacom. Moreover, based on advice from the Paramount management, the Paramount directors considered the QVC offer to be "conditional" and asserted that they were precluded by the No-Shop Provision from seeking more information from, or negotiating with, QVC.</w:t>
      </w:r>
    </w:p>
    <w:p>
      <w:pPr>
        <w:pStyle w:val="CaseBody"/>
      </w:pPr>
      <w:r>
        <w:t xml:space="preserve">By November 12, 1993, the value of the revised QVC offer on its face exceeded that of the Viacom offer by over $1 billion at then current values. This significant disparity of value cannot be justified on the basis of the directors' vision of future strategy, primarily because the change of control would supplant the authority of the current Paramount Board to continue to hold and implement their strategic vision in any meaningful way. Moreover, their uninformed process had deprived their strategic vision of much of its credibility.</w:t>
      </w:r>
      <w:r>
        <w:t xml:space="preserve"> </w:t>
      </w:r>
      <w:r>
        <w:rPr>
          <w:iCs/>
          <w:i/>
        </w:rPr>
        <w:t xml:space="preserve">See</w:t>
      </w:r>
      <w:r>
        <w:t xml:space="preserve"> </w:t>
      </w:r>
      <w:r>
        <w:rPr>
          <w:iCs/>
          <w:i/>
        </w:rPr>
        <w:t xml:space="preserve">Van Gorkom,</w:t>
      </w:r>
      <w:r>
        <w:t xml:space="preserve"> </w:t>
      </w:r>
      <w:r>
        <w:t xml:space="preserve">488 A.2d at 872;</w:t>
      </w:r>
      <w:r>
        <w:t xml:space="preserve"> </w:t>
      </w:r>
      <w:r>
        <w:rPr>
          <w:iCs/>
          <w:i/>
        </w:rPr>
        <w:t xml:space="preserve">Cede v. Technicolor,</w:t>
      </w:r>
      <w:r>
        <w:t xml:space="preserve"> </w:t>
      </w:r>
      <w:r>
        <w:t xml:space="preserve">634 A.2d at 367;</w:t>
      </w:r>
      <w:r>
        <w:t xml:space="preserve"> </w:t>
      </w:r>
      <w:r>
        <w:rPr>
          <w:iCs/>
          <w:i/>
        </w:rPr>
        <w:t xml:space="preserve">Hanson Trust PLC v. ML SCM Acquisition Inc.,</w:t>
      </w:r>
      <w:r>
        <w:t xml:space="preserve"> </w:t>
      </w:r>
      <w:r>
        <w:t xml:space="preserve">2d Cir., 781 F.2d 264, 274 (1986).</w:t>
      </w:r>
    </w:p>
    <w:p>
      <w:pPr>
        <w:pStyle w:val="CaseBody"/>
      </w:pPr>
      <w:r>
        <w:t xml:space="preserve">When the Paramount directors met on November 15 to consider QVC's increased tender offer, they remained prisoners of their own misconceptions and missed opportunities to eliminate the restrictions they had imposed on themselves. Yet, it was not "too late" to reconsider negotiating with QVC. The circumstances existing on November 15 made it clear that the defensive measures, taken as a whole, were problematic: (a) the No-Shop Provision could not define or limit their fiduciary duties; (b) the Stock Option Agreement had become "draconian"; and (c) the Termination Fee, in context with all the circumstances, was similarly deterring the realization of possibly higher bids. Nevertheless, the Paramount directors remained paralyzed by their uninformed belief that the QVC offer was "illusory." This final opportunity to negotiate on the stockholders' behalf and to fulfill their obligation to seek the best value reasonably available was thereby squandered.</w:t>
      </w:r>
      <w:hyperlink w:anchor="Xeeceefd1abf5e1d3153cc5ca90469a89b4397f2">
        <w:r>
          <w:rPr>
            <w:rStyle w:val="Hyperlink"/>
            <w:vertAlign w:val="superscript"/>
          </w:rPr>
          <w:t xml:space="preserve">[21]</w:t>
        </w:r>
      </w:hyperlink>
    </w:p>
    <w:bookmarkEnd w:id="313"/>
    <w:bookmarkStart w:id="314" w:name="X526522b427d6ea288ec8c4291243056c863424b"/>
    <w:p>
      <w:pPr>
        <w:pStyle w:val="Heading2"/>
      </w:pPr>
      <w:r>
        <w:t xml:space="preserve">IV. VIACOM'S CLAIM OF VESTED CONTRACT RIGHTS</w:t>
      </w:r>
    </w:p>
    <w:p>
      <w:pPr>
        <w:pStyle w:val="CaseBody"/>
      </w:pPr>
      <w:r>
        <w:t xml:space="preserve">Viacom argues that it had certain "vested" contract rights with respect to the No-Shop Provision and the Stock Option Agreement.</w:t>
      </w:r>
      <w:hyperlink w:anchor="X71fca29e5968055fab351e853680e01bc567f36">
        <w:r>
          <w:rPr>
            <w:rStyle w:val="Hyperlink"/>
            <w:vertAlign w:val="superscript"/>
          </w:rPr>
          <w:t xml:space="preserve">[22]</w:t>
        </w:r>
      </w:hyperlink>
      <w:r>
        <w:t xml:space="preserve"> </w:t>
      </w:r>
      <w:r>
        <w:t xml:space="preserve">In effect, Viacom's argument is that the Paramount directors could enter into an agreement in violation of their fiduciary duties and then render Paramount, and ultimately its stockholders, liable for failing to carry out an agreement in violation of those duties. Viacom's protestations about vested rights are without merit. This Court has found that those defensive measures were improperly designed to deter potential bidders, and that [51] such measures do not meet the reasonableness test to which they must be subjected. They are consequently invalid and unenforceable under the facts of this case.</w:t>
      </w:r>
    </w:p>
    <w:p>
      <w:pPr>
        <w:pStyle w:val="CaseBody"/>
      </w:pPr>
      <w:r>
        <w:t xml:space="preserve">The No-Shop Provision could not validly define or limit the fiduciary duties of the Paramount directors. To the extent that a contract, or a provision thereof, purports to require a board to act or not act in such a fashion as to limit the exercise of fiduciary duties, it is invalid and unenforceable.</w:t>
      </w:r>
      <w:r>
        <w:t xml:space="preserve"> </w:t>
      </w:r>
      <w:r>
        <w:rPr>
          <w:iCs/>
          <w:i/>
        </w:rPr>
        <w:t xml:space="preserve">Cf.</w:t>
      </w:r>
      <w:r>
        <w:t xml:space="preserve"> </w:t>
      </w:r>
      <w:r>
        <w:rPr>
          <w:iCs/>
          <w:i/>
        </w:rPr>
        <w:t xml:space="preserve">Wilmington Trust v. Coulter,</w:t>
      </w:r>
      <w:r>
        <w:t xml:space="preserve"> </w:t>
      </w:r>
      <w:r>
        <w:t xml:space="preserve">200 A.2d at 452-54. Despite the arguments of Paramount and Viacom to the contrary, the Paramount directors could not contract away their fiduciary obligations. Since the No-Shop Provision was invalid, Viacom never had any vested contract rights in the provision.</w:t>
      </w:r>
    </w:p>
    <w:p>
      <w:pPr>
        <w:pStyle w:val="CaseBody"/>
      </w:pPr>
      <w:r>
        <w:t xml:space="preserve">As discussed previously, the Stock Option Agreement contained several "draconian" aspects, including the Note Feature and the Put Feature. While we have held that lock-up options are not</w:t>
      </w:r>
      <w:r>
        <w:t xml:space="preserve"> </w:t>
      </w:r>
      <w:r>
        <w:rPr>
          <w:iCs/>
          <w:i/>
        </w:rPr>
        <w:t xml:space="preserve">per se</w:t>
      </w:r>
      <w:r>
        <w:t xml:space="preserve"> </w:t>
      </w:r>
      <w:r>
        <w:t xml:space="preserve">illegal,</w:t>
      </w:r>
      <w:r>
        <w:t xml:space="preserve"> </w:t>
      </w:r>
      <w:r>
        <w:rPr>
          <w:iCs/>
          <w:i/>
        </w:rPr>
        <w:t xml:space="preserve">see</w:t>
      </w:r>
      <w:r>
        <w:t xml:space="preserve"> </w:t>
      </w:r>
      <w:r>
        <w:rPr>
          <w:iCs/>
          <w:i/>
        </w:rPr>
        <w:t xml:space="preserve">Revlon,</w:t>
      </w:r>
      <w:r>
        <w:t xml:space="preserve"> </w:t>
      </w:r>
      <w:r>
        <w:t xml:space="preserve">506 A.2d at 183, no options with similar features have ever been upheld by this Court. Under the circumstances of this case, the Stock Option Agreement clearly is invalid. Accordingly, Viacom never had any vested contract rights in that Agreement.</w:t>
      </w:r>
    </w:p>
    <w:p>
      <w:pPr>
        <w:pStyle w:val="CaseBody"/>
      </w:pPr>
      <w:r>
        <w:t xml:space="preserve">Viacom, a sophisticated party with experienced legal and financial advisors, knew of (and in fact demanded) the unreasonable features of the Stock Option Agreement. It cannot be now heard to argue that it obtained vested contract rights by negotiating and obtaining contractual provisions from a board acting in violation of its fiduciary duties. As the Nebraska Supreme Court said in rejecting a similar argument in</w:t>
      </w:r>
      <w:r>
        <w:t xml:space="preserve"> </w:t>
      </w:r>
      <w:r>
        <w:rPr>
          <w:iCs/>
          <w:i/>
        </w:rPr>
        <w:t xml:space="preserve">ConAgra, Inc. v. Cargill, Inc.,</w:t>
      </w:r>
      <w:r>
        <w:t xml:space="preserve"> </w:t>
      </w:r>
      <w:r>
        <w:t xml:space="preserve">222 Neb. 136, 382 N.W.2d 576, 587-88 (1986), "To so hold, it would seem, would be to get the shareholders coming and going." Likewise, we reject Viacom's arguments and hold that its fate must rise or fall, and in this instance fall, with the determination that the actions of the Paramount Board were invalid.</w:t>
      </w:r>
    </w:p>
    <w:bookmarkEnd w:id="314"/>
    <w:bookmarkStart w:id="315" w:name="v.-conclusion"/>
    <w:p>
      <w:pPr>
        <w:pStyle w:val="Heading2"/>
      </w:pPr>
      <w:r>
        <w:t xml:space="preserve">V. CONCLUSION</w:t>
      </w:r>
    </w:p>
    <w:p>
      <w:pPr>
        <w:pStyle w:val="CaseBody"/>
      </w:pPr>
      <w:r>
        <w:t xml:space="preserve">The realization of the best value reasonably available to the stockholders became the Paramount directors' primary obligation under these facts in light of the change of control. That obligation was not satisfied, and the Paramount Board's process was deficient. The directors' initial hope and expectation for a strategic alliance with Viacom was allowed to dominate their decisionmaking process to the point where the arsenal of defensive measures established at the outset was perpetuated (not modified or eliminated) when the situation was dramatically altered. QVC's unsolicited bid presented the opportunity for significantly greater value for the stockholders and enhanced negotiating leverage for the directors. Rather than seizing those opportunities, the Paramount directors chose to wall themselves off from material information which was reasonably available and to hide behind the defensive measures as a rationalization for refusing to negotiate with QVC or seeking other alternatives. Their view of the strategic alliance likewise became an empty rationalization as the opportunities for higher value for the stockholders continued to develop.</w:t>
      </w:r>
    </w:p>
    <w:p>
      <w:pPr>
        <w:pStyle w:val="CaseBody"/>
      </w:pPr>
      <w:r>
        <w:t xml:space="preserve">It is the nature of the judicial process that we decide only the case before us — a case which, on its facts, is clearly controlled by established Delaware law. Here, the proposed change of control and the implications thereof were crystal clear. In other cases they may be less clear. The holding of this case on its facts, coupled with the holdings of the principal cases discussed herein where the issue of sale of control is implicated, should provide a workable precedent against which to measure future cases.</w:t>
      </w:r>
    </w:p>
    <w:p>
      <w:pPr>
        <w:pStyle w:val="CaseBody"/>
      </w:pPr>
      <w:r>
        <w:rPr>
          <w:rStyle w:val="Elision"/>
        </w:rPr>
        <w:t xml:space="preserve">[ … ]</w:t>
      </w:r>
    </w:p>
    <w:bookmarkEnd w:id="315"/>
    <w:p>
      <w:pPr>
        <w:pStyle w:val="NodeEnd"/>
      </w:pPr>
      <w:r>
        <w:t xml:space="preserve"> </w:t>
      </w:r>
    </w:p>
    <w:p>
      <w:pPr>
        <w:pStyle w:val="NodeStart"/>
      </w:pPr>
      <w:r>
        <w:t xml:space="preserve"> </w:t>
      </w:r>
    </w:p>
    <w:p>
      <w:pPr>
        <w:pStyle w:val="HeadSeparator"/>
      </w:pPr>
      <w:r>
        <w:t xml:space="preserve"> </w:t>
      </w:r>
    </w:p>
    <w:bookmarkStart w:id="131" w:name="_auto_toc_131"/>
    <w:bookmarkEnd w:id="131"/>
    <w:p>
      <w:pPr>
        <w:pStyle w:val="ResourceNumber"/>
      </w:pPr>
      <w:r>
        <w:t xml:space="preserve">10.2.7</w:t>
      </w:r>
    </w:p>
    <w:p>
      <w:pPr>
        <w:pStyle w:val="ResourceTitle"/>
      </w:pPr>
      <w:r>
        <w:t xml:space="preserve">In re Smurfit-Stone Container Corp. Shareholder Litigation</w:t>
      </w:r>
    </w:p>
    <w:p>
      <w:pPr>
        <w:pStyle w:val="HeadFieldSeparator"/>
      </w:pPr>
      <w:r>
        <w:t xml:space="preserve"> </w:t>
      </w:r>
    </w:p>
    <w:p>
      <w:pPr>
        <w:pStyle w:val="ResourceLink"/>
      </w:pPr>
      <w:hyperlink r:id="rId316">
        <w:r>
          <w:rPr>
            <w:rStyle w:val="Hyperlink"/>
          </w:rPr>
          <w:t xml:space="preserve">https://h2o.law.harvard.edu/collages/3875</w:t>
        </w:r>
      </w:hyperlink>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132" w:name="_auto_toc_132"/>
    <w:bookmarkEnd w:id="132"/>
    <w:p>
      <w:pPr>
        <w:pStyle w:val="ResourceNumber"/>
      </w:pPr>
      <w:r>
        <w:t xml:space="preserve">10.2.8</w:t>
      </w:r>
    </w:p>
    <w:p>
      <w:pPr>
        <w:pStyle w:val="ResourceTitle"/>
      </w:pPr>
      <w:r>
        <w:t xml:space="preserve">In re Lukens Inc. Shareholders Litigation</w:t>
      </w:r>
    </w:p>
    <w:p>
      <w:pPr>
        <w:pStyle w:val="HeadEnd"/>
      </w:pPr>
      <w:r>
        <w:t xml:space="preserve"> </w:t>
      </w:r>
    </w:p>
    <w:p>
      <w:pPr>
        <w:pStyle w:val="CaseHeader"/>
      </w:pPr>
      <w:r>
        <w:t xml:space="preserve">Delaware Court of Chancery</w:t>
      </w:r>
    </w:p>
    <w:p>
      <w:pPr>
        <w:pStyle w:val="CaseHeader"/>
      </w:pPr>
      <w:r>
        <w:t xml:space="preserve">757 A.2d 720</w:t>
      </w:r>
    </w:p>
    <w:p>
      <w:pPr>
        <w:pStyle w:val="CaseHeader"/>
      </w:pPr>
      <w:r>
        <w:t xml:space="preserve">C.A. No. 16102</w:t>
      </w:r>
    </w:p>
    <w:p>
      <w:pPr>
        <w:pStyle w:val="CaseHeader"/>
      </w:pPr>
      <w:r>
        <w:t xml:space="preserve">1999-12-01</w:t>
      </w:r>
    </w:p>
    <w:p>
      <w:pPr>
        <w:pStyle w:val="CaseBody"/>
      </w:pPr>
      <w:r>
        <w:t xml:space="preserve">Submitted: Aug. 17, 1999.</w:t>
      </w:r>
    </w:p>
    <w:p>
      <w:pPr>
        <w:pStyle w:val="CaseBody"/>
      </w:pPr>
      <w:r>
        <w:rPr>
          <w:rStyle w:val="Elision"/>
        </w:rPr>
        <w:t xml:space="preserve">[ … ]</w:t>
      </w:r>
    </w:p>
    <w:bookmarkStart w:id="133" w:name="_auto_toc_133"/>
    <w:bookmarkEnd w:id="133"/>
    <w:p>
      <w:pPr>
        <w:pStyle w:val="ResourceNumber"/>
      </w:pPr>
      <w:r>
        <w:t xml:space="preserve">10.2.9</w:t>
      </w:r>
    </w:p>
    <w:p>
      <w:pPr>
        <w:pStyle w:val="ResourceTitle"/>
      </w:pPr>
      <w:r>
        <w:t xml:space="preserve">In re Santa Fe Pacific Corp. Shareholder Litigation</w:t>
      </w:r>
    </w:p>
    <w:p>
      <w:pPr>
        <w:pStyle w:val="HeadEnd"/>
      </w:pPr>
      <w:r>
        <w:t xml:space="preserve"> </w:t>
      </w:r>
    </w:p>
    <w:p>
      <w:pPr>
        <w:pStyle w:val="CaseHeader"/>
      </w:pPr>
      <w:r>
        <w:t xml:space="preserve">Delaware Supreme Court</w:t>
      </w:r>
    </w:p>
    <w:p>
      <w:pPr>
        <w:pStyle w:val="CaseHeader"/>
      </w:pPr>
      <w:r>
        <w:t xml:space="preserve">669 A.2d 59</w:t>
      </w:r>
    </w:p>
    <w:p>
      <w:pPr>
        <w:pStyle w:val="CaseHeader"/>
      </w:pPr>
      <w:r>
        <w:t xml:space="preserve">No. 224, 1995</w:t>
      </w:r>
    </w:p>
    <w:p>
      <w:pPr>
        <w:pStyle w:val="CaseHeader"/>
      </w:pPr>
      <w:r>
        <w:t xml:space="preserve">1995-11-22</w:t>
      </w:r>
    </w:p>
    <w:p>
      <w:pPr>
        <w:pStyle w:val="CaseBody"/>
      </w:pPr>
      <w:r>
        <w:t xml:space="preserve">Submitted: Oct. 17, 1995.</w:t>
      </w:r>
    </w:p>
    <w:p>
      <w:pPr>
        <w:pStyle w:val="CaseBody"/>
      </w:pPr>
      <w:r>
        <w:t xml:space="preserve">Pamela Tikellis (argued), James C. Strum and Robert J. Kriner, Jr., of Chimicles, Ja-cobsen &amp; Tikellis, Wilmington, Joseph A. Rosenthal and Norman M. Monhait of Ro-senthal, Monhait, Gross &amp; Goddess, P.A., Wilmington, Berger &amp; Montague, P.C., Philadelphia, PA, Burt &amp; Pucillo, West Palm Beach, FL, and Goodkind, Labaton, Rudoff</w:t>
      </w:r>
      <w:r>
        <w:t xml:space="preserve"> </w:t>
      </w:r>
      <w:r>
        <w:rPr>
          <w:iCs/>
          <w:i/>
        </w:rPr>
        <w:t xml:space="preserve">&amp;</w:t>
      </w:r>
      <w:r>
        <w:t xml:space="preserve"> </w:t>
      </w:r>
      <w:r>
        <w:t xml:space="preserve">Sueharow, New York City, for Appellants.</w:t>
      </w:r>
    </w:p>
    <w:p>
      <w:pPr>
        <w:pStyle w:val="CaseBody"/>
      </w:pPr>
      <w:r>
        <w:t xml:space="preserve">R. Franklin Balotti, Anne C. Foster, Scott R. Haiber and Todd C. Schütz of Richards, Layton &amp; Finger, WUmington, Theodore A. Livingston, Jr., Michele Odorizzi (argued), and Christian F. Binnig of Mayer, Brown</w:t>
      </w:r>
      <w:r>
        <w:t xml:space="preserve"> </w:t>
      </w:r>
      <w:r>
        <w:rPr>
          <w:iCs/>
          <w:i/>
        </w:rPr>
        <w:t xml:space="preserve">&amp;</w:t>
      </w:r>
      <w:r>
        <w:t xml:space="preserve"> </w:t>
      </w:r>
      <w:r>
        <w:t xml:space="preserve">Platt, Chicago, IL, of counsel, for Appellees Santa Fe Pacific Corporation.</w:t>
      </w:r>
    </w:p>
    <w:p>
      <w:pPr>
        <w:pStyle w:val="CaseBody"/>
      </w:pPr>
      <w:r>
        <w:t xml:space="preserve">Kenneth J. Nachbar (argued), of Morris, Nichols, Arsht &amp; Tunnell, Wilmington, Dennis E. Glazer and Vincent T. Chang of Davis, Polk &amp; Wardwell, New York City, for Appel-lee Burlington Northern, Inc.</w:t>
      </w:r>
    </w:p>
    <w:p>
      <w:pPr>
        <w:pStyle w:val="CaseBody"/>
      </w:pPr>
      <w:r>
        <w:t xml:space="preserve">Before VEASEY, C.J., WALSH and BERGER, JJ.</w:t>
      </w:r>
    </w:p>
    <w:p>
      <w:pPr>
        <w:pStyle w:val="CaseBody"/>
      </w:pPr>
      <w:r>
        <w:t xml:space="preserve">VEASEY, Chief Justice:</w:t>
      </w:r>
    </w:p>
    <w:p>
      <w:pPr>
        <w:pStyle w:val="CaseBody"/>
      </w:pPr>
      <w:r>
        <w:t xml:space="preserve">In this appeal we decide when, in certain circumstances, a complaint in a corporate matter may properly be dismissed for faüure to state a claim upon which relief can be granted. Plaintiffs, a class of stockholders of Santa Fe Pacific Corporation (“Santa Fe”), appeal the dismissal of their complaint for faüure to state a claim under Rule 12(b)(6) of the Rules of the Court of Chancery (“Chancery Rule 12(b)(6)”). Plaintiffs filed suit against Santa Fe, its directors and Burlington Northern, Inc. (“Burlington”), chaüeng-ing a merger of Santa Fe and Burlington in the face of the efforts of Union Pacific Corporation (“Union Pacific”) to acquire or merge with Santa Fe through a hostile bid.</w:t>
      </w:r>
    </w:p>
    <w:p>
      <w:pPr>
        <w:pStyle w:val="CaseBody"/>
      </w:pPr>
      <w:r>
        <w:t xml:space="preserve">Since this matter was decided by the Court of Chancery on a motion to dismiss, the issue before us is whether, and to what extent, the well-pleaded facts (as distinct from concluso-ry statements), construed most favorably to the plaintiff, can be found to state a claim. We hold that the Court of Chancery correctly found that the plaintiffs faüed to state a claim that there were material omissions in a proxy statement, that the Board of Directors of Santa Fe (the “Board”) was under a duty to obtain the best immediate value reasonably avaüable for the stockholders, or that Burlington is liable for aiding and abetting. We hold, however, that the Court of Chancery erred in dismissing the complaint with regard to the propriety of the Santa Fe directors’ defensive measures under</w:t>
      </w:r>
      <w:r>
        <w:t xml:space="preserve"> </w:t>
      </w:r>
      <w:r>
        <w:rPr>
          <w:iCs/>
          <w:i/>
        </w:rPr>
        <w:t xml:space="preserve">Unocal.</w:t>
      </w:r>
      <w:r>
        <w:t xml:space="preserve"> </w:t>
      </w:r>
      <w:r>
        <w:t xml:space="preserve"> </w:t>
      </w:r>
      <w:r>
        <w:t xml:space="preserve"> </w:t>
      </w:r>
      <w:r>
        <w:t xml:space="preserve">Accordingly, we AFFIRM the dismissal of plaintiffs’ disclosure claim, their claim that the Board breached its duty to seek the highest value reasonably available, and the aiding and abetting claim against Burlington. We REVERSE the dismissal of plaintiffs’ claim that the Board’s defensive actions were unreasonable and disproportionate, and we REMAND.</w:t>
      </w:r>
    </w:p>
    <w:p>
      <w:pPr>
        <w:pStyle w:val="CaseBody"/>
      </w:pPr>
      <w:r>
        <w:t xml:space="preserve">I. FACTS</w:t>
      </w:r>
      <w:r>
        <w:rPr>
          <w:rStyle w:val="FootnoteReference"/>
        </w:rPr>
        <w:footnoteReference w:customMarkFollows="1" w:id="64"/>
        <w:t xml:space="preserve">2</w:t>
      </w:r>
    </w:p>
    <w:p>
      <w:pPr>
        <w:pStyle w:val="CaseBody"/>
      </w:pPr>
      <w:r>
        <w:t xml:space="preserve">Santa Fe is a publicly-held Delaware corporation with interests in railway transportation and petroleum pipelines. Burlington is also a publicly-held Delaware corporation engaged in the railroad business. Beginning in July of 1998, and continuing until November 29, 1993, the two companies discussed a merger. In June of 1994 Santa Fe simultaneously submitted a bid to purchase Kansas City Southern Railway from Kansas City Southern Industries (“KCSI”) and reopened discussions with Burlington regarding a merger with Santa Fe. Subsequently, on June 29, 1994, the Board approved a merger agreement with Burlington (the “First Merger Agreement”) and decided to withdraw its bid for the railroad assets of KCSI.</w:t>
      </w:r>
    </w:p>
    <w:p>
      <w:pPr>
        <w:pStyle w:val="CaseBody"/>
      </w:pPr>
      <w:r>
        <w:t xml:space="preserve">The First Merger Agreement contemplated a merger in which Santa Fe stockholders would receive 0.27 shares of Burlington stock for each Santa Fe share. Based on Burlington’s stock price at the time, the consideration to Santa Fe stockholders was valued at $13.50 per share. Goldman, Sachs &amp; Co. (“Goldman, Sachs”), financial advisor to the Board, delivered a written fairness opinion on June 29. The First Merger Agreement was terminable by either party if the stockholders failed to approve the merger. Further, it did not permit Santa Fe to withdraw if a higher bidder emerged, although it permitted the Board to withdraw its recommendation to stockholders.</w:t>
      </w:r>
    </w:p>
    <w:p>
      <w:pPr>
        <w:pStyle w:val="CaseBody"/>
      </w:pPr>
      <w:r>
        <w:t xml:space="preserve">The Chairman of Union Pacific, Drew Lewis (“Lewis”), contacted Robert D. Krebs (“Krebs”), the CEO of Santa Fe, on October 5,1994 to communicate Union Pacific’s desire to merge with Santa Fe and to schedule a meeting to discuss possible merger terms. Representatives of Santa Fe and Union Pacific met that afternoon, and Santa Fe expressed reservations based on its contractual commitments under the First Merger Agreement and the likelihood that a Santa Fe/Union Pacific merger would not receive the necessary approval from the Interstate Commerce Commission (the “ICC”). Santa Fe also threatened to file suit against Union Pacific if it advanced an unsolicited merger proposal. Union Pacific, nevertheless, proposed a transaction in which Santa Fe stockholders would receive 0.344 shares of Union Pacific stock for each Santa Fe share. Based on Union Pacific’s stock price, the proposal had an indicated value of almost $18 per Santa Fe share. Union Pacific also made clear that its offer was subject to further negotiation.</w:t>
      </w:r>
    </w:p>
    <w:p>
      <w:pPr>
        <w:pStyle w:val="CaseBody"/>
      </w:pPr>
      <w:r>
        <w:t xml:space="preserve">At a meeting the following day, the Board rejected the Union Pacific offer, asserting that a Santa Fe/Union Pacific merger would not receive ICC approval and that Santa Fe was prevented by the First Merger Agreement from considering the Union Pacific offer. Santa Fe also refused to provide Union Pacific with non-public information to assess the value of Santa Fe. On October 26, 1994 Union Pacific provided Santa Fe with a report from a panel of experts which concluded that a Santa Fe/Union Pacific merger would have good prospects of obtaining ICC approval.</w:t>
      </w:r>
    </w:p>
    <w:p>
      <w:pPr>
        <w:pStyle w:val="CaseBody"/>
      </w:pPr>
      <w:r>
        <w:t xml:space="preserve">Burlington and Santa Fe announced a revised merger agreement (the “Amended Merger Agreement”) on October 26, 1994, which increased the exchange ratio from 0.27 shares to 0.34 shares of Burlington stock for each Santa Fe share. The higher exchange ratio indicated a value of $17 per Santa Fe share. Goldman, Sachs opined that the exchange was fair. The other provisions of the First Merger Agreement, including the no-shop clause, remained the same.</w:t>
      </w:r>
    </w:p>
    <w:p>
      <w:pPr>
        <w:pStyle w:val="CaseBody"/>
      </w:pPr>
      <w:r>
        <w:t xml:space="preserve">Union Pacific responded on October 30, 1994 by offering to merge with Santa Fe at an exchange ratio of 0.407 shares of Union Pacific stock for each Santa Fe share. This proposal had an indicated value at the time of $20 per share. Union Pacific also offered to pay a portion of the consideration in cash if Santa Fe desired. Santa Fe rejected this</w:t>
      </w:r>
      <w:r>
        <w:t xml:space="preserve"> </w:t>
      </w:r>
      <w:r>
        <w:rPr>
          <w:iCs/>
          <w:i/>
        </w:rPr>
        <w:t xml:space="preserve">offer</w:t>
      </w:r>
      <w:r>
        <w:t xml:space="preserve"> </w:t>
      </w:r>
      <w:r>
        <w:t xml:space="preserve">on November 2, claiming that the proposed merger would not receive ICC approval. Santa Fe suggested to Union Pacific, however, that it consider the creation of a voting trust to eliminate the risk to Santa Fe stockholders of an ICC rejection of the proposed merger. Union Pacific responded on November 8 with a transaction employing a voting trust structure designed to allow Santa Fe stockholders to receive the merger consideration before ICC approval.</w:t>
      </w:r>
    </w:p>
    <w:p>
      <w:pPr>
        <w:pStyle w:val="CaseBody"/>
      </w:pPr>
      <w:r>
        <w:t xml:space="preserve">The following day, November 9, 1994, Union Pacific commenced a tender offer for 57.1% of Santa Fe’s outstanding shares at $17.50 per share in cash. The tender offer was to be followed by a second-step merger in which Santa Fe stockholders would receive 0.354 shares of Union Pacific stock. The voting trust would continue to be employed. In responding to the Union Pacific tender offer, Santa Fe requested, on November 11, that Burlington consider a renegotiation of the Amended Merger Agreement, and on November 14, rescheduled to December 2, 1994 the special stockholders meeting to consider the Santa Fe/Burlington merger.</w:t>
      </w:r>
    </w:p>
    <w:p>
      <w:pPr>
        <w:pStyle w:val="CaseBody"/>
      </w:pPr>
      <w:r>
        <w:t xml:space="preserve">The Board recommended on November 22 that stockholders not tender their shares to Union Pacific, citing the risks of ICC disapproval, the taxable nature of the tender offer, and the conditions of the offer. Union Pacific responded the same day with a letter to Krebs, citing the voting trust and Union Pacific’s previously expressed willingness to negotiate the terms of its offers. Union Pacific received an informal staff opinion from the ICC on November 28, 1994 authorizing the use of the voting trust structure. On the same day, Union Pacific informed Santa Fe of the opinion.</w:t>
      </w:r>
    </w:p>
    <w:p>
      <w:pPr>
        <w:pStyle w:val="CaseBody"/>
      </w:pPr>
      <w:r>
        <w:t xml:space="preserve">The Board met on November 28 and adopted a Shareholder Rights Plan (the “Rights Plan”) which would become effective if any person, other than Burlington, acquired at least 10% of Santa Fe shares outstanding. On December 2, 1994 Santa Fe initiated discussions with Burlington seeking to modify the terms of the Amended Merger Agreement. Santa Fe suggested that the exchange ratio be increased, that Santa Fe and Burlington conduct a joint tender offer, and that Santa Fe also make open market purchases of stock between the joint tender and the consummation of the merger. On December 14, Santa Fe again postponed its special stockholders’ meeting to January 27, 1995. On December 20, 1994, by a formal order, the ICC approved the voting trust structure.</w:t>
      </w:r>
    </w:p>
    <w:p>
      <w:pPr>
        <w:pStyle w:val="CaseBody"/>
      </w:pPr>
      <w:r>
        <w:t xml:space="preserve">Lewis wrote to Krebs on December 16, 1994 offering to revise the latest Union Pacific proposal if Santa Fe established what Union Pacific considered fair bidding procedures. The same day, Union Pacific also extended the deadline of its tender offer to January 19. On December 17, Krebs responded to Lewis that Santa Fe was not for sale and that the Board was not conducting an auction.</w:t>
      </w:r>
    </w:p>
    <w:p>
      <w:pPr>
        <w:pStyle w:val="CaseBody"/>
      </w:pPr>
      <w:r>
        <w:t xml:space="preserve">On December 18, Burlington and Santa Fe reached agreement on a revised merger agreement (the “Second Amended Merger Agreement”). The Board also announced a joint tender offer for up to 33% of Santa Fe’s common shares at a cash price of $20 per share. Burlington would purchase up to 13% and Santa Fe would purchase up to 20% of its stock. As a result, Burlington would own 16% of the outstanding shares of Santa Fe if the joint offer were fully completed. This would be followed by a merger of Santa Fe and Burlington at an exchange ratio of 0.4 shares of Burlington stock for each Santa Fe share. The indicated value of the merger consideration was $20.60 per Santa Fe share on December 16, 1994. The Second Amended Merger Agreement also included a $50 million termination fee to Burlington if Santa Fe accepted a higher offer and allowed Santa Fe to terminate the agreement if a higher bidder emerged. Santa Fe and Burlington issued a Joint Proxy Statement on January 13, 1995 and a Supplemental Proxy on January 25, 1995 (collectively, the “Joint Proxy”) soliciting approval of the merger.</w:t>
      </w:r>
    </w:p>
    <w:p>
      <w:pPr>
        <w:pStyle w:val="CaseBody"/>
      </w:pPr>
      <w:r>
        <w:t xml:space="preserve">Union Pacific commenced, on January 18, 1995, a tender offer for all shares of Santa Fe at $18.50 per share. The Santa Fe Board voted on January 22 to recommend to its stockholders that they not tender their shares to Union Pacific. Burlington and Santa Fe revised the merger on January 24 to allow Santa Fe to purchase up to 10 million shares subsequent to the joint tender offer and prior to the merger (the “Repurchase Program”). The number of Burlington shares to be exchanged in the merger would remain the same, so that if all ten million shares were repurchased, the exchange ratio would rise to 0.4347 Burlington shares for each Santa Fe share. Burlington and Santa Fe also announced that the Santa Fe Rights Plan had been amended to allow Allegheny Corporation to purchase up to 14.9% of Santa Fe shares without triggering the Rights and that Allegheny had agreed to vote in favor of the Santa Fe/Burlington merger. The proposed Allegheny purchases, the joint tender offer and the Repurchase Program, if fully consummated, would have placed 33% of the shares of Santa Fe in the hands of parties committed to the Burlington/Santa Fe merger.</w:t>
      </w:r>
    </w:p>
    <w:p>
      <w:pPr>
        <w:pStyle w:val="CaseBody"/>
      </w:pPr>
      <w:r>
        <w:t xml:space="preserve">Separate suits filed by Union Pacific and the stockholder plaintiffs challenging the First Merger Agreement were consolidated on October 14,1994. The Court of Chancery denied the plaintiffs’ motion for expedited proceedings on a preliminary injunction on October 18,1994.</w:t>
      </w:r>
      <w:r>
        <w:t xml:space="preserve"> </w:t>
      </w:r>
      <w:r>
        <w:rPr>
          <w:iCs/>
          <w:i/>
        </w:rPr>
        <w:t xml:space="preserve">Union Pac. Corp. v. Santa Fe Pac. Corp.,</w:t>
      </w:r>
      <w:r>
        <w:t xml:space="preserve"> </w:t>
      </w:r>
      <w:r>
        <w:t xml:space="preserve">Del.Ch., C.A. No. 13778,</w:t>
      </w:r>
      <w:r>
        <w:t xml:space="preserve"> </w:t>
      </w:r>
      <w:r>
        <w:t xml:space="preserve">1994 WL 586924</w:t>
      </w:r>
      <w:r>
        <w:t xml:space="preserve"> </w:t>
      </w:r>
      <w:r>
        <w:t xml:space="preserve">(Oct. 18, 1994). Union Pacific and the stockholder plaintiffs moved for expedited proceedings on a preliminary injunction on January 25, 1995. This motion was denied by the Court of Chancery on January 30, 1995,</w:t>
      </w:r>
      <w:r>
        <w:t xml:space="preserve"> </w:t>
      </w:r>
      <w:r>
        <w:rPr>
          <w:iCs/>
          <w:i/>
        </w:rPr>
        <w:t xml:space="preserve">In re Santa Fe Pac. Corp. Shareholder Litig.,</w:t>
      </w:r>
      <w:r>
        <w:t xml:space="preserve"> </w:t>
      </w:r>
      <w:r>
        <w:t xml:space="preserve">Del.Ch., C.A. Nos. 13778 &amp; 13587,</w:t>
      </w:r>
      <w:r>
        <w:t xml:space="preserve"> </w:t>
      </w:r>
      <w:r>
        <w:t xml:space="preserve">1995 WL 54428</w:t>
      </w:r>
      <w:r>
        <w:t xml:space="preserve"> </w:t>
      </w:r>
      <w:r>
        <w:t xml:space="preserve">(Jan. 30, 1995), and Union Pacific withdrew its tender offer the following day.</w:t>
      </w:r>
    </w:p>
    <w:p>
      <w:pPr>
        <w:pStyle w:val="CaseBody"/>
      </w:pPr>
      <w:r>
        <w:t xml:space="preserve">The stockholders of Burlington and Santa Fe voted to approve the merger on February 7,1995. Santa Fe shares which had not been purchased in the Joint Offer or the Repurchase Program were to be exchanged at closing for between 0.40 and 0.4347 shares of Burlington stock. The ICC approved the merger on July 20,1995.</w:t>
      </w:r>
    </w:p>
    <w:p>
      <w:pPr>
        <w:pStyle w:val="CaseBody"/>
      </w:pPr>
      <w:r>
        <w:t xml:space="preserve">After the merger vote, on March 6, 1995, the stockholder plaintiffs filed a revised complaint. Count I alleges that the Board breached its duty to seek the best value reasonably available by failing fully to inform themselves about alternatives to the Burlington merger, failing to implement fair bidding procedures, and favoring Burlington over Union Pacific. Count II of the complaint alleges that the Board took unreasonable and disproportionate defensive measures in response to Union Pacific. Particularly, plaintiffs challenge the Rights Plan, the Joint Tender, the Repurchase Program and the Termination Fee. Count III claims that the Board breached its duty fully to disclose to the stockholders all material facts in connection with the vote on the mei’ger. Plaintiffs claim that the Joint Proxy and Supplemental Joint Proxy omitted facts which would have been material to stockholders voting on the merger. Finally, Count IV alleges that Burlington aided and abetted the claimed breaches of fiduciary duty in the first three counts of the complaint.</w:t>
      </w:r>
    </w:p>
    <w:p>
      <w:pPr>
        <w:pStyle w:val="CaseBody"/>
      </w:pPr>
      <w:r>
        <w:t xml:space="preserve">II. DISCLOSURE CLAIMS</w:t>
      </w:r>
    </w:p>
    <w:p>
      <w:pPr>
        <w:pStyle w:val="CaseBody"/>
      </w:pPr>
      <w:r>
        <w:t xml:space="preserve">Plaintiffs argue on appeal that the Court of Chancery improperly granted Santa Fe’s motion to dismiss the disclosure claims. Plaintiffs claim that the Joint Proxy omitted material facts. Specifically, they claim that the Joint Proxy omitted material information concerning (1) the likelihood of ICC approval of a Santa Fe/Burlington merger; (2) the negotiations which led to approval of the First Merger Agreement; and (3) Santa Fe’s earlier offer to acquire or merge with KCSI. Notably, they have not alleged material misstatements.</w:t>
      </w:r>
    </w:p>
    <w:p>
      <w:pPr>
        <w:pStyle w:val="CaseBody"/>
      </w:pPr>
      <w:r>
        <w:t xml:space="preserve">When this Court reviews a dismissal under Chancery Rule 12(b)(6), it determines “whether it appears with reasonable certainty that, under any set of facts which could be proven to support the claim, plaintiffs would not be entitled to relief.”</w:t>
      </w:r>
      <w:r>
        <w:t xml:space="preserve"> </w:t>
      </w:r>
      <w:r>
        <w:rPr>
          <w:iCs/>
          <w:i/>
        </w:rPr>
        <w:t xml:space="preserve">In re Tri-Star Pictures, Inc. Litig.,</w:t>
      </w:r>
      <w:r>
        <w:t xml:space="preserve"> </w:t>
      </w:r>
      <w:r>
        <w:t xml:space="preserve">Del.Supr.,</w:t>
      </w:r>
      <w:r>
        <w:t xml:space="preserve"> </w:t>
      </w:r>
      <w:r>
        <w:t xml:space="preserve">634 A.2d 319</w:t>
      </w:r>
      <w:r>
        <w:t xml:space="preserve">, 326 (1993). This review is generally limited to the well-pleaded facts contained in the complaint.</w:t>
      </w:r>
      <w:r>
        <w:t xml:space="preserve"> </w:t>
      </w:r>
      <w:r>
        <w:rPr>
          <w:iCs/>
          <w:i/>
        </w:rPr>
        <w:t xml:space="preserve">Id.</w:t>
      </w:r>
      <w:r>
        <w:t xml:space="preserve"> </w:t>
      </w:r>
      <w:r>
        <w:t xml:space="preserve">Conclusory allegations will not be accepted as true without specific supporting factual allegations.</w:t>
      </w:r>
      <w:r>
        <w:t xml:space="preserve"> </w:t>
      </w:r>
      <w:r>
        <w:rPr>
          <w:iCs/>
          <w:i/>
        </w:rPr>
        <w:t xml:space="preserve">Id.</w:t>
      </w:r>
      <w:r>
        <w:t xml:space="preserve"> </w:t>
      </w:r>
      <w:r>
        <w:t xml:space="preserve">Non-disclosure claims must provide some basis for a court to infer that the alleged omissions were material.</w:t>
      </w:r>
      <w:r>
        <w:t xml:space="preserve"> </w:t>
      </w:r>
      <w:r>
        <w:rPr>
          <w:iCs/>
          <w:i/>
        </w:rPr>
        <w:t xml:space="preserve">In re Wheelabrator Tech., Inc. Shareholders Litig.,</w:t>
      </w:r>
      <w:r>
        <w:t xml:space="preserve"> </w:t>
      </w:r>
      <w:r>
        <w:t xml:space="preserve">Del.Ch., C.A. No. 11495, slip op. at 6 n. 7,</w:t>
      </w:r>
      <w:r>
        <w:t xml:space="preserve"> </w:t>
      </w:r>
      <w:r>
        <w:t xml:space="preserve">18</w:t>
      </w:r>
      <w:r>
        <w:t xml:space="preserve"> </w:t>
      </w:r>
      <w:r>
        <w:rPr>
          <w:iCs/>
          <w:i/>
        </w:rPr>
        <w:t xml:space="preserve">Del.J.Corp.L. 778</w:t>
      </w:r>
      <w:r>
        <w:rPr>
          <w:iCs/>
          <w:i/>
        </w:rPr>
        <w:t xml:space="preserve">,</w:t>
      </w:r>
      <w:r>
        <w:t xml:space="preserve"> </w:t>
      </w:r>
      <w:r>
        <w:t xml:space="preserve">788,</w:t>
      </w:r>
      <w:r>
        <w:t xml:space="preserve"> </w:t>
      </w:r>
      <w:r>
        <w:t xml:space="preserve">1992 WL 212595</w:t>
      </w:r>
      <w:r>
        <w:t xml:space="preserve">, Jacobs, V.C. (Sept. 1,1992).</w:t>
      </w:r>
    </w:p>
    <w:p>
      <w:pPr>
        <w:pStyle w:val="CaseBody"/>
      </w:pPr>
      <w:r>
        <w:t xml:space="preserve">When seeking the affirmative vote of stockholders, the Board has a duty to disclose all material information.</w:t>
      </w:r>
      <w:r>
        <w:t xml:space="preserve"> </w:t>
      </w:r>
      <w:r>
        <w:rPr>
          <w:iCs/>
          <w:i/>
        </w:rPr>
        <w:t xml:space="preserve">Zirn v. VLI Corp.,</w:t>
      </w:r>
      <w:r>
        <w:t xml:space="preserve"> </w:t>
      </w:r>
      <w:r>
        <w:t xml:space="preserve">Del.Supr.,</w:t>
      </w:r>
      <w:r>
        <w:t xml:space="preserve"> </w:t>
      </w:r>
      <w:r>
        <w:t xml:space="preserve">621 A.2d 773</w:t>
      </w:r>
      <w:r>
        <w:t xml:space="preserve">, 778 (1993). The materiality standard requires that directors disclose all facts which, “under all the circumstances, ... would have assumed actual significance in the deliberations of the reasonable shareholder.”</w:t>
      </w:r>
      <w:r>
        <w:t xml:space="preserve"> </w:t>
      </w:r>
      <w:r>
        <w:rPr>
          <w:iCs/>
          <w:i/>
        </w:rPr>
        <w:t xml:space="preserve">Arnold v. Soc’y for Sav. Bancorp., Inc.,</w:t>
      </w:r>
      <w:r>
        <w:t xml:space="preserve"> </w:t>
      </w:r>
      <w:r>
        <w:t xml:space="preserve">Del.Supr.,</w:t>
      </w:r>
      <w:r>
        <w:t xml:space="preserve"> </w:t>
      </w:r>
      <w:r>
        <w:t xml:space="preserve">650 A.2d 1270</w:t>
      </w:r>
      <w:r>
        <w:t xml:space="preserve">, 1277 (1994) (quoting</w:t>
      </w:r>
      <w:r>
        <w:t xml:space="preserve"> </w:t>
      </w:r>
      <w:r>
        <w:rPr>
          <w:iCs/>
          <w:i/>
        </w:rPr>
        <w:t xml:space="preserve">TSC Indus. v. Northway, Inc.,</w:t>
      </w:r>
      <w:r>
        <w:t xml:space="preserve"> </w:t>
      </w:r>
      <w:r>
        <w:t xml:space="preserve">426 U.S. 438</w:t>
      </w:r>
      <w:r>
        <w:t xml:space="preserve">, 449,</w:t>
      </w:r>
      <w:r>
        <w:t xml:space="preserve"> </w:t>
      </w:r>
      <w:r>
        <w:t xml:space="preserve">96 S.Ct. 2126</w:t>
      </w:r>
      <w:r>
        <w:t xml:space="preserve">, 2132,</w:t>
      </w:r>
      <w:r>
        <w:t xml:space="preserve"> </w:t>
      </w:r>
      <w:r>
        <w:t xml:space="preserve">48 L.Ed.2d 757</w:t>
      </w:r>
      <w:r>
        <w:t xml:space="preserve"> </w:t>
      </w:r>
      <w:r>
        <w:t xml:space="preserve">(1976)).</w:t>
      </w:r>
    </w:p>
    <w:p>
      <w:pPr>
        <w:pStyle w:val="CaseBody"/>
      </w:pPr>
      <w:r>
        <w:t xml:space="preserve">Plaintiffs claim that the Joint Proxy “identifies, but fails to discuss the risks of not obtaining, and thus the likelihood of approval of, the Santa Fe/BNI [Burlington] merger.” The Joint Proxy identified the risk factors in the approval process and stated the Board’s overall conclusion with respect to ICC approval of the merger. It is noteworthy that Plaintiffs do</w:t>
      </w:r>
      <w:r>
        <w:t xml:space="preserve"> </w:t>
      </w:r>
      <w:r>
        <w:rPr>
          <w:iCs/>
          <w:i/>
        </w:rPr>
        <w:t xml:space="preserve">not</w:t>
      </w:r>
      <w:r>
        <w:t xml:space="preserve"> </w:t>
      </w:r>
      <w:r>
        <w:t xml:space="preserve">allege that the Board did not honestly hold this belief. Rather, they argue that the Joint</w:t>
      </w:r>
      <w:r>
        <w:t xml:space="preserve"> </w:t>
      </w:r>
      <w:r>
        <w:rPr>
          <w:iCs/>
          <w:i/>
        </w:rPr>
        <w:t xml:space="preserve">Proxy</w:t>
      </w:r>
      <w:r>
        <w:t xml:space="preserve"> </w:t>
      </w:r>
      <w:r>
        <w:t xml:space="preserve">should have provided more elaboration of the basis for a possible ICC rejection of the merger. With respect to the risks of disapproval, the Joint Proxy stated at page 30:</w:t>
      </w:r>
    </w:p>
    <w:p>
      <w:pPr>
        <w:pStyle w:val="BlockText"/>
      </w:pPr>
      <w:r>
        <w:t xml:space="preserve">Although the SFP Board believe that it is likely that the ICC will approve a BNI-SFP merger, there is a risk that the ICC might find that the benefits to the public and the applicants from a BNI-SFP merger were outweighed by the potential harm to the public produced by such a merger, particularly any reduction in rail competition, harm to essential rail services or other factors deemed detrimental to the public interest. Opponents of the transaction may raise a number of challenges to the proposal, including allegations of diminution ip competition, claims of harm to essential rail services, criticisms of the scale of the benefits claimed by SFP and BNI, complaints about the fairness of the exchange ratio to the stockholders of the two companies, concerns about the effect of the transaction on affected employees of the two companies and similar points. For example, there are some limited areas where the BN Railroad and SFP Rail systems do overlap — such as in Amarillo and Lubbock, Texas — and it is probable that objections will be raised during the ICC proceeding about the reduction in rail competition in those areas. SFP and BNI have advised the ICC of their willingness to negotiate ameliorative arrangements to address any such reductions in competition.</w:t>
      </w:r>
    </w:p>
    <w:p>
      <w:pPr>
        <w:pStyle w:val="CaseBody"/>
      </w:pPr>
      <w:r>
        <w:t xml:space="preserve">This statement sufficiently apprised Santa Fe stockholders of the risk factors, and the Board should not have been required to speculate about the intentions and arguments of third parties.</w:t>
      </w:r>
    </w:p>
    <w:p>
      <w:pPr>
        <w:pStyle w:val="CaseBody"/>
      </w:pPr>
      <w:r>
        <w:t xml:space="preserve">Plaintiffs also allege that the Joint Proxy failed to include a description of the substance of the negotiations between Santa Fe and Burlington leading to the First Merger Agreement. Plaintiffs claim that greater disclosure of the substance of the negotiations would have shown “the zeal with which the Board negotiated the transaction....” The Joint Proxy does disclose that Santa Fe and Burlington negotiated for five days from June 24 through June 29, 1994 before reaching agreement on the First Merger Agreement. The Joint Proxy also discloses that Santa Fe and Burlington had negotiated for much of 1993 before ending the talks in November 1993. Even assuming</w:t>
      </w:r>
      <w:r>
        <w:t xml:space="preserve"> </w:t>
      </w:r>
      <w:r>
        <w:rPr>
          <w:iCs/>
          <w:i/>
        </w:rPr>
        <w:t xml:space="preserve">arguendo</w:t>
      </w:r>
      <w:r>
        <w:t xml:space="preserve"> </w:t>
      </w:r>
      <w:r>
        <w:t xml:space="preserve">the materiality of the Board’s “zeal,” stockholders could easily compare the relative lengths of time spent negotiating in 1993 and 1994 and reach their own conclusions with respect to the implications. We find no disclosure violation on this ground.</w:t>
      </w:r>
    </w:p>
    <w:p>
      <w:pPr>
        <w:pStyle w:val="CaseBody"/>
      </w:pPr>
      <w:r>
        <w:t xml:space="preserve">Finally, Plaintiffs claim that the Joint Proxy should have disclosed “the terms of Santa Fe’s aborted proposal to acquire KCSI, the potential benefits to Santa Fe stockholders from a business combination with KCSI and how such benefits compared to a Santa Fe/[Burlington] transaction, or the reasons for withdrawing the KCSI bid in favor of the First [Burlington] Merger Proposal.” The Joint Proxy ran to 108 detailed pages. The stockholders were not asked to consider a merger with KCSI, and KCSI was not a bidder for Santa Fe. Additional information comparing and contrasting the Burlington merger with a hypothetical KCSI merger was not material and would have yielded little benefit at the cost of added complexity. There is also no disclosure violation on this ground.</w:t>
      </w:r>
    </w:p>
    <w:p>
      <w:pPr>
        <w:pStyle w:val="CaseBody"/>
      </w:pPr>
      <w:r>
        <w:t xml:space="preserve">Accordingly, we hold that the Court of Chancery committed no error in dismissing the disclosure claims.</w:t>
      </w:r>
    </w:p>
    <w:p>
      <w:pPr>
        <w:pStyle w:val="CaseBody"/>
      </w:pPr>
      <w:r>
        <w:t xml:space="preserve">III. THE EFFECT OF A FULLY-INFORMED STOCKHOLDER VOTE</w:t>
      </w:r>
    </w:p>
    <w:p>
      <w:pPr>
        <w:pStyle w:val="CaseBody"/>
      </w:pPr>
      <w:r>
        <w:t xml:space="preserve">Santa Fe argues on appeal that the fully-informed vote of a majority of Santa Fe stockholders extinguishes the Plaintiffs’ claims under</w:t>
      </w:r>
      <w:r>
        <w:t xml:space="preserve"> </w:t>
      </w:r>
      <w:r>
        <w:rPr>
          <w:iCs/>
          <w:i/>
        </w:rPr>
        <w:t xml:space="preserve">Unocal v. Mesa Petroleum Co.,</w:t>
      </w:r>
      <w:r>
        <w:t xml:space="preserve"> </w:t>
      </w:r>
      <w:r>
        <w:t xml:space="preserve">Del.Supr.,</w:t>
      </w:r>
      <w:r>
        <w:t xml:space="preserve"> </w:t>
      </w:r>
      <w:r>
        <w:t xml:space="preserve">498 A.2d 946</w:t>
      </w:r>
      <w:r>
        <w:t xml:space="preserve"> </w:t>
      </w:r>
      <w:r>
        <w:t xml:space="preserve">(1985), and</w:t>
      </w:r>
      <w:r>
        <w:t xml:space="preserve"> </w:t>
      </w:r>
      <w:r>
        <w:rPr>
          <w:iCs/>
          <w:i/>
        </w:rPr>
        <w:t xml:space="preserve">Revlon, Inc. v. MacAndrews &amp; Forbes Holdings, Inc.,</w:t>
      </w:r>
      <w:r>
        <w:t xml:space="preserve"> </w:t>
      </w:r>
      <w:r>
        <w:t xml:space="preserve">Del.Supr.,</w:t>
      </w:r>
      <w:r>
        <w:t xml:space="preserve"> </w:t>
      </w:r>
      <w:r>
        <w:t xml:space="preserve">506 A.2d 173</w:t>
      </w:r>
      <w:r>
        <w:t xml:space="preserve"> </w:t>
      </w:r>
      <w:r>
        <w:t xml:space="preserve">(1986). The Court of Chancery found that the fully-informed stockholder vote ratified the challenged transaction and extinguished any claims that the Board breached its duty of care. Plaintiffs have not challenged this decision on appeal.</w:t>
      </w:r>
    </w:p>
    <w:p>
      <w:pPr>
        <w:pStyle w:val="CaseBody"/>
      </w:pPr>
      <w:r>
        <w:t xml:space="preserve">The Court of Chancery held, with respect to the</w:t>
      </w:r>
      <w:r>
        <w:t xml:space="preserve"> </w:t>
      </w:r>
      <w:r>
        <w:rPr>
          <w:iCs/>
          <w:i/>
        </w:rPr>
        <w:t xml:space="preserve">Revlon</w:t>
      </w:r>
      <w:r>
        <w:t xml:space="preserve"> </w:t>
      </w:r>
      <w:r>
        <w:t xml:space="preserve">and</w:t>
      </w:r>
      <w:r>
        <w:t xml:space="preserve"> </w:t>
      </w:r>
      <w:r>
        <w:rPr>
          <w:iCs/>
          <w:i/>
        </w:rPr>
        <w:t xml:space="preserve">Unocal</w:t>
      </w:r>
      <w:r>
        <w:t xml:space="preserve"> </w:t>
      </w:r>
      <w:r>
        <w:t xml:space="preserve">claims, that a fully-informed stockholder vote does not extinguish a claim for breaches of the duty of loyalty. Categorizing these claims as arising from the duty of loyalty, the court declined to allow the vote of stockholders on the merger to extinguish the claims. Santa Fe offers the ratification theory as an alternative basis for affirming the dismissal of the</w:t>
      </w:r>
      <w:r>
        <w:t xml:space="preserve"> </w:t>
      </w:r>
      <w:r>
        <w:rPr>
          <w:iCs/>
          <w:i/>
        </w:rPr>
        <w:t xml:space="preserve">Revlon</w:t>
      </w:r>
      <w:r>
        <w:t xml:space="preserve"> </w:t>
      </w:r>
      <w:r>
        <w:t xml:space="preserve">and</w:t>
      </w:r>
      <w:r>
        <w:t xml:space="preserve"> </w:t>
      </w:r>
      <w:r>
        <w:rPr>
          <w:iCs/>
          <w:i/>
        </w:rPr>
        <w:t xml:space="preserve">Unocal</w:t>
      </w:r>
      <w:r>
        <w:t xml:space="preserve"> </w:t>
      </w:r>
      <w:r>
        <w:t xml:space="preserve">claims. As an issue of law, we review the trial court’s decision</w:t>
      </w:r>
      <w:r>
        <w:t xml:space="preserve"> </w:t>
      </w:r>
      <w:r>
        <w:rPr>
          <w:iCs/>
          <w:i/>
        </w:rPr>
        <w:t xml:space="preserve">de novo. State v. Maxwell,</w:t>
      </w:r>
      <w:r>
        <w:t xml:space="preserve"> </w:t>
      </w:r>
      <w:r>
        <w:t xml:space="preserve">Del.Supr.,</w:t>
      </w:r>
      <w:r>
        <w:t xml:space="preserve"> </w:t>
      </w:r>
      <w:r>
        <w:t xml:space="preserve">624 A.2d 926</w:t>
      </w:r>
      <w:r>
        <w:t xml:space="preserve">, 928 (1993).</w:t>
      </w:r>
    </w:p>
    <w:p>
      <w:pPr>
        <w:pStyle w:val="CaseBody"/>
      </w:pPr>
      <w:r>
        <w:t xml:space="preserve">Before reaching the merits of Santa Fe’s argument, plaintiffs’ procedural argument must be addressed. Plaintiffs argue that Santa Fe has forfeited its right to raise the ratification argument since it failed to file a cross-appeal from the judgment below. Plaintiffs’ argument fails to consider, however, that Santa Fe could hardly appeal the dismissal of all claims against it. Santa Fe is not challenging the judgment below or seeking to enlarge its legal rights.</w:t>
      </w:r>
      <w:r>
        <w:t xml:space="preserve"> </w:t>
      </w:r>
      <w:r>
        <w:rPr>
          <w:iCs/>
          <w:i/>
        </w:rPr>
        <w:t xml:space="preserve">See, e.g., Hoffman v. Dann,</w:t>
      </w:r>
      <w:r>
        <w:t xml:space="preserve"> </w:t>
      </w:r>
      <w:r>
        <w:t xml:space="preserve">Del.Supr.,</w:t>
      </w:r>
      <w:r>
        <w:t xml:space="preserve"> </w:t>
      </w:r>
      <w:r>
        <w:t xml:space="preserve">205 A.2d 343</w:t>
      </w:r>
      <w:r>
        <w:t xml:space="preserve">, 355 (1964);</w:t>
      </w:r>
      <w:r>
        <w:t xml:space="preserve"> </w:t>
      </w:r>
      <w:r>
        <w:rPr>
          <w:iCs/>
          <w:i/>
        </w:rPr>
        <w:t xml:space="preserve">Chrysler Corp. v. Quimby,</w:t>
      </w:r>
      <w:r>
        <w:t xml:space="preserve"> </w:t>
      </w:r>
      <w:r>
        <w:t xml:space="preserve">Supr.,</w:t>
      </w:r>
      <w:r>
        <w:t xml:space="preserve"> </w:t>
      </w:r>
      <w:r>
        <w:t xml:space="preserve">51 Del. 264</w:t>
      </w:r>
      <w:r>
        <w:t xml:space="preserve">,</w:t>
      </w:r>
      <w:r>
        <w:t xml:space="preserve"> </w:t>
      </w:r>
      <w:r>
        <w:t xml:space="preserve">144 A.2d 885</w:t>
      </w:r>
      <w:r>
        <w:t xml:space="preserve">, 886 (1958);</w:t>
      </w:r>
      <w:r>
        <w:t xml:space="preserve"> </w:t>
      </w:r>
      <w:r>
        <w:rPr>
          <w:iCs/>
          <w:i/>
        </w:rPr>
        <w:t xml:space="preserve">cf. Universal Underwriters Ins. Co. v. The Travelers Ins. Co.,</w:t>
      </w:r>
      <w:r>
        <w:t xml:space="preserve"> </w:t>
      </w:r>
      <w:r>
        <w:t xml:space="preserve">Del.Supr.,</w:t>
      </w:r>
      <w:r>
        <w:t xml:space="preserve"> </w:t>
      </w:r>
      <w:r>
        <w:t xml:space="preserve">669 A.2d 45</w:t>
      </w:r>
      <w:r>
        <w:t xml:space="preserve">, 49, Walsh, J. (1995) (holding that appellee may not assert argument on appeal which would modify the decision of the trial court in the absence of a cross-appeal). Rather, it is offering an alternative ground, fairly raised below, for this Court to affirm the Court of Chancery. Thus, no cross-appeal is required or appropriate.</w:t>
      </w:r>
    </w:p>
    <w:p>
      <w:pPr>
        <w:pStyle w:val="CaseBody"/>
      </w:pPr>
      <w:r>
        <w:t xml:space="preserve">While the Court of Chancery concluded that claimed breaches of the duty of loyalty are not extinguished by a fully-informed stockholder vote and that</w:t>
      </w:r>
      <w:r>
        <w:t xml:space="preserve"> </w:t>
      </w:r>
      <w:r>
        <w:rPr>
          <w:iCs/>
          <w:i/>
        </w:rPr>
        <w:t xml:space="preserve">Revlon</w:t>
      </w:r>
      <w:r>
        <w:t xml:space="preserve"> </w:t>
      </w:r>
      <w:r>
        <w:t xml:space="preserve">and</w:t>
      </w:r>
      <w:r>
        <w:t xml:space="preserve"> </w:t>
      </w:r>
      <w:r>
        <w:rPr>
          <w:iCs/>
          <w:i/>
        </w:rPr>
        <w:t xml:space="preserve">Unocal</w:t>
      </w:r>
      <w:r>
        <w:t xml:space="preserve"> </w:t>
      </w:r>
      <w:r>
        <w:t xml:space="preserve">claims are duty of loyalty claims for ratification purposes, we reach the same result on different grounds.</w:t>
      </w:r>
      <w:r>
        <w:t xml:space="preserve"> </w:t>
      </w:r>
      <w:r>
        <w:rPr>
          <w:iCs/>
          <w:i/>
        </w:rPr>
        <w:t xml:space="preserve">Revlon</w:t>
      </w:r>
      <w:r>
        <w:t xml:space="preserve"> </w:t>
      </w:r>
      <w:r>
        <w:t xml:space="preserve">and</w:t>
      </w:r>
      <w:r>
        <w:t xml:space="preserve"> </w:t>
      </w:r>
      <w:r>
        <w:rPr>
          <w:iCs/>
          <w:i/>
        </w:rPr>
        <w:t xml:space="preserve">Unocal</w:t>
      </w:r>
      <w:r>
        <w:t xml:space="preserve"> </w:t>
      </w:r>
      <w:r>
        <w:t xml:space="preserve">and the duties of a Board when faced with a contest for corporate control do not admit of easy categorization as duties of care or loyalty.</w:t>
      </w:r>
      <w:r>
        <w:rPr>
          <w:rStyle w:val="FootnoteReference"/>
        </w:rPr>
        <w:footnoteReference w:customMarkFollows="1" w:id="90"/>
        <w:t xml:space="preserve">3</w:t>
      </w:r>
      <w:r>
        <w:t xml:space="preserve"> </w:t>
      </w:r>
      <w:r>
        <w:t xml:space="preserve">In any event, categorizing these more specific duties as primarily arising from due care or loyalty would not be nearly as helpful in determining the effect of a fully-informed stockholder vote as would an examination of their underlying purposes.</w:t>
      </w:r>
    </w:p>
    <w:p>
      <w:pPr>
        <w:pStyle w:val="CaseBody"/>
      </w:pPr>
      <w:r>
        <w:t xml:space="preserve">The</w:t>
      </w:r>
      <w:r>
        <w:t xml:space="preserve"> </w:t>
      </w:r>
      <w:r>
        <w:rPr>
          <w:iCs/>
          <w:i/>
        </w:rPr>
        <w:t xml:space="preserve">Unocal</w:t>
      </w:r>
      <w:r>
        <w:t xml:space="preserve"> </w:t>
      </w:r>
      <w:r>
        <w:t xml:space="preserve">standard of enhanced judicial scrutiny rests in part on an “assiduous ... concern about defensive actions designed to thwart the essence of corporate democracy by disenfranchising shareholders.”</w:t>
      </w:r>
      <w:r>
        <w:t xml:space="preserve"> </w:t>
      </w:r>
      <w:r>
        <w:rPr>
          <w:iCs/>
          <w:i/>
        </w:rPr>
        <w:t xml:space="preserve">Unitrin, Inc. v. American Gen. Corp.,</w:t>
      </w:r>
      <w:r>
        <w:t xml:space="preserve"> </w:t>
      </w:r>
      <w:r>
        <w:t xml:space="preserve">Del.Supr.,</w:t>
      </w:r>
      <w:r>
        <w:t xml:space="preserve"> </w:t>
      </w:r>
      <w:r>
        <w:t xml:space="preserve">651 A.2d 1361</w:t>
      </w:r>
      <w:r>
        <w:t xml:space="preserve">, 1378 (1995). In</w:t>
      </w:r>
      <w:r>
        <w:t xml:space="preserve"> </w:t>
      </w:r>
      <w:r>
        <w:rPr>
          <w:iCs/>
          <w:i/>
        </w:rPr>
        <w:t xml:space="preserve">Unitrin,</w:t>
      </w:r>
      <w:r>
        <w:t xml:space="preserve"> </w:t>
      </w:r>
      <w:r>
        <w:t xml:space="preserve">referring to</w:t>
      </w:r>
      <w:r>
        <w:t xml:space="preserve"> </w:t>
      </w:r>
      <w:r>
        <w:rPr>
          <w:iCs/>
          <w:i/>
        </w:rPr>
        <w:t xml:space="preserve">Stroud v. Grace,</w:t>
      </w:r>
      <w:r>
        <w:t xml:space="preserve"> </w:t>
      </w:r>
      <w:r>
        <w:t xml:space="preserve">Del.Supr.,</w:t>
      </w:r>
      <w:r>
        <w:t xml:space="preserve"> </w:t>
      </w:r>
      <w:r>
        <w:t xml:space="preserve">606 A.2d 75</w:t>
      </w:r>
      <w:r>
        <w:t xml:space="preserve"> </w:t>
      </w:r>
      <w:r>
        <w:t xml:space="preserve">(1992), we stated:</w:t>
      </w:r>
    </w:p>
    <w:p>
      <w:pPr>
        <w:pStyle w:val="BlockText"/>
      </w:pPr>
      <w:r>
        <w:t xml:space="preserve">This Court also specifically noted that boards of directors often interfere with the exercise of shareholder voting when an acquiror</w:t>
      </w:r>
      <w:r>
        <w:t xml:space="preserve"> </w:t>
      </w:r>
      <w:r>
        <w:rPr>
          <w:iCs/>
          <w:i/>
        </w:rPr>
        <w:t xml:space="preserve">launches both a proxy fight and a tender offer.</w:t>
      </w:r>
      <w:r>
        <w:t xml:space="preserve"> </w:t>
      </w:r>
      <w:r>
        <w:t xml:space="preserve">We then stated that such action “necessarily invoked both</w:t>
      </w:r>
      <w:r>
        <w:t xml:space="preserve"> </w:t>
      </w:r>
      <w:r>
        <w:rPr>
          <w:iCs/>
          <w:i/>
        </w:rPr>
        <w:t xml:space="preserve">Unocal</w:t>
      </w:r>
      <w:r>
        <w:t xml:space="preserve"> </w:t>
      </w:r>
      <w:r>
        <w:t xml:space="preserve">and</w:t>
      </w:r>
      <w:r>
        <w:t xml:space="preserve"> </w:t>
      </w:r>
      <w:r>
        <w:rPr>
          <w:iCs/>
          <w:i/>
        </w:rPr>
        <w:t xml:space="preserve">Blasius”</w:t>
      </w:r>
      <w:r>
        <w:t xml:space="preserve"> </w:t>
      </w:r>
      <w:r>
        <w:t xml:space="preserve">because “both [tests] recognize the inherent conflicts of interest that arise when shareholders are not permitted free exercise of their franchise.” Consequently, we concluded that, “[i]n certain circumstances, [the judiciary] must recognize the special import of protecting the shareholders’ franchise within Unocal’s requirement that any defensive measure be proportionate and ‘reasonable in relation to the threat posed.’ ”</w:t>
      </w:r>
    </w:p>
    <w:p>
      <w:pPr>
        <w:pStyle w:val="CaseBody"/>
      </w:pPr>
      <w:r>
        <w:rPr>
          <w:iCs/>
          <w:i/>
        </w:rPr>
        <w:t xml:space="preserve">Id.</w:t>
      </w:r>
      <w:r>
        <w:t xml:space="preserve"> </w:t>
      </w:r>
      <w:r>
        <w:t xml:space="preserve">at 1379 (citations and footnotes omitted).</w:t>
      </w:r>
      <w:r>
        <w:t xml:space="preserve"> </w:t>
      </w:r>
      <w:r>
        <w:rPr>
          <w:iCs/>
          <w:i/>
        </w:rPr>
        <w:t xml:space="preserve">Revlon</w:t>
      </w:r>
      <w:r>
        <w:t xml:space="preserve"> </w:t>
      </w:r>
      <w:r>
        <w:t xml:space="preserve">also rests on “the overriding importance of voting rights, ...”</w:t>
      </w:r>
      <w:r>
        <w:t xml:space="preserve"> </w:t>
      </w:r>
      <w:r>
        <w:rPr>
          <w:iCs/>
          <w:i/>
        </w:rPr>
        <w:t xml:space="preserve">Paramount Communications, Inc. v. QVC Network, Inc.,</w:t>
      </w:r>
      <w:r>
        <w:t xml:space="preserve"> </w:t>
      </w:r>
      <w:r>
        <w:t xml:space="preserve">Del.Supr.,</w:t>
      </w:r>
      <w:r>
        <w:t xml:space="preserve"> </w:t>
      </w:r>
      <w:r>
        <w:t xml:space="preserve">637 A.2d 34</w:t>
      </w:r>
      <w:r>
        <w:t xml:space="preserve">, 42 (1993).</w:t>
      </w:r>
    </w:p>
    <w:p>
      <w:pPr>
        <w:pStyle w:val="CaseBody"/>
      </w:pPr>
      <w:r>
        <w:t xml:space="preserve">Permitting the vote of a majority of stockholders on a merger to remove from judicial scrutiny unilateral Board action in a contest for corporate control would frustrate the purposes underlying</w:t>
      </w:r>
      <w:r>
        <w:t xml:space="preserve"> </w:t>
      </w:r>
      <w:r>
        <w:rPr>
          <w:iCs/>
          <w:i/>
        </w:rPr>
        <w:t xml:space="preserve">Revlon</w:t>
      </w:r>
      <w:r>
        <w:t xml:space="preserve"> </w:t>
      </w:r>
      <w:r>
        <w:t xml:space="preserve">and</w:t>
      </w:r>
      <w:r>
        <w:t xml:space="preserve"> </w:t>
      </w:r>
      <w:r>
        <w:rPr>
          <w:iCs/>
          <w:i/>
        </w:rPr>
        <w:t xml:space="preserve">Unocal.</w:t>
      </w:r>
      <w:r>
        <w:t xml:space="preserve"> </w:t>
      </w:r>
      <w:r>
        <w:t xml:space="preserve">Board action which coerces stockholders to accede to a transaction to which they otherwise would not agree is problematic.</w:t>
      </w:r>
      <w:r>
        <w:t xml:space="preserve"> </w:t>
      </w:r>
      <w:r>
        <w:rPr>
          <w:iCs/>
          <w:i/>
        </w:rPr>
        <w:t xml:space="preserve">See Paramount Communications, Inc. v. Time Inc.,</w:t>
      </w:r>
      <w:r>
        <w:t xml:space="preserve"> </w:t>
      </w:r>
      <w:r>
        <w:t xml:space="preserve">Del.Supr.,</w:t>
      </w:r>
      <w:r>
        <w:t xml:space="preserve"> </w:t>
      </w:r>
      <w:r>
        <w:t xml:space="preserve">571 A.2d 1140</w:t>
      </w:r>
      <w:r>
        <w:t xml:space="preserve">, 1154 (1990) (“We have found that even in light of a valid threat, management actions that are coercive in nature or force upon shareholders a management sponsored alternative to a hostile offer may be struck down as unreasonable and non-proportionate responses.”). Thus, enhanced judicial scrutiny of Board action is designed to assure that stockholders vote or decide to tender in an atmosphere free from undue coercion.</w:t>
      </w:r>
      <w:r>
        <w:t xml:space="preserve"> </w:t>
      </w:r>
      <w:r>
        <w:rPr>
          <w:iCs/>
          <w:i/>
        </w:rPr>
        <w:t xml:space="preserve">Unitrin,</w:t>
      </w:r>
      <w:r>
        <w:t xml:space="preserve"> </w:t>
      </w:r>
      <w:r>
        <w:t xml:space="preserve">651 A.2d at 1388</w:t>
      </w:r>
      <w:r>
        <w:t xml:space="preserve">.</w:t>
      </w:r>
    </w:p>
    <w:p>
      <w:pPr>
        <w:pStyle w:val="CaseBody"/>
      </w:pPr>
      <w:r>
        <w:t xml:space="preserve">In voting to approve the Santa Fe-Burlington merger, the Santa Fe stockholders were not asked to ratify the Board’s unilateral decision to erect defensive measures against the Union Pacific offer. The stockholders were merely offered a choice between the Burlington Merger and doing nothing. The Santa Fe stockholders did not vote in favor of the precise measures under challenge in the complaint. Here, the defensive measures had allegedly already worked their effect before the stockholders had a chance to vote.</w:t>
      </w:r>
      <w:r>
        <w:rPr>
          <w:rStyle w:val="FootnoteReference"/>
        </w:rPr>
        <w:footnoteReference w:customMarkFollows="1" w:id="114"/>
        <w:t xml:space="preserve">4</w:t>
      </w:r>
      <w:r>
        <w:t xml:space="preserve"> </w:t>
      </w:r>
      <w:r>
        <w:t xml:space="preserve">In voting on the merger, the Santa Fe stockholders did not specifically vote in favor of the Rights Plan, the Joint Tender or the Termination Fee.</w:t>
      </w:r>
      <w:r>
        <w:rPr>
          <w:rStyle w:val="FootnoteReference"/>
        </w:rPr>
        <w:footnoteReference w:customMarkFollows="1" w:id="137"/>
        <w:t xml:space="preserve">5</w:t>
      </w:r>
    </w:p>
    <w:p>
      <w:pPr>
        <w:pStyle w:val="CaseBody"/>
      </w:pPr>
      <w:r>
        <w:t xml:space="preserve">Since the stockholders of Santa Fe merely voted in favor of the merger and not the defensive measures, we decline to find ratification in this instance. Accordingly, we now turn to the merits of plaintiffs’</w:t>
      </w:r>
      <w:r>
        <w:t xml:space="preserve"> </w:t>
      </w:r>
      <w:r>
        <w:rPr>
          <w:iCs/>
          <w:i/>
        </w:rPr>
        <w:t xml:space="preserve">Unocal</w:t>
      </w:r>
      <w:r>
        <w:t xml:space="preserve"> </w:t>
      </w:r>
      <w:r>
        <w:t xml:space="preserve">and</w:t>
      </w:r>
      <w:r>
        <w:t xml:space="preserve"> </w:t>
      </w:r>
      <w:r>
        <w:rPr>
          <w:iCs/>
          <w:i/>
        </w:rPr>
        <w:t xml:space="preserve">Revlon</w:t>
      </w:r>
      <w:r>
        <w:t xml:space="preserve"> </w:t>
      </w:r>
      <w:r>
        <w:t xml:space="preserve">claims.</w:t>
      </w:r>
    </w:p>
    <w:p>
      <w:pPr>
        <w:pStyle w:val="CaseBody"/>
      </w:pPr>
      <w:r>
        <w:t xml:space="preserve">IV. THE CLAIMS SEEKING ENHANCED JUDICIAL SCRUTINY</w:t>
      </w:r>
    </w:p>
    <w:p>
      <w:pPr>
        <w:pStyle w:val="CaseBody"/>
      </w:pPr>
      <w:r>
        <w:t xml:space="preserve">The Court of Chancery dismissed on the merits the plaintiffs’ claims under</w:t>
      </w:r>
      <w:r>
        <w:t xml:space="preserve"> </w:t>
      </w:r>
      <w:r>
        <w:rPr>
          <w:iCs/>
          <w:i/>
        </w:rPr>
        <w:t xml:space="preserve">Revlon</w:t>
      </w:r>
      <w:r>
        <w:t xml:space="preserve"> </w:t>
      </w:r>
      <w:r>
        <w:t xml:space="preserve">and</w:t>
      </w:r>
      <w:r>
        <w:t xml:space="preserve"> </w:t>
      </w:r>
      <w:r>
        <w:rPr>
          <w:iCs/>
          <w:i/>
        </w:rPr>
        <w:t xml:space="preserve">Unocal.</w:t>
      </w:r>
      <w:r>
        <w:t xml:space="preserve"> </w:t>
      </w:r>
      <w:r>
        <w:t xml:space="preserve">Since we have determined that a fully-informed stockholder vote on the merger did not extinguish claimed breaches of the duties imposed by</w:t>
      </w:r>
      <w:r>
        <w:t xml:space="preserve"> </w:t>
      </w:r>
      <w:r>
        <w:rPr>
          <w:iCs/>
          <w:i/>
        </w:rPr>
        <w:t xml:space="preserve">Revlon</w:t>
      </w:r>
      <w:r>
        <w:t xml:space="preserve"> </w:t>
      </w:r>
      <w:r>
        <w:t xml:space="preserve">and</w:t>
      </w:r>
      <w:r>
        <w:t xml:space="preserve"> </w:t>
      </w:r>
      <w:r>
        <w:rPr>
          <w:iCs/>
          <w:i/>
        </w:rPr>
        <w:t xml:space="preserve">Unocal,</w:t>
      </w:r>
      <w:r>
        <w:t xml:space="preserve"> </w:t>
      </w:r>
      <w:r>
        <w:t xml:space="preserve">we now review the Court of Chancery’s dismissal of those claims. Before reaching the claims, we first must address a question regarding the proper approach to a motion to dismiss under Chancery Rule 12(b)(6).</w:t>
      </w:r>
    </w:p>
    <w:p>
      <w:pPr>
        <w:pStyle w:val="CaseBody"/>
      </w:pPr>
      <w:r>
        <w:t xml:space="preserve">A. Chancery Rule 12(b)(6)</w:t>
      </w:r>
    </w:p>
    <w:p>
      <w:pPr>
        <w:pStyle w:val="CaseBody"/>
      </w:pPr>
      <w:r>
        <w:t xml:space="preserve">Plaintiffs argue on appeal that the Court of Chancery improperly considered documents outside the pleadings in ruling on defendants’ motion to dismiss. Generally, matters outside the pleadings should not be considered in ruling on a motion to dismiss. Chancery Rule 12(b) provides:</w:t>
      </w:r>
    </w:p>
    <w:p>
      <w:pPr>
        <w:pStyle w:val="BlockText"/>
      </w:pPr>
      <w:r>
        <w:t xml:space="preserve">If, on a motion asserting the defense numbered (6) to dismiss for failure of the pleading to state a claim upon which relief can be granted, matters outside the pleading are presented to and not excluded by the Court, the motion shall be treated as one for summary judgment and disposed of as provided in Rule 56, and all parties shall be given reasonable opportunity to present all material made pertinent to such a motion by Rule 56.</w:t>
      </w:r>
    </w:p>
    <w:p>
      <w:pPr>
        <w:pStyle w:val="CaseBody"/>
      </w:pPr>
      <w:r>
        <w:t xml:space="preserve">Thus, if a party presents documents in support of its Rule 12(b)(6) motion and the court considers the documents, it generally must treat the motion as one for summary judgment.</w:t>
      </w:r>
      <w:r>
        <w:t xml:space="preserve"> </w:t>
      </w:r>
      <w:r>
        <w:rPr>
          <w:iCs/>
          <w:i/>
        </w:rPr>
        <w:t xml:space="preserve">In re Tri-Star Pictures, Inc.,</w:t>
      </w:r>
      <w:r>
        <w:t xml:space="preserve"> </w:t>
      </w:r>
      <w:r>
        <w:t xml:space="preserve">Del.Supr.,</w:t>
      </w:r>
      <w:r>
        <w:t xml:space="preserve"> </w:t>
      </w:r>
      <w:r>
        <w:t xml:space="preserve">634 A.2d 319</w:t>
      </w:r>
      <w:r>
        <w:t xml:space="preserve">, 326 (1993). Before a motion for summary judgment is ripe for decision, the non-movant normally should have an opportunity for some discovery.</w:t>
      </w:r>
      <w:r>
        <w:t xml:space="preserve"> </w:t>
      </w:r>
      <w:r>
        <w:rPr>
          <w:iCs/>
          <w:i/>
        </w:rPr>
        <w:t xml:space="preserve">See</w:t>
      </w:r>
      <w:r>
        <w:t xml:space="preserve"> </w:t>
      </w:r>
      <w:r>
        <w:t xml:space="preserve">Chancery Rule 56(e);</w:t>
      </w:r>
      <w:r>
        <w:t xml:space="preserve"> </w:t>
      </w:r>
      <w:r>
        <w:rPr>
          <w:iCs/>
          <w:i/>
        </w:rPr>
        <w:t xml:space="preserve">Mann v. Oppenheimer &amp; Co.,</w:t>
      </w:r>
      <w:r>
        <w:t xml:space="preserve"> </w:t>
      </w:r>
      <w:r>
        <w:t xml:space="preserve">Del.Supr.,</w:t>
      </w:r>
      <w:r>
        <w:t xml:space="preserve"> </w:t>
      </w:r>
      <w:r>
        <w:t xml:space="preserve">517 A.2d 1056</w:t>
      </w:r>
      <w:r>
        <w:t xml:space="preserve">, 1060 (1986).</w:t>
      </w:r>
    </w:p>
    <w:p>
      <w:pPr>
        <w:pStyle w:val="CaseBody"/>
      </w:pPr>
      <w:r>
        <w:t xml:space="preserve">The Court of Chancery, in ruling on the motion to dismiss, here, considered the Joint Proxy in its decision on all allegations of the complaint. The Court relied on the Joint Proxy and took the following as pleaded facts:</w:t>
      </w:r>
    </w:p>
    <w:p>
      <w:pPr>
        <w:pStyle w:val="BlockText"/>
      </w:pPr>
      <w:r>
        <w:t xml:space="preserve">What the complaint does allege is that the Santa Fe board (which except for defendant Krebs, is not claimed to have been other than disinterested and independent) negotiated a merger with [Burlington] based on its assessment of the strategic desirability of that combination. (Joint Proxy Statement at 24, 30, 41-42, incoipo-rated by reference into the complaint). The [Burlington] transaction was believed to offer, significant benefits in terms of geographic coverage, improved efficiency for customers through the provision of single-line service, a diversified traffic base, operating efficiencies, and financial strength.</w:t>
      </w:r>
      <w:r>
        <w:t xml:space="preserve"> </w:t>
      </w:r>
      <w:r>
        <w:rPr>
          <w:iCs/>
          <w:i/>
        </w:rPr>
        <w:t xml:space="preserve">(Id.</w:t>
      </w:r>
      <w:r>
        <w:t xml:space="preserve"> </w:t>
      </w:r>
      <w:r>
        <w:t xml:space="preserve">at 41-42).</w:t>
      </w:r>
    </w:p>
    <w:p>
      <w:pPr>
        <w:pStyle w:val="BlockText"/>
      </w:pPr>
      <w:r>
        <w:t xml:space="preserve">The Santa Fe board concluded that Union Pacific’s initial offer was a threat, not only because it was economically and strategically inferior to the initial [Burlington] merger, but also because that offer posed a high risk of ICC disapproval. These conclusions were based on the business judgment of the Santa Fe directors, who relied on the expert advice of Santa Fe’s independent investment bankers and regulatory analysts.</w:t>
      </w:r>
      <w:r>
        <w:t xml:space="preserve"> </w:t>
      </w:r>
      <w:r>
        <w:rPr>
          <w:iCs/>
          <w:i/>
        </w:rPr>
        <w:t xml:space="preserve">(Id.</w:t>
      </w:r>
      <w:r>
        <w:t xml:space="preserve"> </w:t>
      </w:r>
      <w:r>
        <w:t xml:space="preserve">at 28-29). No facts are alleged from which one could conclude that that perception was not reasonable.</w:t>
      </w:r>
    </w:p>
    <w:p>
      <w:pPr>
        <w:pStyle w:val="CaseBody"/>
      </w:pPr>
      <w:r>
        <w:rPr>
          <w:iCs/>
          <w:i/>
        </w:rPr>
        <w:t xml:space="preserve">In re Santa Fe Pac. Corp. Shareholder Litig.,</w:t>
      </w:r>
      <w:r>
        <w:t xml:space="preserve"> </w:t>
      </w:r>
      <w:r>
        <w:t xml:space="preserve">Del.Ch., C.A. No. 13587, slip op. at 19-20,</w:t>
      </w:r>
      <w:r>
        <w:t xml:space="preserve"> </w:t>
      </w:r>
      <w:r>
        <w:t xml:space="preserve">1995 WL 334258</w:t>
      </w:r>
      <w:r>
        <w:t xml:space="preserve"> </w:t>
      </w:r>
      <w:r>
        <w:t xml:space="preserve">(May 31, 1995). It was certainly proper to consult the Joint Proxy to analyze the disclosure claim because the operative facts relating to such a claim</w:t>
      </w:r>
      <w:r>
        <w:t xml:space="preserve"> </w:t>
      </w:r>
      <w:r>
        <w:rPr>
          <w:iCs/>
          <w:i/>
        </w:rPr>
        <w:t xml:space="preserve">perforce</w:t>
      </w:r>
      <w:r>
        <w:t xml:space="preserve"> </w:t>
      </w:r>
      <w:r>
        <w:t xml:space="preserve">depend upon the language of the Joint Proxy. Thus, the document is used not to establish the truth of the statements therein, but to examine only what is disclosed.</w:t>
      </w:r>
    </w:p>
    <w:p>
      <w:pPr>
        <w:pStyle w:val="CaseBody"/>
      </w:pPr>
      <w:r>
        <w:t xml:space="preserve">The Court of Chancery has considered documents referred to in complaints when ruling on motions to dismiss.</w:t>
      </w:r>
      <w:r>
        <w:rPr>
          <w:rStyle w:val="FootnoteReference"/>
        </w:rPr>
        <w:footnoteReference w:customMarkFollows="1" w:id="159"/>
        <w:t xml:space="preserve">6</w:t>
      </w:r>
      <w:r>
        <w:t xml:space="preserve"> </w:t>
      </w:r>
      <w:r>
        <w:t xml:space="preserve">In particular instances and for carefully limited purposes, this may be an appropriate practice on a motion to dismiss.</w:t>
      </w:r>
      <w:r>
        <w:t xml:space="preserve"> </w:t>
      </w:r>
      <w:r>
        <w:rPr>
          <w:iCs/>
          <w:i/>
        </w:rPr>
        <w:t xml:space="preserve">Abbey v. E.W. Scripps Co.,</w:t>
      </w:r>
      <w:r>
        <w:t xml:space="preserve"> </w:t>
      </w:r>
      <w:r>
        <w:t xml:space="preserve">Del.Ch., C.A. No. 13397, Allen, C., mem. op. at 4 n. 1,</w:t>
      </w:r>
      <w:r>
        <w:t xml:space="preserve"> </w:t>
      </w:r>
      <w:r>
        <w:t xml:space="preserve">1995 WL 478957</w:t>
      </w:r>
      <w:r>
        <w:t xml:space="preserve"> </w:t>
      </w:r>
      <w:r>
        <w:t xml:space="preserve">(August 9, 1995) (“In deciding a motion to dismiss under Rule 12(b)(6), the court may judiciously rely on proxy statements not to resolve disputed facts but at least to establish what was disclosed to shareholders.”). The practice appears to have originated with the federal courts in securities law complaints.</w:t>
      </w:r>
      <w:r>
        <w:t xml:space="preserve"> </w:t>
      </w:r>
      <w:r>
        <w:rPr>
          <w:iCs/>
          <w:i/>
        </w:rPr>
        <w:t xml:space="preserve">Patents Mgmt. Corp. v. O’Connor,</w:t>
      </w:r>
      <w:r>
        <w:t xml:space="preserve"> </w:t>
      </w:r>
      <w:r>
        <w:t xml:space="preserve">Del.Ch., C.A. No. 7110, Walsh, V.C., letter op. at 2,</w:t>
      </w:r>
      <w:r>
        <w:t xml:space="preserve"> </w:t>
      </w:r>
      <w:r>
        <w:t xml:space="preserve">1985 WL 11576</w:t>
      </w:r>
      <w:r>
        <w:t xml:space="preserve"> </w:t>
      </w:r>
      <w:r>
        <w:t xml:space="preserve">(June 10, 1985) (“[T]he federal courts, in ruling upon motions to dismiss under the Federal Rule of Civil Procedure 12(b)(6), have taken into account documents, such as proxy statements, where the complaint relies on such documents.”).</w:t>
      </w:r>
    </w:p>
    <w:p>
      <w:pPr>
        <w:pStyle w:val="CaseBody"/>
      </w:pPr>
      <w:r>
        <w:t xml:space="preserve">The practice, however, has been viewed and justified by the federal courts as a necessary, but limited, exception to the standard Rule 12(b)(6) procedure. The exception has been used in cases in which the document is integral to a plaintiffs claim and incorporated in the complaint, such as a securities claim.</w:t>
      </w:r>
      <w:r>
        <w:t xml:space="preserve"> </w:t>
      </w:r>
      <w:r>
        <w:rPr>
          <w:iCs/>
          <w:i/>
        </w:rPr>
        <w:t xml:space="preserve">Cortec Indus., Inc. v. Sum Holding, L.P.,</w:t>
      </w:r>
      <w:r>
        <w:t xml:space="preserve"> </w:t>
      </w:r>
      <w:r>
        <w:t xml:space="preserve">2d Cir.,</w:t>
      </w:r>
      <w:r>
        <w:t xml:space="preserve"> </w:t>
      </w:r>
      <w:r>
        <w:t xml:space="preserve">949 F.2d 42</w:t>
      </w:r>
      <w:r>
        <w:t xml:space="preserve">, 47 (1991);</w:t>
      </w:r>
      <w:r>
        <w:t xml:space="preserve"> </w:t>
      </w:r>
      <w:r>
        <w:rPr>
          <w:iCs/>
          <w:i/>
        </w:rPr>
        <w:t xml:space="preserve">see also Pension Benefit Guar. Corp. v. White Consol. Indus. Inc.,</w:t>
      </w:r>
      <w:r>
        <w:t xml:space="preserve"> </w:t>
      </w:r>
      <w:r>
        <w:t xml:space="preserve">3d Cir.,</w:t>
      </w:r>
      <w:r>
        <w:t xml:space="preserve"> </w:t>
      </w:r>
      <w:r>
        <w:t xml:space="preserve">998 F.2d 1192</w:t>
      </w:r>
      <w:r>
        <w:t xml:space="preserve">, 1196 (1993) (purchase agreement);</w:t>
      </w:r>
      <w:r>
        <w:t xml:space="preserve"> </w:t>
      </w:r>
      <w:r>
        <w:rPr>
          <w:iCs/>
          <w:i/>
        </w:rPr>
        <w:t xml:space="preserve">Goodwin v. Elkins &amp; Co.,</w:t>
      </w:r>
      <w:r>
        <w:t xml:space="preserve"> </w:t>
      </w:r>
      <w:r>
        <w:t xml:space="preserve">3d Cir.,</w:t>
      </w:r>
      <w:r>
        <w:t xml:space="preserve"> </w:t>
      </w:r>
      <w:r>
        <w:t xml:space="preserve">730 F.2d 99</w:t>
      </w:r>
      <w:r>
        <w:t xml:space="preserve">, 113-14 (1984) (Becker, J. concurring) (partnership agreement);</w:t>
      </w:r>
      <w:r>
        <w:t xml:space="preserve"> </w:t>
      </w:r>
      <w:r>
        <w:rPr>
          <w:iCs/>
          <w:i/>
        </w:rPr>
        <w:t xml:space="preserve">I. Meyer Pincus &amp;</w:t>
      </w:r>
      <w:r>
        <w:t xml:space="preserve"> </w:t>
      </w:r>
      <w:r>
        <w:t xml:space="preserve">Assocs.</w:t>
      </w:r>
      <w:r>
        <w:t xml:space="preserve"> </w:t>
      </w:r>
      <w:r>
        <w:rPr>
          <w:iCs/>
          <w:i/>
        </w:rPr>
        <w:t xml:space="preserve">v. Oppenheimer &amp; Co., Inc.,</w:t>
      </w:r>
      <w:r>
        <w:t xml:space="preserve"> </w:t>
      </w:r>
      <w:r>
        <w:t xml:space="preserve">2d Cir.,</w:t>
      </w:r>
      <w:r>
        <w:t xml:space="preserve"> </w:t>
      </w:r>
      <w:r>
        <w:t xml:space="preserve">936 F.2d 759</w:t>
      </w:r>
      <w:r>
        <w:t xml:space="preserve">, 762 (1991) (prospectus). Federal courts consider documents outside the pleadings when “the documents are the very documents that are alleged to contain the various misrepresentations or omissions and are relevant not to prove the truth of their contents but</w:t>
      </w:r>
      <w:r>
        <w:t xml:space="preserve"> </w:t>
      </w:r>
      <w:r>
        <w:rPr>
          <w:iCs/>
          <w:i/>
        </w:rPr>
        <w:t xml:space="preserve">only</w:t>
      </w:r>
      <w:r>
        <w:t xml:space="preserve"> </w:t>
      </w:r>
      <w:r>
        <w:t xml:space="preserve">to determine what the documents stated.”</w:t>
      </w:r>
      <w:r>
        <w:t xml:space="preserve"> </w:t>
      </w:r>
      <w:r>
        <w:rPr>
          <w:iCs/>
          <w:i/>
        </w:rPr>
        <w:t xml:space="preserve">Kramer v. Time Warner, Inc.,</w:t>
      </w:r>
      <w:r>
        <w:t xml:space="preserve"> </w:t>
      </w:r>
      <w:r>
        <w:t xml:space="preserve">2d Cir.,</w:t>
      </w:r>
      <w:r>
        <w:t xml:space="preserve"> </w:t>
      </w:r>
      <w:r>
        <w:t xml:space="preserve">937 F.2d 767</w:t>
      </w:r>
      <w:r>
        <w:t xml:space="preserve">, 774 (1991) (emphasis added). Courts have also considered the relevant publication in libel cases</w:t>
      </w:r>
      <w:r>
        <w:rPr>
          <w:rStyle w:val="FootnoteReference"/>
        </w:rPr>
        <w:footnoteReference w:customMarkFollows="1" w:id="179"/>
        <w:t xml:space="preserve">7</w:t>
      </w:r>
      <w:r>
        <w:t xml:space="preserve">, and the contract in breach of contract cases</w:t>
      </w:r>
      <w:r>
        <w:rPr>
          <w:rStyle w:val="FootnoteReference"/>
        </w:rPr>
        <w:footnoteReference w:customMarkFollows="1" w:id="198"/>
        <w:t xml:space="preserve">8</w:t>
      </w:r>
      <w:r>
        <w:t xml:space="preserve">. Without the ability to consider the document at issue, “complaints that quoted only selected and misleading portions of such documents could not be dismissed under Rule 12(b)(6) even though they would be doomed to failure.”</w:t>
      </w:r>
      <w:r>
        <w:t xml:space="preserve"> </w:t>
      </w:r>
      <w:r>
        <w:rPr>
          <w:iCs/>
          <w:i/>
        </w:rPr>
        <w:t xml:space="preserve">Kramer,</w:t>
      </w:r>
      <w:r>
        <w:t xml:space="preserve"> </w:t>
      </w:r>
      <w:r>
        <w:t xml:space="preserve">937 F.2d at 774</w:t>
      </w:r>
      <w:r>
        <w:t xml:space="preserve">.</w:t>
      </w:r>
    </w:p>
    <w:p>
      <w:pPr>
        <w:pStyle w:val="CaseBody"/>
      </w:pPr>
      <w:r>
        <w:t xml:space="preserve">Cases in which claims arising out of a document are paired with substantive claims arising out of the events described in the disclosure documents present a situation which may be unique to corporation law. Considering this instance, using the Joint Proxy to consider</w:t>
      </w:r>
      <w:r>
        <w:t xml:space="preserve"> </w:t>
      </w:r>
      <w:r>
        <w:rPr>
          <w:iCs/>
          <w:i/>
        </w:rPr>
        <w:t xml:space="preserve">all</w:t>
      </w:r>
      <w:r>
        <w:t xml:space="preserve"> </w:t>
      </w:r>
      <w:r>
        <w:t xml:space="preserve">of the claims reaches well beyond the justification for the exception and leads to anomalous results. The Court of Chancery has considered a document, the Joint Proxy, which may not be admissible for all purposes at trial with respect to the</w:t>
      </w:r>
      <w:r>
        <w:t xml:space="preserve"> </w:t>
      </w:r>
      <w:r>
        <w:rPr>
          <w:iCs/>
          <w:i/>
        </w:rPr>
        <w:t xml:space="preserve">Revlon</w:t>
      </w:r>
      <w:r>
        <w:t xml:space="preserve"> </w:t>
      </w:r>
      <w:r>
        <w:t xml:space="preserve">and</w:t>
      </w:r>
      <w:r>
        <w:t xml:space="preserve"> </w:t>
      </w:r>
      <w:r>
        <w:rPr>
          <w:iCs/>
          <w:i/>
        </w:rPr>
        <w:t xml:space="preserve">Unocal</w:t>
      </w:r>
      <w:r>
        <w:t xml:space="preserve"> </w:t>
      </w:r>
      <w:r>
        <w:t xml:space="preserve">claims. If the Joint Proxy were relied upon for the truth of the matters contained therein, it would be hearsay with respect to claims other than the disclosure claims.</w:t>
      </w:r>
      <w:r>
        <w:t xml:space="preserve"> </w:t>
      </w:r>
      <w:r>
        <w:rPr>
          <w:iCs/>
          <w:i/>
        </w:rPr>
        <w:t xml:space="preserve">See Hal Roach Studios, Inc. v. Richard Feiner &amp; Co., Inc.,</w:t>
      </w:r>
      <w:r>
        <w:t xml:space="preserve"> </w:t>
      </w:r>
      <w:r>
        <w:t xml:space="preserve">9th Cir.,</w:t>
      </w:r>
      <w:r>
        <w:t xml:space="preserve"> </w:t>
      </w:r>
      <w:r>
        <w:t xml:space="preserve">896 F.2d 1542</w:t>
      </w:r>
      <w:r>
        <w:t xml:space="preserve">, 1552-53 (1990) (holding that S-l Registration Statement is hearsay when used to prove the truth of the matters contained therein but admitting the S-l under the catch-all exception to hearsay rule);</w:t>
      </w:r>
      <w:r>
        <w:t xml:space="preserve"> </w:t>
      </w:r>
      <w:r>
        <w:rPr>
          <w:iCs/>
          <w:i/>
        </w:rPr>
        <w:t xml:space="preserve">White Indus., Inc. v. Cessna Aircraft Co.,</w:t>
      </w:r>
      <w:r>
        <w:t xml:space="preserve"> </w:t>
      </w:r>
      <w:r>
        <w:t xml:space="preserve">W.D.Mo.,</w:t>
      </w:r>
      <w:r>
        <w:t xml:space="preserve"> </w:t>
      </w:r>
      <w:r>
        <w:t xml:space="preserve">611 F.Supp. 1049</w:t>
      </w:r>
      <w:r>
        <w:t xml:space="preserve">, 1068-69 (1985) (holding that Form 10-K and prospectus are hearsay with respect to the truth of matters asserted therein). At trial or on a motion for summary judgment, testimony of board members, or perhaps board minutes, may be admissible to show what the Board perceived as the threat and the justification for the defensive measures.</w:t>
      </w:r>
      <w:r>
        <w:rPr>
          <w:rStyle w:val="FootnoteReference"/>
        </w:rPr>
        <w:footnoteReference w:customMarkFollows="1" w:id="217"/>
        <w:t xml:space="preserve">9</w:t>
      </w:r>
      <w:r>
        <w:t xml:space="preserve"> </w:t>
      </w:r>
      <w:r>
        <w:t xml:space="preserve">When a proxy statement is merely appended to the complaint and relied upon for the disclosure claims, but is not put forth by plaintiffs as an admission of the truth of the facts referred to therein, the defendants may not use it at the pleading stage for purposes other than disclosure issues or perhaps to establish formal, uncontested matters.</w:t>
      </w:r>
    </w:p>
    <w:p>
      <w:pPr>
        <w:pStyle w:val="CaseBody"/>
      </w:pPr>
      <w:r>
        <w:t xml:space="preserve">The Joint Proxy may not be considered with respect to the</w:t>
      </w:r>
      <w:r>
        <w:t xml:space="preserve"> </w:t>
      </w:r>
      <w:r>
        <w:rPr>
          <w:iCs/>
          <w:i/>
        </w:rPr>
        <w:t xml:space="preserve">Revlon</w:t>
      </w:r>
      <w:r>
        <w:t xml:space="preserve"> </w:t>
      </w:r>
      <w:r>
        <w:t xml:space="preserve">and</w:t>
      </w:r>
      <w:r>
        <w:t xml:space="preserve"> </w:t>
      </w:r>
      <w:r>
        <w:rPr>
          <w:iCs/>
          <w:i/>
        </w:rPr>
        <w:t xml:space="preserve">Unocal</w:t>
      </w:r>
      <w:r>
        <w:t xml:space="preserve"> </w:t>
      </w:r>
      <w:r>
        <w:t xml:space="preserve">claims simply because the plaintiffs also happened to allege disclosure violations in the same complaint. The mere fortuity of the presence of a disclosure claim in the same complaint with substantive claims should not open the door to wholesale use of the Joint Proxy. The Court of Chancery should not have considered the assertions in the Joint Proxy in support of defendants’ motion to dismiss the</w:t>
      </w:r>
      <w:r>
        <w:t xml:space="preserve"> </w:t>
      </w:r>
      <w:r>
        <w:rPr>
          <w:iCs/>
          <w:i/>
        </w:rPr>
        <w:t xml:space="preserve">Revlon</w:t>
      </w:r>
      <w:r>
        <w:t xml:space="preserve"> </w:t>
      </w:r>
      <w:r>
        <w:t xml:space="preserve">and</w:t>
      </w:r>
      <w:r>
        <w:t xml:space="preserve"> </w:t>
      </w:r>
      <w:r>
        <w:rPr>
          <w:iCs/>
          <w:i/>
        </w:rPr>
        <w:t xml:space="preserve">Unocal</w:t>
      </w:r>
      <w:r>
        <w:t xml:space="preserve"> </w:t>
      </w:r>
      <w:r>
        <w:t xml:space="preserve">claims.</w:t>
      </w:r>
    </w:p>
    <w:p>
      <w:pPr>
        <w:pStyle w:val="CaseBody"/>
      </w:pPr>
      <w:r>
        <w:t xml:space="preserve">We now review the motion to dismiss</w:t>
      </w:r>
      <w:r>
        <w:t xml:space="preserve"> </w:t>
      </w:r>
      <w:r>
        <w:rPr>
          <w:iCs/>
          <w:i/>
        </w:rPr>
        <w:t xml:space="preserve">de novo</w:t>
      </w:r>
      <w:r>
        <w:t xml:space="preserve"> </w:t>
      </w:r>
      <w:r>
        <w:t xml:space="preserve">looking only to the face of the complaint. .</w:t>
      </w:r>
    </w:p>
    <w:p>
      <w:pPr>
        <w:pStyle w:val="CaseBody"/>
      </w:pPr>
      <w:r>
        <w:t xml:space="preserve">B. The Duty to Seek the Highest Value Reasonably Available</w:t>
      </w:r>
    </w:p>
    <w:p>
      <w:pPr>
        <w:pStyle w:val="CaseBody"/>
      </w:pPr>
      <w:r>
        <w:t xml:space="preserve">Plaintiffs appear to rest their claim of a duty to seek the best value reasonably available on allegations that the Board initiated an active bidding process. Plaintiffs do not consider, however, that this method of invoking the duty requires that the Board also seek to sell control of the company or take other actions which would result in a break-up of the company. While the Board properly encouraged Union Pacific to improve its offer and may have used the results as leverage against Burlington, the Plaintiffs do not allege that the Board at any point decided to pursue a transaction which would result in a sale of control of Santa Fe to Burlington. Rather, the complaint portrays the Board as firmly committed to a stock-for-stock merger with Burlington.</w:t>
      </w:r>
    </w:p>
    <w:p>
      <w:pPr>
        <w:pStyle w:val="CaseBody"/>
      </w:pPr>
      <w:r>
        <w:t xml:space="preserve">Conspicuously absent from the complaint is a description of the stock ownership structure of Burlington. Absent this factual averment, plaintiffs have failed to allege that control of Burlington and Santa Fe after the merger would not remain “in a large, fluid, changeable and changing market.”</w:t>
      </w:r>
      <w:r>
        <w:t xml:space="preserve"> </w:t>
      </w:r>
      <w:r>
        <w:rPr>
          <w:iCs/>
          <w:i/>
        </w:rPr>
        <w:t xml:space="preserve">Arnold v. Soc’y for Sav. Bancorp., Inc.,</w:t>
      </w:r>
      <w:r>
        <w:t xml:space="preserve"> </w:t>
      </w:r>
      <w:r>
        <w:t xml:space="preserve">Del.Supr.,</w:t>
      </w:r>
      <w:r>
        <w:t xml:space="preserve"> </w:t>
      </w:r>
      <w:r>
        <w:t xml:space="preserve">650 A.2d 1270</w:t>
      </w:r>
      <w:r>
        <w:t xml:space="preserve">, 1290 (1994) (quoting</w:t>
      </w:r>
      <w:r>
        <w:t xml:space="preserve"> </w:t>
      </w:r>
      <w:r>
        <w:rPr>
          <w:iCs/>
          <w:i/>
        </w:rPr>
        <w:t xml:space="preserve">Paramount Communications, Inc. v. QVC Network, Inc.,</w:t>
      </w:r>
      <w:r>
        <w:t xml:space="preserve"> </w:t>
      </w:r>
      <w:r>
        <w:t xml:space="preserve">Del.Supr.,</w:t>
      </w:r>
      <w:r>
        <w:t xml:space="preserve"> </w:t>
      </w:r>
      <w:r>
        <w:t xml:space="preserve">637 A.2d 34</w:t>
      </w:r>
      <w:r>
        <w:t xml:space="preserve">, 47 (1993)).</w:t>
      </w:r>
    </w:p>
    <w:p>
      <w:pPr>
        <w:pStyle w:val="CaseBody"/>
      </w:pPr>
      <w:r>
        <w:t xml:space="preserve">Plaintiffs have failed to state a claim that the Board had a duty to “seek the transaction offering the best value reasonably available to the stockholders.”</w:t>
      </w:r>
      <w:r>
        <w:t xml:space="preserve"> </w:t>
      </w:r>
      <w:r>
        <w:rPr>
          <w:iCs/>
          <w:i/>
        </w:rPr>
        <w:t xml:space="preserve">Paramount v. QVC,</w:t>
      </w:r>
      <w:r>
        <w:t xml:space="preserve"> </w:t>
      </w:r>
      <w:r>
        <w:t xml:space="preserve">637 A.2d at 43</w:t>
      </w:r>
      <w:r>
        <w:t xml:space="preserve">. This duty arises:</w:t>
      </w:r>
    </w:p>
    <w:p>
      <w:pPr>
        <w:pStyle w:val="BlockText"/>
      </w:pPr>
      <w:r>
        <w:t xml:space="preserve">(1) “when a corporation initiates an active bidding process seeking to sell itself or to effect a business reorganization involving a clear break-up of the company,”</w:t>
      </w:r>
      <w:r>
        <w:t xml:space="preserve"> </w:t>
      </w:r>
      <w:r>
        <w:rPr>
          <w:iCs/>
          <w:i/>
        </w:rPr>
        <w:t xml:space="preserve">Paramount Communications, Inc. v. Time Inc.,</w:t>
      </w:r>
      <w:r>
        <w:t xml:space="preserve"> </w:t>
      </w:r>
      <w:r>
        <w:t xml:space="preserve">Del.Supr.,</w:t>
      </w:r>
      <w:r>
        <w:t xml:space="preserve"> </w:t>
      </w:r>
      <w:r>
        <w:t xml:space="preserve">571 A.2d 1140</w:t>
      </w:r>
      <w:r>
        <w:t xml:space="preserve">, 1150 (1990)</w:t>
      </w:r>
      <w:r>
        <w:t xml:space="preserve"> </w:t>
      </w:r>
      <w:r>
        <w:rPr>
          <w:iCs/>
          <w:i/>
        </w:rPr>
        <w:t xml:space="preserve">[Time-Wamer ];</w:t>
      </w:r>
      <w:r>
        <w:t xml:space="preserve"> </w:t>
      </w:r>
      <w:r>
        <w:t xml:space="preserve">(2) “where, in response to a bidder’s offer, a target abandons its long-term strategy and seeks an alternative transaction involving the break-up of the company,”</w:t>
      </w:r>
      <w:r>
        <w:t xml:space="preserve"> </w:t>
      </w:r>
      <w:r>
        <w:rPr>
          <w:iCs/>
          <w:i/>
        </w:rPr>
        <w:t xml:space="preserve">id.;</w:t>
      </w:r>
      <w:r>
        <w:t xml:space="preserve"> </w:t>
      </w:r>
      <w:r>
        <w:t xml:space="preserve">or (3) when approval of a transaction results in a “sale or change of control,”</w:t>
      </w:r>
      <w:r>
        <w:t xml:space="preserve"> </w:t>
      </w:r>
      <w:r>
        <w:rPr>
          <w:iCs/>
          <w:i/>
        </w:rPr>
        <w:t xml:space="preserve">QVC,</w:t>
      </w:r>
      <w:r>
        <w:t xml:space="preserve"> </w:t>
      </w:r>
      <w:r>
        <w:t xml:space="preserve">637 A.2d at 42-43, 47</w:t>
      </w:r>
      <w:r>
        <w:t xml:space="preserve">. In the latter situation, there is no “sale or change in control” when “ ‘[e]ontrol of both [companies] remain[s] in a large, fluid, changeable and changing market.’ ”</w:t>
      </w:r>
      <w:r>
        <w:t xml:space="preserve"> </w:t>
      </w:r>
      <w:r>
        <w:rPr>
          <w:iCs/>
          <w:i/>
        </w:rPr>
        <w:t xml:space="preserve">Id.</w:t>
      </w:r>
      <w:r>
        <w:rPr>
          <w:iCs/>
          <w:i/>
        </w:rPr>
        <w:t xml:space="preserve"> </w:t>
      </w:r>
      <w:r>
        <w:t xml:space="preserve">at 47</w:t>
      </w:r>
      <w:r>
        <w:t xml:space="preserve"> </w:t>
      </w:r>
      <w:r>
        <w:t xml:space="preserve">(citation and emphasis omitted).</w:t>
      </w:r>
    </w:p>
    <w:p>
      <w:pPr>
        <w:pStyle w:val="CaseBody"/>
      </w:pPr>
      <w:r>
        <w:rPr>
          <w:iCs/>
          <w:i/>
        </w:rPr>
        <w:t xml:space="preserve">Arnold,</w:t>
      </w:r>
      <w:r>
        <w:t xml:space="preserve"> </w:t>
      </w:r>
      <w:r>
        <w:t xml:space="preserve">650 A.2d at 1290</w:t>
      </w:r>
      <w:r>
        <w:t xml:space="preserve"> </w:t>
      </w:r>
      <w:r>
        <w:t xml:space="preserve">(footnote omitted).</w:t>
      </w:r>
    </w:p>
    <w:p>
      <w:pPr>
        <w:pStyle w:val="CaseBody"/>
      </w:pPr>
      <w:r>
        <w:t xml:space="preserve">C. The Reasonableness of the Board’s Defensive Measures</w:t>
      </w:r>
    </w:p>
    <w:p>
      <w:pPr>
        <w:pStyle w:val="CaseBody"/>
      </w:pPr>
      <w:r>
        <w:t xml:space="preserve">Looking only to the face of the complaint, Plaintiffs have stated a claim under</w:t>
      </w:r>
      <w:r>
        <w:t xml:space="preserve"> </w:t>
      </w:r>
      <w:r>
        <w:rPr>
          <w:iCs/>
          <w:i/>
        </w:rPr>
        <w:t xml:space="preserve">Unocal.</w:t>
      </w:r>
      <w:r>
        <w:t xml:space="preserve"> </w:t>
      </w:r>
      <w:r>
        <w:t xml:space="preserve">Enhanced judicial scrutiny under</w:t>
      </w:r>
      <w:r>
        <w:t xml:space="preserve"> </w:t>
      </w:r>
      <w:r>
        <w:rPr>
          <w:iCs/>
          <w:i/>
        </w:rPr>
        <w:t xml:space="preserve">Unocal</w:t>
      </w:r>
      <w:r>
        <w:t xml:space="preserve"> </w:t>
      </w:r>
      <w:r>
        <w:t xml:space="preserve">applies “whenever the record reflects that a board of directors took defensive measures in response to a ‘perceived threat to corporate policy and effectiveness which touches upon issues of control.’ ”</w:t>
      </w:r>
      <w:r>
        <w:t xml:space="preserve"> </w:t>
      </w:r>
      <w:r>
        <w:rPr>
          <w:iCs/>
          <w:i/>
        </w:rPr>
        <w:t xml:space="preserve">Unitrin,</w:t>
      </w:r>
      <w:r>
        <w:t xml:space="preserve"> </w:t>
      </w:r>
      <w:r>
        <w:t xml:space="preserve">651 A.2d at</w:t>
      </w:r>
      <w:r>
        <w:t xml:space="preserve"> </w:t>
      </w:r>
      <w:r>
        <w:t xml:space="preserve">1372 n. 9 (quoting</w:t>
      </w:r>
      <w:r>
        <w:t xml:space="preserve"> </w:t>
      </w:r>
      <w:r>
        <w:rPr>
          <w:iCs/>
          <w:i/>
        </w:rPr>
        <w:t xml:space="preserve">Stroud v. Grace,</w:t>
      </w:r>
      <w:r>
        <w:t xml:space="preserve"> </w:t>
      </w:r>
      <w:r>
        <w:t xml:space="preserve">Del.Supr.,</w:t>
      </w:r>
      <w:r>
        <w:t xml:space="preserve"> </w:t>
      </w:r>
      <w:r>
        <w:t xml:space="preserve">606 A.2d 75</w:t>
      </w:r>
      <w:r>
        <w:t xml:space="preserve">, 82 (1992), and</w:t>
      </w:r>
      <w:r>
        <w:t xml:space="preserve"> </w:t>
      </w:r>
      <w:r>
        <w:rPr>
          <w:iCs/>
          <w:i/>
        </w:rPr>
        <w:t xml:space="preserve">Gilbert v. El Paso Co.,</w:t>
      </w:r>
      <w:r>
        <w:t xml:space="preserve"> </w:t>
      </w:r>
      <w:r>
        <w:t xml:space="preserve">Del.Supr.,</w:t>
      </w:r>
      <w:r>
        <w:t xml:space="preserve"> </w:t>
      </w:r>
      <w:r>
        <w:t xml:space="preserve">575 A.2d 1131</w:t>
      </w:r>
      <w:r>
        <w:t xml:space="preserve">, 1144 (1990)). Once the plaintiff establishes that defensive measures have been employed in the context of a contest for control, the Board has the burden of showing (1) that it “had reasonable grounds for believing that a danger to corporate policy and effectiveness existed,” and (2) “that [its] defensive response was reasonable in relation to the threat posed.”</w:t>
      </w:r>
      <w:r>
        <w:t xml:space="preserve"> </w:t>
      </w:r>
      <w:r>
        <w:rPr>
          <w:iCs/>
          <w:i/>
        </w:rPr>
        <w:t xml:space="preserve">Unitrin,</w:t>
      </w:r>
      <w:r>
        <w:t xml:space="preserve"> </w:t>
      </w:r>
      <w:r>
        <w:t xml:space="preserve">651 A.2d at</w:t>
      </w:r>
      <w:r>
        <w:t xml:space="preserve"> </w:t>
      </w:r>
      <w:r>
        <w:t xml:space="preserve">1373 (citing</w:t>
      </w:r>
      <w:r>
        <w:t xml:space="preserve"> </w:t>
      </w:r>
      <w:r>
        <w:rPr>
          <w:iCs/>
          <w:i/>
        </w:rPr>
        <w:t xml:space="preserve">Unocal,</w:t>
      </w:r>
      <w:r>
        <w:t xml:space="preserve"> </w:t>
      </w:r>
      <w:r>
        <w:t xml:space="preserve">493 A.2d at 955). Once the Board has established the reasonableness of its perception of a threat and the proportionality of the response, it receives the protection of the business judgment rale.</w:t>
      </w:r>
      <w:r>
        <w:t xml:space="preserve"> </w:t>
      </w:r>
      <w:r>
        <w:rPr>
          <w:iCs/>
          <w:i/>
        </w:rPr>
        <w:t xml:space="preserve">Id.</w:t>
      </w:r>
      <w:r>
        <w:t xml:space="preserve"> </w:t>
      </w:r>
      <w:r>
        <w:t xml:space="preserve">at 1374. This case differs from cases where the presumption of the business judgment rule attaches</w:t>
      </w:r>
      <w:r>
        <w:t xml:space="preserve"> </w:t>
      </w:r>
      <w:r>
        <w:rPr>
          <w:iCs/>
          <w:i/>
        </w:rPr>
        <w:t xml:space="preserve">ab initio</w:t>
      </w:r>
      <w:r>
        <w:t xml:space="preserve"> </w:t>
      </w:r>
      <w:r>
        <w:t xml:space="preserve">and to survive a Rule 12(b)(6) motion, a plaintiff must allege well-pleaded facts to overcome the presumption.</w:t>
      </w:r>
      <w:r>
        <w:t xml:space="preserve"> </w:t>
      </w:r>
      <w:r>
        <w:rPr>
          <w:iCs/>
          <w:i/>
        </w:rPr>
        <w:t xml:space="preserve">See, e.g., Levine v. Smith,</w:t>
      </w:r>
      <w:r>
        <w:t xml:space="preserve"> </w:t>
      </w:r>
      <w:r>
        <w:t xml:space="preserve">Del.Supr.,</w:t>
      </w:r>
      <w:r>
        <w:t xml:space="preserve"> </w:t>
      </w:r>
      <w:r>
        <w:t xml:space="preserve">591 A.2d 194</w:t>
      </w:r>
      <w:r>
        <w:t xml:space="preserve"> </w:t>
      </w:r>
      <w:r>
        <w:t xml:space="preserve">(1991);</w:t>
      </w:r>
      <w:r>
        <w:t xml:space="preserve"> </w:t>
      </w:r>
      <w:r>
        <w:rPr>
          <w:iCs/>
          <w:i/>
        </w:rPr>
        <w:t xml:space="preserve">Grobow v. Perot,</w:t>
      </w:r>
      <w:r>
        <w:t xml:space="preserve"> </w:t>
      </w:r>
      <w:r>
        <w:t xml:space="preserve">Del.Supr.,</w:t>
      </w:r>
      <w:r>
        <w:t xml:space="preserve"> </w:t>
      </w:r>
      <w:r>
        <w:t xml:space="preserve">539 A.2d 180</w:t>
      </w:r>
      <w:r>
        <w:t xml:space="preserve"> </w:t>
      </w:r>
      <w:r>
        <w:t xml:space="preserve">(1988).</w:t>
      </w:r>
    </w:p>
    <w:p>
      <w:pPr>
        <w:pStyle w:val="CaseBody"/>
      </w:pPr>
      <w:r>
        <w:t xml:space="preserve">In the case</w:t>
      </w:r>
      <w:r>
        <w:t xml:space="preserve"> </w:t>
      </w:r>
      <w:r>
        <w:rPr>
          <w:iCs/>
          <w:i/>
        </w:rPr>
        <w:t xml:space="preserve">sub judice,</w:t>
      </w:r>
      <w:r>
        <w:t xml:space="preserve"> </w:t>
      </w:r>
      <w:r>
        <w:t xml:space="preserve">plaintiffs have pleaded defensive measures which the Santa Fe Board undertook in the context of a battle for corporate control. The complaint states:</w:t>
      </w:r>
    </w:p>
    <w:p>
      <w:pPr>
        <w:pStyle w:val="BlockText"/>
      </w:pPr>
      <w:r>
        <w:t xml:space="preserve">The Individual Defendants breached their fiduciary duties of loyalty and care by proceeding with and completing the Joint Offer, which placed approximately 16% ownership in the hands of BNI, adopting the Poison Pill and applying it in a discriminatory manner by exempting its application as to one bidder but maintaining it as to all other interested parties, amending the Poison Pill to allow Allegheny to increase its ownership of Santa Fe to 14.9%, and authorizing the Repurchase Program.</w:t>
      </w:r>
    </w:p>
    <w:p>
      <w:pPr>
        <w:pStyle w:val="CaseBody"/>
      </w:pPr>
      <w:r>
        <w:t xml:space="preserve">The complaint does not admit that the Board had proper grounds for its decision. Nor does the Board enjoy a presumption to that effect. The complaint does not adopt as true the facts set forth in the Proxy Statement. Thus, without benefit of the Joint Proxy, the Board cannot rely on any allegations of the complaint to meet its burden under</w:t>
      </w:r>
      <w:r>
        <w:t xml:space="preserve"> </w:t>
      </w:r>
      <w:r>
        <w:rPr>
          <w:iCs/>
          <w:i/>
        </w:rPr>
        <w:t xml:space="preserve">Unocal</w:t>
      </w:r>
      <w:r>
        <w:t xml:space="preserve"> </w:t>
      </w:r>
      <w:r>
        <w:t xml:space="preserve">and</w:t>
      </w:r>
      <w:r>
        <w:t xml:space="preserve"> </w:t>
      </w:r>
      <w:r>
        <w:rPr>
          <w:iCs/>
          <w:i/>
        </w:rPr>
        <w:t xml:space="preserve">Unitrin</w:t>
      </w:r>
      <w:r>
        <w:t xml:space="preserve"> </w:t>
      </w:r>
      <w:r>
        <w:t xml:space="preserve">to come forward with evidence supporting the reasonableness of its perception of the threat posed by Union Pacific and the proportionality of the response thereto.</w:t>
      </w:r>
      <w:r>
        <w:t xml:space="preserve"> </w:t>
      </w:r>
      <w:r>
        <w:rPr>
          <w:iCs/>
          <w:i/>
        </w:rPr>
        <w:t xml:space="preserve">See</w:t>
      </w:r>
      <w:r>
        <w:t xml:space="preserve"> </w:t>
      </w:r>
      <w:r>
        <w:t xml:space="preserve">Rule 56(e). Accordingly, when the court used the Joint Proxy for this purpose,</w:t>
      </w:r>
      <w:r>
        <w:rPr>
          <w:rStyle w:val="FootnoteReference"/>
        </w:rPr>
        <w:footnoteReference w:customMarkFollows="1" w:id="235"/>
        <w:t xml:space="preserve">10</w:t>
      </w:r>
      <w:r>
        <w:t xml:space="preserve"> </w:t>
      </w:r>
      <w:r>
        <w:t xml:space="preserve">it was error.</w:t>
      </w:r>
    </w:p>
    <w:p>
      <w:pPr>
        <w:pStyle w:val="CaseBody"/>
      </w:pPr>
      <w:r>
        <w:t xml:space="preserve">This case may very well illustrate the difficulty of expeditiously dispensing with claims seeking enhanced judicial scrutiny at the pleading stage where the complaint is not completely conclusory. It is appropriate and consistent with the “just, speedy and inexpensive determination of every proceeding,” Chancery Rule 1, that conclusory complaints without well-pleaded facts be dismissed early under Chancery Rule 12. But that is not this case. Here, there are well-pleaded allegations on the</w:t>
      </w:r>
      <w:r>
        <w:t xml:space="preserve"> </w:t>
      </w:r>
      <w:r>
        <w:rPr>
          <w:iCs/>
          <w:i/>
        </w:rPr>
        <w:t xml:space="preserve">Unocal</w:t>
      </w:r>
      <w:r>
        <w:t xml:space="preserve"> </w:t>
      </w:r>
      <w:r>
        <w:t xml:space="preserve">claim. As the terminology of enhanced judicial scrutiny implies, boards can expect to be required to justify their decisionmaking, within a range of reasonableness, when they adopt defensive measures with implications for corporate control. This scrutiny will usually not be satisfied by resting on a defense motion merely attacking the pleadings.</w:t>
      </w:r>
    </w:p>
    <w:p>
      <w:pPr>
        <w:pStyle w:val="CaseBody"/>
      </w:pPr>
      <w:r>
        <w:t xml:space="preserve">Accordingly, we conclude that the trial court erred in dismissing the</w:t>
      </w:r>
      <w:r>
        <w:t xml:space="preserve"> </w:t>
      </w:r>
      <w:r>
        <w:rPr>
          <w:iCs/>
          <w:i/>
        </w:rPr>
        <w:t xml:space="preserve">Unocal</w:t>
      </w:r>
      <w:r>
        <w:t xml:space="preserve"> </w:t>
      </w:r>
      <w:r>
        <w:t xml:space="preserve">claim under Chancery Rule 12(b)(6).</w:t>
      </w:r>
    </w:p>
    <w:p>
      <w:pPr>
        <w:pStyle w:val="CaseBody"/>
      </w:pPr>
      <w:r>
        <w:t xml:space="preserve">Y. THE AIDING AND ABETTING CLAIMS AGAINST BURLINGTON</w:t>
      </w:r>
    </w:p>
    <w:p>
      <w:pPr>
        <w:pStyle w:val="CaseBody"/>
      </w:pPr>
      <w:r>
        <w:t xml:space="preserve">Burlington argues on appeal that this Court should affirm the dismissal of the aiding and abetting claim even if it reverses the judgment of the Court of Chancery with respect to any of the underlying claimed breaches of fiduciary duty. Although Burlington advances a persuasive argument that Plaintiffs have failed to state an aiding and abetting claim, the Court of Chancery did not consider this argument in its decision below. This Court may, however, decide issues not reached below in the interest of orderly procedure and the early termination of litigation.</w:t>
      </w:r>
      <w:r>
        <w:t xml:space="preserve"> </w:t>
      </w:r>
      <w:r>
        <w:rPr>
          <w:iCs/>
          <w:i/>
        </w:rPr>
        <w:t xml:space="preserve">Orzeck v. Englehart,</w:t>
      </w:r>
      <w:r>
        <w:t xml:space="preserve"> </w:t>
      </w:r>
      <w:r>
        <w:t xml:space="preserve">Del.Supr.,</w:t>
      </w:r>
      <w:r>
        <w:t xml:space="preserve"> </w:t>
      </w:r>
      <w:r>
        <w:t xml:space="preserve">195 A.2d 375</w:t>
      </w:r>
      <w:r>
        <w:t xml:space="preserve"> </w:t>
      </w:r>
      <w:r>
        <w:t xml:space="preserve">(1963);</w:t>
      </w:r>
      <w:r>
        <w:t xml:space="preserve"> </w:t>
      </w:r>
      <w:r>
        <w:rPr>
          <w:iCs/>
          <w:i/>
        </w:rPr>
        <w:t xml:space="preserve">Weinberg v. Baltimore Brick Co.,</w:t>
      </w:r>
      <w:r>
        <w:t xml:space="preserve"> </w:t>
      </w:r>
      <w:r>
        <w:t xml:space="preserve">Del.Supr.,</w:t>
      </w:r>
      <w:r>
        <w:t xml:space="preserve"> </w:t>
      </w:r>
      <w:r>
        <w:t xml:space="preserve">112 A.2d 517</w:t>
      </w:r>
      <w:r>
        <w:t xml:space="preserve">, 518 (1955) (“The exercise of that power [to decide issues not reached below] is controlled by balancing considerations of judicial propriety, orderly procedure, the desirability of terminating litigation, and the position of the lower court as the primary trier of issues of fact.”).</w:t>
      </w:r>
    </w:p>
    <w:p>
      <w:pPr>
        <w:pStyle w:val="CaseBody"/>
      </w:pPr>
      <w:r>
        <w:t xml:space="preserve">A claim for aiding and abetting requires the following three elements: (1) the existence of a fiduciary relationship, (2) a breach of the fiduciary’s duty, and (3) a knowing participation in that breach by Burlington.</w:t>
      </w:r>
      <w:r>
        <w:t xml:space="preserve"> </w:t>
      </w:r>
      <w:r>
        <w:rPr>
          <w:iCs/>
          <w:i/>
        </w:rPr>
        <w:t xml:space="preserve">Weinberger v. Rio Grande Indus., Inc.,</w:t>
      </w:r>
      <w:r>
        <w:t xml:space="preserve"> </w:t>
      </w:r>
      <w:r>
        <w:t xml:space="preserve">Del.Ch.,</w:t>
      </w:r>
      <w:r>
        <w:t xml:space="preserve"> </w:t>
      </w:r>
      <w:r>
        <w:t xml:space="preserve">519 A.2d 116</w:t>
      </w:r>
      <w:r>
        <w:t xml:space="preserve">, 131 (1986). Plaintiffs fail to allege any facts which would state a claim against Burlington. They merely include a conclusory statement that “BNI [Burlington] had knowledge of the Individual Defendants’ fiduciary duties and knowingly and substantially participated and assisted in the Individual Defendants’ breaches of fiduciary duty, and, therefore, aided and abetted such breaches of fiduciary duties described above.” Other than this statement, Plaintiffs have alleged no facts from which a claim for aiding and abetting breaches of fiduciary duty could be stated.</w:t>
      </w:r>
    </w:p>
    <w:p>
      <w:pPr>
        <w:pStyle w:val="CaseBody"/>
      </w:pPr>
      <w:r>
        <w:t xml:space="preserve">The Court of Chancery committed no error in dismissing the aiding and abetting claim.</w:t>
      </w:r>
    </w:p>
    <w:p>
      <w:pPr>
        <w:pStyle w:val="CaseBody"/>
      </w:pPr>
      <w:r>
        <w:t xml:space="preserve">YI. CONCLUSION</w:t>
      </w:r>
    </w:p>
    <w:p>
      <w:pPr>
        <w:pStyle w:val="CaseBody"/>
      </w:pPr>
      <w:r>
        <w:t xml:space="preserve">It is to be emphasized that our holding in this case is a narrow one because the matter is before the Court on review of a dismissal of a complaint under Chancery Rule 12(b)(6). Even providing plaintiffs with the benefit of the rubric that all well-pleaded facts and reasonable inferences are taken as true on such a motion, the complaint fails to state a claim on the alleged disclosure violations, the allegation that the directors breached their duty to obtain for stockholders the best value reasonably available, and the aiding and abetting claim. Accordingly, the judgment of the Court of Chancery is AFFIRMED as to the dismissal of these claims.</w:t>
      </w:r>
    </w:p>
    <w:p>
      <w:pPr>
        <w:pStyle w:val="CaseBody"/>
      </w:pPr>
      <w:r>
        <w:t xml:space="preserve">The complaint does, however, survive the Rule 12(b)(6) motion with respect to the</w:t>
      </w:r>
      <w:r>
        <w:t xml:space="preserve"> </w:t>
      </w:r>
      <w:r>
        <w:rPr>
          <w:iCs/>
          <w:i/>
        </w:rPr>
        <w:t xml:space="preserve">Unocal</w:t>
      </w:r>
      <w:r>
        <w:t xml:space="preserve"> </w:t>
      </w:r>
      <w:r>
        <w:t xml:space="preserve">claim. Accordingly, the judgment of the Court of Chancery granting the motion with respect to this latter claim is REVERSED and the matter REMANDED to the Court of Chancery for proceedings consistent with this opinion. Jurisdiction is not retained.</w:t>
      </w:r>
    </w:p>
    <w:bookmarkStart w:id="134" w:name="_auto_toc_134"/>
    <w:bookmarkEnd w:id="134"/>
    <w:p>
      <w:pPr>
        <w:pStyle w:val="ResourceNumber"/>
      </w:pPr>
      <w:r>
        <w:t xml:space="preserve">10.2.10</w:t>
      </w:r>
    </w:p>
    <w:p>
      <w:pPr>
        <w:pStyle w:val="ResourceTitle"/>
      </w:pPr>
      <w:r>
        <w:t xml:space="preserve">Corwin v. KKR Financial Co.</w:t>
      </w:r>
    </w:p>
    <w:p>
      <w:pPr>
        <w:pStyle w:val="HeadFieldSeparator"/>
      </w:pPr>
      <w:r>
        <w:t xml:space="preserve"> </w:t>
      </w:r>
    </w:p>
    <w:p>
      <w:pPr>
        <w:pStyle w:val="ResourceHeadnote"/>
      </w:pPr>
      <w:r>
        <w:t xml:space="preserve">In</w:t>
      </w:r>
      <w:r>
        <w:t xml:space="preserve"> </w:t>
      </w:r>
      <w:r>
        <w:rPr>
          <w:iCs/>
          <w:i/>
        </w:rPr>
        <w:t xml:space="preserve">Corwin</w:t>
      </w:r>
      <w:r>
        <w:t xml:space="preserve">, the court takes up the question of what is the appropriate standard of review for a challenged merger transaction during a post-closing damages trial, where the directors are disinterested and the transaction has been approved by an informed vote of the stockholders. In such situations, where the stockholders are fully-informed and their vote has not been coerced, courts will be loathe to substitute their own business judgment for that of the stockholders. This result – essentially ratification by the stockholders – is consistent with the court’s previous rulings with which you are already familiar.</w:t>
      </w:r>
    </w:p>
    <w:p>
      <w:pPr>
        <w:pStyle w:val="HeadEnd"/>
      </w:pPr>
      <w:r>
        <w:t xml:space="preserve"> </w:t>
      </w:r>
    </w:p>
    <w:p>
      <w:pPr>
        <w:pStyle w:val="CaseHeader"/>
      </w:pPr>
      <w:r>
        <w:t xml:space="preserve">Delaware Supreme Court</w:t>
      </w:r>
    </w:p>
    <w:p>
      <w:pPr>
        <w:pStyle w:val="CaseHeader"/>
      </w:pPr>
      <w:r>
        <w:t xml:space="preserve">125 A.3d 304</w:t>
      </w:r>
    </w:p>
    <w:p>
      <w:pPr>
        <w:pStyle w:val="CaseHeader"/>
      </w:pPr>
      <w:r>
        <w:t xml:space="preserve">No. 224, 2015</w:t>
      </w:r>
    </w:p>
    <w:p>
      <w:pPr>
        <w:pStyle w:val="CaseHeader"/>
      </w:pPr>
      <w:r>
        <w:t xml:space="preserve">2015-09-10</w:t>
      </w:r>
    </w:p>
    <w:p>
      <w:pPr>
        <w:pStyle w:val="CaseBody"/>
      </w:pPr>
      <w:r>
        <w:t xml:space="preserve">125 A.3d 304 (2015)</w:t>
      </w:r>
    </w:p>
    <w:p>
      <w:pPr>
        <w:pStyle w:val="CaseHeader"/>
      </w:pPr>
      <w:r>
        <w:rPr>
          <w:rStyle w:val="Elision"/>
        </w:rPr>
        <w:t xml:space="preserve">[ … ]</w:t>
      </w:r>
      <w:r>
        <w:t xml:space="preserve">CORWIN</w:t>
      </w:r>
      <w:r>
        <w:rPr>
          <w:rStyle w:val="Elision"/>
        </w:rPr>
        <w:t xml:space="preserve">[ … ]</w:t>
      </w:r>
      <w:r>
        <w:br/>
      </w:r>
      <w:r>
        <w:t xml:space="preserve">v.</w:t>
      </w:r>
      <w:r>
        <w:br/>
      </w:r>
      <w:r>
        <w:t xml:space="preserve">KKR FINANCIAL HOLDINGS</w:t>
      </w:r>
      <w:r>
        <w:rPr>
          <w:rStyle w:val="Elision"/>
        </w:rPr>
        <w:t xml:space="preserve">[ … ]</w:t>
      </w:r>
    </w:p>
    <w:bookmarkStart w:id="317" w:name="strine-chief-justice"/>
    <w:p>
      <w:pPr>
        <w:pStyle w:val="Heading2"/>
      </w:pPr>
      <w:r>
        <w:t xml:space="preserve">STRINE, Chief Justice:</w:t>
      </w:r>
    </w:p>
    <w:p>
      <w:pPr>
        <w:pStyle w:val="CaseBody"/>
      </w:pPr>
      <w:r>
        <w:t xml:space="preserve">In a well-reasoned opinion, the Court of Chancery held that the business judgment rule is invoked as the appropriate standard of review for a post-closing damages action [306] when a merger that is not subject to the entire fairness standard of review has been approved by a fully informed, uncoerced majority of the disinterested stockholders.</w:t>
      </w:r>
      <w:r>
        <w:rPr>
          <w:vertAlign w:val="superscript"/>
        </w:rPr>
        <w:t xml:space="preserve">[1]</w:t>
      </w:r>
      <w:r>
        <w:t xml:space="preserve"> </w:t>
      </w:r>
      <w:r>
        <w:t xml:space="preserve">For that and other reasons, the Court of Chancery dismissed the plaintiffs' complaint.</w:t>
      </w:r>
      <w:r>
        <w:rPr>
          <w:vertAlign w:val="superscript"/>
        </w:rPr>
        <w:t xml:space="preserve">[2]</w:t>
      </w:r>
      <w:r>
        <w:t xml:space="preserve"> </w:t>
      </w:r>
      <w:r>
        <w:t xml:space="preserve">In this decision, we find that the Chancellor was correct in finding that the voluntary judgment of the disinterested stockholders to approve the merger invoked the business judgment rule standard of review and that the plaintiffs' complaint should be dismissed. For sound policy reasons, Delaware corporate law has long been reluctant to second-guess the judgment of a disinterested stockholder majority that determines that a transaction with a party other than a controlling stockholder is in their best interests.</w:t>
      </w:r>
    </w:p>
    <w:bookmarkEnd w:id="317"/>
    <w:bookmarkStart w:id="318" w:name="X6252aa3c21a5a111977737bfa64da0172a2a34c"/>
    <w:p>
      <w:pPr>
        <w:pStyle w:val="Heading2"/>
      </w:pPr>
      <w:r>
        <w:t xml:space="preserve">I. The Court Of Chancery Properly Held That The Complaint Did Not Plead Facts Supporting An Inference That KKR Was A Controlling Stockholder of Financial Holdings</w:t>
      </w:r>
    </w:p>
    <w:p>
      <w:pPr>
        <w:pStyle w:val="CaseBody"/>
      </w:pPr>
      <w:r>
        <w:t xml:space="preserve">The plaintiffs filed a challenge in the Court of Chancery to a stock-for-stock merger between KKR &amp; Co. L.P. ("KKR") and KKR Financial Holdings LLC ("Financial Holdings") in which KKR acquired each share of Financial Holdings's stock for 0.51 of a share of KKR stock, a 35% premium to the unaffected market price. Below, the plaintiffs' primary argument was that the transaction was presumptively subject to the entire fairness standard of review because Financial Holdings's primary business was financing KKR's leveraged buyout activities, and instead of having employees manage the company's day-to-day operations, Financial Holdings was managed by KKR Financial Advisors, an affiliate of KKR, under a contractual management agreement that could only be terminated by Financial Holdings if it paid a termination fee. As a result, the plaintiffs alleged that KKR was a controlling stockholder of Financial Holdings, which was an LLC, not a corporation.</w:t>
      </w:r>
      <w:r>
        <w:rPr>
          <w:vertAlign w:val="superscript"/>
        </w:rPr>
        <w:t xml:space="preserve">[3]</w:t>
      </w:r>
    </w:p>
    <w:p>
      <w:pPr>
        <w:pStyle w:val="CaseBody"/>
      </w:pPr>
      <w:r>
        <w:t xml:space="preserve">The defendants filed a motion to dismiss, taking issue with that argument. In a thoughtful and thorough decision, the Chancellor found that the defendants were correct that the plaintiffs' complaint did not plead facts supporting an inference that KKR was Financial Holdings's controlling stockholder.</w:t>
      </w:r>
      <w:r>
        <w:rPr>
          <w:vertAlign w:val="superscript"/>
        </w:rPr>
        <w:t xml:space="preserve">[4]</w:t>
      </w:r>
      <w:r>
        <w:t xml:space="preserve"> </w:t>
      </w:r>
      <w:r>
        <w:t xml:space="preserve">Among other things, the Chancellor noted that KKR owned less than 1% of Financial Holdings's stock, had no right to appoint any directors, and had no contractual right to veto any board action.</w:t>
      </w:r>
      <w:r>
        <w:rPr>
          <w:vertAlign w:val="superscript"/>
        </w:rPr>
        <w:t xml:space="preserve">[5]</w:t>
      </w:r>
      <w:r>
        <w:t xml:space="preserve"> </w:t>
      </w:r>
      <w:r>
        <w:t xml:space="preserve">Although the Chancellor acknowledged the unusual existential circumstances the plaintiffs cited, he noted that those were known at all relevant times by investors, and that Financial Holdings had real assets its independent board controlled and had the option of pursuing any [307] path its directors chose.</w:t>
      </w:r>
      <w:r>
        <w:rPr>
          <w:vertAlign w:val="superscript"/>
        </w:rPr>
        <w:t xml:space="preserve">[6]</w:t>
      </w:r>
    </w:p>
    <w:p>
      <w:pPr>
        <w:pStyle w:val="CaseBody"/>
      </w:pPr>
      <w:r>
        <w:t xml:space="preserve">In addressing whether KKR was a controlling stockholder, the Chancellor was focused on the reality that in cases where a party that did not have majority control of the entity's voting stock was found to be a controlling stockholder, the Court of Chancery, consistent with the instructions of this Court, looked for a combination of potent voting power</w:t>
      </w:r>
      <w:r>
        <w:rPr>
          <w:vertAlign w:val="superscript"/>
        </w:rPr>
        <w:t xml:space="preserve">[7]</w:t>
      </w:r>
      <w:r>
        <w:t xml:space="preserve"> </w:t>
      </w:r>
      <w:r>
        <w:t xml:space="preserve">and management control such that the stockholder could be deemed to have effective control of the board without actually owning a majority of stock.</w:t>
      </w:r>
      <w:r>
        <w:rPr>
          <w:vertAlign w:val="superscript"/>
        </w:rPr>
        <w:t xml:space="preserve">[8]</w:t>
      </w:r>
      <w:r>
        <w:t xml:space="preserve"> </w:t>
      </w:r>
      <w:r>
        <w:t xml:space="preserve">Not finding that combination here, the Chancellor noted:</w:t>
      </w:r>
    </w:p>
    <w:p>
      <w:pPr>
        <w:pStyle w:val="BlockText"/>
      </w:pPr>
      <w:r>
        <w:t xml:space="preserve">Plaintiffs' real grievance, as I see it, is that [Financial Holdings] was structured from its inception in a way that limited its value-maximizing options. According to plaintiffs, [Financial Holdings] serves as little more than a public vehicle for financing KKR-sponsored transactions and the terms of the Management Agreement make [Financial Holdings] unattractive as an acquisition target to anyone other than KKR because of [Financial Holdings]'s operational dependence on KKR and because of the significant cost that would be incurred to terminate the Management Agreement. I assume all that is true. But, every contractual obligation of a corporation constrains the corporation's freedom to operate to some degree and, in this particular case, the stockholders cannot claim to be surprised. Every stockholder of [Financial Holdings] knew about the limitations the Management Agreement imposed on [Financial Holdings]'s business when he, she or it acquired shares in [Financial Holdings]. They also knew that the business and affairs of [Financial Holdings] would be managed by a board of directors that would be subject to annual stockholder elections.</w:t>
      </w:r>
    </w:p>
    <w:p>
      <w:pPr>
        <w:pStyle w:val="BlockText"/>
      </w:pPr>
      <w:r>
        <w:t xml:space="preserve">At bottom, plaintiffs ask the Court to impose fiduciary obligations on a relatively nominal stockholder, not because of any coercive power that stockholder could wield over the board's ability to independently decide whether or not to approve the merger, but because of pre-existing contractual obligations with that stockholder that constrain the business or strategic options available to the corporation. Plaintiffs have cited no legal authority for that novel proposition, and I decline to create such a rule.</w:t>
      </w:r>
      <w:r>
        <w:rPr>
          <w:vertAlign w:val="superscript"/>
        </w:rPr>
        <w:t xml:space="preserve">[9]</w:t>
      </w:r>
    </w:p>
    <w:p>
      <w:pPr>
        <w:pStyle w:val="CaseBody"/>
      </w:pPr>
      <w:r>
        <w:t xml:space="preserve">After carefully analyzing the pled facts and the relevant precedent, the Chancellor held:</w:t>
      </w:r>
    </w:p>
    <w:p>
      <w:pPr>
        <w:pStyle w:val="BlockText"/>
      </w:pPr>
      <w:r>
        <w:t xml:space="preserve">[308] [T]here are no well-pled facts from which it is reasonable to infer that KKR could prevent the [Financial Holdings] board from freely exercising its independent judgment in considering the proposed merger or, put differently, that KKR had the power to exact retribution by removing the [Financial Holdings] directors from their offices if they did not bend to KKR's will in their consideration of the proposed merger.</w:t>
      </w:r>
      <w:r>
        <w:rPr>
          <w:vertAlign w:val="superscript"/>
        </w:rPr>
        <w:t xml:space="preserve">[10]</w:t>
      </w:r>
    </w:p>
    <w:p>
      <w:pPr>
        <w:pStyle w:val="CaseBody"/>
      </w:pPr>
      <w:r>
        <w:t xml:space="preserve">Although the plaintiffs reiterate their position on appeal, the Chancellor correctly applied the law and we see no reason to repeat his lucid analysis of this question.</w:t>
      </w:r>
    </w:p>
    <w:bookmarkEnd w:id="318"/>
    <w:bookmarkStart w:id="319" w:name="Xaf28068dce5acaf1a4d4823641d1f506e80c213"/>
    <w:p>
      <w:pPr>
        <w:pStyle w:val="Heading2"/>
      </w:pPr>
      <w:r>
        <w:t xml:space="preserve">II. The Court of Chancery Correctly Held That The Fully Informed, Uncoerced Vote Of The Disinterested Stockholders Invoked The Business Judgment Rule Standard Of Review</w:t>
      </w:r>
    </w:p>
    <w:p>
      <w:pPr>
        <w:pStyle w:val="CaseBody"/>
      </w:pPr>
      <w:r>
        <w:t xml:space="preserve">On appeal, the plaintiffs further contend that, even if the Chancellor was correct in determining that KKR was not a controlling stockholder, he was wrong to dismiss the complaint because they contend that if the entire fairness standard did not apply,</w:t>
      </w:r>
      <w:r>
        <w:t xml:space="preserve"> </w:t>
      </w:r>
      <w:r>
        <w:rPr>
          <w:iCs/>
          <w:i/>
        </w:rPr>
        <w:t xml:space="preserve">Revlon</w:t>
      </w:r>
      <w:r>
        <w:rPr>
          <w:vertAlign w:val="superscript"/>
        </w:rPr>
        <w:t xml:space="preserve">[11]</w:t>
      </w:r>
      <w:r>
        <w:t xml:space="preserve"> </w:t>
      </w:r>
      <w:r>
        <w:t xml:space="preserve">did, and the plaintiffs argue that they pled a</w:t>
      </w:r>
      <w:r>
        <w:t xml:space="preserve"> </w:t>
      </w:r>
      <w:r>
        <w:rPr>
          <w:iCs/>
          <w:i/>
        </w:rPr>
        <w:t xml:space="preserve">Revlon</w:t>
      </w:r>
      <w:r>
        <w:t xml:space="preserve"> </w:t>
      </w:r>
      <w:r>
        <w:t xml:space="preserve">claim against the defendant directors. But, as the defendants point out, the plaintiffs did not fairly argue below that</w:t>
      </w:r>
      <w:r>
        <w:t xml:space="preserve"> </w:t>
      </w:r>
      <w:r>
        <w:rPr>
          <w:iCs/>
          <w:i/>
        </w:rPr>
        <w:t xml:space="preserve">Revlon</w:t>
      </w:r>
      <w:r>
        <w:t xml:space="preserve"> </w:t>
      </w:r>
      <w:r>
        <w:t xml:space="preserve">applied and even if they did, they ignore the reality that Financial Holdings had in place an exculpatory charter provision, and that the transaction was approved by an independent board majority and by a fully informed, uncoerced stockholder vote.</w:t>
      </w:r>
      <w:r>
        <w:rPr>
          <w:vertAlign w:val="superscript"/>
        </w:rPr>
        <w:t xml:space="preserve">[12]</w:t>
      </w:r>
      <w:r>
        <w:t xml:space="preserve"> </w:t>
      </w:r>
      <w:r>
        <w:t xml:space="preserve">Therefore, the defendants argue, the plaintiffs failed to state a non-exculpated claim for breach of fiduciary duty.</w:t>
      </w:r>
    </w:p>
    <w:p>
      <w:pPr>
        <w:pStyle w:val="CaseBody"/>
      </w:pPr>
      <w:r>
        <w:t xml:space="preserve">But we need not delve into whether the Court of Chancery's determination that</w:t>
      </w:r>
      <w:r>
        <w:t xml:space="preserve"> </w:t>
      </w:r>
      <w:r>
        <w:rPr>
          <w:iCs/>
          <w:i/>
        </w:rPr>
        <w:t xml:space="preserve">Revlon</w:t>
      </w:r>
      <w:r>
        <w:t xml:space="preserve"> </w:t>
      </w:r>
      <w:r>
        <w:t xml:space="preserve">did not apply to the merger is correct for a single reason: it does not matter. Because the Chancellor was correct in determining that the entire fairness standard did not apply to the merger, the Chancellor's analysis of the effect of the uncoerced, informed stockholder vote is outcome-determinative, even if</w:t>
      </w:r>
      <w:r>
        <w:t xml:space="preserve"> </w:t>
      </w:r>
      <w:r>
        <w:rPr>
          <w:iCs/>
          <w:i/>
        </w:rPr>
        <w:t xml:space="preserve">Revlon</w:t>
      </w:r>
      <w:r>
        <w:t xml:space="preserve"> </w:t>
      </w:r>
      <w:r>
        <w:t xml:space="preserve">applied to the merger.</w:t>
      </w:r>
    </w:p>
    <w:p>
      <w:pPr>
        <w:pStyle w:val="CaseBody"/>
      </w:pPr>
      <w:r>
        <w:t xml:space="preserve">As to this point, the Court of Chancery noted, and the defendants point out on appeal, that the plaintiffs did not contest the defendants' argument below that if the merger was not subject to the entire fairness standard, the business judgment standard of review was invoked because the merger was approved by a disinterested stockholder majority.</w:t>
      </w:r>
      <w:r>
        <w:rPr>
          <w:vertAlign w:val="superscript"/>
        </w:rPr>
        <w:t xml:space="preserve">[13]</w:t>
      </w:r>
      <w:r>
        <w:t xml:space="preserve"> </w:t>
      </w:r>
      <w:r>
        <w:t xml:space="preserve">The Chancellor [309] agreed with that argument below, and adhered to precedent supporting the proposition that when a transaction not subject to the entire fairness standard is approved by a fully informed, uncoerced vote of the disinterested stockholders, the business judgment rule applies.</w:t>
      </w:r>
      <w:r>
        <w:rPr>
          <w:vertAlign w:val="superscript"/>
        </w:rPr>
        <w:t xml:space="preserve">[14]</w:t>
      </w:r>
      <w:r>
        <w:t xml:space="preserve"> </w:t>
      </w:r>
      <w:r>
        <w:t xml:space="preserve">Although the Chancellor took note of the possible conflict between his ruling and this Court's decision in</w:t>
      </w:r>
      <w:r>
        <w:t xml:space="preserve"> </w:t>
      </w:r>
      <w:r>
        <w:rPr>
          <w:iCs/>
          <w:i/>
        </w:rPr>
        <w:t xml:space="preserve">Gantler v. Stephens,</w:t>
      </w:r>
      <w:r>
        <w:rPr>
          <w:vertAlign w:val="superscript"/>
        </w:rPr>
        <w:t xml:space="preserve">[15]</w:t>
      </w:r>
      <w:r>
        <w:t xml:space="preserve"> </w:t>
      </w:r>
      <w:r>
        <w:t xml:space="preserve">he reached the conclusion that</w:t>
      </w:r>
      <w:r>
        <w:t xml:space="preserve"> </w:t>
      </w:r>
      <w:r>
        <w:rPr>
          <w:iCs/>
          <w:i/>
        </w:rPr>
        <w:t xml:space="preserve">Gantler</w:t>
      </w:r>
      <w:r>
        <w:t xml:space="preserve"> </w:t>
      </w:r>
      <w:r>
        <w:t xml:space="preserve">did not alter the effect of legally required stockholder votes on the appropriate standard of review.</w:t>
      </w:r>
      <w:r>
        <w:rPr>
          <w:vertAlign w:val="superscript"/>
        </w:rPr>
        <w:t xml:space="preserve">[16]</w:t>
      </w:r>
      <w:r>
        <w:t xml:space="preserve"> </w:t>
      </w:r>
      <w:r>
        <w:t xml:space="preserve">Instead, the Chancellor read</w:t>
      </w:r>
      <w:r>
        <w:t xml:space="preserve"> </w:t>
      </w:r>
      <w:r>
        <w:rPr>
          <w:iCs/>
          <w:i/>
        </w:rPr>
        <w:t xml:space="preserve">Gantler</w:t>
      </w:r>
      <w:r>
        <w:t xml:space="preserve"> </w:t>
      </w:r>
      <w:r>
        <w:t xml:space="preserve">as a decision solely intended to clarify the meaning of the precise term "ratification."</w:t>
      </w:r>
      <w:r>
        <w:rPr>
          <w:vertAlign w:val="superscript"/>
        </w:rPr>
        <w:t xml:space="preserve">[17]</w:t>
      </w:r>
      <w:r>
        <w:t xml:space="preserve"> </w:t>
      </w:r>
      <w:r>
        <w:t xml:space="preserve">He had two primary reasons for so finding. First, he noted that any statement about the effect a statutorily required vote had on the appropriate standard of review would have been dictum because in</w:t>
      </w:r>
      <w:r>
        <w:t xml:space="preserve"> </w:t>
      </w:r>
      <w:r>
        <w:rPr>
          <w:iCs/>
          <w:i/>
        </w:rPr>
        <w:t xml:space="preserve">Gantler</w:t>
      </w:r>
      <w:r>
        <w:t xml:space="preserve"> </w:t>
      </w:r>
      <w:r>
        <w:t xml:space="preserve">the Court held that the disclosures regarding the vote in question — a vote on an amendment to the company's charter — were materially misleading.</w:t>
      </w:r>
      <w:r>
        <w:rPr>
          <w:vertAlign w:val="superscript"/>
        </w:rPr>
        <w:t xml:space="preserve">[18]</w:t>
      </w:r>
      <w:r>
        <w:t xml:space="preserve"> </w:t>
      </w:r>
      <w:r>
        <w:t xml:space="preserve">Second, the Chancellor doubted that the Supreme Court would have "overrule[d] extensive Delaware precedent, including Justice Jacobs's own earlier decision in</w:t>
      </w:r>
      <w:r>
        <w:t xml:space="preserve"> </w:t>
      </w:r>
      <w:r>
        <w:rPr>
          <w:iCs/>
          <w:i/>
        </w:rPr>
        <w:t xml:space="preserve">Wheelabrator,</w:t>
      </w:r>
      <w:r>
        <w:t xml:space="preserve"> </w:t>
      </w:r>
      <w:r>
        <w:t xml:space="preserve">which involved a statutorily required stockholder vote to consummate a merger" without "expressly stat[ing] such an intention."</w:t>
      </w:r>
      <w:r>
        <w:rPr>
          <w:vertAlign w:val="superscript"/>
        </w:rPr>
        <w:t xml:space="preserve">[19]</w:t>
      </w:r>
    </w:p>
    <w:p>
      <w:pPr>
        <w:pStyle w:val="CaseBody"/>
      </w:pPr>
      <w:r>
        <w:t xml:space="preserve">[311] On appeal, the plaintiffs make</w:t>
      </w:r>
      <w:r>
        <w:t xml:space="preserve"> </w:t>
      </w:r>
      <w:r>
        <w:rPr>
          <w:iCs/>
          <w:i/>
        </w:rPr>
        <w:t xml:space="preserve">Gantler</w:t>
      </w:r>
      <w:r>
        <w:t xml:space="preserve"> </w:t>
      </w:r>
      <w:r>
        <w:t xml:space="preserve">a central part of their argument, even though they did not fairly present this point below. They now argue that</w:t>
      </w:r>
      <w:r>
        <w:t xml:space="preserve"> </w:t>
      </w:r>
      <w:r>
        <w:rPr>
          <w:iCs/>
          <w:i/>
        </w:rPr>
        <w:t xml:space="preserve">Gantler</w:t>
      </w:r>
      <w:r>
        <w:t xml:space="preserve"> </w:t>
      </w:r>
      <w:r>
        <w:t xml:space="preserve">bound the Court of Chancery to give the informed stockholder vote no effect in determining the standard of review. They contend that the Chancellor's reading of</w:t>
      </w:r>
      <w:r>
        <w:t xml:space="preserve"> </w:t>
      </w:r>
      <w:r>
        <w:rPr>
          <w:iCs/>
          <w:i/>
        </w:rPr>
        <w:t xml:space="preserve">Gantler</w:t>
      </w:r>
      <w:r>
        <w:t xml:space="preserve"> </w:t>
      </w:r>
      <w:r>
        <w:t xml:space="preserve">as a decision focused on the precise term "ratification" and not a decision intended to overturn a deep strain of precedent it never bothered to cite, was incorrect.</w:t>
      </w:r>
      <w:r>
        <w:rPr>
          <w:vertAlign w:val="superscript"/>
        </w:rPr>
        <w:t xml:space="preserve">[20]</w:t>
      </w:r>
      <w:r>
        <w:t xml:space="preserve"> </w:t>
      </w:r>
      <w:r>
        <w:t xml:space="preserve">The plaintiffs also argue that they should be relieved of their failure to argue this point fairly below in the interests of justice.</w:t>
      </w:r>
      <w:r>
        <w:rPr>
          <w:vertAlign w:val="superscript"/>
        </w:rPr>
        <w:t xml:space="preserve">[21]</w:t>
      </w:r>
    </w:p>
    <w:p>
      <w:pPr>
        <w:pStyle w:val="CaseBody"/>
      </w:pPr>
      <w:r>
        <w:t xml:space="preserve">Although we disagree with the plaintiffs that this sort of case provides a sound basis for relieving a sophisticated party of its failure to present its position properly to the trial court, even if we agreed it would not aid the plaintiffs. No doubt</w:t>
      </w:r>
      <w:r>
        <w:t xml:space="preserve"> </w:t>
      </w:r>
      <w:r>
        <w:rPr>
          <w:iCs/>
          <w:i/>
        </w:rPr>
        <w:t xml:space="preserve">Gantler</w:t>
      </w:r>
      <w:r>
        <w:t xml:space="preserve"> </w:t>
      </w:r>
      <w:r>
        <w:t xml:space="preserve">can be read in more than one way, but we agree with the Chancellor's interpretation of that decision and do not accept the plaintiffs' contrary one. Had</w:t>
      </w:r>
      <w:r>
        <w:t xml:space="preserve"> </w:t>
      </w:r>
      <w:r>
        <w:rPr>
          <w:iCs/>
          <w:i/>
        </w:rPr>
        <w:t xml:space="preserve">Gantler</w:t>
      </w:r>
      <w:r>
        <w:t xml:space="preserve"> </w:t>
      </w:r>
      <w:r>
        <w:t xml:space="preserve">been intended to unsettle a long-standing body of case law, the decision would likely have said so.</w:t>
      </w:r>
      <w:r>
        <w:rPr>
          <w:vertAlign w:val="superscript"/>
        </w:rPr>
        <w:t xml:space="preserve">[22]</w:t>
      </w:r>
      <w:r>
        <w:t xml:space="preserve"> </w:t>
      </w:r>
      <w:r>
        <w:t xml:space="preserve">Moreover, as the Chancellor noted, the issue presented in this case was not even squarely before the Court in</w:t>
      </w:r>
      <w:r>
        <w:t xml:space="preserve"> </w:t>
      </w:r>
      <w:r>
        <w:rPr>
          <w:iCs/>
          <w:i/>
        </w:rPr>
        <w:t xml:space="preserve">Gantler</w:t>
      </w:r>
      <w:r>
        <w:t xml:space="preserve"> </w:t>
      </w:r>
      <w:r>
        <w:t xml:space="preserve">because it found the relevant proxy statement to be materially misleading.</w:t>
      </w:r>
      <w:r>
        <w:rPr>
          <w:vertAlign w:val="superscript"/>
        </w:rPr>
        <w:t xml:space="preserve">[23]</w:t>
      </w:r>
      <w:r>
        <w:t xml:space="preserve"> </w:t>
      </w:r>
      <w:r>
        <w:t xml:space="preserve">To erase any doubt on the part of practitioners, we embrace the Chancellor's well-reasoned decision and the precedent it cites to support an interpretation of</w:t>
      </w:r>
      <w:r>
        <w:t xml:space="preserve"> </w:t>
      </w:r>
      <w:r>
        <w:rPr>
          <w:iCs/>
          <w:i/>
        </w:rPr>
        <w:t xml:space="preserve">Gantler</w:t>
      </w:r>
      <w:r>
        <w:t xml:space="preserve"> </w:t>
      </w:r>
      <w:r>
        <w:t xml:space="preserve">as a narrow decision focused on defining a specific legal term, "ratification," and not on the question of what standard of review applies if a transaction not subject to the entire fairness standard is approved by an informed, voluntary vote of disinterested stockholders. This view is consistent with well-reasoned Delaware precedent.</w:t>
      </w:r>
      <w:r>
        <w:rPr>
          <w:vertAlign w:val="superscript"/>
        </w:rPr>
        <w:t xml:space="preserve">[24]</w:t>
      </w:r>
    </w:p>
    <w:p>
      <w:pPr>
        <w:pStyle w:val="CaseBody"/>
      </w:pPr>
      <w:r>
        <w:t xml:space="preserve">[312] Furthermore, although the plaintiffs argue that adhering to the proposition that a fully informed, uncoerced stockholder vote invokes the business judgment rule would impair the operation of</w:t>
      </w:r>
      <w:r>
        <w:t xml:space="preserve"> </w:t>
      </w:r>
      <w:r>
        <w:rPr>
          <w:iCs/>
          <w:i/>
        </w:rPr>
        <w:t xml:space="preserve">Unocal</w:t>
      </w:r>
      <w:r>
        <w:rPr>
          <w:vertAlign w:val="superscript"/>
        </w:rPr>
        <w:t xml:space="preserve">[25]</w:t>
      </w:r>
      <w:r>
        <w:t xml:space="preserve"> </w:t>
      </w:r>
      <w:r>
        <w:t xml:space="preserve">and</w:t>
      </w:r>
      <w:r>
        <w:t xml:space="preserve"> </w:t>
      </w:r>
      <w:r>
        <w:rPr>
          <w:iCs/>
          <w:i/>
        </w:rPr>
        <w:t xml:space="preserve">Revlon,</w:t>
      </w:r>
      <w:r>
        <w:t xml:space="preserve"> </w:t>
      </w:r>
      <w:r>
        <w:t xml:space="preserve">or expose stockholders to unfair action by directors without protection, the plaintiffs ignore several factors. First,</w:t>
      </w:r>
      <w:r>
        <w:t xml:space="preserve"> </w:t>
      </w:r>
      <w:r>
        <w:rPr>
          <w:iCs/>
          <w:i/>
        </w:rPr>
        <w:t xml:space="preserve">Unocal</w:t>
      </w:r>
      <w:r>
        <w:t xml:space="preserve"> </w:t>
      </w:r>
      <w:r>
        <w:t xml:space="preserve">and</w:t>
      </w:r>
      <w:r>
        <w:t xml:space="preserve"> </w:t>
      </w:r>
      <w:r>
        <w:rPr>
          <w:iCs/>
          <w:i/>
        </w:rPr>
        <w:t xml:space="preserve">Revlon</w:t>
      </w:r>
      <w:r>
        <w:t xml:space="preserve"> </w:t>
      </w:r>
      <w:r>
        <w:t xml:space="preserve">are primarily designed to give stockholders and the Court of Chancery the tool of injunctive relief to address important M &amp; A decisions in real time, before closing. They were not tools designed with post-closing money damages claims in mind, the standards they articulate do not match the gross negligence standard for director due care liability under</w:t>
      </w:r>
      <w:r>
        <w:t xml:space="preserve"> </w:t>
      </w:r>
      <w:r>
        <w:rPr>
          <w:iCs/>
          <w:i/>
        </w:rPr>
        <w:t xml:space="preserve">Van Gorkom,</w:t>
      </w:r>
      <w:r>
        <w:rPr>
          <w:vertAlign w:val="superscript"/>
        </w:rPr>
        <w:t xml:space="preserve">[26]</w:t>
      </w:r>
      <w:r>
        <w:t xml:space="preserve"> </w:t>
      </w:r>
      <w:r>
        <w:t xml:space="preserve">and with the prevalence of exculpatory charter provisions, due care liability is rarely even available.</w:t>
      </w:r>
    </w:p>
    <w:p>
      <w:pPr>
        <w:pStyle w:val="CaseBody"/>
      </w:pPr>
      <w:r>
        <w:t xml:space="preserve">Second and most important, the doctrine applies only to fully informed, uncoerced stockholder votes, and if troubling facts regarding director behavior were not disclosed that would have been material to a voting stockholder, then the business judgment rule is not invoked.</w:t>
      </w:r>
      <w:r>
        <w:rPr>
          <w:vertAlign w:val="superscript"/>
        </w:rPr>
        <w:t xml:space="preserve">[27]</w:t>
      </w:r>
      <w:r>
        <w:t xml:space="preserve"> </w:t>
      </w:r>
      <w:r>
        <w:t xml:space="preserve">Here, however, all of the objective facts regarding the board's interests, KKR's interests, and the negotiation process, were fully disclosed.</w:t>
      </w:r>
    </w:p>
    <w:p>
      <w:pPr>
        <w:pStyle w:val="CaseBody"/>
      </w:pPr>
      <w:r>
        <w:t xml:space="preserve">Finally, when a transaction is not subject to the entire fairness standard, the [313] long-standing policy of our law has been to avoid the uncertainties and costs of judicial second-guessing when the disinterested stockholders have had the free and informed chance to decide on the economic merits of a transaction for themselves. There are sound reasons for this policy. When the real parties in interest — the disinterested equity owners — can easily protect themselves at the ballot box by simply voting no, the utility of a litigation-intrusive standard of review promises more costs to stockholders in the form of litigation rents and inhibitions on risk-taking than it promises in terms of benefits to them.</w:t>
      </w:r>
      <w:r>
        <w:rPr>
          <w:vertAlign w:val="superscript"/>
        </w:rPr>
        <w:t xml:space="preserve">[28]</w:t>
      </w:r>
      <w:r>
        <w:t xml:space="preserve"> </w:t>
      </w:r>
      <w:r>
        <w:t xml:space="preserve">The reason for that is tied to the core rationale of the business judgment rule, which is that judges are poorly positioned to evaluate the wisdom of business decisions and there is little utility to having them second-guess the determination [314] of impartial decision-makers with more information (in the case of directors) or an actual economic stake in the outcome (in the case of informed, disinterested stockholders). In circumstances, therefore, where the stockholders have had the voluntary choice to accept or reject a transaction, the business judgment rule standard of review is the presumptively correct one and best facilitates wealth creation through the corporate form.</w:t>
      </w:r>
    </w:p>
    <w:p>
      <w:pPr>
        <w:pStyle w:val="CaseBody"/>
      </w:pPr>
      <w:r>
        <w:t xml:space="preserve">For these reasons, therefore, we affirm the Court of Chancery's judgment on the basis of its well-reasoned decision.</w:t>
      </w:r>
    </w:p>
    <w:p>
      <w:pPr>
        <w:pStyle w:val="CaseBody"/>
      </w:pPr>
      <w:r>
        <w:rPr>
          <w:rStyle w:val="Elision"/>
        </w:rPr>
        <w:t xml:space="preserve">[ … ]</w:t>
      </w:r>
    </w:p>
    <w:p>
      <w:pPr>
        <w:pStyle w:val="CaseBody"/>
      </w:pPr>
      <w:r>
        <w:t xml:space="preserve">[19]</w:t>
      </w:r>
      <w:r>
        <w:t xml:space="preserve"> </w:t>
      </w:r>
      <w:r>
        <w:rPr>
          <w:iCs/>
          <w:i/>
        </w:rPr>
        <w:t xml:space="preserve">In re KKR Fin. Holdings,</w:t>
      </w:r>
      <w:r>
        <w:t xml:space="preserve"> </w:t>
      </w:r>
      <w:r>
        <w:t xml:space="preserve">101 A.3d at 1002.</w:t>
      </w:r>
    </w:p>
    <w:p>
      <w:pPr>
        <w:pStyle w:val="CaseBody"/>
      </w:pPr>
      <w:r>
        <w:t xml:space="preserve">Aside from the substantial authority cited by the Chancellor, there is additional precedent under Delaware law for the proposition that the approval of the disinterested stockholders in a fully informed, uncoerced vote that was required to consummate a transaction has the effect of invoking the business judgment rule. In citing to these authorities, we note that many of them used the term "ratification" in a looser sense than the clarified and narrow description that was given to that term in the scholarly</w:t>
      </w:r>
      <w:r>
        <w:t xml:space="preserve"> </w:t>
      </w:r>
      <w:r>
        <w:rPr>
          <w:iCs/>
          <w:i/>
        </w:rPr>
        <w:t xml:space="preserve">Gantler</w:t>
      </w:r>
      <w:r>
        <w:t xml:space="preserve"> </w:t>
      </w:r>
      <w:r>
        <w:t xml:space="preserve">opinion. Although the nomenclature was less precise, the critical reasoning of these opinions was centered on giving standard of review-invoking effect to a fully informed vote of the disinterested stockholders.</w:t>
      </w:r>
    </w:p>
    <w:p>
      <w:pPr>
        <w:pStyle w:val="CaseBody"/>
      </w:pPr>
      <w:r>
        <w:t xml:space="preserve">In many of the cases, that effect was given to a statutorily required vote or one required by the certificate of incorporation.</w:t>
      </w:r>
      <w:r>
        <w:t xml:space="preserve"> </w:t>
      </w:r>
      <w:r>
        <w:rPr>
          <w:iCs/>
          <w:i/>
        </w:rPr>
        <w:t xml:space="preserve">See</w:t>
      </w:r>
      <w:r>
        <w:t xml:space="preserve"> </w:t>
      </w:r>
      <w:r>
        <w:rPr>
          <w:iCs/>
          <w:i/>
        </w:rPr>
        <w:t xml:space="preserve">Stroud v. Grace,</w:t>
      </w:r>
      <w:r>
        <w:t xml:space="preserve"> </w:t>
      </w:r>
      <w:r>
        <w:t xml:space="preserve">606 A.2d 75, 83 (Del. 1992) ("Inherent in [enhanced scrutiny] is a presumption that a board acted in the absence of an informed shareholder vote ratifying the challenged action.");</w:t>
      </w:r>
      <w:r>
        <w:t xml:space="preserve"> </w:t>
      </w:r>
      <w:r>
        <w:rPr>
          <w:iCs/>
          <w:i/>
        </w:rPr>
        <w:t xml:space="preserve">Solomon,</w:t>
      </w:r>
      <w:r>
        <w:t xml:space="preserve"> </w:t>
      </w:r>
      <w:r>
        <w:t xml:space="preserve">747 A.2d at 1127, 1133,</w:t>
      </w:r>
      <w:r>
        <w:t xml:space="preserve"> </w:t>
      </w:r>
      <w:r>
        <w:rPr>
          <w:iCs/>
          <w:i/>
        </w:rPr>
        <w:t xml:space="preserve">aff'd,</w:t>
      </w:r>
      <w:r>
        <w:t xml:space="preserve"> </w:t>
      </w:r>
      <w:r>
        <w:t xml:space="preserve">746 A.2d 277 (dismissing a challenge to a spin-off of a subsidiary because a fully informed, uncoerced vote of the stockholders that was required under the corporation's charter invoked the business judgment rule);</w:t>
      </w:r>
      <w:r>
        <w:t xml:space="preserve"> </w:t>
      </w:r>
      <w:r>
        <w:rPr>
          <w:iCs/>
          <w:i/>
        </w:rPr>
        <w:t xml:space="preserve">In re Lukens Inc. S'holders Litig.,</w:t>
      </w:r>
      <w:r>
        <w:t xml:space="preserve"> </w:t>
      </w:r>
      <w:r>
        <w:t xml:space="preserve">757 A.2d 720, 736-38 (Del. Ch. 1999),</w:t>
      </w:r>
      <w:r>
        <w:t xml:space="preserve"> </w:t>
      </w:r>
      <w:r>
        <w:rPr>
          <w:iCs/>
          <w:i/>
        </w:rPr>
        <w:t xml:space="preserve">aff'd sub nom.</w:t>
      </w:r>
      <w:r>
        <w:t xml:space="preserve"> </w:t>
      </w:r>
      <w:r>
        <w:rPr>
          <w:iCs/>
          <w:i/>
        </w:rPr>
        <w:t xml:space="preserve">Walker v. Lukens, Inc.,</w:t>
      </w:r>
      <w:r>
        <w:t xml:space="preserve"> </w:t>
      </w:r>
      <w:r>
        <w:t xml:space="preserve">757 A.2d 1278 (Del. 2000) (holding that the fully informed stockholder approval of a merger invoked the business judgment rule);</w:t>
      </w:r>
      <w:r>
        <w:t xml:space="preserve"> </w:t>
      </w:r>
      <w:r>
        <w:rPr>
          <w:iCs/>
          <w:i/>
        </w:rPr>
        <w:t xml:space="preserve">In re Gen. Motors Class H S'holders Litig.,</w:t>
      </w:r>
      <w:r>
        <w:t xml:space="preserve"> </w:t>
      </w:r>
      <w:r>
        <w:t xml:space="preserve">734 A.2d 611, 616 (Del. Ch. 1999) ("Because the shareholders were afforded the opportunity to decide for themselves [whether to approve charter amendments in connection with a series of transactions] on accurate disclosures and in a non-coercive atmosphere, the business judgment rule applies....");</w:t>
      </w:r>
      <w:r>
        <w:t xml:space="preserve"> </w:t>
      </w:r>
      <w:r>
        <w:rPr>
          <w:iCs/>
          <w:i/>
        </w:rPr>
        <w:t xml:space="preserve">Weiss v. Rockwell Int'l. Corp.,</w:t>
      </w:r>
      <w:r>
        <w:t xml:space="preserve"> </w:t>
      </w:r>
      <w:r>
        <w:t xml:space="preserve">1989 WL 80345, at *3, *7 (Del. Ch. July 19, 1989),</w:t>
      </w:r>
      <w:r>
        <w:t xml:space="preserve"> </w:t>
      </w:r>
      <w:r>
        <w:rPr>
          <w:iCs/>
          <w:i/>
        </w:rPr>
        <w:t xml:space="preserve">aff'd,</w:t>
      </w:r>
      <w:r>
        <w:t xml:space="preserve"> </w:t>
      </w:r>
      <w:r>
        <w:t xml:space="preserve">574 A.2d 264 (Del. 1990) (dismissing a challenge to a charter amendment because it was approved by a fully informed vote of the disinterested stockholders);</w:t>
      </w:r>
      <w:r>
        <w:t xml:space="preserve"> </w:t>
      </w:r>
      <w:r>
        <w:rPr>
          <w:iCs/>
          <w:i/>
        </w:rPr>
        <w:t xml:space="preserve">Schiff v. RKO Pictures Corp.,</w:t>
      </w:r>
      <w:r>
        <w:t xml:space="preserve"> </w:t>
      </w:r>
      <w:r>
        <w:t xml:space="preserve">104 A.2d 267, 271-72 (Del. Ch. 1954) (finding that the principles established in</w:t>
      </w:r>
      <w:r>
        <w:t xml:space="preserve"> </w:t>
      </w:r>
      <w:r>
        <w:rPr>
          <w:iCs/>
          <w:i/>
        </w:rPr>
        <w:t xml:space="preserve">Gottlieb v. Heyden Chemical Corp.,</w:t>
      </w:r>
      <w:r>
        <w:t xml:space="preserve"> </w:t>
      </w:r>
      <w:r>
        <w:t xml:space="preserve">91 A.2d 57, 58 (Del. 1952), which held that voluntary stockholder approval of a stock option plan invoked the business judgment standard of review, were "equally applicable" to statutorily required stockholder approval of an asset sale to the company's chairman and 30% stockholder, requiring the plaintiffs to show "that the disparity between the money received and the value of the assets sold is so great that the court will infer that those passing judgment are guilty of improper motives or are recklessly indifferent to or intentionally disregarding the interest of the whole body of stockholders");</w:t>
      </w:r>
      <w:r>
        <w:t xml:space="preserve"> </w:t>
      </w:r>
      <w:r>
        <w:rPr>
          <w:iCs/>
          <w:i/>
        </w:rPr>
        <w:t xml:space="preserve">Cole v. Nat'l Cash Credit Ass'n,</w:t>
      </w:r>
      <w:r>
        <w:t xml:space="preserve"> </w:t>
      </w:r>
      <w:r>
        <w:t xml:space="preserve">156 A. 183, 188 (Del. Ch. 1931) ("The same presumption of fairness that supports the discretionary judgment of the managing directors must also be accorded to the majority of stockholders whenever they are called upon to speak for the corporation in matters assigned to them for decision, as is the case at one stage of the proceedings leading up to a sale of assets or a merger. No rational ground of distinction can be drawn in this respect between the directors on the one hand and the majority of stockholders on the other.");</w:t>
      </w:r>
      <w:r>
        <w:t xml:space="preserve"> </w:t>
      </w:r>
      <w:r>
        <w:rPr>
          <w:iCs/>
          <w:i/>
        </w:rPr>
        <w:t xml:space="preserve">MacFarlane v. N. Am. Cement Corp.,</w:t>
      </w:r>
      <w:r>
        <w:t xml:space="preserve"> </w:t>
      </w:r>
      <w:r>
        <w:t xml:space="preserve">157 A. 396, 398 (Del. Ch. 1928) ("When, therefore, the law provided that a merger might be effected if approved by the votes of stockholders of each corporation representing two-thirds of its total capital stock, it was no doubt believed that the interests of all the stockholders in the merging companies would be sufficiently safeguarded. Such being the case, it is manifest that the court should not, by its injunctive process, prevent a merger so approved unless it is clear that it would be so injurious and unfair to some minority complaining stockholders as to be shocking, and the court is convinced that it is so grossly unfair to such stockholders as to be fraudulent.");</w:t>
      </w:r>
      <w:r>
        <w:t xml:space="preserve"> </w:t>
      </w:r>
      <w:r>
        <w:rPr>
          <w:iCs/>
          <w:i/>
        </w:rPr>
        <w:t xml:space="preserve">see also</w:t>
      </w:r>
      <w:r>
        <w:t xml:space="preserve"> </w:t>
      </w:r>
      <w:r>
        <w:rPr>
          <w:iCs/>
          <w:i/>
        </w:rPr>
        <w:t xml:space="preserve">In re Morton's,</w:t>
      </w:r>
      <w:r>
        <w:t xml:space="preserve"> </w:t>
      </w:r>
      <w:r>
        <w:t xml:space="preserve">74 A.3d at 663 n.34 ("[W]hen disinterested approval of a sale to an arm's-length buyer is given by a majority of stockholders who have had the chance to consider whether or not to approve the transaction for themselves, there is a long line and sensible tradition of giving deference to the stockholders' voluntary decision, invoking the business judgment rule standard of review....");</w:t>
      </w:r>
      <w:r>
        <w:t xml:space="preserve"> </w:t>
      </w:r>
      <w:r>
        <w:rPr>
          <w:iCs/>
          <w:i/>
        </w:rPr>
        <w:t xml:space="preserve">In re S. Peru Copper Corp. S'holder Derivative Litig.,</w:t>
      </w:r>
      <w:r>
        <w:t xml:space="preserve"> </w:t>
      </w:r>
      <w:r>
        <w:t xml:space="preserve">52 A.3d 761, 793 n.113 (Del. Ch. 2011) ("[I]t has long been my understanding of Delaware law, that the approval of an uncoerced, disinterested electorate of a merger (including a sale) would have the effect of invoking the business judgment rule standard of review.");</w:t>
      </w:r>
      <w:r>
        <w:t xml:space="preserve"> </w:t>
      </w:r>
      <w:r>
        <w:rPr>
          <w:iCs/>
          <w:i/>
        </w:rPr>
        <w:t xml:space="preserve">Sample v. Morgan,</w:t>
      </w:r>
      <w:r>
        <w:t xml:space="preserve"> </w:t>
      </w:r>
      <w:r>
        <w:t xml:space="preserve">914 A.2d 647, 663 (Del. Ch. 2007) (footnote omitted) ("When uncoerced, fully informed, and disinterested stockholders approve a specific corporate action, the doctrine of ratification, in most situations, precludes claims for breach of duty attacking that action.");</w:t>
      </w:r>
      <w:r>
        <w:t xml:space="preserve"> </w:t>
      </w:r>
      <w:r>
        <w:rPr>
          <w:iCs/>
          <w:i/>
        </w:rPr>
        <w:t xml:space="preserve">In re PNB Holding Co.,</w:t>
      </w:r>
      <w:r>
        <w:t xml:space="preserve"> </w:t>
      </w:r>
      <w:r>
        <w:t xml:space="preserve">2006 WL 2403999, at *14 ("[O]utside the [controlling stockholder] context, proof that an informed, non-coerced majority of the disinterested stockholders approved an interested transaction has the effect of invoking business judgment rule protection for the transaction and, as a practical matter, insulating the transaction from revocation and its proponents from liability.");</w:t>
      </w:r>
      <w:r>
        <w:t xml:space="preserve"> </w:t>
      </w:r>
      <w:r>
        <w:rPr>
          <w:iCs/>
          <w:i/>
        </w:rPr>
        <w:t xml:space="preserve">Apple Comput., Inc. v. Exponential Tech., Inc.,</w:t>
      </w:r>
      <w:r>
        <w:t xml:space="preserve"> </w:t>
      </w:r>
      <w:r>
        <w:t xml:space="preserve">1999 WL 39547, at *7 (Del. Ch. Jan. 21, 1999) (noting that if an informed vote of the stockholders approved an asset sale potentially subject to § 271, that would moot any statutory claim and invoke the business judgment rule); William T. Allen et al.,</w:t>
      </w:r>
      <w:r>
        <w:t xml:space="preserve"> </w:t>
      </w:r>
      <w:r>
        <w:rPr>
          <w:iCs/>
          <w:i/>
        </w:rPr>
        <w:t xml:space="preserve">Function Over Form: A Reassessment of Standards of Review in Delaware Corporation Law,</w:t>
      </w:r>
      <w:r>
        <w:t xml:space="preserve"> </w:t>
      </w:r>
      <w:r>
        <w:t xml:space="preserve">56 BUS. LAW. 1287, 1317-18 (2001) [hereinafter</w:t>
      </w:r>
      <w:r>
        <w:t xml:space="preserve"> </w:t>
      </w:r>
      <w:r>
        <w:rPr>
          <w:iCs/>
          <w:i/>
        </w:rPr>
        <w:t xml:space="preserve">Function Over Form</w:t>
      </w:r>
      <w:r>
        <w:t xml:space="preserve">] ("Under present Delaware law, a fully informed majority vote</w:t>
      </w:r>
      <w:r>
        <w:t xml:space="preserve"> </w:t>
      </w:r>
      <w:r>
        <w:rPr>
          <w:iCs/>
          <w:i/>
        </w:rPr>
        <w:t xml:space="preserve">of the disinterested stockholders</w:t>
      </w:r>
      <w:r>
        <w:t xml:space="preserve"> </w:t>
      </w:r>
      <w:r>
        <w:t xml:space="preserve">that approves a transaction (other than a merger with a controlling stockholder) has the effect of insulating the directors from all claims except waste.").</w:t>
      </w:r>
    </w:p>
    <w:p>
      <w:pPr>
        <w:pStyle w:val="CaseBody"/>
      </w:pPr>
      <w:r>
        <w:t xml:space="preserve">In other cases, the vote may not have been statutorily required, but there was no suggestion that that factor was necessary for the vote to be given effect in determining the judicial standard of review.</w:t>
      </w:r>
      <w:r>
        <w:t xml:space="preserve"> </w:t>
      </w:r>
      <w:r>
        <w:rPr>
          <w:iCs/>
          <w:i/>
        </w:rPr>
        <w:t xml:space="preserve">See</w:t>
      </w:r>
      <w:r>
        <w:t xml:space="preserve"> </w:t>
      </w:r>
      <w:r>
        <w:rPr>
          <w:iCs/>
          <w:i/>
        </w:rPr>
        <w:t xml:space="preserve">Marciano v. Nakash,</w:t>
      </w:r>
      <w:r>
        <w:t xml:space="preserve"> </w:t>
      </w:r>
      <w:r>
        <w:t xml:space="preserve">535 A.2d 400, 405 n.3 (Del. 1987) ("[A]pproval by fully-informed disinterested stockholders ... permits invocation of the business judgment rule....");</w:t>
      </w:r>
      <w:r>
        <w:t xml:space="preserve"> </w:t>
      </w:r>
      <w:r>
        <w:rPr>
          <w:iCs/>
          <w:i/>
        </w:rPr>
        <w:t xml:space="preserve">Michelson v. Duncan,</w:t>
      </w:r>
      <w:r>
        <w:t xml:space="preserve"> </w:t>
      </w:r>
      <w:r>
        <w:t xml:space="preserve">407 A.2d 211, 224 (Del. 1979) ("`Where there has been independent stockholder ratification of interested director action, the objecting stockholder has the burden of showing that no person of ordinary sound business judgment would say that the consideration received for the options was a fair exchange for the options granted.'" (internal citation omitted)).</w:t>
      </w:r>
    </w:p>
    <w:p>
      <w:pPr>
        <w:pStyle w:val="CaseBody"/>
      </w:pPr>
      <w:r>
        <w:rPr>
          <w:rStyle w:val="Elision"/>
        </w:rPr>
        <w:t xml:space="preserve">[ … ]</w:t>
      </w:r>
    </w:p>
    <w:p>
      <w:pPr>
        <w:pStyle w:val="CaseBody"/>
      </w:pPr>
      <w:r>
        <w:t xml:space="preserve">[24]</w:t>
      </w:r>
      <w:r>
        <w:t xml:space="preserve"> </w:t>
      </w:r>
      <w:r>
        <w:rPr>
          <w:iCs/>
          <w:i/>
        </w:rPr>
        <w:t xml:space="preserve">See supra</w:t>
      </w:r>
      <w:r>
        <w:t xml:space="preserve"> </w:t>
      </w:r>
      <w:r>
        <w:t xml:space="preserve">notes 14 &amp; 19. In addition to the cases previously cited for the proposition that an uncoerced, fully informed vote of the disinterested stockholders invokes the business judgment rule standard of review, the tradition of giving burden-shifting effect to a majority-of-the-minority vote in a controlling stockholder going-private merger also supports our view that a statutorily required vote has historically been taken into account in determining the standard of review. In fact, in the case of</w:t>
      </w:r>
      <w:r>
        <w:t xml:space="preserve"> </w:t>
      </w:r>
      <w:r>
        <w:rPr>
          <w:iCs/>
          <w:i/>
        </w:rPr>
        <w:t xml:space="preserve">Greene v. Dunhill International, Inc.,</w:t>
      </w:r>
      <w:r>
        <w:t xml:space="preserve"> </w:t>
      </w:r>
      <w:r>
        <w:t xml:space="preserve">the Court of Chancery refused to invoke the business judgment rule because the merger in question involved a controlling stockholder as the buyer, the court cited to a case invoking the business judgment based on a stockholder vote, and indicating that it stood for the proposition that "[i]n the absence of divided interests, the judgment of the majority stockholders ... is presumed made in good faith and inspired by a bona fides of purpose." 249 A.2d 427, 430 (Del. Ch. 1968) (citing</w:t>
      </w:r>
      <w:r>
        <w:t xml:space="preserve"> </w:t>
      </w:r>
      <w:r>
        <w:rPr>
          <w:iCs/>
          <w:i/>
        </w:rPr>
        <w:t xml:space="preserve">Cole,</w:t>
      </w:r>
      <w:r>
        <w:t xml:space="preserve"> </w:t>
      </w:r>
      <w:r>
        <w:t xml:space="preserve">156 A. at 188). The entire strand of our entire controlling stockholder law, running from</w:t>
      </w:r>
      <w:r>
        <w:t xml:space="preserve"> </w:t>
      </w:r>
      <w:r>
        <w:rPr>
          <w:iCs/>
          <w:i/>
        </w:rPr>
        <w:t xml:space="preserve">Dunhill,</w:t>
      </w:r>
      <w:r>
        <w:t xml:space="preserve"> </w:t>
      </w:r>
      <w:r>
        <w:t xml:space="preserve">to</w:t>
      </w:r>
      <w:r>
        <w:t xml:space="preserve"> </w:t>
      </w:r>
      <w:r>
        <w:rPr>
          <w:iCs/>
          <w:i/>
        </w:rPr>
        <w:t xml:space="preserve">Weinberger v. UOP, Inc.,</w:t>
      </w:r>
      <w:r>
        <w:t xml:space="preserve"> </w:t>
      </w:r>
      <w:r>
        <w:t xml:space="preserve">457 A.2d 701 (Del. 1983), to</w:t>
      </w:r>
      <w:r>
        <w:t xml:space="preserve"> </w:t>
      </w:r>
      <w:r>
        <w:rPr>
          <w:iCs/>
          <w:i/>
        </w:rPr>
        <w:t xml:space="preserve">Kahn v. Lynch,</w:t>
      </w:r>
      <w:r>
        <w:t xml:space="preserve"> </w:t>
      </w:r>
      <w:r>
        <w:t xml:space="preserve">to</w:t>
      </w:r>
      <w:r>
        <w:t xml:space="preserve"> </w:t>
      </w:r>
      <w:r>
        <w:rPr>
          <w:iCs/>
          <w:i/>
        </w:rPr>
        <w:t xml:space="preserve">Kahn v. M &amp; F Worldwide Corp.,</w:t>
      </w:r>
      <w:r>
        <w:t xml:space="preserve"> </w:t>
      </w:r>
      <w:r>
        <w:t xml:space="preserve">88 A.3d 635 (Del. 2014), has focused on what effect of fully informed, uncoerced approval of the disinterested stockholders should have, and has never focused on whether the vote was statutorily required. Furthermore, although there has been the requirement that the disinterested vote be determinative in giving standard of review influencing effect to a stockholder vote in a controlling stockholder merger, e.g., by having the merger subject to a majority of the minority condition, this Court has never held that the stockholders had to be asked separately to "ratify" the board's actions for that effect to be given. Rather, it has been the ability of an uncoerced group of informed stockholders to freely accept for themselves whether a transaction was good for them that gave rise to the effect on the standard of review applied in any post-closing challenge.</w:t>
      </w:r>
    </w:p>
    <w:p>
      <w:pPr>
        <w:pStyle w:val="CaseBody"/>
      </w:pPr>
      <w:r>
        <w:rPr>
          <w:rStyle w:val="Elision"/>
        </w:rPr>
        <w:t xml:space="preserve">[ … ]</w:t>
      </w:r>
    </w:p>
    <w:p>
      <w:pPr>
        <w:pStyle w:val="CaseBody"/>
      </w:pPr>
      <w:r>
        <w:t xml:space="preserve">[27]</w:t>
      </w:r>
      <w:r>
        <w:t xml:space="preserve"> </w:t>
      </w:r>
      <w:r>
        <w:rPr>
          <w:iCs/>
          <w:i/>
        </w:rPr>
        <w:t xml:space="preserve">See</w:t>
      </w:r>
      <w:r>
        <w:t xml:space="preserve"> </w:t>
      </w:r>
      <w:r>
        <w:rPr>
          <w:iCs/>
          <w:i/>
        </w:rPr>
        <w:t xml:space="preserve">Williams v. Geier,</w:t>
      </w:r>
      <w:r>
        <w:t xml:space="preserve"> </w:t>
      </w:r>
      <w:r>
        <w:t xml:space="preserve">671 A.2d 1368, 1380-83 (Del. 1996) (noting that "[a]n otherwise valid stockholder vote may be nullified by a showing that the structure or circumstances of the vote were impermissibly coercive");</w:t>
      </w:r>
      <w:r>
        <w:t xml:space="preserve"> </w:t>
      </w:r>
      <w:r>
        <w:rPr>
          <w:iCs/>
          <w:i/>
        </w:rPr>
        <w:t xml:space="preserve">In re Rural Metro Corp.,</w:t>
      </w:r>
      <w:r>
        <w:t xml:space="preserve"> </w:t>
      </w:r>
      <w:r>
        <w:t xml:space="preserve">88 A.3d 54, 84 n.10 (Del. Ch. 2014) ("Because the Proxy Statement contained materially misleading disclosures and omissions, this case does not provide any opportunity to consider whether a fully informed stockholder vote would lower the standard of review from enhanced scrutiny to the business judgment rule.");</w:t>
      </w:r>
      <w:r>
        <w:t xml:space="preserve"> </w:t>
      </w:r>
      <w:r>
        <w:rPr>
          <w:iCs/>
          <w:i/>
        </w:rPr>
        <w:t xml:space="preserve">Huizenga,</w:t>
      </w:r>
      <w:r>
        <w:t xml:space="preserve"> </w:t>
      </w:r>
      <w:r>
        <w:t xml:space="preserve">751 A.2d at 898-99 ("If the corporate board failed to provide the voters with material information undermining the integrity or financial fairness of the transaction subject to the vote, no ratification effect will be accorded to the vote and the plaintiffs may press all of their claims.... In this regard, it is noteworthy that Delaware law does not make it easy for a board of directors to obtain `ratification effect' from a stockholder vote. The burden to prove that the vote was fair, uncoerced, and fully informed falls squarely on the board.").</w:t>
      </w:r>
    </w:p>
    <w:p>
      <w:pPr>
        <w:pStyle w:val="CaseBody"/>
      </w:pPr>
      <w:r>
        <w:t xml:space="preserve">[28]</w:t>
      </w:r>
      <w:r>
        <w:t xml:space="preserve"> </w:t>
      </w:r>
      <w:r>
        <w:rPr>
          <w:iCs/>
          <w:i/>
        </w:rPr>
        <w:t xml:space="preserve">See</w:t>
      </w:r>
      <w:r>
        <w:t xml:space="preserve"> </w:t>
      </w:r>
      <w:r>
        <w:rPr>
          <w:iCs/>
          <w:i/>
        </w:rPr>
        <w:t xml:space="preserve">Williams,</w:t>
      </w:r>
      <w:r>
        <w:t xml:space="preserve"> </w:t>
      </w:r>
      <w:r>
        <w:t xml:space="preserve">671 A.2d at 1381 (where a stockholder vote is statutorily required such as for a merger or a charter amendment, "the stockholders control their own destiny through informed voting," and calling this "the highest and best form of corporate democracy");</w:t>
      </w:r>
      <w:r>
        <w:t xml:space="preserve"> </w:t>
      </w:r>
      <w:r>
        <w:rPr>
          <w:iCs/>
          <w:i/>
        </w:rPr>
        <w:t xml:space="preserve">In re Morton's,</w:t>
      </w:r>
      <w:r>
        <w:t xml:space="preserve"> </w:t>
      </w:r>
      <w:r>
        <w:t xml:space="preserve">74 A.3d at 663 n.34 ("Traditionally, our equitable law of corporations has applied the business judgment standard of review to sales to arms'-length buyers when an informed, uncoerced vote of the disinterested electorate has approved the transaction. This effect on the standard of review is, of course, only available to disinterested stockholder approval for good reason — only disinterested stockholder approval is a strong assurance of fairness." (internal citations omitted));</w:t>
      </w:r>
      <w:r>
        <w:t xml:space="preserve"> </w:t>
      </w:r>
      <w:r>
        <w:rPr>
          <w:iCs/>
          <w:i/>
        </w:rPr>
        <w:t xml:space="preserve">In re Netsmart Techs. Inc. S'holders Litig.,</w:t>
      </w:r>
      <w:r>
        <w:t xml:space="preserve"> </w:t>
      </w:r>
      <w:r>
        <w:t xml:space="preserve">924 A.2d 171, 207 (Del. Ch. 2007) ("Delaware corporate law strives to give effect to business decisions approved by properly motivated directors and by informed, disinterested stockholders. By this means, our law seeks to balance the interest in promoting fair treatment of stockholders and the utility of avoiding judicial inquiries into the wisdom of business decisions. Thus, doctrines ... operate to keep the judiciary from second-guessing transactions when disinterested stockholders have had a fair opportunity to protect themselves by voting no.");</w:t>
      </w:r>
      <w:r>
        <w:t xml:space="preserve"> </w:t>
      </w:r>
      <w:r>
        <w:rPr>
          <w:iCs/>
          <w:i/>
        </w:rPr>
        <w:t xml:space="preserve">In re Lear Corp. S'holder Litig.,</w:t>
      </w:r>
      <w:r>
        <w:t xml:space="preserve"> </w:t>
      </w:r>
      <w:r>
        <w:t xml:space="preserve">926 A.2d 94, 114-15 (Del. Ch. 2007) ("Delaware corporation law gives great weight to informed decisions made by an uncoerced electorate. When disinterested stockholders make a mature decision about their economic self-interest, judicial second-guessing is almost completely circumscribed by the doctrine of ratification.");</w:t>
      </w:r>
      <w:r>
        <w:t xml:space="preserve"> </w:t>
      </w:r>
      <w:r>
        <w:rPr>
          <w:iCs/>
          <w:i/>
        </w:rPr>
        <w:t xml:space="preserve">In re PNB Holding Co.,</w:t>
      </w:r>
      <w:r>
        <w:t xml:space="preserve"> </w:t>
      </w:r>
      <w:r>
        <w:t xml:space="preserve">2006 WL 2403999, at *15 ("[W]hen most of the affected minority affirmatively approves the transaction, their self-interested decision to approve is sufficient proof of fairness to obviate a judicial examination of that question.");</w:t>
      </w:r>
      <w:r>
        <w:t xml:space="preserve"> </w:t>
      </w:r>
      <w:r>
        <w:rPr>
          <w:iCs/>
          <w:i/>
        </w:rPr>
        <w:t xml:space="preserve">Huizenga,</w:t>
      </w:r>
      <w:r>
        <w:t xml:space="preserve"> </w:t>
      </w:r>
      <w:r>
        <w:t xml:space="preserve">751 A.2d at 901 ("If fully informed, uncoerced, independent stockholders have approved the transaction, they have ... made the decision that the transaction is a fair exchange. As such, it is difficult to see the utility of allowing litigation to proceed in which the plaintiffs are permitted discovery and a possible trial.... In this day and age in which investors also have access to an abundance of information about corporate transactions from sources other than boards of directors, it seems presumptuous and paternalistic to assume that the court knows better in a particular instance than a fully informed corporate electorate with real money riding on the corporation's performance." (internal citations omitted));</w:t>
      </w:r>
      <w:r>
        <w:t xml:space="preserve"> </w:t>
      </w:r>
      <w:r>
        <w:rPr>
          <w:iCs/>
          <w:i/>
        </w:rPr>
        <w:t xml:space="preserve">Effect of Stockholder Approval, supra</w:t>
      </w:r>
      <w:r>
        <w:t xml:space="preserve"> </w:t>
      </w:r>
      <w:r>
        <w:t xml:space="preserve">note 20, at 1457 n.50 ("There is a gut-level sense of fairness to [the result that the business judgment rule is invoked where there is an uncoerced and fully informed vote of the disinterested stockholders to approve the action of a compromised board]. If the fully informed stockholders conclude collectively that they want an outcome, why should self-appointed stockholder plaintiffs be able to seek to hold directors liable for a decision that a majority of the stockholders endorsed? Absent disclosure violations or coercion, there is something contradictory about stockholders collectively saying, `Yes, I want this merger' and then for the stockholder plaintiffs to seek damages from the directors for having approved the deal and recommended it to the stockholders in the first place.");</w:t>
      </w:r>
      <w:r>
        <w:t xml:space="preserve"> </w:t>
      </w:r>
      <w:r>
        <w:rPr>
          <w:iCs/>
          <w:i/>
        </w:rPr>
        <w:t xml:space="preserve">cf. Function Over Form, supra</w:t>
      </w:r>
      <w:r>
        <w:t xml:space="preserve"> </w:t>
      </w:r>
      <w:r>
        <w:t xml:space="preserve">note 19, at 1307 ("If ... the vote is uncoerced and is fully informed, there is no reason why the shareholder vote should not be given that effect, particularly given the [Delaware Supreme Court's] rightful emphasis on the importance of the shareholder franchise and its exercise.").</w:t>
      </w:r>
    </w:p>
    <w:bookmarkEnd w:id="319"/>
    <w:p>
      <w:pPr>
        <w:pStyle w:val="NodeEnd"/>
      </w:pPr>
      <w:r>
        <w:t xml:space="preserve"> </w:t>
      </w:r>
    </w:p>
    <w:p>
      <w:pPr>
        <w:pStyle w:val="NodeStart"/>
      </w:pPr>
      <w:r>
        <w:t xml:space="preserve"> </w:t>
      </w:r>
    </w:p>
    <w:p>
      <w:pPr>
        <w:pStyle w:val="HeadSeparator"/>
      </w:pPr>
      <w:r>
        <w:t xml:space="preserve"> </w:t>
      </w:r>
    </w:p>
    <w:p>
      <w:pPr>
        <w:pStyle w:val="ChapterSpacer"/>
        <w:sectPr>
          <w:footerReference w:type="even" r:id="rId14"/>
          <w:footerReference w:type="default" r:id="rId14"/>
          <w:headerReference w:type="even" r:id="rId11"/>
          <w:headerReference w:type="default" r:id="rId12"/>
          <w:pgSz w:h="15840" w:w="12240"/>
          <w:pgMar w:bottom="1440" w:gutter="720" w:header="1440" w:left="1440" w:right="1440" w:top="1800"/>
          <w:pgNumType w:pgNumType="decimal"/>
        </w:sectPr>
      </w:pPr>
      <w:r>
        <w:t xml:space="preserve"> </w:t>
      </w:r>
    </w:p>
    <w:bookmarkStart w:id="135" w:name="_auto_toc_135"/>
    <w:bookmarkEnd w:id="135"/>
    <w:p>
      <w:pPr>
        <w:pStyle w:val="ChapterNumber"/>
      </w:pPr>
      <w:r>
        <w:t xml:space="preserve">11</w:t>
      </w:r>
    </w:p>
    <w:p>
      <w:pPr>
        <w:pStyle w:val="ChapterTitle"/>
      </w:pPr>
      <w:r>
        <w:t xml:space="preserve">Conflict transactions - loyalty</w:t>
      </w:r>
    </w:p>
    <w:p>
      <w:pPr>
        <w:pStyle w:val="HeadEnd"/>
        <w:sectPr>
          <w:footerReference w:type="even" r:id="rId14"/>
          <w:footerReference w:type="default" r:id="rId14"/>
          <w:headerReference w:type="even" r:id="rId11"/>
          <w:headerReference w:type="default" r:id="rId12"/>
          <w:type w:val="oddPage"/>
          <w:pgSz w:h="15840" w:w="12240"/>
          <w:pgMar w:bottom="1440" w:gutter="720" w:header="1440" w:left="1440" w:right="1440" w:top="1800"/>
          <w:pgNumType w:pgNumType="decimal"/>
        </w:sectPr>
      </w:pPr>
      <w:r>
        <w:t xml:space="preserve"> </w:t>
      </w:r>
    </w:p>
    <w:p>
      <w:pPr>
        <w:pStyle w:val="NodeEnd"/>
      </w:pPr>
      <w:r>
        <w:t xml:space="preserve"> </w:t>
      </w:r>
    </w:p>
    <w:p>
      <w:pPr>
        <w:pStyle w:val="NodeStart"/>
      </w:pPr>
      <w:r>
        <w:t xml:space="preserve"> </w:t>
      </w:r>
    </w:p>
    <w:p>
      <w:pPr>
        <w:pStyle w:val="HeadSeparator"/>
      </w:pPr>
      <w:r>
        <w:t xml:space="preserve"> </w:t>
      </w:r>
    </w:p>
    <w:bookmarkStart w:id="136" w:name="_auto_toc_136"/>
    <w:bookmarkEnd w:id="136"/>
    <w:p>
      <w:pPr>
        <w:pStyle w:val="SectionNumber"/>
      </w:pPr>
      <w:r>
        <w:t xml:space="preserve">11.1</w:t>
      </w:r>
    </w:p>
    <w:p>
      <w:pPr>
        <w:pStyle w:val="SectionTitle"/>
      </w:pPr>
      <w:r>
        <w:t xml:space="preserve">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137" w:name="_auto_toc_137"/>
    <w:bookmarkEnd w:id="137"/>
    <w:p>
      <w:pPr>
        <w:pStyle w:val="ResourceNumber"/>
      </w:pPr>
      <w:r>
        <w:t xml:space="preserve">11.1.1</w:t>
      </w:r>
    </w:p>
    <w:p>
      <w:pPr>
        <w:pStyle w:val="ResourceTitle"/>
      </w:pPr>
      <w:r>
        <w:t xml:space="preserve">State ex rel. Hayes Oyster Co. v. Keypoint Oyster Co.</w:t>
      </w:r>
    </w:p>
    <w:p>
      <w:pPr>
        <w:pStyle w:val="HeadEnd"/>
      </w:pPr>
      <w:r>
        <w:t xml:space="preserve"> </w:t>
      </w:r>
    </w:p>
    <w:p>
      <w:pPr>
        <w:pStyle w:val="CaseHeader"/>
      </w:pPr>
      <w:r>
        <w:t xml:space="preserve">Washington Supreme Court</w:t>
      </w:r>
    </w:p>
    <w:p>
      <w:pPr>
        <w:pStyle w:val="CaseHeader"/>
      </w:pPr>
      <w:r>
        <w:t xml:space="preserve">64 Wash. 2d 375</w:t>
      </w:r>
    </w:p>
    <w:p>
      <w:pPr>
        <w:pStyle w:val="CaseHeader"/>
      </w:pPr>
      <w:r>
        <w:t xml:space="preserve">No. 36959</w:t>
      </w:r>
    </w:p>
    <w:p>
      <w:pPr>
        <w:pStyle w:val="CaseHeader"/>
      </w:pPr>
      <w:r>
        <w:t xml:space="preserve">1964-04-30</w:t>
      </w:r>
    </w:p>
    <w:p>
      <w:pPr>
        <w:pStyle w:val="CaseBody"/>
      </w:pPr>
      <w:r>
        <w:rPr>
          <w:iCs/>
          <w:i/>
        </w:rPr>
        <w:t xml:space="preserve">Orville C. Hatch,</w:t>
      </w:r>
      <w:r>
        <w:t xml:space="preserve"> </w:t>
      </w:r>
      <w:r>
        <w:t xml:space="preserve">for appellants Keypoint Oyster Company</w:t>
      </w:r>
      <w:r>
        <w:t xml:space="preserve"> </w:t>
      </w:r>
      <w:r>
        <w:rPr>
          <w:iCs/>
          <w:i/>
        </w:rPr>
        <w:t xml:space="preserve">et al.</w:t>
      </w:r>
    </w:p>
    <w:p>
      <w:pPr>
        <w:pStyle w:val="CaseBody"/>
      </w:pPr>
      <w:r>
        <w:rPr>
          <w:iCs/>
          <w:i/>
        </w:rPr>
        <w:t xml:space="preserve">William A. Helsell</w:t>
      </w:r>
      <w:r>
        <w:t xml:space="preserve"> </w:t>
      </w:r>
      <w:r>
        <w:t xml:space="preserve">and</w:t>
      </w:r>
      <w:r>
        <w:t xml:space="preserve"> </w:t>
      </w:r>
      <w:r>
        <w:rPr>
          <w:iCs/>
          <w:i/>
        </w:rPr>
        <w:t xml:space="preserve">Helsell, Paul, Fetterman, Todd &amp; Hokanson,</w:t>
      </w:r>
      <w:r>
        <w:t xml:space="preserve"> </w:t>
      </w:r>
      <w:r>
        <w:t xml:space="preserve">for appellant Coast Oyster Company.</w:t>
      </w:r>
    </w:p>
    <w:p>
      <w:pPr>
        <w:pStyle w:val="CaseBody"/>
      </w:pPr>
      <w:r>
        <w:rPr>
          <w:iCs/>
          <w:i/>
        </w:rPr>
        <w:t xml:space="preserve">Cook, Flanagan &amp; Berst</w:t>
      </w:r>
      <w:r>
        <w:t xml:space="preserve"> </w:t>
      </w:r>
      <w:r>
        <w:t xml:space="preserve">and</w:t>
      </w:r>
      <w:r>
        <w:t xml:space="preserve"> </w:t>
      </w:r>
      <w:r>
        <w:rPr>
          <w:iCs/>
          <w:i/>
        </w:rPr>
        <w:t xml:space="preserve">George S. Cook,</w:t>
      </w:r>
      <w:r>
        <w:t xml:space="preserve"> </w:t>
      </w:r>
      <w:r>
        <w:t xml:space="preserve">for respondents.</w:t>
      </w:r>
    </w:p>
    <w:p>
      <w:pPr>
        <w:pStyle w:val="CaseFootnoteText"/>
      </w:pPr>
      <w:r>
        <w:rPr>
          <w:rStyle w:val="FootnoteReference"/>
        </w:rPr>
        <w:t xml:space="preserve">*</w:t>
      </w:r>
      <w:r>
        <w:t xml:space="preserve">Reported in</w:t>
      </w:r>
      <w:r>
        <w:t xml:space="preserve"> </w:t>
      </w:r>
      <w:r>
        <w:t xml:space="preserve">391 P. (2d) 979</w:t>
      </w:r>
      <w:r>
        <w:t xml:space="preserve">.</w:t>
      </w:r>
    </w:p>
    <w:p>
      <w:pPr>
        <w:pStyle w:val="CaseBody"/>
      </w:pPr>
      <w:r>
        <w:t xml:space="preserve">Denney, J.</w:t>
      </w:r>
      <w:r>
        <w:rPr>
          <w:rStyle w:val="FootnoteReference"/>
        </w:rPr>
        <w:footnoteReference w:customMarkFollows="1" w:id="1034"/>
        <w:t xml:space="preserve">†</w:t>
      </w:r>
    </w:p>
    <w:p>
      <w:pPr>
        <w:pStyle w:val="CaseBody"/>
      </w:pPr>
      <w:r>
        <w:t xml:space="preserve">This is an action to determine ownership of an interest in the capital stock of a corporation under circumstances requiring consideration of corporate morality and ethics in the conduct of the president, manager and director of a corporation in the sale of corporate assets.</w:t>
      </w:r>
    </w:p>
    <w:p>
      <w:pPr>
        <w:pStyle w:val="CaseBody"/>
      </w:pPr>
      <w:r>
        <w:t xml:space="preserve">The parties are Hayes Oyster Company, an Oregon corporation, hereinafter called Hayes Oyster; Coast Oyster Company, a Washington corporation, hereinafter called Coast; Keypoint Oyster Company, a Washington corporation, hereinafter called Keypoint; Joseph W. Engman, his wife, Edith M. Engman; Verne Hayes and Sam Hayes. Verne Hayes will be referred to as Hayes unless designated otherwise.</w:t>
      </w:r>
    </w:p>
    <w:p>
      <w:pPr>
        <w:pStyle w:val="CaseBody"/>
      </w:pPr>
      <w:r>
        <w:t xml:space="preserve">The action was commenced against Keypoint to require transfer of 50 per cent of its stock to Hayes Oyster. Keypoint disclaimed ownership of the stock and interpleaded other parties heretofore mentioned.</w:t>
      </w:r>
    </w:p>
    <w:p>
      <w:pPr>
        <w:pStyle w:val="CaseBody"/>
      </w:pPr>
      <w:r>
        <w:t xml:space="preserve">Hayes was one of the founders of Coast which, over the years, became a public corporation and acquired several large oyster property holdings, among which were oyster beds and facilities for harvesting oysters located at Allyn and Poulsbo, Washington. These properties will hereafter be referred to as Allyn and Poulsbo. Hayes was an officer and director of Coast from its incorporation and was president and manager and owner of 23 per cent of its stock in the year 1960, and a portion of 1961, during which time the events leading to this litigation occurred.</w:t>
      </w:r>
    </w:p>
    <w:p>
      <w:pPr>
        <w:pStyle w:val="CaseBody"/>
      </w:pPr>
      <w:r>
        <w:t xml:space="preserve">On October 21, 1958, Coast and Hayes entered into a full employment contract by which Hayes was to act as president and manager of Coast for a 10-year period and to refrain directly or indirectly from taking part in any business which would be in competition with the business of Coast, except Hayes Oyster.</w:t>
      </w:r>
    </w:p>
    <w:p>
      <w:pPr>
        <w:pStyle w:val="CaseBody"/>
      </w:pPr>
      <w:r>
        <w:t xml:space="preserve">Hayes Oyster was a family-owned corporation in which Sam Hayes owned about 75 per cent and Verne Hayes about 25 per cent of its stock.</w:t>
      </w:r>
    </w:p>
    <w:p>
      <w:pPr>
        <w:pStyle w:val="CaseBody"/>
      </w:pPr>
      <w:r>
        <w:t xml:space="preserve">In the spring of 1960, Coast owed substantial amounts to several creditors and it became apparent that the corporation must have cash if it was to continue in business. Several alternatives were considered by the directors of Coast, among them Hayes’ suggestion to sell Allyn and Poulsbo. In June, 1960, Hayes inquired of Engman, a. long-time employee of Coast and a man thoroughly familiar with the operation of the oyster properties, if Engman would be interested in purchasing Allyn and Poulsbo. Engman was interested but needed capital with which to commence operations. Engman then asked Hayes if he would “come in” with him. Hayes replied that his full-employment contract with Coast might forbid it, but he would consult Ward Kumm, hereinafter called Kumm, attorney for and longtime director of Coast.</w:t>
      </w:r>
    </w:p>
    <w:p>
      <w:pPr>
        <w:pStyle w:val="CaseBody"/>
      </w:pPr>
      <w:r>
        <w:t xml:space="preserve">Hayes testified that in July, 1960, he told Engman that he had consulted with Kumm and his brother Sam Hayes and that Hayes Oyster could aid Engman in securing the initial capital required by Engman. (Kumm denied that he ever talked to Hayes on the matter.) At this time, Eng-man told Hayes he would attempt to secure a loan from relatives.</w:t>
      </w:r>
    </w:p>
    <w:p>
      <w:pPr>
        <w:pStyle w:val="CaseBody"/>
      </w:pPr>
      <w:r>
        <w:t xml:space="preserve">On August 4, 1960, an informal meeting was held in Long Beach, California, attended by Hayes, Kumm, and representatives of Van Camp Seafoods Company, owner of 23 per cent of Coast stock, and Rupert Fish Company, a wholly owned subsidiary of British Columbia Packers, Ltd., owner of 38 per cent of such stock. Hayes’ plan to sell Allyn and Poulsbo was approved and a meeting of Coast’s board of directors was called. On August 11,1960, the board of directors of Coast approved the sale of Allyn and Poulsbo to Engman at a price of $250,000, nothing down, payment of $25,000 a year, interest at 5 per cent on unpaid bálance. Coast was thereby relieved of the expense incident to raising and harvesting oysters at Allyn and Poulsbo and was to receive instead at least $25,000 a year, thus improving Coast’s cash position. Hayes informed Engman of the action of the board of directors and put him in possession of Allyn and Poulsbo on August 16, 1960.</w:t>
      </w:r>
    </w:p>
    <w:p>
      <w:pPr>
        <w:pStyle w:val="CaseBody"/>
      </w:pPr>
      <w:r>
        <w:t xml:space="preserve">Engman instructed Kumm to draw the necessary documents to incorporate the new enterprise to be known as Keypoint Oyster Company, which was to enter into the contract with Coast for the purchase of Allyn and Poulsbo. Engman, his wife, and Sam Hayes were the incorporators, directors and officers of Keypoint. The initial paid-in capital was $500. Certificate No. 1 for 250 shares of stock was issued to Engman, certificate No. 2 for 249 shares to Eng-man’s wife, and certificate No. 3 for one qualifying share to Sam Hayes. Kumm forwarded the stock certificates to Engman, accompanied by a separate assignment in blank of certificate No. 2. Kumm also drew the contract of sale in accordance with instructions from Engman and Coast.</w:t>
      </w:r>
    </w:p>
    <w:p>
      <w:pPr>
        <w:pStyle w:val="CaseBody"/>
      </w:pPr>
      <w:r>
        <w:t xml:space="preserve">The incorporation of Keypoint was completed on October 1, 1960. Kumm believed that it was necessary, or at least prudent, to secure the approval of the shareholders of Coast to the contract for sale of such valuable properties. A shareholders’ meeting was held on October 21, 1960, at which time Kumm explained the contract. Hayes held proxies, which, with his own stock, authorized him to vote a majority of Coast stock. He did so in favor of a resolution authorizing Hayes to sign the proposed contract on behalf of Coast. Hayes signed as president of Coast; Engman signed as president of Keypoint.</w:t>
      </w:r>
    </w:p>
    <w:p>
      <w:pPr>
        <w:pStyle w:val="CaseBody"/>
      </w:pPr>
      <w:r>
        <w:t xml:space="preserve">Shortly thereafter, Engman delivered to Verne Hayes Keypoint certificate of stock No. 2, issued to Edith Engman, together with the separate assignment signed by her in which the name of the assignee was left blank. It is undisputed that the words “Hayes Oyster Company” as assignee were not typed in said assignment until July 5, 1962.</w:t>
      </w:r>
    </w:p>
    <w:p>
      <w:pPr>
        <w:pStyle w:val="CaseBody"/>
      </w:pPr>
      <w:r>
        <w:t xml:space="preserve">We must now retrace our steps to late August and early September, 1960. Engman decided against pursuing his intent to seek a loan from relatives for initial operating capital, and instead made an application to a Poulsbo bank for a loan of $15,000. Engman’s financial statement did not satisfy the bank as sufficient to justify such a large loan. Engman then solicited the aid of Hayes, who co-signed a note for $15,000, and the funds secured thereby provided sufficient capital for Engman to commence operations. This note was paid in full on March 13, 1961.</w:t>
      </w:r>
    </w:p>
    <w:p>
      <w:pPr>
        <w:pStyle w:val="CaseBody"/>
      </w:pPr>
      <w:r>
        <w:t xml:space="preserve">The trial court found that, on September 1, 1960, Hayes and Engman agreed that Hayes Oyster would acquire 50 per cent interest in Keypoint in consideration of Hayes cosigning the note. Hayes did not sign the note as an officer of Hayes Oyster, nor did he reveal to the bank that Hayes Oyster had any interest in the transaction. The trial court also concluded that Hayes’ signature on the note was adequate consideration for Engman’s promise to give Hayes Oyster a one-half interest in Keypoint. We accept this conclusion.</w:t>
      </w:r>
    </w:p>
    <w:p>
      <w:pPr>
        <w:pStyle w:val="CaseBody"/>
      </w:pPr>
      <w:r>
        <w:t xml:space="preserve">Hayes made no mention at the meeting in Long Beach on August 4,1960, or at the Coast directors’ meeting on August 11, 1960, that Hayes or Hayes Oyster might acquire some interest in Keypoint. Hayes made no disclosure to any officer, director, stockholder or employee of Coast at the shareholders’ meeting or at the time Hayes signed the contract for Coast on October 21, 1960, that Hayes or Hayes Oyster were to participate in or have a financial interest in Keypoint. Indeed, Coast acquired no knowledge of the Engman-Hayes deal until subsequent to the termination of Hayes’ administrative duties as president and general manager of Coast in May, 1961; and subsequent to the time Hayes sold his stock in Coast and the execution of an agreement on March 7, 1962, between Hayes and Coast, by which Hayes’ rights and obligations under the 1958 full-employment contract were settled.</w:t>
      </w:r>
    </w:p>
    <w:p>
      <w:pPr>
        <w:pStyle w:val="CaseBody"/>
      </w:pPr>
      <w:r>
        <w:t xml:space="preserve">On June 23,1962, Verne and Sam Hayes made demand on Engman for transfer on Keypoint’s books to Hayes Oyster of Mrs. Engman’s 249 shares.</w:t>
      </w:r>
      <w:r>
        <w:rPr>
          <w:rStyle w:val="FootnoteReference"/>
        </w:rPr>
        <w:footnoteReference w:customMarkFollows="1" w:id="36"/>
        <w:t xml:space="preserve">1</w:t>
      </w:r>
      <w:r>
        <w:t xml:space="preserve"> </w:t>
      </w:r>
      <w:r>
        <w:t xml:space="preserve">Engman did not comply but made full disclosure to Kumm of his agreement with Hayes to give Hayes or Hayes Oyster a one-half interest in Key-point and that such had been done. Soon thereafter Eng-man made formal demand for return of the stock which had been delivered to Verne and Sam Hayes. Coast quickly followed with a formal demand on Verne and Sam Hayes for the Keypoint stock in their possession and return of any benefits received by Hayes from the Engman-Hayes agreement. This case was commenced shortly thereafter.</w:t>
      </w:r>
    </w:p>
    <w:p>
      <w:pPr>
        <w:pStyle w:val="CaseBody"/>
      </w:pPr>
      <w:r>
        <w:t xml:space="preserve">After a lengthy trial, the trial court acquitted Verne Hayes of any breach of duty to Coast, held the agreement between Engman and Hayes that Hayes Oyster should acquire one-half interest in Keypoint to be valid; held; that Engman had no just claim to the stock; and ordered Key-point to deliver the stock to Hayes Oyster, and transfer it on Keypoint’s books.</w:t>
      </w:r>
      <w:r>
        <w:rPr>
          <w:rStyle w:val="FootnoteReference"/>
        </w:rPr>
        <w:footnoteReference w:customMarkFollows="1" w:id="65"/>
        <w:t xml:space="preserve">2</w:t>
      </w:r>
      <w:r>
        <w:t xml:space="preserve"> </w:t>
      </w:r>
      <w:r>
        <w:t xml:space="preserve">Coast also failed in its effort in the trial court to secure judgment for $5,100 against Hayes for alleged secret profit or benefit secured by Hayes in connection with employment by Keypoint of T. R. Ito at $100 per month and payment to one Kuwahara, a resident of Japan, of $250 per month.</w:t>
      </w:r>
    </w:p>
    <w:p>
      <w:pPr>
        <w:pStyle w:val="CaseBody"/>
      </w:pPr>
      <w:r>
        <w:t xml:space="preserve">Coast, Keypoint and Engman appeal.</w:t>
      </w:r>
    </w:p>
    <w:p>
      <w:pPr>
        <w:pStyle w:val="CaseBody"/>
      </w:pPr>
      <w:r>
        <w:t xml:space="preserve">Coast does not seek a rescission of the contract with Key-point, nor does it question the adequacy of the consideration which Keypoint agreed to pay for the purchase of Allyn and Poulsbo, nor does Coast claim that it suffered any loss in the transaction. It does assert that Hayes, Coast’s president, manager and director, acquired a secret profit and personal advantage to himself in the acquisition of the Key-point stock by Hayes or Hayes Oyster in the side deal with Engman; and that such was in violation of his duty to Coast, and that, therefore, Hayes or Hayes Oyster should disgorge such secret profit to Coast.</w:t>
      </w:r>
    </w:p>
    <w:p>
      <w:pPr>
        <w:pStyle w:val="CaseBody"/>
      </w:pPr>
      <w:r>
        <w:t xml:space="preserve">Certain basic concepts have long been recognized by courts throughout the land on the status of corporate officers and directors. They occupy a fiduciary relation to a private corporation and the shareholders thereof akin to that of a trustee, and owe undivided loyalty, and a standard of behavior above that of the workaday world. 3 Fletcher, Cyclopedia of Corporations (1947 ed.) § 838, p. 173; 2 Thompson on Corporations (3d ed.) § 1320, p. 778; Lep</w:t>
      </w:r>
      <w:r>
        <w:rPr>
          <w:iCs/>
          <w:i/>
        </w:rPr>
        <w:t xml:space="preserve">paluoto v. Eggleston,</w:t>
      </w:r>
      <w:r>
        <w:t xml:space="preserve"> </w:t>
      </w:r>
      <w:r>
        <w:t xml:space="preserve">57 Wn. (2d) 393</w:t>
      </w:r>
      <w:r>
        <w:t xml:space="preserve">,</w:t>
      </w:r>
      <w:r>
        <w:t xml:space="preserve"> </w:t>
      </w:r>
      <w:r>
        <w:t xml:space="preserve">357 P. (2d) 725</w:t>
      </w:r>
      <w:r>
        <w:t xml:space="preserve">;</w:t>
      </w:r>
      <w:r>
        <w:t xml:space="preserve"> </w:t>
      </w:r>
      <w:r>
        <w:rPr>
          <w:iCs/>
          <w:i/>
        </w:rPr>
        <w:t xml:space="preserve">Arneman v. Arneman,</w:t>
      </w:r>
      <w:r>
        <w:t xml:space="preserve"> </w:t>
      </w:r>
      <w:r>
        <w:t xml:space="preserve">43 Wn. (2d) 787</w:t>
      </w:r>
      <w:r>
        <w:t xml:space="preserve">,</w:t>
      </w:r>
      <w:r>
        <w:t xml:space="preserve"> </w:t>
      </w:r>
      <w:r>
        <w:t xml:space="preserve">264 P. (2d) 256</w:t>
      </w:r>
      <w:r>
        <w:t xml:space="preserve">,</w:t>
      </w:r>
      <w:r>
        <w:t xml:space="preserve"> </w:t>
      </w:r>
      <w:r>
        <w:t xml:space="preserve">45 A.L.R. (2d) 370</w:t>
      </w:r>
      <w:r>
        <w:t xml:space="preserve">;</w:t>
      </w:r>
      <w:r>
        <w:t xml:space="preserve"> </w:t>
      </w:r>
      <w:r>
        <w:rPr>
          <w:iCs/>
          <w:i/>
        </w:rPr>
        <w:t xml:space="preserve">Kane v. Klos,</w:t>
      </w:r>
      <w:r>
        <w:t xml:space="preserve"> </w:t>
      </w:r>
      <w:r>
        <w:t xml:space="preserve">50 Wn. (2d) 778</w:t>
      </w:r>
      <w:r>
        <w:t xml:space="preserve">,</w:t>
      </w:r>
      <w:r>
        <w:t xml:space="preserve"> </w:t>
      </w:r>
      <w:r>
        <w:t xml:space="preserve">314 P. (2d) 672</w:t>
      </w:r>
      <w:r>
        <w:t xml:space="preserve">;</w:t>
      </w:r>
      <w:r>
        <w:t xml:space="preserve"> </w:t>
      </w:r>
      <w:r>
        <w:rPr>
          <w:iCs/>
          <w:i/>
        </w:rPr>
        <w:t xml:space="preserve">Meinhard v. Salmon,</w:t>
      </w:r>
      <w:r>
        <w:t xml:space="preserve"> </w:t>
      </w:r>
      <w:r>
        <w:t xml:space="preserve">249 N. Y. 458</w:t>
      </w:r>
      <w:r>
        <w:t xml:space="preserve">,</w:t>
      </w:r>
      <w:r>
        <w:t xml:space="preserve"> </w:t>
      </w:r>
      <w:r>
        <w:t xml:space="preserve">164 N. E. 545</w:t>
      </w:r>
      <w:r>
        <w:t xml:space="preserve">,</w:t>
      </w:r>
      <w:r>
        <w:t xml:space="preserve"> </w:t>
      </w:r>
      <w:r>
        <w:t xml:space="preserve">62 A.L.R. 1</w:t>
      </w:r>
      <w:r>
        <w:t xml:space="preserve">.</w:t>
      </w:r>
    </w:p>
    <w:p>
      <w:pPr>
        <w:pStyle w:val="CaseBody"/>
      </w:pPr>
      <w:r>
        <w:t xml:space="preserve">This concept is confirmed by the enactment of RCW 23.01.360, which provides:</w:t>
      </w:r>
    </w:p>
    <w:p>
      <w:pPr>
        <w:pStyle w:val="CaseBody"/>
      </w:pPr>
      <w:r>
        <w:t xml:space="preserve">“Officers and directors shall be deemed to stand in a fiduciary relation to the corporation, and shall discharge the duties of their respective positions in good faith, and with that diligence, care and skill which ordinarily prudent men would exercise under similar circumstances in like positions.”</w:t>
      </w:r>
    </w:p>
    <w:p>
      <w:pPr>
        <w:pStyle w:val="CaseBody"/>
      </w:pPr>
      <w:r>
        <w:t xml:space="preserve">Directors and other officers of a private corporation cannot directly or indirectly acquire a profit for themselves or acquire any other personal advantage in dealings with others on behalf of the corporation. 3 Fletcher, Cyclopedia of Corporations (1947 ed.) § 884, p. 268; 13 Am. Jur. § 998, p. 950;</w:t>
      </w:r>
      <w:r>
        <w:t xml:space="preserve"> </w:t>
      </w:r>
      <w:r>
        <w:rPr>
          <w:iCs/>
          <w:i/>
        </w:rPr>
        <w:t xml:space="preserve">Western States Life Ins. Co. v. Lockwood,</w:t>
      </w:r>
      <w:r>
        <w:t xml:space="preserve"> </w:t>
      </w:r>
      <w:r>
        <w:t xml:space="preserve">166 Cal. 185</w:t>
      </w:r>
      <w:r>
        <w:t xml:space="preserve">,</w:t>
      </w:r>
      <w:r>
        <w:t xml:space="preserve"> </w:t>
      </w:r>
      <w:r>
        <w:t xml:space="preserve">135 Pac. 496</w:t>
      </w:r>
      <w:r>
        <w:t xml:space="preserve">;</w:t>
      </w:r>
      <w:r>
        <w:t xml:space="preserve"> </w:t>
      </w:r>
      <w:r>
        <w:rPr>
          <w:iCs/>
          <w:i/>
        </w:rPr>
        <w:t xml:space="preserve">Fleishhacker v. Blum,</w:t>
      </w:r>
      <w:r>
        <w:t xml:space="preserve"> </w:t>
      </w:r>
      <w:r>
        <w:t xml:space="preserve">109 F. (2d) 543</w:t>
      </w:r>
      <w:r>
        <w:t xml:space="preserve">.</w:t>
      </w:r>
    </w:p>
    <w:p>
      <w:pPr>
        <w:pStyle w:val="CaseBody"/>
      </w:pPr>
      <w:r>
        <w:t xml:space="preserve">Respondent is correct in his contention that this court has abolished the mechanical rule whereby any transaction involving corporate property in which a director has an interest is voidable at the option of the corporation. Such a contract cannot be voided if the director or officer can show that the transaction was fair to the corporation. However, nondisclosure by an interested director or officer is, in itself, unfair. This wholesome rule can be applied automatically without any of the unsatisfactory results which flowed from a rigid bar against any self-dealing. 1 Hornstein, Corporation Law and Practice § 439, p. 541;</w:t>
      </w:r>
      <w:r>
        <w:t xml:space="preserve"> </w:t>
      </w:r>
      <w:r>
        <w:rPr>
          <w:iCs/>
          <w:i/>
        </w:rPr>
        <w:t xml:space="preserve">Corr v. Leisey,</w:t>
      </w:r>
      <w:r>
        <w:t xml:space="preserve"> </w:t>
      </w:r>
      <w:r>
        <w:t xml:space="preserve">138 So. (2d) 795</w:t>
      </w:r>
      <w:r>
        <w:t xml:space="preserve"> </w:t>
      </w:r>
      <w:r>
        <w:t xml:space="preserve">(Fla. 1962).</w:t>
      </w:r>
    </w:p>
    <w:p>
      <w:pPr>
        <w:pStyle w:val="CaseBody"/>
      </w:pPr>
      <w:r>
        <w:t xml:space="preserve">The trial court found that any negotiations between Hayes and Engman up to the time of the loan by the Poulsbo Bank on September 1, 1960, resulted in no binding agreement that Hayes would have any personal interest for himself or as a stockholder in Hayes Oyster in the sale of Allyn and Poulsbo. The undisputed evidence, however, shows that Hayes knew he might have some interest in the sale. It would have been appropriate for Hayes to have disclosed his possible interest at the informal meeting in Long Beach on August 4, 1960, and particularly at the meeting of Coast’s board of directors on August 11, 1960. It is not necessary, however, for us to decide this case on a consideration of Hayes’ obligation to Coast under the circumstances obtaining at that time.</w:t>
      </w:r>
    </w:p>
    <w:p>
      <w:pPr>
        <w:pStyle w:val="CaseBody"/>
      </w:pPr>
      <w:r>
        <w:t xml:space="preserve">Subsequent to the agreement with Engman, Hayes attended the meeting of Coast stockholders on October 21, I960, recommended the sale,, and voted a majority of the stock, including his own, in favor of the sale to Keypoint. On the same day, as president of Coast, he signed the contract which, among other things, required Keypoint to pay 10 monthly payments amounting to $25,000 per year, to pay interest on deferred balance at 5 per cent, to make payments on an option agreement which Coast had with one Smith, to plant sufficient seed to produce 45,000 gallons of oysters per year, inform Coast of plantings, furnish annual reports to Coast, operate the oysterlands in good workmanlike manner, keep improvements in repair, pay taxes, refrain directly or indirectly from engaging in growing, processing or marketing dehydrated oysters or oyster stew, give Coast first refusal on purchase of Keypoint oysters of 10,000 gallons per year or one-fourth of Keypoint’s production. Title was reserved in Coast until payment in full of the purchase price of $250,000 and was subject to forfeiture for failure to pay installments or to fulfill any of the conditions of the contract.</w:t>
      </w:r>
    </w:p>
    <w:p>
      <w:pPr>
        <w:pStyle w:val="CaseBody"/>
      </w:pPr>
      <w:r>
        <w:t xml:space="preserve">At this juncture, Hayes was required to divulge his interest in Keypoint. His obligation to do so arises from the possibility, even probability that some controversy might arise between Coast and Keypoint relative to the numerous provisions of the executory contract. Coast shareholders and directors had the right to know of Hayes’ interest in Keypoint in order to intelligently determine the advisability of retaining Hayes as president and manager under the circumstances, and to determine whether or not it was wise to enter into the contract at all, in view of Hayes’ conduct. In all fairness, they were entitled to know that their president and director might be placed in a position where he must choose between the interest of Coast and Keypoint in conducting Coast’s business with Keypoint.</w:t>
      </w:r>
    </w:p>
    <w:p>
      <w:pPr>
        <w:pStyle w:val="CaseBody"/>
      </w:pPr>
      <w:r>
        <w:t xml:space="preserve">Furthermore, after receipt of the Keypoint stock, Hayes instructed the treasurer of Coast to make a payment on the Smith lease-option agreement which Keypoint was required to pay under the provisions of the contract. This action by Hayes grew out of a promise which Hayes made to Engman during their negotiations before the sale to reduce the sale price because of mortality of oysters on Allyn and Poulsbo. There was a clear conflict of interest.</w:t>
      </w:r>
    </w:p>
    <w:p>
      <w:pPr>
        <w:pStyle w:val="CaseBody"/>
      </w:pPr>
      <w:r>
        <w:t xml:space="preserve">The cases relied upon by respondent are not opposed to the rule condemning secrecy when an officer or director of a corporation may profit in the sale of corporate assets. In</w:t>
      </w:r>
      <w:r>
        <w:t xml:space="preserve"> </w:t>
      </w:r>
      <w:r>
        <w:rPr>
          <w:iCs/>
          <w:i/>
        </w:rPr>
        <w:t xml:space="preserve">Leppaluoto v. Eggleston, supra,</w:t>
      </w:r>
      <w:r>
        <w:t xml:space="preserve"> </w:t>
      </w:r>
      <w:r>
        <w:t xml:space="preserve">Eggleston secretly chartered his own equipment to a corporation in which he had one-half interest, for $25,000, without the knowledge of the owner of the remaining stock. We held that Eggleston was not required to return the $25,000 to the corporation because there was no proof that the charter arrangement was unfair or unreasonable and no proof that Eggleston made any profit on the transaction and that, absent proof of loss to the corporation or profit to Eggleston, no recovery could be had. In the case before us, profit to Hayes or Hayes Oyster in acquiring 50 per cent of Keypoint stock is clear and undisputed.</w:t>
      </w:r>
    </w:p>
    <w:p>
      <w:pPr>
        <w:pStyle w:val="CaseBody"/>
      </w:pPr>
      <w:r>
        <w:t xml:space="preserve">It was found in</w:t>
      </w:r>
      <w:r>
        <w:t xml:space="preserve"> </w:t>
      </w:r>
      <w:r>
        <w:rPr>
          <w:iCs/>
          <w:i/>
        </w:rPr>
        <w:t xml:space="preserve">Bay City Lbr. Co. v. Anderson,</w:t>
      </w:r>
      <w:r>
        <w:t xml:space="preserve"> </w:t>
      </w:r>
      <w:r>
        <w:t xml:space="preserve">8 Wn. (2d) 191</w:t>
      </w:r>
      <w:r>
        <w:t xml:space="preserve">,</w:t>
      </w:r>
      <w:r>
        <w:t xml:space="preserve"> </w:t>
      </w:r>
      <w:r>
        <w:t xml:space="preserve">111 P. (2d) 771</w:t>
      </w:r>
      <w:r>
        <w:t xml:space="preserve">, that a deal between a father, who was president and manager of a corporation, and his son for payment of a bonus to the son for securing purchasers for surplus wood was not secret. The father secured no profit and the bonus was legitimate compensation to the son who was not an officer of the corporation. However, the following statement is found in that case, p. 205:</w:t>
      </w:r>
    </w:p>
    <w:p>
      <w:pPr>
        <w:pStyle w:val="CaseBody"/>
      </w:pPr>
      <w:r>
        <w:t xml:space="preserve">“We admit that the rule contended for by respondent, that a corporate officer will be held to strict accountability for any individual profits made by him in dealing with assets of the corporation, is correct; but that rule, when applied to the facts in this case, does not justify the conclusion that appellants received any secret profits in this case.”</w:t>
      </w:r>
    </w:p>
    <w:p>
      <w:pPr>
        <w:pStyle w:val="CaseBody"/>
      </w:pPr>
      <w:r>
        <w:rPr>
          <w:iCs/>
          <w:i/>
        </w:rPr>
        <w:t xml:space="preserve">Central Bldg. Co. v. Keystone Shares Corp.,</w:t>
      </w:r>
      <w:r>
        <w:t xml:space="preserve"> </w:t>
      </w:r>
      <w:r>
        <w:t xml:space="preserve">185 Wash. 645</w:t>
      </w:r>
      <w:r>
        <w:t xml:space="preserve">,</w:t>
      </w:r>
      <w:r>
        <w:t xml:space="preserve"> </w:t>
      </w:r>
      <w:r>
        <w:t xml:space="preserve">56 P. (2d) 697</w:t>
      </w:r>
      <w:r>
        <w:t xml:space="preserve">, involved a lease by Keystone Shares Corp. of space in a building owned by Central Building Co. at a time when one Hawley was a trustee of Central Building Co. and a prospective trustee of Keystone Shares Corp. There was no secrecy in negotiating the lease, no damage to Keystone Shares Corp. and no profit to Central Building Co. in renting space at the same rental which obtained before the lease.</w:t>
      </w:r>
    </w:p>
    <w:p>
      <w:pPr>
        <w:pStyle w:val="CaseBody"/>
      </w:pPr>
      <w:r>
        <w:t xml:space="preserve">The business opportunity cases upon which respondent relies, of which</w:t>
      </w:r>
      <w:r>
        <w:t xml:space="preserve"> </w:t>
      </w:r>
      <w:r>
        <w:rPr>
          <w:iCs/>
          <w:i/>
        </w:rPr>
        <w:t xml:space="preserve">Johnston v. Greene,</w:t>
      </w:r>
      <w:r>
        <w:t xml:space="preserve"> </w:t>
      </w:r>
      <w:r>
        <w:t xml:space="preserve">35 Del. Ch. 479</w:t>
      </w:r>
      <w:r>
        <w:t xml:space="preserve">,</w:t>
      </w:r>
      <w:r>
        <w:t xml:space="preserve"> </w:t>
      </w:r>
      <w:r>
        <w:t xml:space="preserve">121 A. (2d) 919</w:t>
      </w:r>
      <w:r>
        <w:t xml:space="preserve">, is an example, are not in point. These cases involved the obligation of an officer or director to give the corporation an opportunity to take advantage of a business transaction of which such director or officer had knowledgé. The obligation of an officer or director of a corporation in such instance is far less rigid than in the case of personal interest of an officer or director in sale of corporate assets.</w:t>
      </w:r>
    </w:p>
    <w:p>
      <w:pPr>
        <w:pStyle w:val="CaseBody"/>
      </w:pPr>
      <w:r>
        <w:t xml:space="preserve">It is true that Hayes hypothecated his stock in Coast to one of Coast’s creditors in early August, 1960. Undoubtedly, this aided Coast in placating its creditors at that time and showed absence of an intent to defraud Coast. It is not necessary, however, that an officer or director of a corporation have an intent to defraud or that any injury result to the corporation for an officer or director to violate his fiduciary obligation in secretly acquiring an interest in corporate property.</w:t>
      </w:r>
    </w:p>
    <w:p>
      <w:pPr>
        <w:pStyle w:val="CaseBody"/>
      </w:pPr>
      <w:r>
        <w:t xml:space="preserve">In quoting from 13 Am. Jur. § 1002, p. 955, in the case of</w:t>
      </w:r>
      <w:r>
        <w:t xml:space="preserve"> </w:t>
      </w:r>
      <w:r>
        <w:rPr>
          <w:iCs/>
          <w:i/>
        </w:rPr>
        <w:t xml:space="preserve">Lycette v. Green River Gorge, Inc.,</w:t>
      </w:r>
      <w:r>
        <w:t xml:space="preserve"> </w:t>
      </w:r>
      <w:r>
        <w:t xml:space="preserve">21 Wn. (2d) 859</w:t>
      </w:r>
      <w:r>
        <w:t xml:space="preserve">,</w:t>
      </w:r>
      <w:r>
        <w:t xml:space="preserve"> </w:t>
      </w:r>
      <w:r>
        <w:t xml:space="preserve">153 P. (2d) 873</w:t>
      </w:r>
      <w:r>
        <w:t xml:space="preserve">, we said, p. 865:</w:t>
      </w:r>
    </w:p>
    <w:p>
      <w:pPr>
        <w:pStyle w:val="CaseBody"/>
      </w:pPr>
      <w:r>
        <w:t xml:space="preserve">“ Actual injury is not the principle upon which the law proceeds in condemning such contracts. Fidelity in the agent is what is aimed at, and as a means of securing it, the law will not permit the agent to place himself in a situation in which he may be tempted by his own private interest to disregard that of his principal. . . . ’”</w:t>
      </w:r>
    </w:p>
    <w:p>
      <w:pPr>
        <w:pStyle w:val="CaseBody"/>
      </w:pPr>
      <w:r>
        <w:t xml:space="preserve">Respondent asserts that action by Coast shareholders was not necessary to bind Coast to the sale because it had already been approved by Coast’s board of directors. Assuming this to be true, Hayes’ fiduciary status with Coast did not change. He could not place himself in an adverse position to Coast by acquiring an interest in the executory contract before the terms of said contract had been performed by Keypoint.</w:t>
      </w:r>
      <w:r>
        <w:t xml:space="preserve"> </w:t>
      </w:r>
      <w:r>
        <w:rPr>
          <w:iCs/>
          <w:i/>
        </w:rPr>
        <w:t xml:space="preserve">Cook v. Berlin Woolen Mill Co.,</w:t>
      </w:r>
      <w:r>
        <w:t xml:space="preserve"> </w:t>
      </w:r>
      <w:r>
        <w:t xml:space="preserve">43 Wis. 433</w:t>
      </w:r>
      <w:r>
        <w:t xml:space="preserve">;</w:t>
      </w:r>
      <w:r>
        <w:t xml:space="preserve"> </w:t>
      </w:r>
      <w:r>
        <w:rPr>
          <w:iCs/>
          <w:i/>
        </w:rPr>
        <w:t xml:space="preserve">Farwell v. Pyle-Nat. Elec. Headlight Co.,</w:t>
      </w:r>
      <w:r>
        <w:t xml:space="preserve"> </w:t>
      </w:r>
      <w:r>
        <w:t xml:space="preserve">289 Ill. 157</w:t>
      </w:r>
      <w:r>
        <w:t xml:space="preserve">,</w:t>
      </w:r>
      <w:r>
        <w:t xml:space="preserve"> </w:t>
      </w:r>
      <w:r>
        <w:t xml:space="preserve">124 N. E. 449</w:t>
      </w:r>
      <w:r>
        <w:t xml:space="preserve">,</w:t>
      </w:r>
      <w:r>
        <w:t xml:space="preserve"> </w:t>
      </w:r>
      <w:r>
        <w:t xml:space="preserve">10 A.L.R. 363</w:t>
      </w:r>
      <w:r>
        <w:t xml:space="preserve">.</w:t>
      </w:r>
    </w:p>
    <w:p>
      <w:pPr>
        <w:pStyle w:val="CaseBody"/>
      </w:pPr>
      <w:r>
        <w:t xml:space="preserve">The trial court found that Coast’s release of Hayes on March 7, 1962, was not binding on Coast because there was no disclosure of Hayes’ or Hayes Oyster’s interest in Keypoint. We agree. A corporation cannot ratify the breach of fiduciary duties unless full and complete disclosure of all facts and circumstances is.made by the fiduciary and an intentional relinquishment by the corporation of its rights.</w:t>
      </w:r>
      <w:r>
        <w:t xml:space="preserve"> </w:t>
      </w:r>
      <w:r>
        <w:rPr>
          <w:iCs/>
          <w:i/>
        </w:rPr>
        <w:t xml:space="preserve">Kane v. Klos,</w:t>
      </w:r>
      <w:r>
        <w:t xml:space="preserve"> </w:t>
      </w:r>
      <w:r>
        <w:t xml:space="preserve">50 Wn. (2d) 778</w:t>
      </w:r>
      <w:r>
        <w:t xml:space="preserve">, 784,</w:t>
      </w:r>
      <w:r>
        <w:t xml:space="preserve"> </w:t>
      </w:r>
      <w:r>
        <w:t xml:space="preserve">314 P. (2d)</w:t>
      </w:r>
      <w:r>
        <w:t xml:space="preserve"> </w:t>
      </w:r>
      <w:r>
        <w:t xml:space="preserve">672</w:t>
      </w:r>
      <w:r>
        <w:t xml:space="preserve">; Wool</w:t>
      </w:r>
      <w:r>
        <w:t xml:space="preserve"> </w:t>
      </w:r>
      <w:r>
        <w:rPr>
          <w:iCs/>
          <w:i/>
        </w:rPr>
        <w:t xml:space="preserve">Growers Ser. Corp. v. Simcoe Sheep Co.,</w:t>
      </w:r>
      <w:r>
        <w:t xml:space="preserve"> </w:t>
      </w:r>
      <w:r>
        <w:t xml:space="preserve">18 Wn. (2d) 655</w:t>
      </w:r>
      <w:r>
        <w:t xml:space="preserve">, 697,</w:t>
      </w:r>
      <w:r>
        <w:t xml:space="preserve"> </w:t>
      </w:r>
      <w:r>
        <w:t xml:space="preserve">140 P. (2d) 512</w:t>
      </w:r>
      <w:r>
        <w:t xml:space="preserve">.</w:t>
      </w:r>
    </w:p>
    <w:p>
      <w:pPr>
        <w:pStyle w:val="CaseBody"/>
      </w:pPr>
      <w:r>
        <w:t xml:space="preserve">Coast had the option to affirm the contract or seek rescission. It chose the former and can successfully invoke the principle that whatever a director or officer acquires by virtue of his fiduciary relation, except in open dealings with the company, belongs not to such director or officer, but to the company. Nothing less than this satisfies the law. 3 Fletcher, Cyclopedia of Corporations (1947 ed.) § 888, p. 289.</w:t>
      </w:r>
    </w:p>
    <w:p>
      <w:pPr>
        <w:pStyle w:val="CaseBody"/>
      </w:pPr>
      <w:r>
        <w:t xml:space="preserve">2 Thompson on Corporations (3d ed.) § 1339, p. 822, has this to say:</w:t>
      </w:r>
    </w:p>
    <w:p>
      <w:pPr>
        <w:pStyle w:val="CaseBody"/>
      </w:pPr>
      <w:r>
        <w:t xml:space="preserve">“ . . . The corporation may compel a director to account for all profits made by him in dealings with the corporation and this without disaffirming the contract under which the profits were made. . . . ”</w:t>
      </w:r>
    </w:p>
    <w:p>
      <w:pPr>
        <w:pStyle w:val="CaseBody"/>
      </w:pPr>
      <w:r>
        <w:t xml:space="preserve">This rule appears to have universal application and is recognized in this state.</w:t>
      </w:r>
      <w:r>
        <w:t xml:space="preserve"> </w:t>
      </w:r>
      <w:r>
        <w:rPr>
          <w:iCs/>
          <w:i/>
        </w:rPr>
        <w:t xml:space="preserve">Leppaluoto v. Eggleston, supra; Kane v. Klos, supra.</w:t>
      </w:r>
    </w:p>
    <w:p>
      <w:pPr>
        <w:pStyle w:val="CaseBody"/>
      </w:pPr>
      <w:r>
        <w:t xml:space="preserve">The trial court’s finding that Hayes acted on behalf of Hayes Oyster in all of his negotiations with Engman subsequent to July, 1960, does not alter the situation. Sam Hayes knew that Verne Hayes was president and manager of Coast and owed complete devotion to the interests of Coast at the time Verne Hayes first approached him on the subject of sharing with Engman in the purchase of Allyn and Poulsbo. Sam Hayes knew and agreed that any interest of Verne Hayes or Hayes Oyster in Keypoint was to be kept secret and revealed to no one, including Coast. Sam Hayes authorized Verne Hayes to proceed with the deal on behalf of Hayes Oyster on this basis. Verne Hayes became the agent of Hayes Oyster in negotiating with Engman.</w:t>
      </w:r>
    </w:p>
    <w:p>
      <w:pPr>
        <w:pStyle w:val="CaseBody"/>
      </w:pPr>
      <w:r>
        <w:t xml:space="preserve">It is well settled that a corporation is chargeable with constructive notice of facts acquired by an agent while acting within the scope of his authority.</w:t>
      </w:r>
      <w:r>
        <w:t xml:space="preserve"> </w:t>
      </w:r>
      <w:r>
        <w:rPr>
          <w:iCs/>
          <w:i/>
        </w:rPr>
        <w:t xml:space="preserve">Post v. Maryland Cas. Co.,</w:t>
      </w:r>
      <w:r>
        <w:t xml:space="preserve"> </w:t>
      </w:r>
      <w:r>
        <w:t xml:space="preserve">2 Wn. (2d) 21</w:t>
      </w:r>
      <w:r>
        <w:t xml:space="preserve">,</w:t>
      </w:r>
      <w:r>
        <w:t xml:space="preserve"> </w:t>
      </w:r>
      <w:r>
        <w:t xml:space="preserve">97 P. (2d) 173</w:t>
      </w:r>
      <w:r>
        <w:t xml:space="preserve">. Verne Hayes was the moving spirit in the transaction with Engman. Hayes Oyster cannot claim immunity from Verne Hayes’ fiduciary breach to Coast.</w:t>
      </w:r>
    </w:p>
    <w:p>
      <w:pPr>
        <w:pStyle w:val="CaseBody"/>
      </w:pPr>
      <w:r>
        <w:t xml:space="preserve">Hayes Oyster gave no consideration for any interest in Keypoint. It did not even become liable on the Poulsbo Bank note. Every sound consideration of equity affects Hayes Oyster as well as Verne Hayes. Neither can profit by the dereliction of Verne Hayes.</w:t>
      </w:r>
      <w:r>
        <w:t xml:space="preserve"> </w:t>
      </w:r>
      <w:r>
        <w:rPr>
          <w:iCs/>
          <w:i/>
        </w:rPr>
        <w:t xml:space="preserve">Collins v. Hoffman,</w:t>
      </w:r>
      <w:r>
        <w:t xml:space="preserve"> </w:t>
      </w:r>
      <w:r>
        <w:t xml:space="preserve">74 Wash. 264</w:t>
      </w:r>
      <w:r>
        <w:t xml:space="preserve">,</w:t>
      </w:r>
      <w:r>
        <w:t xml:space="preserve"> </w:t>
      </w:r>
      <w:r>
        <w:t xml:space="preserve">133 Pac. 450</w:t>
      </w:r>
      <w:r>
        <w:t xml:space="preserve">.</w:t>
      </w:r>
    </w:p>
    <w:p>
      <w:pPr>
        <w:pStyle w:val="CaseBody"/>
      </w:pPr>
      <w:r>
        <w:t xml:space="preserve">In</w:t>
      </w:r>
      <w:r>
        <w:t xml:space="preserve"> </w:t>
      </w:r>
      <w:r>
        <w:rPr>
          <w:iCs/>
          <w:i/>
        </w:rPr>
        <w:t xml:space="preserve">Ryan v. Plath,</w:t>
      </w:r>
      <w:r>
        <w:t xml:space="preserve"> </w:t>
      </w:r>
      <w:r>
        <w:t xml:space="preserve">18 Wn. (2d) 839</w:t>
      </w:r>
      <w:r>
        <w:t xml:space="preserve">, 863,</w:t>
      </w:r>
      <w:r>
        <w:t xml:space="preserve"> </w:t>
      </w:r>
      <w:r>
        <w:t xml:space="preserve">140 P. (2d) 968</w:t>
      </w:r>
      <w:r>
        <w:t xml:space="preserve">, we said:</w:t>
      </w:r>
    </w:p>
    <w:p>
      <w:pPr>
        <w:pStyle w:val="CaseBody"/>
      </w:pPr>
      <w:r>
        <w:t xml:space="preserve">“In any event, the respondent corporation could not, in this instance, claim to be a</w:t>
      </w:r>
      <w:r>
        <w:t xml:space="preserve"> </w:t>
      </w:r>
      <w:r>
        <w:rPr>
          <w:iCs/>
          <w:i/>
        </w:rPr>
        <w:t xml:space="preserve">bona fide</w:t>
      </w:r>
      <w:r>
        <w:t xml:space="preserve"> </w:t>
      </w:r>
      <w:r>
        <w:t xml:space="preserve">purchaser of the property, for all of its officers and stockholders were fully conversant with the facts and circumstances which led to the purchase by the corporation, and therefore it must be held to have had knowledge of the breach of trust and have adopted the means by which the property was procured.</w:t>
      </w:r>
      <w:r>
        <w:t xml:space="preserve"> </w:t>
      </w:r>
      <w:r>
        <w:rPr>
          <w:iCs/>
          <w:i/>
        </w:rPr>
        <w:t xml:space="preserve">Saar v. Weeks,</w:t>
      </w:r>
      <w:r>
        <w:t xml:space="preserve"> </w:t>
      </w:r>
      <w:r>
        <w:t xml:space="preserve">105 Wash. 628</w:t>
      </w:r>
      <w:r>
        <w:t xml:space="preserve">,</w:t>
      </w:r>
      <w:r>
        <w:t xml:space="preserve"> </w:t>
      </w:r>
      <w:r>
        <w:t xml:space="preserve">178 Pac. 819</w:t>
      </w:r>
      <w:r>
        <w:t xml:space="preserve">.”</w:t>
      </w:r>
    </w:p>
    <w:p>
      <w:pPr>
        <w:pStyle w:val="CaseBody"/>
      </w:pPr>
      <w:r>
        <w:t xml:space="preserve">At the time Engman went into possession of Allyn and Poulsbo, Hayes suggested that Engman pay $100 per month to T. R. Ito to act as a watchman for some of the oyster beds which lay in front of Hayes’ home. Hayes also suggested to Engman the payment of $250 per month to one Kuwa-hara for inspection of any oyster seed purchased in Japan. Engman complied with both requests. Coast now attacks these payments as a secret profit or benefit secured by Hayes.</w:t>
      </w:r>
    </w:p>
    <w:p>
      <w:pPr>
        <w:pStyle w:val="CaseBody"/>
      </w:pPr>
      <w:r>
        <w:t xml:space="preserve">This presents a factual issue which was resolved by the trial court in favor of Hayes. There is substantial evidence that T. R. Ito rendered some service to Keypoint in guarding a portion of Keypoint’s oyster beds. Coast failed to convince the trial court that Keypoint’s payment to Kuwahara in Japan was for the sole purpose of aiding Hayes in support of the family of his prospective bride. Substantial evidence supports the finding of the trial court on this issue. Coast must fail in its effort to recover a $5,100 judgment against Hayes.</w:t>
      </w:r>
    </w:p>
    <w:p>
      <w:pPr>
        <w:pStyle w:val="CaseBody"/>
      </w:pPr>
      <w:r>
        <w:t xml:space="preserve">Engman contends that the agreement between him and Hayes was without consideration, secured by undue influence, business compulsion and that the agreement was against public policy, void, and therefore the court should leave the parties where it finds them.</w:t>
      </w:r>
    </w:p>
    <w:p>
      <w:pPr>
        <w:pStyle w:val="CaseBody"/>
      </w:pPr>
      <w:r>
        <w:t xml:space="preserve">The Engman-Hayes agreement was not void, but voidable at the election of Coast.</w:t>
      </w:r>
    </w:p>
    <w:p>
      <w:pPr>
        <w:pStyle w:val="CaseBody"/>
      </w:pPr>
      <w:r>
        <w:t xml:space="preserve">Substantial evidence supports the trial court’s findings that Verne- Hayes did not use undue influence or business compulsion on Engman in securing one-half interest in Keypoint. Hayes gave valuable consideration for Engman’s promise to give Hayes or Hayes Oyster one-half interest in the new venture by pledging his credit in securing initial capital for the new business.</w:t>
      </w:r>
    </w:p>
    <w:p>
      <w:pPr>
        <w:pStyle w:val="CaseBody"/>
      </w:pPr>
      <w:r>
        <w:t xml:space="preserve">Engman’s version of the final agreement between him and Hayes was that immediately after Coast’s directors’ meeting, Hayes made a demand for one-half interest in Allyn and Poulsbo, that Engman employ Ito, enter into an agreement with Kuwahara and that the deal should be kept completely secret. He testified that Hayes Oyster was never mentioned as a party to the transaction. Engman is in no position to contend that his agreement with Hayes was against public policy and void. He was a party to it. Coast was not a party to any illegal contract and its equitable claim has been established.</w:t>
      </w:r>
    </w:p>
    <w:p>
      <w:pPr>
        <w:pStyle w:val="CaseBody"/>
      </w:pPr>
      <w:r>
        <w:t xml:space="preserve">It is generally held that the purchase of corporate property by an officer or director can be questioned only by persons possessing equitable rights. Engman can acquire no equitable right because of Hayes’ dereliction of duty to Coast. 19 C.J.S. § 778(a), p. 147.</w:t>
      </w:r>
    </w:p>
    <w:p>
      <w:pPr>
        <w:pStyle w:val="CaseBody"/>
      </w:pPr>
      <w:r>
        <w:t xml:space="preserve">The decree and judgment of the trial court denying Engman any right or interest in - the disputed stock is affirmed. The judgment denying Coast recovery on the Ito and Kuwahara phase of the case is affirmed. The decree ordering issuance of a new certificate of stock for 250 shares of Keypoint Oyster Company to Hayes Oyster Company is reversed with direction to order Keypoint Oyster Company to issue a new certificate for 250 shares of its .stock to Coast Oyster Company and cancel the certificates heretofore standing in the name of or assigned to Hayes Oyster Company.</w:t>
      </w:r>
    </w:p>
    <w:p>
      <w:pPr>
        <w:pStyle w:val="CaseBody"/>
      </w:pPr>
      <w:r>
        <w:t xml:space="preserve">Appellant Coast Oyster Company will recover costs against Verne Hayes, Sam Hayes and Hayes Oyster Company.</w:t>
      </w:r>
    </w:p>
    <w:p>
      <w:pPr>
        <w:pStyle w:val="CaseBody"/>
      </w:pPr>
      <w:r>
        <w:t xml:space="preserve">Weaver, Hunter, Hamilton, and Hale, JJ., concur.</w:t>
      </w:r>
    </w:p>
    <w:p>
      <w:pPr>
        <w:pStyle w:val="CaseBody"/>
      </w:pPr>
      <w:r>
        <w:t xml:space="preserve">July 21, 1964. Petition for rehearing denied.</w:t>
      </w:r>
    </w:p>
    <w:bookmarkStart w:id="138" w:name="_auto_toc_138"/>
    <w:bookmarkEnd w:id="138"/>
    <w:p>
      <w:pPr>
        <w:pStyle w:val="ResourceNumber"/>
      </w:pPr>
      <w:r>
        <w:t xml:space="preserve">11.1.2</w:t>
      </w:r>
    </w:p>
    <w:p>
      <w:pPr>
        <w:pStyle w:val="ResourceTitle"/>
      </w:pPr>
      <w:r>
        <w:t xml:space="preserve">Cookies Food Products, Inc. v. Lakes Warehouse Distributing, Inc.</w:t>
      </w:r>
    </w:p>
    <w:p>
      <w:pPr>
        <w:pStyle w:val="HeadEnd"/>
      </w:pPr>
      <w:r>
        <w:t xml:space="preserve"> </w:t>
      </w:r>
    </w:p>
    <w:p>
      <w:pPr>
        <w:pStyle w:val="CaseHeader"/>
      </w:pPr>
      <w:r>
        <w:t xml:space="preserve">Iowa Supreme Court</w:t>
      </w:r>
    </w:p>
    <w:p>
      <w:pPr>
        <w:pStyle w:val="CaseHeader"/>
      </w:pPr>
      <w:r>
        <w:t xml:space="preserve">430 N.W.2d 447</w:t>
      </w:r>
    </w:p>
    <w:p>
      <w:pPr>
        <w:pStyle w:val="CaseHeader"/>
      </w:pPr>
      <w:r>
        <w:t xml:space="preserve">No. 86-1825</w:t>
      </w:r>
    </w:p>
    <w:p>
      <w:pPr>
        <w:pStyle w:val="CaseHeader"/>
      </w:pPr>
      <w:r>
        <w:t xml:space="preserve">1988-10-19</w:t>
      </w:r>
    </w:p>
    <w:p>
      <w:pPr>
        <w:pStyle w:val="CaseBody"/>
      </w:pPr>
      <w:r>
        <w:t xml:space="preserve">Rehearing Denied Nov. 18,1988.</w:t>
      </w:r>
    </w:p>
    <w:p>
      <w:pPr>
        <w:pStyle w:val="CaseBody"/>
      </w:pPr>
      <w:r>
        <w:t xml:space="preserve">Colin J. McCullough and David P. Jen-nett of McCullough Law Firm, Sac City, for appellants.</w:t>
      </w:r>
    </w:p>
    <w:p>
      <w:pPr>
        <w:pStyle w:val="CaseBody"/>
      </w:pPr>
      <w:r>
        <w:t xml:space="preserve">James R. Van Dyke of Van Dyke &amp; Werden, P.C., Carroll, for appellees.</w:t>
      </w:r>
    </w:p>
    <w:p>
      <w:pPr>
        <w:pStyle w:val="CaseBody"/>
      </w:pPr>
      <w:r>
        <w:t xml:space="preserve">Considered by HARRIS, P.J., and SCHULTZ, NEUMAN, SNELL, and ANDREASEN, JJ.</w:t>
      </w:r>
    </w:p>
    <w:p>
      <w:pPr>
        <w:pStyle w:val="CaseBody"/>
      </w:pPr>
      <w:r>
        <w:t xml:space="preserve">NEUMAN, Justice.</w:t>
      </w:r>
    </w:p>
    <w:p>
      <w:pPr>
        <w:pStyle w:val="CaseBody"/>
      </w:pPr>
      <w:r>
        <w:t xml:space="preserve">This is a shareholders’ derivative suit brought by the minority shareholders of a closely held Iowa corporation specializing in barbeque sauce, Cookies Food Products, Inc. (Cookies). The target of the lawsuit is the majority shareholder, Duane “Speed” Herrig and two of his family-owned corporations, Lakes Warehouse Distributing, Inc. (Lakes) and Speed’s Automotive Co., Inc. (Speed’s). Plaintiffs alleged that Her-rig, by acquiring control of Cookies and executing self-dealing contracts, breached his fiduciary duty to the company and fraudulently misappropriated and converted corporate funds. Plaintiffs sought actual and punitive damages. Trial to the court resulted in a verdict for the defendants, the district court finding that Herrig’s actions benefited, rather than harmed, Cookies. We affirm.</w:t>
      </w:r>
    </w:p>
    <w:p>
      <w:pPr>
        <w:pStyle w:val="CaseBody"/>
      </w:pPr>
      <w:r>
        <w:t xml:space="preserve">I.</w:t>
      </w:r>
      <w:r>
        <w:t xml:space="preserve"> </w:t>
      </w:r>
      <w:r>
        <w:rPr>
          <w:iCs/>
          <w:i/>
        </w:rPr>
        <w:t xml:space="preserve">Background.</w:t>
      </w:r>
    </w:p>
    <w:p>
      <w:pPr>
        <w:pStyle w:val="CaseBody"/>
      </w:pPr>
      <w:r>
        <w:t xml:space="preserve">[I] We review decisions in shareholders’ derivative suits de hovo, deferring especially to district court findings where the credibility of witnesses is a factor in the outcome.</w:t>
      </w:r>
      <w:r>
        <w:t xml:space="preserve"> </w:t>
      </w:r>
      <w:r>
        <w:rPr>
          <w:iCs/>
          <w:i/>
        </w:rPr>
        <w:t xml:space="preserve">Midwest Management Corp. v. Stephens,</w:t>
      </w:r>
      <w:r>
        <w:t xml:space="preserve"> </w:t>
      </w:r>
      <w:r>
        <w:t xml:space="preserve">353 N.W.2d 76</w:t>
      </w:r>
      <w:r>
        <w:t xml:space="preserve">, 78 (Iowa 1984). To better understand this dispute, and the issues this appeal presents, we shall begin by recounting in detail the facts surrounding the creation and growth of this corporation.</w:t>
      </w:r>
    </w:p>
    <w:p>
      <w:pPr>
        <w:pStyle w:val="CaseBody"/>
      </w:pPr>
      <w:r>
        <w:t xml:space="preserve">L.D. Cook of Storm Lake, Iowa, founded Cookies in 1975 to produce and distribute his original barbeque sauce. Searching for a plant site in a community that would provide financial backing, Cook met with business leaders in seventeen Iowa communities, outlining his plans to build a growth-oriented company. He selected Wall Lake, Iowa, persuading thirty-five members of that community, including Herrig and the plaintiffs, to purchase Cookies stock. All of the investors hoped Cookies would improve the local job market and tax base. The record reveals that it has done just that.</w:t>
      </w:r>
    </w:p>
    <w:p>
      <w:pPr>
        <w:pStyle w:val="CaseBody"/>
      </w:pPr>
      <w:r>
        <w:t xml:space="preserve">Early sales of the product, however, were dismal. After the first year’s operation, Cookies was in dire financial straits. At that time, Herrig was one of thirty-five shareholders and held only two hundred shares. He was also the owner of an auto parts business, Speed’s Automotive, and Lakes Warehouse Distributing, Inc., a company that distributed auto parts from Speed’s. Cookies’ board of directors approached Herrig with the idea of distributing the company’s products. It authorized Herrig to purchase Cookies’ sauce for twenty percent under wholesale price, which he could then resell at full wholesale price. Under this arrangement, Herrig began to market and distribute the sauce to his auto parts customers and to grocery outlets from Lakes’ trucks as they traversed the regular delivery routes for Speed’s Automotive.</w:t>
      </w:r>
    </w:p>
    <w:p>
      <w:pPr>
        <w:pStyle w:val="CaseBody"/>
      </w:pPr>
      <w:r>
        <w:t xml:space="preserve">In May 1977, Cookies formalized this arrangement by executing an exclusive distribution agreement with Lakes. Pursuant to this agreement, Cookies was responsible only for preparing the product; Lakes, for its part, assumed all costs of warehousing, marketing, sales, delivery, promotion, and advertising. Cookies retained the right to fix the sales price of its products and agreed to pay Lakes thirty percent of its gross sales for these services.</w:t>
      </w:r>
    </w:p>
    <w:p>
      <w:pPr>
        <w:pStyle w:val="CaseBody"/>
      </w:pPr>
      <w:r>
        <w:t xml:space="preserve">Cookies’ sales have soared under the exclusive distributorship contract with Lakes. Gross sales in 1976, the year prior to the agreement, totaled only $20,000, less than half of Cookies’ expenses that year. In 1977, however, sales jumped five-fold, then doubled in 1978, and have continued to show phenomenal growth every year thereafter. By 1985, when this suit was commenced, annual sales reached $2,400,000.</w:t>
      </w:r>
    </w:p>
    <w:p>
      <w:pPr>
        <w:pStyle w:val="CaseBody"/>
      </w:pPr>
      <w:r>
        <w:t xml:space="preserve">As sales increased, Cookies’ board of directors amended and extended the original distributorship agreement. In 1979, the board amended the original agreement to give Lakes an additional two percent of gross sales to cover freight costs for the ever-expanding market for Cookies’ sauce. In 1980, the board extended the amended agreement through 1984 to allow Herrig to make long-term advertising commitments. Recognizing the role that Herrig’s personal strengths played in the success of their joint endeavor, the board also amended the agreement that year to allow Cookies to cancel the agreement with Lakes if Herrig died or disposed of the corporation’s stock.</w:t>
      </w:r>
    </w:p>
    <w:p>
      <w:pPr>
        <w:pStyle w:val="CaseBody"/>
      </w:pPr>
      <w:r>
        <w:t xml:space="preserve">In 1981, L.D. Cook, the majority shareholder up to this time, decided to sell his interest in Cookies. He first offered the directors an opportunity to buy his stock, but the board declined to purchase any of his 8100 shares. Herrig then offered Cook and all other shareholders $10 per share for their stock, which was twice the original price. Because of the overwhelming response to these offers, Herrig had purchased enough Cookies stock by January 1982 to become the majority shareholder. His investment of $140,000 represented fifty-three percent of the 28,700 outstanding shares. Other shareholders had invested a total of $67,500 for the remaining forty-seven percent.</w:t>
      </w:r>
    </w:p>
    <w:p>
      <w:pPr>
        <w:pStyle w:val="CaseBody"/>
      </w:pPr>
      <w:r>
        <w:t xml:space="preserve">Shortly after Herrig acquired majority control he replaced four of the five members of the Cookies' board with members he selected. This restructuring of authority, following on the heels of an unsuccessful attempt by certain stockholders to prevent Herrig from acquiring majority status, solidified a division of opinion within the shareholder ranks. Subsequent changes made in the corporation under Herrig’s leadership formed the basis for this lawsuit.</w:t>
      </w:r>
    </w:p>
    <w:p>
      <w:pPr>
        <w:pStyle w:val="CaseBody"/>
      </w:pPr>
      <w:r>
        <w:t xml:space="preserve">First, under Herrig’s leadership, Cookies’ board has extended the term of the exclusive distributorship agreement with Lakes and expanded the scope of services for which it compensates Herrig and his companies. In April 1982, when a sales increase of twenty-five percent over the previous year required Cookies to seek additional short-term storage for the peak summer season, the board accepted Herrig’s proposal to compensate Lakes at the “going rate” for use of its nearby storage facilities. The board decided to use Lakes’ storage facilities because building and staffing its own facilities would have been more expensive. Later, in July 1982, the new board approved an extension of the exclusive distributorship agreement. Notably, this agreement was identical to the 1980 extension that the former board had approved while four of the plaintiffs in this action were directors.</w:t>
      </w:r>
    </w:p>
    <w:p>
      <w:pPr>
        <w:pStyle w:val="CaseBody"/>
      </w:pPr>
      <w:r>
        <w:t xml:space="preserve">Second, Herrig moved from his role as director and distributor to take on an additional role in product development. This created a dispute over a royalty Herrig began to receive. Herrig’s role in product development began in 1982 when Cookies diversified its product line to include taco sauce. Herrig developed the recipe because he recognized that taco sauce, while requiring many of the same ingredients needed in barbeque sauce, is less expensive to produce. Further, since consumer demand for taco sauce is more consistent throughout the year than the demand for barbeque sauce, this new product line proved to be a profitable method for increasing year-round utilization of production facilities and staff. In August 1982, Cookies’ board approved a royalty fee to be paid to Herrig for this taco sauce recipe. This royalty plan was similar to royalties the board paid to L.D. Cook for the barbeque sauce recipe. That plan gives Cook three percent of the gross sales of barbeque sauce; Herrig receives a flat rate per case. Although Herrig’s rate is equivalent to a sales percentage slightly higher than what Cook receives, it yields greater profit to Cookies because this new product line is cheaper to produce.</w:t>
      </w:r>
    </w:p>
    <w:p>
      <w:pPr>
        <w:pStyle w:val="CaseBody"/>
      </w:pPr>
      <w:r>
        <w:t xml:space="preserve">Third, since 1982 Cookies’ board has twice approved additional compensation for Herrig. In January 1983, the board authorized payment of a $1000 per month “consultant fee” in lieu of salary, because accelerated sales required Herrig to spend extra time managing the company. Averaging eighty-hour work weeks, Herrig devoted approximately fifteen percent of his time to Cookies and eighty percent to Lakes business. In August, 1983, the board authorized another increase in Herrig’s compensation. Further, at the suggestion of a Cookies director who also served as an accountant for Cookies, Lakes, and Speed’s, the Cookies board amended the exclusive distributorship agreement to allow Lakes an additional two percent of gross sales as a promotion allowance to expand the market for Cookies products outside of Iowa. As a direct result of this action, by 1986 Cookies regularly shipped products to several states throughout the country.</w:t>
      </w:r>
    </w:p>
    <w:p>
      <w:pPr>
        <w:pStyle w:val="CaseBody"/>
      </w:pPr>
      <w:r>
        <w:t xml:space="preserve">As we have previously noted, however, Cookies’ growth and success has not pleased all its shareholders. The discontent is motivated by two factors that have effectively precluded shareholders from sharing in Cookies’ financial success: the fact that Cookies is a closely held corporation, and the fact that it has not paid dividends. Because Cookies’ stock is not publicly traded, shareholders have no ready access to buyers for their stock at current values that reflect the company’s success. Without dividends, the shareholders have no ready method of realizing a return on their investment in the company. This is not to say that Cookies has improperly refused to pay dividends. The evidence reveals that Cookies would have violated the terms of its loan with the Small Business Administration had it declared dividends before repaying that debt. That SBA loan was not repaid until the month before the plaintiffs filed this action.</w:t>
      </w:r>
    </w:p>
    <w:p>
      <w:pPr>
        <w:pStyle w:val="CaseBody"/>
      </w:pPr>
      <w:r>
        <w:t xml:space="preserve">Unsatisfied with the status quo, a group of minority shareholders commenced this equitable action in 1985. Based on the facts we have detailed, the plaintiffs claimed that the sums paid Herrig and his companies have grossly exceeded the value of the services rendered, thereby substantially reducing corporate profits and shareholder equity. Through the exclusive distributorship agreements, taco sauce royalty, warehousing fees, and consultant fee, plaintiffs claimed that Herrig breached his fiduciary duties to the corporation and its shareholders because he allegedly negotiated for these arrangements without fully disclosing the benefit he would gain. The plaintiffs sought recovery for lost profits, an accounting to determine the full extent of the damage, attorneys fees, punitive damages, appointment of a receiver to manage the company properly, removal of Herrig from control, and sale of the company in order to generate an appropriate return on their investment.</w:t>
      </w:r>
    </w:p>
    <w:p>
      <w:pPr>
        <w:pStyle w:val="CaseBody"/>
      </w:pPr>
      <w:r>
        <w:t xml:space="preserve">Having heard the evidence presented on these claims at trial, the district court filed a lengthy ruling that reflected careful attention to the testimony of the twenty-two witnesses and myriad of exhibits admitted. The court concluded that Herrig had breached no duties owed to Cookies or to its minority shareholders, and found that Herrig’s compensation was fair and reasonable for each of the four challenged categories of service. In summary, the court found that: (1) the exclusive distributorship arrangement has been the “key to corporate growth and expansion” and the fees under the agreement were appropriate for the diverse services Lakes provided; (2) the warehousing agreement was fair because it allowed Cookies to store its goods at the “going rate” and the board had considered and rejected the idea of constructing its own warehouse as storage at the Lakes facility would be less expensive; (3) the taco sauce royalty agreement appropriately compenstated Herrig for the value of his recipe; and (4) the consultant fee “is actually a management fee for services rendered seven days a week” and is “well within reason, considering the success of the business.” Additionally, the district court found that Herrig had withheld no information from directors or other shareholders that he was obligated to provide. The court concluded its findings with the following observation:</w:t>
      </w:r>
    </w:p>
    <w:p>
      <w:pPr>
        <w:pStyle w:val="BlockText"/>
      </w:pPr>
      <w:r>
        <w:t xml:space="preserve">The Court believes that the plaintiffs’ complaint is not that they have been damaged but that they have not been paid a profit for their investment yet. There is a vast difference. Plaintiffs have made a profit. That profit is in the form of increased value of their stocks rather than in the form of dividends because of the capital considerations of operating the company.</w:t>
      </w:r>
    </w:p>
    <w:p>
      <w:pPr>
        <w:pStyle w:val="CaseBody"/>
      </w:pPr>
      <w:r>
        <w:t xml:space="preserve">On appeal from this ruling, the plaintiffs challenge: (1) the district court’s allocation of the burden of proof with regard to the four claims of self-dealing; (2) the standard employed by the court to determine whether Herrig’s self-dealing was fair and reasonable to Cookies; (3) the finding that any self-dealing by Herrig was done in good faith, and with honesty and fairness; (4) the finding that Herrig breached no duty to disclose crucial facts to Cookies’ board before it completed deliberations on Herrig’s self-dealing transactions; and (5) the district court’s denial of restitution and other equitable remedies as compensation for Herrig’s alleged breach of his duty of loyalty. After a brief review of the nature and source of Herrig's fiduciary duties, we will address the appellants’ challenges in turn.</w:t>
      </w:r>
    </w:p>
    <w:p>
      <w:pPr>
        <w:pStyle w:val="CaseBody"/>
      </w:pPr>
      <w:r>
        <w:t xml:space="preserve">II.</w:t>
      </w:r>
      <w:r>
        <w:t xml:space="preserve"> </w:t>
      </w:r>
      <w:r>
        <w:rPr>
          <w:iCs/>
          <w:i/>
        </w:rPr>
        <w:t xml:space="preserve">Fiduciary Duties.</w:t>
      </w:r>
    </w:p>
    <w:p>
      <w:pPr>
        <w:pStyle w:val="CaseBody"/>
      </w:pPr>
      <w:r>
        <w:t xml:space="preserve">Herrig, as an officer and director of Cookies, owes a fiduciary duty to the company and its shareholders.</w:t>
      </w:r>
      <w:r>
        <w:t xml:space="preserve"> </w:t>
      </w:r>
      <w:r>
        <w:rPr>
          <w:iCs/>
          <w:i/>
        </w:rPr>
        <w:t xml:space="preserve">See</w:t>
      </w:r>
      <w:r>
        <w:t xml:space="preserve"> </w:t>
      </w:r>
      <w:r>
        <w:t xml:space="preserve">Iowa Code § 496A.34 (1985) (director must serve in manner believed in good faith to be in best interest of corporation);</w:t>
      </w:r>
      <w:r>
        <w:t xml:space="preserve"> </w:t>
      </w:r>
      <w:r>
        <w:rPr>
          <w:iCs/>
          <w:i/>
        </w:rPr>
        <w:t xml:space="preserve">see also Schildberg Rock Prods. Co. v. Brooks,</w:t>
      </w:r>
      <w:r>
        <w:t xml:space="preserve"> </w:t>
      </w:r>
      <w:r>
        <w:t xml:space="preserve">258 Iowa 759</w:t>
      </w:r>
      <w:r>
        <w:t xml:space="preserve">, 766-67,</w:t>
      </w:r>
      <w:r>
        <w:t xml:space="preserve"> </w:t>
      </w:r>
      <w:r>
        <w:t xml:space="preserve">140 N.W.2d 132</w:t>
      </w:r>
      <w:r>
        <w:t xml:space="preserve">, 136 (1966) (officers and directors occupy fiduciary relation to corporation and its stockholders). Herrig concedes that Iowa law imposed the same fiduciary responsibilities based on his status as majority stockholder.</w:t>
      </w:r>
      <w:r>
        <w:t xml:space="preserve"> </w:t>
      </w:r>
      <w:r>
        <w:rPr>
          <w:iCs/>
          <w:i/>
        </w:rPr>
        <w:t xml:space="preserve">See Des Moines Bank &amp; Trust Co. v. George M. Bechtel &amp; Co.,</w:t>
      </w:r>
      <w:r>
        <w:t xml:space="preserve"> </w:t>
      </w:r>
      <w:r>
        <w:t xml:space="preserve">243 Iowa 1007</w:t>
      </w:r>
      <w:r>
        <w:t xml:space="preserve">, 1082-83,</w:t>
      </w:r>
      <w:r>
        <w:t xml:space="preserve"> </w:t>
      </w:r>
      <w:r>
        <w:t xml:space="preserve">51 N.W.2d 174</w:t>
      </w:r>
      <w:r>
        <w:t xml:space="preserve">, 217 (1952) (hereinafter</w:t>
      </w:r>
      <w:r>
        <w:t xml:space="preserve"> </w:t>
      </w:r>
      <w:r>
        <w:rPr>
          <w:iCs/>
          <w:i/>
        </w:rPr>
        <w:t xml:space="preserve">Bechtel ); see also</w:t>
      </w:r>
      <w:r>
        <w:t xml:space="preserve"> </w:t>
      </w:r>
      <w:r>
        <w:t xml:space="preserve">12B W. Fletcher,</w:t>
      </w:r>
      <w:r>
        <w:t xml:space="preserve"> </w:t>
      </w:r>
      <w:r>
        <w:rPr>
          <w:iCs/>
          <w:i/>
        </w:rPr>
        <w:t xml:space="preserve">Cyclopedia on the Law of Private Corporations</w:t>
      </w:r>
      <w:r>
        <w:t xml:space="preserve"> </w:t>
      </w:r>
      <w:r>
        <w:t xml:space="preserve">§ 5810, at 149 (1986). Conversely, before acquiring majority control in February 1982, Herrig owed no fidicuary duty to Cookies or plaintiffs.</w:t>
      </w:r>
      <w:r>
        <w:t xml:space="preserve"> </w:t>
      </w:r>
      <w:r>
        <w:rPr>
          <w:iCs/>
          <w:i/>
        </w:rPr>
        <w:t xml:space="preserve">See</w:t>
      </w:r>
      <w:r>
        <w:t xml:space="preserve"> </w:t>
      </w:r>
      <w:r>
        <w:t xml:space="preserve">Fletcher § 5713, at 13 (stockholders not active in management of corporation owe duties radically different from director, and vote at shareholder’s meetings merely for own benefit). Therefore, Herrig’s conduct is subject to scrutiny only from the time he began to exercise control of Cookies.</w:t>
      </w:r>
    </w:p>
    <w:p>
      <w:pPr>
        <w:pStyle w:val="CaseBody"/>
      </w:pPr>
      <w:r>
        <w:t xml:space="preserve">The law commonly describes the fiduciary duties of corporate directors as twofold, consisting both of a duty of care and a duty of loyalty.</w:t>
      </w:r>
      <w:r>
        <w:t xml:space="preserve"> </w:t>
      </w:r>
      <w:r>
        <w:rPr>
          <w:iCs/>
          <w:i/>
        </w:rPr>
        <w:t xml:space="preserve">Norlin Corp. v. Rooney, Pace Inc.,</w:t>
      </w:r>
      <w:r>
        <w:t xml:space="preserve"> </w:t>
      </w:r>
      <w:r>
        <w:t xml:space="preserve">744 F.2d 255</w:t>
      </w:r>
      <w:r>
        <w:t xml:space="preserve">, 264 (2d Cir.1984). Though the Iowa legislature has codified these duties,</w:t>
      </w:r>
      <w:r>
        <w:t xml:space="preserve"> </w:t>
      </w:r>
      <w:r>
        <w:rPr>
          <w:iCs/>
          <w:i/>
        </w:rPr>
        <w:t xml:space="preserve">see</w:t>
      </w:r>
      <w:r>
        <w:t xml:space="preserve"> </w:t>
      </w:r>
      <w:r>
        <w:t xml:space="preserve">Iowa Code § 496A.34 (1987), their common law antecedents still guide the court when interpreting the scope of the statute.</w:t>
      </w:r>
      <w:r>
        <w:t xml:space="preserve"> </w:t>
      </w:r>
      <w:r>
        <w:rPr>
          <w:iCs/>
          <w:i/>
        </w:rPr>
        <w:t xml:space="preserve">See</w:t>
      </w:r>
      <w:r>
        <w:t xml:space="preserve"> </w:t>
      </w:r>
      <w:r>
        <w:t xml:space="preserve">Hansell, Austin, &amp; Wilcox,</w:t>
      </w:r>
      <w:r>
        <w:t xml:space="preserve"> </w:t>
      </w:r>
      <w:r>
        <w:rPr>
          <w:iCs/>
          <w:i/>
        </w:rPr>
        <w:t xml:space="preserve">Director Liability Under Iowa Law</w:t>
      </w:r>
      <w:r>
        <w:t xml:space="preserve">—Duties</w:t>
      </w:r>
      <w:r>
        <w:t xml:space="preserve"> </w:t>
      </w:r>
      <w:r>
        <w:rPr>
          <w:iCs/>
          <w:i/>
        </w:rPr>
        <w:t xml:space="preserve">and Protections,</w:t>
      </w:r>
      <w:r>
        <w:t xml:space="preserve"> </w:t>
      </w:r>
      <w:r>
        <w:t xml:space="preserve">13 J.Corp.L. 369</w:t>
      </w:r>
      <w:r>
        <w:t xml:space="preserve">, 373 (1988).</w:t>
      </w:r>
    </w:p>
    <w:p>
      <w:pPr>
        <w:pStyle w:val="CaseBody"/>
      </w:pPr>
      <w:r>
        <w:t xml:space="preserve">The duty of care requires each director to “perform the duties of a director ... in good faith, in a manner such director reasonably believes to be in the best interests of the corporation, and with such care as an ordinarily prudent person in a like position would use under similar circumstances.” Iowa Code § 496A.34. If their activities meet the standard of the duty of care, directors are relieved of liability for their actions on behalf of the corporation.</w:t>
      </w:r>
      <w:r>
        <w:t xml:space="preserve"> </w:t>
      </w:r>
      <w:r>
        <w:rPr>
          <w:iCs/>
          <w:i/>
        </w:rPr>
        <w:t xml:space="preserve">See</w:t>
      </w:r>
      <w:r>
        <w:rPr>
          <w:iCs/>
          <w:i/>
        </w:rPr>
        <w:t xml:space="preserve"> </w:t>
      </w:r>
      <w:r>
        <w:rPr>
          <w:iCs/>
          <w:i/>
        </w:rPr>
        <w:t xml:space="preserve">id.</w:t>
      </w:r>
      <w:r>
        <w:t xml:space="preserve"> </w:t>
      </w:r>
      <w:r>
        <w:t xml:space="preserve">(“[a] person who so performs such duties shall not have liability by reason of being ... a director”).</w:t>
      </w:r>
    </w:p>
    <w:p>
      <w:pPr>
        <w:pStyle w:val="CaseBody"/>
      </w:pPr>
      <w:r>
        <w:t xml:space="preserve">Appellants make no claim that Herrig breached his duty of care by entering self-dealing transactions or accepting compensation for services performed in accordance with the agreements previously described. Instead, appellants claim that Herrig violated his duty of loyalty to Cookies. That duty derives from “the prohibition against self-dealing that inheres in the fiduciary relationship.”</w:t>
      </w:r>
      <w:r>
        <w:t xml:space="preserve"> </w:t>
      </w:r>
      <w:r>
        <w:rPr>
          <w:iCs/>
          <w:i/>
        </w:rPr>
        <w:t xml:space="preserve">Norlin,</w:t>
      </w:r>
      <w:r>
        <w:t xml:space="preserve"> </w:t>
      </w:r>
      <w:r>
        <w:t xml:space="preserve">744 F.2d at 264</w:t>
      </w:r>
      <w:r>
        <w:t xml:space="preserve">. As a fiduciary, one may not secure for oneself a business opportunity that “in fairness belongs to the corporation.”</w:t>
      </w:r>
      <w:r>
        <w:t xml:space="preserve"> </w:t>
      </w:r>
      <w:r>
        <w:rPr>
          <w:iCs/>
          <w:i/>
        </w:rPr>
        <w:t xml:space="preserve">Rowen v. LeMars Mut. Ins. Co. of Iowa,</w:t>
      </w:r>
      <w:r>
        <w:t xml:space="preserve"> </w:t>
      </w:r>
      <w:r>
        <w:t xml:space="preserve">282 N.W. 2d 639</w:t>
      </w:r>
      <w:r>
        <w:t xml:space="preserve">, 660 (Iowa 1979). As we noted in</w:t>
      </w:r>
      <w:r>
        <w:t xml:space="preserve"> </w:t>
      </w:r>
      <w:r>
        <w:rPr>
          <w:iCs/>
          <w:i/>
        </w:rPr>
        <w:t xml:space="preserve">Bechtel:</w:t>
      </w:r>
    </w:p>
    <w:p>
      <w:pPr>
        <w:pStyle w:val="BlockText"/>
      </w:pPr>
      <w:r>
        <w:t xml:space="preserve">Corporate directors and officers may under proper circumstances transact business with the corporation including the purchase or sale of property, but it must be done in the strictest good faith and with full disclosure of the facts to, and the consent of, all concerned. And the burden is upon them to establish their good faith, honesty and fairness. Such transactions are scanned by the courts with skepticism and the closest scrutiny, and may be nullified on slight grounds. It is the policy of the courts to put such fiduciaries beyond the reach of temptation and the enticement of illicit profit.</w:t>
      </w:r>
    </w:p>
    <w:p>
      <w:pPr>
        <w:pStyle w:val="CaseBody"/>
      </w:pPr>
      <w:r>
        <w:t xml:space="preserve">243 Iowa 1007</w:t>
      </w:r>
      <w:r>
        <w:t xml:space="preserve">, 1081,</w:t>
      </w:r>
      <w:r>
        <w:t xml:space="preserve"> </w:t>
      </w:r>
      <w:r>
        <w:t xml:space="preserve">51 N.W.2d 174</w:t>
      </w:r>
      <w:r>
        <w:t xml:space="preserve">, 216 (1952). We have repeatedly applied this standard, including the burden of proof and level of scrutiny, when a corporate director engages in self-dealing with another corporation for which he or she also serves as a director.</w:t>
      </w:r>
      <w:r>
        <w:t xml:space="preserve"> </w:t>
      </w:r>
      <w:r>
        <w:rPr>
          <w:iCs/>
          <w:i/>
        </w:rPr>
        <w:t xml:space="preserve">See Holden v. Construction Mach. Co.,</w:t>
      </w:r>
      <w:r>
        <w:t xml:space="preserve"> </w:t>
      </w:r>
      <w:r>
        <w:t xml:space="preserve">202 N.W.2d 348</w:t>
      </w:r>
      <w:r>
        <w:t xml:space="preserve">, 356-57 (Iowa 197.2).</w:t>
      </w:r>
    </w:p>
    <w:p>
      <w:pPr>
        <w:pStyle w:val="CaseBody"/>
      </w:pPr>
      <w:r>
        <w:t xml:space="preserve">Against this common law backdrop, the legislature enacted section 496A.34, quoted here in pertinent part, that establishes three sets of circumstances under which a director may engage in self-dealing without clearly violating the duty of loyalty:</w:t>
      </w:r>
    </w:p>
    <w:p>
      <w:pPr>
        <w:pStyle w:val="BlockText"/>
      </w:pPr>
      <w:r>
        <w:t xml:space="preserve">No contract or other transaction between a corporation and one or more of its directors or any other corporation, firm, association or entity in which one or more of its directors are directors or officers or are financially interested, shall be either void or voidable because of such relationship or interest ... if any of the following occur:</w:t>
      </w:r>
    </w:p>
    <w:p>
      <w:pPr>
        <w:pStyle w:val="BlockText"/>
      </w:pPr>
      <w:r>
        <w:t xml:space="preserve">1. The fact of such relationship or interest is disclosed or known to the board of directors or committee which authorizes, approves, or ratifies the contract or transaction ... without counting the votes ... of such interested director.</w:t>
      </w:r>
    </w:p>
    <w:p>
      <w:pPr>
        <w:pStyle w:val="BlockText"/>
      </w:pPr>
      <w:r>
        <w:t xml:space="preserve">2. The fact of such relationship or interest is disclosed or known to the shareholders entitled to vote [on the transaction] and they authorize ... such contract or transaction by vote or written consent.</w:t>
      </w:r>
    </w:p>
    <w:p>
      <w:pPr>
        <w:pStyle w:val="BlockText"/>
      </w:pPr>
      <w:r>
        <w:t xml:space="preserve">3. The contract or transaction is fair and reasonable to the corporation.</w:t>
      </w:r>
    </w:p>
    <w:p>
      <w:pPr>
        <w:pStyle w:val="CaseBody"/>
      </w:pPr>
      <w:r>
        <w:t xml:space="preserve">Some commentators have supported the view that satisfaction of any</w:t>
      </w:r>
      <w:r>
        <w:t xml:space="preserve"> </w:t>
      </w:r>
      <w:r>
        <w:rPr>
          <w:iCs/>
          <w:i/>
        </w:rPr>
        <w:t xml:space="preserve">one</w:t>
      </w:r>
      <w:r>
        <w:t xml:space="preserve"> </w:t>
      </w:r>
      <w:r>
        <w:t xml:space="preserve">of the foregoing statutory alternatives, in and of itself, would prove that a director has fully met the duty of loyalty.</w:t>
      </w:r>
      <w:r>
        <w:t xml:space="preserve"> </w:t>
      </w:r>
      <w:r>
        <w:rPr>
          <w:iCs/>
          <w:i/>
        </w:rPr>
        <w:t xml:space="preserve">See</w:t>
      </w:r>
      <w:r>
        <w:t xml:space="preserve"> </w:t>
      </w:r>
      <w:r>
        <w:t xml:space="preserve">Hansell, Austin, &amp; Wilcox,</w:t>
      </w:r>
      <w:r>
        <w:t xml:space="preserve"> </w:t>
      </w:r>
      <w:r>
        <w:rPr>
          <w:iCs/>
          <w:i/>
        </w:rPr>
        <w:t xml:space="preserve">Director Liability Under Iowa Law</w:t>
      </w:r>
      <w:r>
        <w:t xml:space="preserve">—Duties</w:t>
      </w:r>
      <w:r>
        <w:t xml:space="preserve"> </w:t>
      </w:r>
      <w:r>
        <w:rPr>
          <w:iCs/>
          <w:i/>
        </w:rPr>
        <w:t xml:space="preserve">and Protections,</w:t>
      </w:r>
      <w:r>
        <w:t xml:space="preserve"> </w:t>
      </w:r>
      <w:r>
        <w:t xml:space="preserve">13 J.Corp.L. 369</w:t>
      </w:r>
      <w:r>
        <w:t xml:space="preserve">, 382. We are obliged, however, to interpret statutes in conformity with the common law wherever statutory language does not directly negate it.</w:t>
      </w:r>
      <w:r>
        <w:t xml:space="preserve"> </w:t>
      </w:r>
      <w:r>
        <w:rPr>
          <w:iCs/>
          <w:i/>
        </w:rPr>
        <w:t xml:space="preserve">See Hardwick v. Bublitz,</w:t>
      </w:r>
      <w:r>
        <w:t xml:space="preserve"> </w:t>
      </w:r>
      <w:r>
        <w:t xml:space="preserve">253 Iowa 49</w:t>
      </w:r>
      <w:r>
        <w:t xml:space="preserve">, 59,</w:t>
      </w:r>
      <w:r>
        <w:t xml:space="preserve"> </w:t>
      </w:r>
      <w:r>
        <w:t xml:space="preserve">111 N.W.2d 309</w:t>
      </w:r>
      <w:r>
        <w:t xml:space="preserve">, 314 (1961);</w:t>
      </w:r>
      <w:r>
        <w:t xml:space="preserve"> </w:t>
      </w:r>
      <w:r>
        <w:t xml:space="preserve">Iowa Code § 4.2</w:t>
      </w:r>
      <w:r>
        <w:t xml:space="preserve"> </w:t>
      </w:r>
      <w:r>
        <w:t xml:space="preserve">(1987). Because the common law and section 496A.34 require directors to show “good faith, honesty, and fairness” in self-dealing, we are persuaded that satisfaction of any one of these three alternatives under the statute would merely preclude us from rendering the transaction void or voidable</w:t>
      </w:r>
      <w:r>
        <w:t xml:space="preserve"> </w:t>
      </w:r>
      <w:r>
        <w:rPr>
          <w:iCs/>
          <w:i/>
        </w:rPr>
        <w:t xml:space="preserve">outright</w:t>
      </w:r>
      <w:r>
        <w:t xml:space="preserve"> </w:t>
      </w:r>
      <w:r>
        <w:t xml:space="preserve">solely on the basis “of such [director’s] relationship or interest.” Iowa Code § 496A.34;</w:t>
      </w:r>
      <w:r>
        <w:t xml:space="preserve"> </w:t>
      </w:r>
      <w:r>
        <w:rPr>
          <w:iCs/>
          <w:i/>
        </w:rPr>
        <w:t xml:space="preserve">see Bechtel,</w:t>
      </w:r>
      <w:r>
        <w:t xml:space="preserve"> </w:t>
      </w:r>
      <w:r>
        <w:t xml:space="preserve">243 Iowa at 1081-82</w:t>
      </w:r>
      <w:r>
        <w:t xml:space="preserve">,</w:t>
      </w:r>
      <w:r>
        <w:t xml:space="preserve"> </w:t>
      </w:r>
      <w:r>
        <w:t xml:space="preserve">51 N.W.2d at 216</w:t>
      </w:r>
      <w:r>
        <w:t xml:space="preserve">. To the contrary, we are convinced that the legislature did not intend by this statute to enable a court, in a shareholder’s derivative suit, to rubber stamp</w:t>
      </w:r>
      <w:r>
        <w:t xml:space="preserve"> </w:t>
      </w:r>
      <w:r>
        <w:rPr>
          <w:iCs/>
          <w:i/>
        </w:rPr>
        <w:t xml:space="preserve">any</w:t>
      </w:r>
      <w:r>
        <w:t xml:space="preserve"> </w:t>
      </w:r>
      <w:r>
        <w:t xml:space="preserve">transaction to which a board of directors or the shareholders of a corporation have consented. Such an interpretation would invite those who stand to gain from such transactions to engage in improprieties to obtain consent. We thus require directors who engage in self-dealing to establish the additional element that they have acted in good faith, honesty, and fairness.</w:t>
      </w:r>
      <w:r>
        <w:t xml:space="preserve"> </w:t>
      </w:r>
      <w:r>
        <w:rPr>
          <w:iCs/>
          <w:i/>
        </w:rPr>
        <w:t xml:space="preserve">Holi-Rest, Inc. v. Treloar,</w:t>
      </w:r>
      <w:r>
        <w:t xml:space="preserve"> </w:t>
      </w:r>
      <w:r>
        <w:t xml:space="preserve">217 N.W.2d 517</w:t>
      </w:r>
      <w:r>
        <w:t xml:space="preserve">, 525 (Iowa 1974).</w:t>
      </w:r>
    </w:p>
    <w:p>
      <w:pPr>
        <w:pStyle w:val="CaseBody"/>
      </w:pPr>
      <w:r>
        <w:t xml:space="preserve">III.</w:t>
      </w:r>
      <w:r>
        <w:t xml:space="preserve"> </w:t>
      </w:r>
      <w:r>
        <w:rPr>
          <w:iCs/>
          <w:i/>
        </w:rPr>
        <w:t xml:space="preserve">Burden of Proof.</w:t>
      </w:r>
    </w:p>
    <w:p>
      <w:pPr>
        <w:pStyle w:val="CaseBody"/>
      </w:pPr>
      <w:r>
        <w:t xml:space="preserve">Appellants contend that the district court improperly placed upon them the burden of proving that Herrig’s self-dealing was not honest, in good faith, or fair to Cookies. The district court’s ruling addressed Her-rig’s duties of care and loyalty in these circumstances, noting that in duty of care challenges the burden of proof is on plaintiffs because of the business judgment rule which affords directors the presumption that their decisions are informed, made in good faith, and honestly believed by them to be in the best interests of the company.</w:t>
      </w:r>
      <w:r>
        <w:t xml:space="preserve"> </w:t>
      </w:r>
      <w:r>
        <w:rPr>
          <w:iCs/>
          <w:i/>
        </w:rPr>
        <w:t xml:space="preserve">See Smith v. Van Gorkom,</w:t>
      </w:r>
      <w:r>
        <w:t xml:space="preserve"> </w:t>
      </w:r>
      <w:r>
        <w:t xml:space="preserve">488 A.2d 858</w:t>
      </w:r>
      <w:r>
        <w:t xml:space="preserve">, 872 (Del.1985). The district court then noted the different burden imposed in challenges under Iowa’s duty of loyalty statute, which, in its words “require[s] the</w:t>
      </w:r>
      <w:r>
        <w:t xml:space="preserve"> </w:t>
      </w:r>
      <w:r>
        <w:rPr>
          <w:iCs/>
          <w:i/>
        </w:rPr>
        <w:t xml:space="preserve">director</w:t>
      </w:r>
      <w:r>
        <w:t xml:space="preserve"> </w:t>
      </w:r>
      <w:r>
        <w:t xml:space="preserve">challenged in a self-dealing suit to carry the burden of establishing his good faith, honesty, and fairness.” (Emphasis added.)</w:t>
      </w:r>
    </w:p>
    <w:p>
      <w:pPr>
        <w:pStyle w:val="CaseBody"/>
      </w:pPr>
      <w:r>
        <w:t xml:space="preserve">Appellants correctly assert that the business judgment rule governs only where a director is shown not to have a self interest in the transaction at issue.</w:t>
      </w:r>
      <w:r>
        <w:t xml:space="preserve"> </w:t>
      </w:r>
      <w:r>
        <w:rPr>
          <w:iCs/>
          <w:i/>
        </w:rPr>
        <w:t xml:space="preserve">Norlin,</w:t>
      </w:r>
      <w:r>
        <w:t xml:space="preserve"> </w:t>
      </w:r>
      <w:r>
        <w:t xml:space="preserve">744 F.2d at 265</w:t>
      </w:r>
      <w:r>
        <w:t xml:space="preserve">;</w:t>
      </w:r>
      <w:r>
        <w:t xml:space="preserve"> </w:t>
      </w:r>
      <w:r>
        <w:rPr>
          <w:iCs/>
          <w:i/>
        </w:rPr>
        <w:t xml:space="preserve">Morrissey v. Curran,</w:t>
      </w:r>
      <w:r>
        <w:t xml:space="preserve"> </w:t>
      </w:r>
      <w:r>
        <w:t xml:space="preserve">650 F.2d 1267</w:t>
      </w:r>
      <w:r>
        <w:t xml:space="preserve">,1274 (2d Cir.1981);</w:t>
      </w:r>
      <w:r>
        <w:t xml:space="preserve"> </w:t>
      </w:r>
      <w:r>
        <w:rPr>
          <w:iCs/>
          <w:i/>
        </w:rPr>
        <w:t xml:space="preserve">Cohen v. Ayers,</w:t>
      </w:r>
      <w:r>
        <w:t xml:space="preserve"> </w:t>
      </w:r>
      <w:r>
        <w:t xml:space="preserve">596 F.2d 733</w:t>
      </w:r>
      <w:r>
        <w:t xml:space="preserve">, 739 (7th Cir.1979). When self-dealing is demonstrated, “the duty of loyalty supersedes the duty of care, and the burden shifts to the director[] to ‘prove that the transaction was fair and reasonable to the corporation.’ ”</w:t>
      </w:r>
      <w:r>
        <w:t xml:space="preserve"> </w:t>
      </w:r>
      <w:r>
        <w:rPr>
          <w:iCs/>
          <w:i/>
        </w:rPr>
        <w:t xml:space="preserve">Norlin,</w:t>
      </w:r>
      <w:r>
        <w:t xml:space="preserve"> </w:t>
      </w:r>
      <w:r>
        <w:t xml:space="preserve">744 F.2d at 265</w:t>
      </w:r>
      <w:r>
        <w:t xml:space="preserve"> </w:t>
      </w:r>
      <w:r>
        <w:t xml:space="preserve">(citations omitted). We have identified and applied this reverse allocation of the burden of proof in previous self-dealing cases.</w:t>
      </w:r>
      <w:r>
        <w:t xml:space="preserve"> </w:t>
      </w:r>
      <w:r>
        <w:rPr>
          <w:iCs/>
          <w:i/>
        </w:rPr>
        <w:t xml:space="preserve">See Rowen,</w:t>
      </w:r>
      <w:r>
        <w:t xml:space="preserve"> </w:t>
      </w:r>
      <w:r>
        <w:t xml:space="preserve">282 N.W.2d at 647</w:t>
      </w:r>
      <w:r>
        <w:t xml:space="preserve">;</w:t>
      </w:r>
      <w:r>
        <w:t xml:space="preserve"> </w:t>
      </w:r>
      <w:r>
        <w:rPr>
          <w:iCs/>
          <w:i/>
        </w:rPr>
        <w:t xml:space="preserve">Holi-Rest,</w:t>
      </w:r>
      <w:r>
        <w:t xml:space="preserve"> </w:t>
      </w:r>
      <w:r>
        <w:t xml:space="preserve">217 N.W.2d at 525</w:t>
      </w:r>
      <w:r>
        <w:t xml:space="preserve">.</w:t>
      </w:r>
    </w:p>
    <w:p>
      <w:pPr>
        <w:pStyle w:val="CaseBody"/>
      </w:pPr>
      <w:r>
        <w:t xml:space="preserve">After reviewing the record in light of the district court’s ruling, we are persuaded that the court appropriately recognized the shifting burdens of proof in duty of loyalty cases. By agreement of court and counsel, the plaintiffs first made out a prima facie showing that Herrig had engaged in self-dealing with Cookies. Defendants then presented witnesses and exhibits to prove that. Herrig’s actions in these challenged transactions were done in good faith and with honesty and fairness toward Cookies. The plaintiffs countered with rebuttal testimony and exhibits. The mere fact that the district court credited Herrig and his evidence instead of accepting plaintiffs’ contrary proof does not establish that the court improperly allocated the burden of proof. The assignment of error is without merit.</w:t>
      </w:r>
    </w:p>
    <w:p>
      <w:pPr>
        <w:pStyle w:val="CaseBody"/>
      </w:pPr>
      <w:r>
        <w:t xml:space="preserve">IV.</w:t>
      </w:r>
      <w:r>
        <w:t xml:space="preserve"> </w:t>
      </w:r>
      <w:r>
        <w:rPr>
          <w:iCs/>
          <w:i/>
        </w:rPr>
        <w:t xml:space="preserve">Standard of Law.</w:t>
      </w:r>
    </w:p>
    <w:p>
      <w:pPr>
        <w:pStyle w:val="CaseBody"/>
      </w:pPr>
      <w:r>
        <w:t xml:space="preserve">Next, appellants claim the district court applied an inappropriate standard of law to determine whether Herrig’s conduct was fair and reasonable to Cookies. Appellants correctly assert that self-dealing transactions must have the earmarks of arms-length transactions before a court can find them to be fair or reasonable.</w:t>
      </w:r>
      <w:r>
        <w:t xml:space="preserve"> </w:t>
      </w:r>
      <w:r>
        <w:rPr>
          <w:iCs/>
          <w:i/>
        </w:rPr>
        <w:t xml:space="preserve">See Bechtel,</w:t>
      </w:r>
      <w:r>
        <w:t xml:space="preserve"> </w:t>
      </w:r>
      <w:r>
        <w:t xml:space="preserve">243 Iowa at 1023</w:t>
      </w:r>
      <w:r>
        <w:t xml:space="preserve">,</w:t>
      </w:r>
      <w:r>
        <w:t xml:space="preserve"> </w:t>
      </w:r>
      <w:r>
        <w:t xml:space="preserve">51 N.W.2d at 184</w:t>
      </w:r>
      <w:r>
        <w:t xml:space="preserve">. The crux of appellants’ claim is that the court should have focused on the fair market value of Herrig’s services to Cookies rather than on the success Cookies achieved as a result of Herrig’s actions.</w:t>
      </w:r>
    </w:p>
    <w:p>
      <w:pPr>
        <w:pStyle w:val="CaseBody"/>
      </w:pPr>
      <w:r>
        <w:t xml:space="preserve">We agree with appellants’ contention that corporate profitability should not be the sole criteria by which to test the fairness and reasonableness of Herrig’s fees. In this connection, appellants cite authority from the Michigan Supreme Court that we find persuasive:</w:t>
      </w:r>
    </w:p>
    <w:p>
      <w:pPr>
        <w:pStyle w:val="BlockText"/>
      </w:pPr>
      <w:r>
        <w:t xml:space="preserve">Given an instance of alleged director enrichment at corporate expense ... the burden to establish fairness resting on the director requires not only a showing of “fair price” but also a showing of the fairness of the bargain to the interests of the corporation.</w:t>
      </w:r>
    </w:p>
    <w:p>
      <w:pPr>
        <w:pStyle w:val="CaseBody"/>
      </w:pPr>
      <w:r>
        <w:rPr>
          <w:iCs/>
          <w:i/>
        </w:rPr>
        <w:t xml:space="preserve">Fill Bldgs., Inc. v. Alexander Hamilton Life Ins. Co.,</w:t>
      </w:r>
      <w:r>
        <w:t xml:space="preserve"> </w:t>
      </w:r>
      <w:r>
        <w:t xml:space="preserve">396 Mich. 453</w:t>
      </w:r>
      <w:r>
        <w:t xml:space="preserve">,</w:t>
      </w:r>
      <w:r>
        <w:t xml:space="preserve"> </w:t>
      </w:r>
      <w:r>
        <w:t xml:space="preserve">241 N.W.2d 466</w:t>
      </w:r>
      <w:r>
        <w:t xml:space="preserve">, 469 (1976). Applying such reasoning to the record before us, however, we cannot agree with appellants’ assertion that Herrig’s services were either unfairly priced or inconsistent with Cookies corporate interest.</w:t>
      </w:r>
    </w:p>
    <w:p>
      <w:pPr>
        <w:pStyle w:val="CaseBody"/>
      </w:pPr>
      <w:r>
        <w:t xml:space="preserve">There can be no serious dispute that the four agreements in issue — for exclusive distributorship, taco sauce royalty, warehousing, and consulting fees — have all benefited Cookies, as demonstrated by its financial success. Even if we assume Cookies could have procured similar services from other vendors at lower costs, we are not convinced that Herrig’s fees were therefore unreasonable or exorbitant. Like the district court, we are not persuaded by appellants’ expert testimony that Cookies’ sales and profits would have been the same under agreements with other vendors. As Cookies’ board noted prior to Herrig’s takeover, he was the driving force in the corporation’s success. Even plaintiffs’ expert acknowledged that Herrig has done the work of at least five people — production supervisor, advertising specialist, warehouseman, broker, and salesman. While eschewing the lack of internal control, for accounting purposes, that such centralized authority may produce, the expert conceded that Herrig may in fact be underpaid for all he has accomplished. We believe the board properly considered this source of Cookies’ success when it entered these transactions, as did the district court when it reviewed them.</w:t>
      </w:r>
    </w:p>
    <w:p>
      <w:pPr>
        <w:pStyle w:val="CaseBody"/>
      </w:pPr>
      <w:r>
        <w:t xml:space="preserve">A secondary claim relating to appellants’ standard-of-law argument is appellants’ recurring complaint that Herrig had no right to take over control of Cookies. We find no legal or factual basis for this assertion. First, appellants presented no proof that all shareholders had agreed from the outset that no single shareholder would be allowed to acquire majority control of the company. In fact, the bylaws the board approved before Herrig assumed control belie this assertion; they provide for no restrictions on the identity of stock purchasers if the board of directors declines an offer to purchase available Cookies stock. Second, the law has long recognized the right of majority shareholders to control the affairs of a corporation, if done so lawfully and equitably, and not to the detriment of minority stockholders.</w:t>
      </w:r>
      <w:r>
        <w:t xml:space="preserve"> </w:t>
      </w:r>
      <w:r>
        <w:rPr>
          <w:iCs/>
          <w:i/>
        </w:rPr>
        <w:t xml:space="preserve">See</w:t>
      </w:r>
      <w:r>
        <w:t xml:space="preserve"> </w:t>
      </w:r>
      <w:r>
        <w:t xml:space="preserve">12B W. Fletcher,</w:t>
      </w:r>
      <w:r>
        <w:t xml:space="preserve"> </w:t>
      </w:r>
      <w:r>
        <w:rPr>
          <w:iCs/>
          <w:i/>
        </w:rPr>
        <w:t xml:space="preserve">Cyclopedia on the Law of Private Corporations</w:t>
      </w:r>
      <w:r>
        <w:t xml:space="preserve"> </w:t>
      </w:r>
      <w:r>
        <w:t xml:space="preserve">§ 5783, at 120 (1986). The district court was correct in so holding.</w:t>
      </w:r>
    </w:p>
    <w:p>
      <w:pPr>
        <w:pStyle w:val="CaseBody"/>
      </w:pPr>
      <w:r>
        <w:t xml:space="preserve">V.</w:t>
      </w:r>
      <w:r>
        <w:t xml:space="preserve"> </w:t>
      </w:r>
      <w:r>
        <w:rPr>
          <w:iCs/>
          <w:i/>
        </w:rPr>
        <w:t xml:space="preserve">Denial of Equitable Relief.</w:t>
      </w:r>
    </w:p>
    <w:p>
      <w:pPr>
        <w:pStyle w:val="CaseBody"/>
      </w:pPr>
      <w:r>
        <w:t xml:space="preserve">The appellants also claim that Herrig committed equitable fraud, which entitles them to an accounting of his profits and to restitution for losses caused by his fraudulent acts. Appellants make no attempt to establish the specific elements of actionable fraud required under Iowa law.</w:t>
      </w:r>
      <w:r>
        <w:t xml:space="preserve"> </w:t>
      </w:r>
      <w:r>
        <w:rPr>
          <w:iCs/>
          <w:i/>
        </w:rPr>
        <w:t xml:space="preserve">See Grefe v. Ross,</w:t>
      </w:r>
      <w:r>
        <w:t xml:space="preserve"> </w:t>
      </w:r>
      <w:r>
        <w:t xml:space="preserve">231 N.W.2d 863</w:t>
      </w:r>
      <w:r>
        <w:t xml:space="preserve">, 864 (Iowa 1975) (party claiming fraud must establish representation, falsity, materiality, scienter, intent to deceive, reliance, and resulting injury and damage by preponderance of clear, satisfactory, and convincing evidence). Rather, appellants simply assert that Herrig’s failure to disclose certain information to directors and shareholders constituted an intentional fraud like that recognized by this court in</w:t>
      </w:r>
      <w:r>
        <w:t xml:space="preserve"> </w:t>
      </w:r>
      <w:r>
        <w:rPr>
          <w:iCs/>
          <w:i/>
        </w:rPr>
        <w:t xml:space="preserve">Holden v. Construction Machinery Co.,</w:t>
      </w:r>
      <w:r>
        <w:t xml:space="preserve"> </w:t>
      </w:r>
      <w:r>
        <w:t xml:space="preserve">202 N.W.2d at 359</w:t>
      </w:r>
      <w:r>
        <w:t xml:space="preserve"> </w:t>
      </w:r>
      <w:r>
        <w:t xml:space="preserve">(in equity court, intentional acts of fraud include all acts, omissions, and concealments that involve a breach of either legal or equitable duties that injure another or give one an undue or unconscionable advantage).</w:t>
      </w:r>
    </w:p>
    <w:p>
      <w:pPr>
        <w:pStyle w:val="CaseBody"/>
      </w:pPr>
      <w:r>
        <w:t xml:space="preserve">While both Iowa’s statutes and case law impose a duty of disclosure on interested directors who engage in self-dealing, neither has delineated what information must be disclosed, or to whom.</w:t>
      </w:r>
      <w:r>
        <w:t xml:space="preserve"> </w:t>
      </w:r>
      <w:r>
        <w:rPr>
          <w:iCs/>
          <w:i/>
        </w:rPr>
        <w:t xml:space="preserve">See</w:t>
      </w:r>
      <w:r>
        <w:t xml:space="preserve"> </w:t>
      </w:r>
      <w:r>
        <w:t xml:space="preserve">Iowa Code § 496A.34;</w:t>
      </w:r>
      <w:r>
        <w:t xml:space="preserve"> </w:t>
      </w:r>
      <w:r>
        <w:rPr>
          <w:iCs/>
          <w:i/>
        </w:rPr>
        <w:t xml:space="preserve">Midwest Management Corp. v. Stephens,</w:t>
      </w:r>
      <w:r>
        <w:t xml:space="preserve"> </w:t>
      </w:r>
      <w:r>
        <w:t xml:space="preserve">353 N.W.2d 76</w:t>
      </w:r>
      <w:r>
        <w:t xml:space="preserve">, 80 (Iowa 1984) (defendant director violated fiduciary duty to disclose information “to those who have a right to know the facts” when by silence he allowed directors of corporation to believe he had agreed to purchase large block of corporate stock in exchange for corporation’s investment in his broker-dealer securities investment business);</w:t>
      </w:r>
      <w:r>
        <w:t xml:space="preserve"> </w:t>
      </w:r>
      <w:r>
        <w:rPr>
          <w:iCs/>
          <w:i/>
        </w:rPr>
        <w:t xml:space="preserve">Schildberg Rock Prods. Co. v. Brooks,</w:t>
      </w:r>
      <w:r>
        <w:t xml:space="preserve"> </w:t>
      </w:r>
      <w:r>
        <w:t xml:space="preserve">258 Iowa 759</w:t>
      </w:r>
      <w:r>
        <w:t xml:space="preserve">, 767-68,</w:t>
      </w:r>
      <w:r>
        <w:t xml:space="preserve"> </w:t>
      </w:r>
      <w:r>
        <w:t xml:space="preserve">140 N.W.2d 132</w:t>
      </w:r>
      <w:r>
        <w:t xml:space="preserve">, 137 (Iowa 1966) (failure of defendant directors to disclose seizure of corporate opportunity concerning lease agreement to majority shareholder violated fiduciary duty to corporation);</w:t>
      </w:r>
      <w:r>
        <w:t xml:space="preserve"> </w:t>
      </w:r>
      <w:r>
        <w:rPr>
          <w:iCs/>
          <w:i/>
        </w:rPr>
        <w:t xml:space="preserve">Bechtel,</w:t>
      </w:r>
      <w:r>
        <w:t xml:space="preserve"> </w:t>
      </w:r>
      <w:r>
        <w:t xml:space="preserve">243 Iowa at 1097</w:t>
      </w:r>
      <w:r>
        <w:t xml:space="preserve">,</w:t>
      </w:r>
      <w:r>
        <w:t xml:space="preserve"> </w:t>
      </w:r>
      <w:r>
        <w:t xml:space="preserve">51 N.W.2d at 225</w:t>
      </w:r>
      <w:r>
        <w:t xml:space="preserve"> </w:t>
      </w:r>
      <w:r>
        <w:t xml:space="preserve">(1952) (defendant director perpetrated fraud by concealment, silence, and violation of duty to make full disclosure to corporation). While these cases strongly encourage directors to make the fullest possible disclosure of pertinent facts to persons responsible for making informed decisions, they also suggest the court must look to the particular facts of each case to determine whether a director has violated the duty of disclosure.</w:t>
      </w:r>
    </w:p>
    <w:p>
      <w:pPr>
        <w:pStyle w:val="CaseBody"/>
      </w:pPr>
      <w:r>
        <w:t xml:space="preserve">Examining Herrig’s conduct under this duty of disclosure, we find no support for plaintiffs’ assertion that Herrig owed the minority shareholders a duty to disclose</w:t>
      </w:r>
      <w:r>
        <w:t xml:space="preserve"> </w:t>
      </w:r>
      <w:r>
        <w:rPr>
          <w:iCs/>
          <w:i/>
        </w:rPr>
        <w:t xml:space="preserve">any</w:t>
      </w:r>
      <w:r>
        <w:t xml:space="preserve"> </w:t>
      </w:r>
      <w:r>
        <w:t xml:space="preserve">information before the board executed the exclusive distributorship, royalty, warehousing, or consultant fee agreements. These actions comprise management activity, and our statutes place the duty of managing the affairs of the corporation on the board of directors, not the shareholders.</w:t>
      </w:r>
      <w:r>
        <w:t xml:space="preserve"> </w:t>
      </w:r>
      <w:r>
        <w:rPr>
          <w:iCs/>
          <w:i/>
        </w:rPr>
        <w:t xml:space="preserve">See</w:t>
      </w:r>
      <w:r>
        <w:t xml:space="preserve"> </w:t>
      </w:r>
      <w:r>
        <w:t xml:space="preserve">Iowa Code § 496A.34 (1987). Because the shareholders had no role in making decisions concerning these agreements, we hold that Herrig owed these shareholders no duty to disclose facts concerning any aspect of these agreements before the board entered or extended them. We also note that plaintiffs did not complain at trial that the financial reports they regularly received concerning the affairs of the company were anything less than adequate.</w:t>
      </w:r>
    </w:p>
    <w:p>
      <w:pPr>
        <w:pStyle w:val="CaseBody"/>
      </w:pPr>
      <w:r>
        <w:t xml:space="preserve">With regard to the board of directors, the record before us aptly demonstrates that all members of Cookies’ board were well aware of Herrig’s dual ownership in Lakes and Speed’s. We are unaware of any authority supporting plaintiffs’ contention that Herrig was obligated to disclose to Cookies’ board or shareholders the extent of his profits resulting from these distribution and warehousing agreements; nevertheless, the exclusive distribution agreement with Lakes authorized the board to ascertain that information had it so desired. Appellants cannot reasonably claim that Herrig owed Cookies a duty to render such services at no profit to himself or his companies. Having found that the compensation he received from these agreements was fair and reasonable, we are convinced that Herrig furnished sufficient pertinent information to Cookies’ board to enable it to make prudent decisions concerning the contracts.</w:t>
      </w:r>
    </w:p>
    <w:p>
      <w:pPr>
        <w:pStyle w:val="CaseBody"/>
      </w:pPr>
      <w:r>
        <w:t xml:space="preserve">Nor does Herrig’s status as an “inside director” of Cookies alter our determination that he disclosed adequate information about his self-dealing. An inside director is one who also serves as an officer of the corporation and is involved in the daily management of the company. Because of the inside director’s experience with company affairs, directors not so intimately involved in running the company are entitled to rely on the inside director’s recommendations and opinions when making their own decisions.</w:t>
      </w:r>
      <w:r>
        <w:t xml:space="preserve"> </w:t>
      </w:r>
      <w:r>
        <w:rPr>
          <w:iCs/>
          <w:i/>
        </w:rPr>
        <w:t xml:space="preserve">See Bowen,</w:t>
      </w:r>
      <w:r>
        <w:t xml:space="preserve"> </w:t>
      </w:r>
      <w:r>
        <w:t xml:space="preserve">282 N.W.2d at 652-53</w:t>
      </w:r>
      <w:r>
        <w:t xml:space="preserve">. Although our review of the record indicates that Herrig was somewhat reluctant to answer all the minority shareholders’ questions concerning the board’s decisions, he did not withhold any crucial information from the directors that caused the company to make unnecessarily expensive commitments in reliance on his silence, and thus has not committed equitable fraud.</w:t>
      </w:r>
      <w:r>
        <w:t xml:space="preserve"> </w:t>
      </w:r>
      <w:r>
        <w:rPr>
          <w:iCs/>
          <w:i/>
        </w:rPr>
        <w:t xml:space="preserve">Cf. Midwest Management Corp.,</w:t>
      </w:r>
      <w:r>
        <w:t xml:space="preserve"> </w:t>
      </w:r>
      <w:r>
        <w:t xml:space="preserve">353 N.W.2d at 82</w:t>
      </w:r>
      <w:r>
        <w:t xml:space="preserve">;</w:t>
      </w:r>
      <w:r>
        <w:t xml:space="preserve"> </w:t>
      </w:r>
      <w:r>
        <w:rPr>
          <w:iCs/>
          <w:i/>
        </w:rPr>
        <w:t xml:space="preserve">Holden,</w:t>
      </w:r>
      <w:r>
        <w:t xml:space="preserve"> </w:t>
      </w:r>
      <w:r>
        <w:t xml:space="preserve">202 N.W.2d at 356-60</w:t>
      </w:r>
      <w:r>
        <w:t xml:space="preserve">;</w:t>
      </w:r>
      <w:r>
        <w:t xml:space="preserve"> </w:t>
      </w:r>
      <w:r>
        <w:rPr>
          <w:iCs/>
          <w:i/>
        </w:rPr>
        <w:t xml:space="preserve">Schildberg Rock Prods. Co.,</w:t>
      </w:r>
      <w:r>
        <w:t xml:space="preserve"> </w:t>
      </w:r>
      <w:r>
        <w:t xml:space="preserve">258 Iowa at 767-70</w:t>
      </w:r>
      <w:r>
        <w:t xml:space="preserve">,</w:t>
      </w:r>
      <w:r>
        <w:t xml:space="preserve"> </w:t>
      </w:r>
      <w:r>
        <w:t xml:space="preserve">140 N.W.2d at 136-38</w:t>
      </w:r>
      <w:r>
        <w:t xml:space="preserve">.</w:t>
      </w:r>
    </w:p>
    <w:p>
      <w:pPr>
        <w:pStyle w:val="CaseBody"/>
      </w:pPr>
      <w:r>
        <w:t xml:space="preserve">VI.</w:t>
      </w:r>
      <w:r>
        <w:t xml:space="preserve"> </w:t>
      </w:r>
      <w:r>
        <w:rPr>
          <w:iCs/>
          <w:i/>
        </w:rPr>
        <w:t xml:space="preserve">Conclusion.</w:t>
      </w:r>
    </w:p>
    <w:p>
      <w:pPr>
        <w:pStyle w:val="CaseBody"/>
      </w:pPr>
      <w:r>
        <w:t xml:space="preserve">Our resolution of plaintiffs’ claims in divisions III-V of this opinion renders it unnecessary to address the district court’s alleged failure to fashion appropriate equitable remedies to redress the company’s loss. Like the district court, we perceive no such loss. As the court wisely reasoned,</w:t>
      </w:r>
    </w:p>
    <w:p>
      <w:pPr>
        <w:pStyle w:val="BlockText"/>
      </w:pPr>
      <w:r>
        <w:t xml:space="preserve">[t]he very complaint of the Plaintiffs, that Herrig is too deeply involved in the total operation of the Cookies plant, is the reason for the success of this company. That some budgetary cuts might be made, some salaried positions filled by other persons, some additional papers could be filed when products are taken to the Speed’s warehouse, are all possibilities that Herrig and the board of directors of Cookies might consider. However, these things are all conjecture and speculation. The reality here is that the Cookies company is profitable. In a time of economic disaster to many businesses and individuals in Iowa, this company is a shining example of success. The shareholders’ investments have multiplied more than fourfold, jobs have been created in Wall Lake, more cash flows in and out of that community annually, and the consumers of Iowa are provided with a good product at a fair price. For this Court to tinker with such a successful venture, and especially to “punish” Her-rig for this success, would be ... inequitable ....</w:t>
      </w:r>
    </w:p>
    <w:p>
      <w:pPr>
        <w:pStyle w:val="CaseBody"/>
      </w:pPr>
      <w:r>
        <w:t xml:space="preserve">We concur in the trial court’s assessment of -the evidence presented and affirm its dismissal of plaintiffs’ claims.</w:t>
      </w:r>
    </w:p>
    <w:p>
      <w:pPr>
        <w:pStyle w:val="CaseBody"/>
      </w:pPr>
      <w:r>
        <w:t xml:space="preserve">AFFIRMED.</w:t>
      </w:r>
    </w:p>
    <w:p>
      <w:pPr>
        <w:pStyle w:val="CaseBody"/>
      </w:pPr>
      <w:r>
        <w:t xml:space="preserve">All Justices concur except SCHULTZ, J., who dissents.</w:t>
      </w:r>
    </w:p>
    <w:p>
      <w:pPr>
        <w:pStyle w:val="CaseBody"/>
      </w:pPr>
      <w:r>
        <w:t xml:space="preserve">SCHULTZ, Justice</w:t>
      </w:r>
    </w:p>
    <w:p>
      <w:pPr>
        <w:pStyle w:val="CaseBody"/>
      </w:pPr>
      <w:r>
        <w:t xml:space="preserve">(dissenting).</w:t>
      </w:r>
    </w:p>
    <w:p>
      <w:pPr>
        <w:pStyle w:val="CaseBody"/>
      </w:pPr>
      <w:r>
        <w:t xml:space="preserve">My quarrel with the majority opinion is not with its interpretation of the law, but with its application of the law to the facts. I would reverse the trial court’s holding.</w:t>
      </w:r>
    </w:p>
    <w:p>
      <w:pPr>
        <w:pStyle w:val="CaseBody"/>
      </w:pPr>
      <w:r>
        <w:t xml:space="preserve">The majority opinion correctly stated the common law and statutory principles. When there is self-dealing by a majority stockholder which is challenged, the majority stockholder has the burden to establish that they have acted in good faith, honesty and fairness. This burden of fairness requires not just a showing of profitability, but also a showing of the fairness of the bargain to the interest of the corporation. I would hold that Herrig failed to sustain his burden.</w:t>
      </w:r>
    </w:p>
    <w:p>
      <w:pPr>
        <w:pStyle w:val="CaseBody"/>
      </w:pPr>
      <w:r>
        <w:t xml:space="preserve">In the present case, Herrig gained control of the corporation by buying a majority of the stock. His first act was to replace all of the board of directors except one, an employee of the company. From that time on, he engaged in a course of self-dealing and refused to cooperate or comply with the requests of the minority stockholders. He renewed his exclusive distributing contract, increased commissions for freight and advertising expenses, additional storage cost and his own salary, plus paid himself a royalty for taco sauce and instigated a consultation fee for himself. It was Herrig’s burden to demonstrate that all of his self-dealing transactions were fair to the company.</w:t>
      </w:r>
    </w:p>
    <w:p>
      <w:pPr>
        <w:pStyle w:val="CaseBody"/>
      </w:pPr>
      <w:r>
        <w:t xml:space="preserve">Much of Herrig’s evidence concerned the tremendous success of the company. I believe that the trial court and the majority opinion have been so enthralled by the success of the company that they have failed to examine whether these matters of self-dealing were fair to the stockholders. While much credit is due to Herrig for the success of the company, this does not mean that these transactions were fair to the company.</w:t>
      </w:r>
    </w:p>
    <w:p>
      <w:pPr>
        <w:pStyle w:val="CaseBody"/>
      </w:pPr>
      <w:r>
        <w:t xml:space="preserve">I believe that Herrig failed on his burden of proof by what he did not show. He did not produce evidence of the local going rate for distribution contracts or storage fees outside of a very limited amount of self-serving testimony. He simply did not show the fair market value of his services or expense for freight, advertising and storage cost. He did not show that his taco sauce royalty was fair. This was his burden. He cannot succeed on it by merely showing the success of the company.</w:t>
      </w:r>
    </w:p>
    <w:p>
      <w:pPr>
        <w:pStyle w:val="CaseBody"/>
      </w:pPr>
      <w:r>
        <w:t xml:space="preserve">The shareholders, on the other hand, produced testimony of what the fair market value of Herrig’s services were. The majority discounts this testimony and chooses instead to focus on the success Cookies achieved as a result of Herrig’s actions. They focus on the success of the company rather than whether his self-dealing actions were arms-length transactions that were fair and reasonable to the stockholders. The appellants have put forth convincing testimony that Herrig has been grossly over compensated for his services based on their fair market value. Appellant’s expert witness, a CPA, performed an analysis to show what the company would have earned if it had hired a $65,000 a year executive officer, paid a marketing supervisor and an advertising agency a commission of five percent of the sales each, built a new warehouse and hired a warehouseman. It was compared with what the company actually did make under Herrig’s management. The analysis basically shows what the operating cost of this company should be on the open market when hiring out the work to experts. In 1985 alone, the company’s income would have doubled what it actually made were these changes made. The evidence clearly shows that the fair market value of those services is considerably less than what Herrig actually has been paid.</w:t>
      </w:r>
    </w:p>
    <w:p>
      <w:pPr>
        <w:pStyle w:val="CaseBody"/>
      </w:pPr>
      <w:r>
        <w:t xml:space="preserve">Similarly, appellant’s food broker expert witness testified that for $110,865, what the CPA analysis stated was the fair market value for brokerage services, his company would have provided all of the services that Herrig had performed. The company actually paid $730,637 for the services, a difference of $620,000 in one year.</w:t>
      </w:r>
    </w:p>
    <w:p>
      <w:pPr>
        <w:pStyle w:val="CaseBody"/>
      </w:pPr>
      <w:r>
        <w:t xml:space="preserve">In summary, I believe the majority was dazzled by the tales of Herrig’s efforts and Cookies’ success in these difficult economic times. In the process, however, it is forgotten that Herrig owes a fiduciary duty to the corporation to deal fairly and reasonably with it in his self-dealing transactions. Herrig is not entitled to skim off the majority of the profits through self-dealing transactions unless they are fair to the minority stockholders. At trial, he failed to prove how his charges were in line with what the company could have gotten on the open market. Because I cannot ignore this inequity to the company and its shareholders, I must respectfully dissent.</w:t>
      </w:r>
    </w:p>
    <w:p>
      <w:pPr>
        <w:pStyle w:val="NodeEnd"/>
      </w:pPr>
      <w:r>
        <w:t xml:space="preserve"> </w:t>
      </w:r>
    </w:p>
    <w:p>
      <w:pPr>
        <w:pStyle w:val="NodeStart"/>
      </w:pPr>
      <w:r>
        <w:t xml:space="preserve"> </w:t>
      </w:r>
    </w:p>
    <w:p>
      <w:pPr>
        <w:pStyle w:val="HeadSeparator"/>
      </w:pPr>
      <w:r>
        <w:t xml:space="preserve"> </w:t>
      </w:r>
    </w:p>
    <w:bookmarkStart w:id="139" w:name="_auto_toc_139"/>
    <w:bookmarkEnd w:id="139"/>
    <w:p>
      <w:pPr>
        <w:pStyle w:val="ResourceNumber"/>
      </w:pPr>
      <w:r>
        <w:t xml:space="preserve">11.1.3</w:t>
      </w:r>
    </w:p>
    <w:p>
      <w:pPr>
        <w:pStyle w:val="ResourceTitle"/>
      </w:pPr>
      <w:r>
        <w:t xml:space="preserve">Sinclair Oil Corp. v. Levien</w:t>
      </w:r>
    </w:p>
    <w:p>
      <w:pPr>
        <w:pStyle w:val="HeadFieldSeparator"/>
      </w:pPr>
      <w:r>
        <w:t xml:space="preserve"> </w:t>
      </w:r>
    </w:p>
    <w:p>
      <w:pPr>
        <w:pStyle w:val="ResourceHeadnote"/>
      </w:pPr>
      <w:r>
        <w:t xml:space="preserve">As we learned in Guth﻿ and the introductory notes, the standard of review for self-dealing — “utmost good faith” or “intrinsic fairness” or, nowadays, “entire fairness” — is demanding. It is, thus, extremely important to determine which transactions count as self-dealing. What is Sinclair‘s answer? Do you agree with it? May Sinclair's answer condone abuse of minority stockholders? What would happen if Sinclair had accepted the plaintiff’s broader view, not just in the short run but also in the long run (when a corporate group has time to restructure)?</w:t>
      </w:r>
    </w:p>
    <w:p>
      <w:pPr>
        <w:pStyle w:val="HeadEnd"/>
      </w:pPr>
      <w:r>
        <w:t xml:space="preserve"> </w:t>
      </w:r>
    </w:p>
    <w:p>
      <w:pPr>
        <w:pStyle w:val="CaseHeader"/>
      </w:pPr>
      <w:r>
        <w:t xml:space="preserve">Delaware Supreme Court</w:t>
      </w:r>
    </w:p>
    <w:p>
      <w:pPr>
        <w:pStyle w:val="CaseHeader"/>
      </w:pPr>
      <w:r>
        <w:t xml:space="preserve">280 A.2d 717</w:t>
      </w:r>
    </w:p>
    <w:p>
      <w:pPr>
        <w:pStyle w:val="CaseHeader"/>
      </w:pPr>
      <w:r>
        <w:t xml:space="preserve">1971-06-18</w:t>
      </w:r>
    </w:p>
    <w:p>
      <w:pPr>
        <w:pStyle w:val="CaseBody"/>
      </w:pPr>
      <w:r>
        <w:t xml:space="preserve">280 A.2d 717 (1971)</w:t>
      </w:r>
    </w:p>
    <w:p>
      <w:pPr>
        <w:pStyle w:val="CaseHeader"/>
      </w:pPr>
      <w:r>
        <w:t xml:space="preserve">SINCLAIR OIL CORPORATION, Defendant Below, Appellant,</w:t>
      </w:r>
      <w:r>
        <w:br/>
      </w:r>
      <w:r>
        <w:t xml:space="preserve">v.</w:t>
      </w:r>
      <w:r>
        <w:br/>
      </w:r>
      <w:r>
        <w:t xml:space="preserve">Francis S. LEVIEN, Plaintiff Below, Appellee.</w:t>
      </w:r>
    </w:p>
    <w:p>
      <w:pPr>
        <w:pStyle w:val="CaseBody"/>
      </w:pPr>
      <w:r>
        <w:t xml:space="preserve">Supreme Court of Delaware.</w:t>
      </w:r>
      <w:r>
        <w:br/>
      </w:r>
      <w:r>
        <w:t xml:space="preserve">June 18, 1971.</w:t>
      </w:r>
    </w:p>
    <w:p>
      <w:pPr>
        <w:pStyle w:val="CaseBody"/>
      </w:pPr>
      <w:r>
        <w:t xml:space="preserve">Henry M. Canby, of Richards, Layton &amp; Finger, Wilmington, and Paul W. Williams, Floyd Abrams and Eugene R. Scheiman of Cahill, Gordon, Sonnett, Reindel &amp; Ohl, New York City, for appellant.</w:t>
      </w:r>
    </w:p>
    <w:p>
      <w:pPr>
        <w:pStyle w:val="CaseBody"/>
      </w:pPr>
      <w:r>
        <w:t xml:space="preserve">Richard F. Corroon, Robert K. Payson, of Potter, Anderson &amp; Corroon, Leroy A. Brill of Bayard, Brill &amp; Handelman, Wilmington, and J. Lincoln Morris, Edward S. Cowen and Pollock &amp; Singer, New York City, for appellee.</w:t>
      </w:r>
    </w:p>
    <w:p>
      <w:pPr>
        <w:pStyle w:val="CaseBody"/>
      </w:pPr>
      <w:r>
        <w:t xml:space="preserve">WOLCOTT, C. J., CAREY, J., and CHRISTIE, Judge, sitting.</w:t>
      </w:r>
    </w:p>
    <w:bookmarkStart w:id="320" w:name="wolcott-chief-justice."/>
    <w:p>
      <w:pPr>
        <w:pStyle w:val="Heading2"/>
      </w:pPr>
      <w:r>
        <w:t xml:space="preserve">[719] WOLCOTT, Chief Justice.</w:t>
      </w:r>
    </w:p>
    <w:p>
      <w:pPr>
        <w:pStyle w:val="CaseBody"/>
      </w:pPr>
      <w:r>
        <w:t xml:space="preserve">This is an appeal by the defendant, Sinclair Oil Corporation (hereafter Sinclair), from an order of the Court of Chancery, 261 A.2d 911 in a derivative action requiring Sinclair to account for damages sustained by its subsidiary, Sinclair Venezuelan Oil Company (hereafter Sinven), organized by Sinclair for the purpose of operating in Venezuela, as a result of dividends paid by Sinven, the denial to Sinven of industrial development, and a breach of contract between Sinclair's wholly-owned subsidiary, Sinclair International Oil Company, and Sinven.</w:t>
      </w:r>
    </w:p>
    <w:p>
      <w:pPr>
        <w:pStyle w:val="CaseBody"/>
      </w:pPr>
      <w:r>
        <w:t xml:space="preserve">Sinclair, operating primarily as a holding company, is in the business of exploring for oil and of producing and marketing crude oil and oil products. At all times relevant to this litigation, it owned about 97% of Sinven's stock. The plaintiff owns about 3000 of 120,000 publicly held shares of Sinven. Sinven, incorporated in 1922, has been engaged in petroleum operations primarily in Venezuela and since 1959 has operated exclusively in Venezuela.</w:t>
      </w:r>
    </w:p>
    <w:p>
      <w:pPr>
        <w:pStyle w:val="CaseBody"/>
      </w:pPr>
      <w:r>
        <w:t xml:space="preserve">Sinclair nominates all members of Sinven's board of directors. The Chancellor found as a fact that the directors were not independent of Sinclair. Almost without exception, they were officers, directors, or employees of corporations in the Sinclair complex. By reason of Sinclair's domination, it is clear that Sinclair owed Sinven a fiduciary duty. Getty Oil Company v. Skelly Oil Co., 267 A.2d 883 (Del.Supr. 1970); Cottrell v. Pawcatuck Co., 35 Del. Ch. 309, 116 A.2d 787 (1955). Sinclair concedes this.</w:t>
      </w:r>
    </w:p>
    <w:p>
      <w:pPr>
        <w:pStyle w:val="CaseBody"/>
      </w:pPr>
      <w:r>
        <w:t xml:space="preserve">The Chancellor held that because of Sinclair's fiduciary duty and its control over Sinven, its relationship with Sinven must meet the test of intrinsic fairness. The [720] standard of intrinsic fairness involves both a high degree of fairness and a shift in the burden of proof. Under this standard the burden is on Sinclair to prove, subject to careful judicial scrutiny, that its transactions with Sinven were objectively fair. Guth v. Loft, Inc., 23 Del.Ch. 255, 5 A.2d 503 (1939); Sterling v. Mayflower Hotel Corp., 33 Del.Ch. 293, 93 A.2d 107, 38 A. L.R.2d 425 (Del.Supr.1952); Getty Oil Co. v. Skelly Oil Co., supra.</w:t>
      </w:r>
    </w:p>
    <w:p>
      <w:pPr>
        <w:pStyle w:val="CaseBody"/>
      </w:pPr>
      <w:r>
        <w:t xml:space="preserve">Sinclair argues that the transactions between it and Sinven should be tested, not by the test of intrinsic fairness with the accompanying shift of the burden of proof, but by the business judgment rule under which a court will not interfere with the judgment of a board of directors unless there is a showing of gross and palpable overreaching. Meyerson v. El Paso Natural Gas Co., 246 A.2d 789 (Del.Ch. 1967). A board of directors enjoys a presumption of sound business judgment, and its decisions will not be disturbed if they can be attributed to any rational business purpose. A court under such circumstances will not substitute its own notions of what is or is not sound business judgment.</w:t>
      </w:r>
    </w:p>
    <w:p>
      <w:pPr>
        <w:pStyle w:val="CaseBody"/>
      </w:pPr>
      <w:r>
        <w:t xml:space="preserve">We think, however, that Sinclair's argument in this respect is misconceived. When the situation involves a parent and a subsidiary, with the parent controlling the transaction and fixing the terms, the test of intrinsic fairness, with its resulting shifting of the burden of proof, is applied. Sterling v. Mayflower Hotel Corp., supra; David J. Greene &amp; Co. v. Dunhill International, Inc., 249 A.2d 427 (Del.Ch.1968); Bastian v. Bourns, Inc., 256 A.2d 680 (Del.Ch.1969) aff'd. Per Curiam (unreported) (Del.Supr.1970). The basic situation for the application of the rule is the one in which the parent has received a benefit to the exclusion and at the expense of the subsidiary.</w:t>
      </w:r>
    </w:p>
    <w:p>
      <w:pPr>
        <w:pStyle w:val="CaseBody"/>
      </w:pPr>
      <w:r>
        <w:t xml:space="preserve">Recently, this court dealt with the question of fairness in parent-subsidiary dealings in Getty Oil Co. v. Skelly Oil Co., supra. In that case, both parent and subsidiary were in the business of refining and marketing crude oil and crude oil products. The Oil Import Board ruled that the subsidiary, because it was controlled by the parent, was no longer entitled to a separate allocation of imported crude oil. The subsidiary then contended that it had a right to share the quota of crude oil allotted to the parent. We ruled that the business judgment standard should be applied to determine this contention. Although the subsidiary suffered a loss through the administration of the oil import quotas, the parent gained nothing. The parent's quota was derived solely from its own past use. The past use of the subsidiary did not cause an increase in the parent's quota. Nor did the parent usurp a quota of the subsidiary. Since the parent received nothing from the subsidiary to the exclusion of the minority stockholders of the subsidiary, there was no self-dealing. Therefore, the business judgment standard was properly applied.</w:t>
      </w:r>
    </w:p>
    <w:p>
      <w:pPr>
        <w:pStyle w:val="CaseBody"/>
      </w:pPr>
      <w:r>
        <w:t xml:space="preserve">A parent does indeed owe a fiduciary duty to its subsidiary when there are parent-subsidiary dealings. However, this alone will not evoke the intrinsic fairness standard. This standard will be applied only when the fiduciary duty is accompanied by self-dealing — the situation when a parent is on both sides of a transaction with its subsidiary. Self-dealing occurs when the parent, by virtue of its domination of the subsidiary, causes the subsidiary to act in such a way that the parent receives something from the subsidiary to the exclusion of, and detriment to, the minority stockholders of the subsidiary.</w:t>
      </w:r>
    </w:p>
    <w:p>
      <w:pPr>
        <w:pStyle w:val="CaseBody"/>
      </w:pPr>
      <w:r>
        <w:t xml:space="preserve">We turn now to the facts. The plaintiff argues that, from 1960 through 1966, Sinclair caused Sinven to pay out such excessive dividends that the industrial development of Sinven was effectively prevented, and it became in reality a corporation in dissolution.</w:t>
      </w:r>
    </w:p>
    <w:p>
      <w:pPr>
        <w:pStyle w:val="CaseBody"/>
      </w:pPr>
      <w:r>
        <w:t xml:space="preserve">From 1960 through 1966, Sinven paid out $108,000,000 in dividends ($38,000,000 [721] in excess of Sinven's earnings during the same period). The Chancellor held that Sinclair caused these dividends to be paid during a period when it had a need for large amounts of cash. Although the dividends paid exceeded earnings, the plaintiff concedes that the payments were made in compliance with 8 Del.C. § 170, authorizing payment of dividends out of surplus or net profits. However, the plaintiff attacks these dividends on the ground that they resulted from an improper motive — Sinclair's need for cash. The Chancellor, applying the intrinsic fairness standard, held that Sinclair did not sustain its burden of proving that these dividends were intrinsically fair to the minority stockholders of Sinven.</w:t>
      </w:r>
    </w:p>
    <w:p>
      <w:pPr>
        <w:pStyle w:val="CaseBody"/>
      </w:pPr>
      <w:r>
        <w:t xml:space="preserve">Since it is admitted that the dividends were paid in strict compliance with 8 Del.C. § 170, the alleged excessiveness of the payments alone would not state a cause of action. Nevertheless, compliance with the applicable statute may not, under all circumstances, justify all dividend payments. If a plaintiff can meet his burden of proving that a dividend cannot be grounded on any reasonable business objective, then the courts can and will interfere with the board's decision to pay the dividend.</w:t>
      </w:r>
    </w:p>
    <w:p>
      <w:pPr>
        <w:pStyle w:val="CaseBody"/>
      </w:pPr>
      <w:r>
        <w:t xml:space="preserve">Sinclair contends that it is improper to apply the intrinsic fairness standard to dividend payments even when the board which voted for the dividends is completely dominated. In support of this contention, Sinclair relies heavily on American District Telegraph Co. [ADT] v. Grinnell Corp., (N.Y.Sup.Ct.1969) aff'd. 33 A.D.2d 769, 306 N.Y.S.2d 209 (1969). Plaintiffs were minority stockholders of ADT, a subsidiary of Grinnell. The plaintiffs alleged that Grinnell, realizing that it would soon have to sell its ADT stock because of a pending anti-trust action, caused ADT to pay excessive dividends. Because the dividend payments conformed with applicable statutory law, and the plaintiffs could not prove an abuse of discretion, the court ruled that the complaint did not state a cause of action. Other decisions seem to support Sinclair's contention. In Metropolitan Casualty Ins. Co. v. First State Bank of Temple, 54 S.W.2d 358 (Tex.Civ.App.1932), rev'd. on other grounds, 79 S.W.2d 835 (Sup.Ct. 1935), the court held that a majority of interested directors does not void a declaration of dividends because all directors, by necessity, are interested in and benefited by a dividend declaration. See, also, Schwartz v. Kahn, 183 Misc. 252, 50 N.Y.S. 2d 931 (1944); Weinberger v. Quinn, 264 A.D. 405, 35 N.Y.S.2d 567 (1942).</w:t>
      </w:r>
    </w:p>
    <w:p>
      <w:pPr>
        <w:pStyle w:val="CaseBody"/>
      </w:pPr>
      <w:r>
        <w:t xml:space="preserve">We do not accept the argument that the intrinsic fairness test can never be applied to a dividend declaration by a dominated board, although a dividend declaration by a dominated board will not inevitably demand the application of the intrinsic fairness standard. Moskowitz v. Bantrell, 41 Del.Ch. 177, 190 A.2d 749 (Del.Supr. 1963). If such a dividend is in essence self-dealing by the parent, then the intrinsic fairness standard is the proper standard. For example, suppose a parent dominates a subsidiary and its board of directors. The subsidiary has outstanding two classes of stock, X and Y. Class X is owned by the parent and Class Y is owned by minority stockholders of the subsidiary. If the subsidiary, at the direction of the parent, declares a dividend on its Class X stock only, this might well be self-dealing by the parent. It would be receiving something from the subsidiary to the exclusion of and detrimental to its minority stockholders. This self-dealing, coupled with the parent's fiduciary duty, would make intrinsic fairness the proper standard by which to evaluate the dividend payments.</w:t>
      </w:r>
    </w:p>
    <w:p>
      <w:pPr>
        <w:pStyle w:val="CaseBody"/>
      </w:pPr>
      <w:r>
        <w:t xml:space="preserve">Consequently it must be determined whether the dividend payments by Sinven were, in essence, self-dealing by Sinclair. The dividends resulted in great sums of money being transferred from Sinven to Sinclair. However, a proportionate share of this money was received by the minority shareholders of Sinven. Sinclair received nothing from Sinven to the exclusion of its [722] minority stockholders. As such, these dividends were not self-dealing. We hold therefore that the Chancellor erred in applying the intrinsic fairness test as to these dividend payments. The business judgment standard should have been applied.</w:t>
      </w:r>
    </w:p>
    <w:p>
      <w:pPr>
        <w:pStyle w:val="CaseBody"/>
      </w:pPr>
      <w:r>
        <w:t xml:space="preserve">We conclude that the facts demonstrate that the dividend payments complied with the business judgment standard and with 8 Del.C. § 170. The motives for causing the declaration of dividends are immaterial unless the plaintiff can show that the dividend payments resulted from improper motives and amounted to waste. The plaintiff contends only that the dividend payments drained Sinven of cash to such an extent that it was prevented from expanding.</w:t>
      </w:r>
    </w:p>
    <w:p>
      <w:pPr>
        <w:pStyle w:val="CaseBody"/>
      </w:pPr>
      <w:r>
        <w:t xml:space="preserve">The plaintiff proved no business opportunities which came to Sinven independently and which Sinclair either took to itself or denied to Sinven. As a matter of fact, with two minor exceptions which resulted in losses, all of Sinven's operations have been conducted in Venezuela, and Sinclair had a policy of exploiting its oil properties located in different countries by subsidiaries located in the particular countries.</w:t>
      </w:r>
    </w:p>
    <w:p>
      <w:pPr>
        <w:pStyle w:val="CaseBody"/>
      </w:pPr>
      <w:r>
        <w:t xml:space="preserve">From 1960 to 1966 Sinclair purchased or developed oil fields in Alaska, Canada, Paraguay, and other places around the world. The plaintiff contends that these were all opportunities which could have been taken by Sinven. The Chancellor concluded that Sinclair had not proved that its denial of expansion opportunities to Sinven was intrinsically fair. He based this conclusion on the following findings of fact. Sinclair made no real effort to expand Sinven. The excessive dividends paid by Sinven resulted in so great a cash drain as to effectively deny to Sinven any ability to expand. During this same period Sinclair actively pursued a company-wide policy of developing through its subsidiaries new sources of revenue, but Sinven was not permitted to participate and was confined in its activities to Venezuela.</w:t>
      </w:r>
    </w:p>
    <w:p>
      <w:pPr>
        <w:pStyle w:val="CaseBody"/>
      </w:pPr>
      <w:r>
        <w:t xml:space="preserve">However, the plaintiff could point to no opportunities which came to Sinven. Therefore, Sinclair usurped no business opportunity belonging to Sinven. Since Sinclair received nothing from Sinven to the exclusion of and detriment to Sinven's minority stockholders, there was no self-dealing. Therefore, business judgment is the proper standard by which to evaluate Sinclair's expansion policies.</w:t>
      </w:r>
    </w:p>
    <w:p>
      <w:pPr>
        <w:pStyle w:val="CaseBody"/>
      </w:pPr>
      <w:r>
        <w:t xml:space="preserve">Since there is no proof of self-dealing on the part of Sinclair, it follows that the expansion policy of Sinclair and the methods used to achieve the desired result must, as far as Sinclair's treatment of Sinven is concerned, be tested by the standards of the business judgment rule. Accordingly, Sinclair's decision, absent fraud or gross overreaching, to achieve expansion through the medium of its subsidiaries, other than Sinven, must be upheld.</w:t>
      </w:r>
    </w:p>
    <w:p>
      <w:pPr>
        <w:pStyle w:val="CaseBody"/>
      </w:pPr>
      <w:r>
        <w:t xml:space="preserve">Even if Sinclair was wrong in developing these opportunities as it did, the question arises, with which subsidiaries should these opportunities have been shared? No evidence indicates a unique need or ability of Sinven to develop these opportunities. The decision of which subsidiaries would be used to implement Sinclair's expansion policy was one of business judgment with which a court will not interfere absent a showing of gross and palpable overreaching. Meyerson v. El Paso Natural Gas Co., 246 A.2d 789 (Del.Ch.1967). No such showing has been made here.</w:t>
      </w:r>
    </w:p>
    <w:p>
      <w:pPr>
        <w:pStyle w:val="CaseBody"/>
      </w:pPr>
      <w:r>
        <w:t xml:space="preserve">Next, Sinclair argues that the Chancellor committed error when he held it liable to Sinven for breach of contract.</w:t>
      </w:r>
    </w:p>
    <w:p>
      <w:pPr>
        <w:pStyle w:val="CaseBody"/>
      </w:pPr>
      <w:r>
        <w:t xml:space="preserve">In 1961 Sinclair created Sinclair International Oil Company (hereafter International), a wholly owned subsidiary used for the purpose of coordinating all of Sinclair's foreign operations. All crude purchases by Sinclair were made thereafter through International.</w:t>
      </w:r>
    </w:p>
    <w:p>
      <w:pPr>
        <w:pStyle w:val="CaseBody"/>
      </w:pPr>
      <w:r>
        <w:t xml:space="preserve">On September 28, 1961, Sinclair caused Sinven to contract with International whereby Sinven agreed to sell all of its [723] crude oil and refined products to International at specified prices. The contract provided for minimum and maximum quantities and prices. The plaintiff contends that Sinclair caused this contract to be breached in two respects. Although the contract called for payment on receipt, International's payments lagged as much as 30 days after receipt. Also, the contract required International to purchase at least a fixed minimum amount of crude and refined products from Sinven. International did not comply with this requirement.</w:t>
      </w:r>
    </w:p>
    <w:p>
      <w:pPr>
        <w:pStyle w:val="CaseBody"/>
      </w:pPr>
      <w:r>
        <w:t xml:space="preserve">Clearly, Sinclair's act of contracting with its dominated subsidiary was self-dealing. Under the contract Sinclair received the products produced by Sinven, and of course the minority shareholders of Sinven were not able to share in the receipt of these products. If the contract was breached, then Sinclair received these products to the detriment of Sinven's minority shareholders. We agree with the Chancellor's finding that the contract was breached by Sinclair, both as to the time of payments and the amounts purchased.</w:t>
      </w:r>
    </w:p>
    <w:p>
      <w:pPr>
        <w:pStyle w:val="CaseBody"/>
      </w:pPr>
      <w:r>
        <w:t xml:space="preserve">Although a parent need not bind itself by a contract with its dominated subsidiary, Sinclair chose to operate in this manner. As Sinclair has received the benefits of this contract, so must it comply with the contractual duties.</w:t>
      </w:r>
    </w:p>
    <w:p>
      <w:pPr>
        <w:pStyle w:val="CaseBody"/>
      </w:pPr>
      <w:r>
        <w:t xml:space="preserve">Under the intrinsic fairness standard, Sinclair must prove that its causing Sinven not to enforce the contract was intrinsically fair to the minority shareholders of Sinven. Sinclair has failed to meet this burden. Late payments were clearly breaches for which Sinven should have sought and received adequate damages. As to the quantities purchased, Sinclair argues that it purchased all the products produced by Sinven. This, however, does not satisfy the standard of intrinsic fairness. Sinclair has failed to prove that Sinven could not possibly have produced or someway have obtained the contract minimums. As such, Sinclair must account on this claim.</w:t>
      </w:r>
    </w:p>
    <w:p>
      <w:pPr>
        <w:pStyle w:val="CaseBody"/>
      </w:pPr>
      <w:r>
        <w:t xml:space="preserve">Finally, Sinclair argues that the Chancellor committed error in refusing to allow it a credit or setoff of all benefits provided by it to Sinven with respect to all the alleged damages. The Chancellor held that setoff should be allowed on specific transactions, e. g., benefits to Sinven under the contract with International, but denied an over all setoff against all damages claimed. We agree with the Chancellor, although the point may well be moot in view of our holding that Sinclair is not required to account for the alleged excessiveness of the dividend payments.</w:t>
      </w:r>
    </w:p>
    <w:p>
      <w:pPr>
        <w:pStyle w:val="CaseBody"/>
      </w:pPr>
      <w:r>
        <w:t xml:space="preserve">We will therefore reverse that part of the Chancellor's order that requires Sinclair to account to Sinven for damages sustained as a result of dividends paid between 1960 and 1966, and by reason of the denial to Sinven of expansion during that period. We will affirm the remaining portion of that order and remand the cause for further proceedings.</w:t>
      </w:r>
    </w:p>
    <w:bookmarkEnd w:id="320"/>
    <w:p>
      <w:pPr>
        <w:pStyle w:val="NodeEnd"/>
      </w:pPr>
      <w:r>
        <w:t xml:space="preserve"> </w:t>
      </w:r>
    </w:p>
    <w:p>
      <w:pPr>
        <w:pStyle w:val="NodeStart"/>
      </w:pPr>
      <w:r>
        <w:t xml:space="preserve"> </w:t>
      </w:r>
    </w:p>
    <w:p>
      <w:pPr>
        <w:pStyle w:val="HeadSeparator"/>
      </w:pPr>
      <w:r>
        <w:t xml:space="preserve"> </w:t>
      </w:r>
    </w:p>
    <w:bookmarkStart w:id="140" w:name="_auto_toc_140"/>
    <w:bookmarkEnd w:id="140"/>
    <w:p>
      <w:pPr>
        <w:pStyle w:val="ResourceNumber"/>
      </w:pPr>
      <w:r>
        <w:t xml:space="preserve">11.1.4</w:t>
      </w:r>
    </w:p>
    <w:p>
      <w:pPr>
        <w:pStyle w:val="ResourceTitle"/>
      </w:pPr>
      <w:r>
        <w:t xml:space="preserve">Weinberger v. UOP, Inc.</w:t>
      </w:r>
    </w:p>
    <w:p>
      <w:pPr>
        <w:pStyle w:val="HeadFieldSeparator"/>
      </w:pPr>
      <w:r>
        <w:t xml:space="preserve"> </w:t>
      </w:r>
    </w:p>
    <w:p>
      <w:pPr>
        <w:pStyle w:val="ResourceHeadnote"/>
      </w:pPr>
      <w:r>
        <w:t xml:space="preserve">This decision introduced the modern standard of review for conflicted transactions involving a controlling shareholder. We could have read it in the general Duty of Loyalty section above, but I wanted you to read it together with the next two cases.</w:t>
      </w:r>
    </w:p>
    <w:p>
      <w:pPr>
        <w:pStyle w:val="ResourceHeadnote"/>
      </w:pPr>
      <w:r>
        <w:t xml:space="preserve">Review questions (answer now or while reading the opinion):</w:t>
      </w:r>
    </w:p>
    <w:p>
      <w:pPr>
        <w:numPr>
          <w:ilvl w:val="0"/>
          <w:numId w:val="1055"/>
        </w:numPr>
        <w:pStyle w:val="HeadnoteText"/>
      </w:pPr>
      <w:r>
        <w:t xml:space="preserve">What is the standard of review for conflicted transactions, generally speaking?</w:t>
      </w:r>
    </w:p>
    <w:p>
      <w:pPr>
        <w:numPr>
          <w:ilvl w:val="0"/>
          <w:numId w:val="1055"/>
        </w:numPr>
        <w:pStyle w:val="HeadnoteText"/>
      </w:pPr>
      <w:r>
        <w:t xml:space="preserve">Can the controlling shareholder do anything to obtain a more favorable standard, or at least a more sympathetic application of the standard (cf. footnote 7)?</w:t>
      </w:r>
    </w:p>
    <w:p>
      <w:pPr>
        <w:numPr>
          <w:ilvl w:val="0"/>
          <w:numId w:val="1055"/>
        </w:numPr>
        <w:pStyle w:val="HeadnoteText"/>
      </w:pPr>
      <w:r>
        <w:t xml:space="preserve">How does the judicial treatment of self-dealing by a controlling shareholder compare to that of self-dealing by simple officers and directors (as described in the Duty of Loyalty section above)?</w:t>
      </w:r>
    </w:p>
    <w:p>
      <w:pPr>
        <w:pStyle w:val="ResourceHeadnote"/>
      </w:pPr>
      <w:r>
        <w:t xml:space="preserve">Case questions:</w:t>
      </w:r>
    </w:p>
    <w:p>
      <w:pPr>
        <w:numPr>
          <w:ilvl w:val="0"/>
          <w:numId w:val="1056"/>
        </w:numPr>
        <w:pStyle w:val="HeadnoteText"/>
      </w:pPr>
      <w:r>
        <w:t xml:space="preserve">Why did Signal do this deal? Do any of its reasons strike you as inconsistent with Signal's corporate purposes, or with Signals fiduciary duties towards UOP?</w:t>
      </w:r>
    </w:p>
    <w:p>
      <w:pPr>
        <w:numPr>
          <w:ilvl w:val="0"/>
          <w:numId w:val="1056"/>
        </w:numPr>
        <w:pStyle w:val="HeadnoteText"/>
      </w:pPr>
      <w:r>
        <w:t xml:space="preserve">What was unfair about Signal's dealing with UOP?</w:t>
      </w:r>
    </w:p>
    <w:p>
      <w:pPr>
        <w:numPr>
          <w:ilvl w:val="0"/>
          <w:numId w:val="1056"/>
        </w:numPr>
        <w:pStyle w:val="HeadnoteText"/>
      </w:pPr>
      <w:r>
        <w:t xml:space="preserve">Why did UOP's stockholder vote not shift the burden of proof?</w:t>
      </w:r>
    </w:p>
    <w:p>
      <w:pPr>
        <w:pStyle w:val="ResourceHeadnote"/>
      </w:pPr>
      <w:r>
        <w:t xml:space="preserve">Policy questions:</w:t>
      </w:r>
    </w:p>
    <w:p>
      <w:pPr>
        <w:numPr>
          <w:ilvl w:val="0"/>
          <w:numId w:val="1057"/>
        </w:numPr>
        <w:pStyle w:val="HeadnoteText"/>
      </w:pPr>
      <w:r>
        <w:t xml:space="preserve">Does it make sense to treat controlling shareholders more harshly than other fiduciaries?</w:t>
      </w:r>
    </w:p>
    <w:p>
      <w:pPr>
        <w:numPr>
          <w:ilvl w:val="0"/>
          <w:numId w:val="1057"/>
        </w:numPr>
        <w:pStyle w:val="HeadnoteText"/>
      </w:pPr>
      <w:r>
        <w:t xml:space="preserve">Why allow squeeze-outs at all?</w:t>
      </w:r>
    </w:p>
    <w:p>
      <w:pPr>
        <w:numPr>
          <w:ilvl w:val="0"/>
          <w:numId w:val="1057"/>
        </w:numPr>
        <w:pStyle w:val="HeadnoteText"/>
      </w:pPr>
      <w:r>
        <w:t xml:space="preserve">Is there a connection between the Delaware Supreme Court's abandonment of the business purpose test (part III) and its refinement of the standard of review, in particular a more flexible approach to valuation (part II.E)?</w:t>
      </w:r>
    </w:p>
    <w:p>
      <w:pPr>
        <w:pStyle w:val="ResourceHeadnote"/>
      </w:pPr>
      <w:r>
        <w:t xml:space="preserve">Check your understanding:</w:t>
      </w:r>
    </w:p>
    <w:p>
      <w:pPr>
        <w:numPr>
          <w:ilvl w:val="0"/>
          <w:numId w:val="1058"/>
        </w:numPr>
        <w:pStyle w:val="HeadnoteText"/>
      </w:pPr>
      <w:r>
        <w:t xml:space="preserve">Why does Weinberger bother bringing a fiduciary duty action? Couldn't he have obtained the same relief through appraisal, without having to prove a violation of fiduciary duty?</w:t>
      </w:r>
    </w:p>
    <w:p>
      <w:pPr>
        <w:pStyle w:val="HeadEnd"/>
      </w:pPr>
      <w:r>
        <w:t xml:space="preserve"> </w:t>
      </w:r>
    </w:p>
    <w:p>
      <w:pPr>
        <w:pStyle w:val="CaseHeader"/>
      </w:pPr>
      <w:r>
        <w:t xml:space="preserve">457 A.2d 701</w:t>
      </w:r>
    </w:p>
    <w:p>
      <w:pPr>
        <w:pStyle w:val="CaseBody"/>
      </w:pPr>
      <w:r>
        <w:t xml:space="preserve">457 A.2d 701 (1983)</w:t>
      </w:r>
    </w:p>
    <w:p>
      <w:pPr>
        <w:pStyle w:val="CaseHeader"/>
      </w:pPr>
      <w:r>
        <w:t xml:space="preserve">William B. WEINBERGER, Plaintiff Below, Appellant,</w:t>
      </w:r>
      <w:r>
        <w:br/>
      </w:r>
      <w:r>
        <w:t xml:space="preserve">v.</w:t>
      </w:r>
      <w:r>
        <w:br/>
      </w:r>
      <w:r>
        <w:t xml:space="preserve">UOP, INC., et al., Defendants Below, Appellees.</w:t>
      </w:r>
    </w:p>
    <w:p>
      <w:pPr>
        <w:pStyle w:val="CaseBody"/>
      </w:pPr>
      <w:r>
        <w:t xml:space="preserve">Supreme Court of Delaware.</w:t>
      </w:r>
      <w:r>
        <w:br/>
      </w:r>
      <w:r>
        <w:t xml:space="preserve">Submitted: July 16, 1982.</w:t>
      </w:r>
      <w:r>
        <w:br/>
      </w:r>
      <w:r>
        <w:t xml:space="preserve">Decided: February 1, 1983.</w:t>
      </w:r>
    </w:p>
    <w:p>
      <w:pPr>
        <w:pStyle w:val="CaseBody"/>
      </w:pPr>
      <w:r>
        <w:t xml:space="preserve">William Prickett (argued), John H. Small, and George H. Seitz, III, of Prickett, Jones, Elliott, Kristol &amp; Schnee, Wilmington, for plaintiff.</w:t>
      </w:r>
    </w:p>
    <w:p>
      <w:pPr>
        <w:pStyle w:val="CaseBody"/>
      </w:pPr>
      <w:r>
        <w:t xml:space="preserve">A. Gilchrist Sparks, III, of Morris, Nichols, Arsht &amp; Tunnell, Wilmington, for defendant UOP, Inc.</w:t>
      </w:r>
    </w:p>
    <w:p>
      <w:pPr>
        <w:pStyle w:val="CaseBody"/>
      </w:pPr>
      <w:r>
        <w:t xml:space="preserve">Robert K. Payson and Peter M. Sieglaff, of Potter, Anderson &amp; Corroon, Wilmington, and Alan N. Halkett (argued) of Latham &amp; Watkins, Los Angeles, Cal., for defendant The Signal Companies, Inc.</w:t>
      </w:r>
    </w:p>
    <w:p>
      <w:pPr>
        <w:pStyle w:val="CaseBody"/>
      </w:pPr>
      <w:r>
        <w:t xml:space="preserve">Before HERRMANN, C.J., McNEILLY, QUILLEN, HORSEY and MOORE, JJ., constituting the Court en Banc.</w:t>
      </w:r>
    </w:p>
    <w:bookmarkStart w:id="321" w:name="moore-justice-1"/>
    <w:p>
      <w:pPr>
        <w:pStyle w:val="Heading2"/>
      </w:pPr>
      <w:r>
        <w:t xml:space="preserve">[702] MOORE, Justice:</w:t>
      </w:r>
    </w:p>
    <w:p>
      <w:pPr>
        <w:pStyle w:val="CaseBody"/>
      </w:pPr>
      <w:r>
        <w:t xml:space="preserve">This post-trial appeal was reheard en banc from a decision of the Court of Chancery.</w:t>
      </w:r>
      <w:hyperlink w:anchor="X78c918166217046bf2d1e23e92fdb4265becad4">
        <w:r>
          <w:rPr>
            <w:rStyle w:val="Hyperlink"/>
            <w:vertAlign w:val="superscript"/>
          </w:rPr>
          <w:t xml:space="preserve">[1]</w:t>
        </w:r>
      </w:hyperlink>
      <w:r>
        <w:t xml:space="preserve"> </w:t>
      </w:r>
      <w:r>
        <w:t xml:space="preserve">[703] It was brought by the class action plaintiff below, a former shareholder of UOP, Inc., who challenged the elimination of UOP's minority shareholders by a cash-out merger between UOP and its majority owner, The Signal Companies, Inc.</w:t>
      </w:r>
      <w:hyperlink w:anchor="Xfaf7f5b6d213f7add22582571b4455591dcf0ed">
        <w:r>
          <w:rPr>
            <w:rStyle w:val="Hyperlink"/>
            <w:vertAlign w:val="superscript"/>
          </w:rPr>
          <w:t xml:space="preserve">[2]</w:t>
        </w:r>
      </w:hyperlink>
      <w:r>
        <w:t xml:space="preserve"> </w:t>
      </w:r>
      <w:r>
        <w:t xml:space="preserve">Originally, the defendants in this action were Signal, UOP, certain officers and directors of those companies, and UOP's investment banker, Lehman Brothers Kuhn Loeb, Inc.</w:t>
      </w:r>
      <w:hyperlink w:anchor="Xc379af88d7dfe185971cfedf415da5f9965f2fe">
        <w:r>
          <w:rPr>
            <w:rStyle w:val="Hyperlink"/>
            <w:vertAlign w:val="superscript"/>
          </w:rPr>
          <w:t xml:space="preserve">[3]</w:t>
        </w:r>
      </w:hyperlink>
      <w:r>
        <w:t xml:space="preserve"> </w:t>
      </w:r>
      <w:r>
        <w:t xml:space="preserve">The present Chancellor held that the terms of the merger were fair to the plaintiff and the other minority shareholders of UOP. Accordingly, he entered judgment in favor of the defendants.</w:t>
      </w:r>
    </w:p>
    <w:p>
      <w:pPr>
        <w:pStyle w:val="CaseBody"/>
      </w:pPr>
      <w:r>
        <w:t xml:space="preserve">Numerous points were raised by the parties, but we address only the following questions presented by the trial court's opinion:</w:t>
      </w:r>
    </w:p>
    <w:p>
      <w:pPr>
        <w:pStyle w:val="BlockText"/>
      </w:pPr>
      <w:r>
        <w:t xml:space="preserve">1) The plaintiff's duty to plead sufficient facts demonstrating the unfairness of the challenged merger;</w:t>
      </w:r>
    </w:p>
    <w:p>
      <w:pPr>
        <w:pStyle w:val="BlockText"/>
      </w:pPr>
      <w:r>
        <w:t xml:space="preserve">2) The burden of proof upon the parties where the merger has been approved by the purportedly informed vote of a majority of the minority shareholders;</w:t>
      </w:r>
    </w:p>
    <w:p>
      <w:pPr>
        <w:pStyle w:val="BlockText"/>
      </w:pPr>
      <w:r>
        <w:t xml:space="preserve">3) The fairness of the merger in terms of adequacy of the defendants' disclosures to the minority shareholders;</w:t>
      </w:r>
    </w:p>
    <w:p>
      <w:pPr>
        <w:pStyle w:val="BlockText"/>
      </w:pPr>
      <w:r>
        <w:t xml:space="preserve">4) The fairness of the merger in terms of adequacy of the price paid for the minority shares and the remedy appropriate to that issue; and</w:t>
      </w:r>
    </w:p>
    <w:p>
      <w:pPr>
        <w:pStyle w:val="BlockText"/>
      </w:pPr>
      <w:r>
        <w:t xml:space="preserve">5) The continued force and effect of</w:t>
      </w:r>
      <w:r>
        <w:t xml:space="preserve"> </w:t>
      </w:r>
      <w:r>
        <w:rPr>
          <w:iCs/>
          <w:i/>
        </w:rPr>
        <w:t xml:space="preserve">Singer v. Magnavox Co.,</w:t>
      </w:r>
      <w:r>
        <w:t xml:space="preserve"> </w:t>
      </w:r>
      <w:r>
        <w:t xml:space="preserve">Del.Supr., 380 A.2d 969, 980 (1977), and its progeny.</w:t>
      </w:r>
    </w:p>
    <w:p>
      <w:pPr>
        <w:pStyle w:val="CaseBody"/>
      </w:pPr>
      <w:r>
        <w:t xml:space="preserve">In ruling for the defendants, the Chancellor re-stated his earlier conclusion that the plaintiff in a suit challenging a cash-out merger must allege specific acts of fraud, misrepresentation, or other items of misconduct to demonstrate the unfairness of the merger terms to the minority.</w:t>
      </w:r>
      <w:hyperlink w:anchor="X83291df784c810dd1efeababfaef63445932f49">
        <w:r>
          <w:rPr>
            <w:rStyle w:val="Hyperlink"/>
            <w:vertAlign w:val="superscript"/>
          </w:rPr>
          <w:t xml:space="preserve">[4]</w:t>
        </w:r>
      </w:hyperlink>
      <w:r>
        <w:t xml:space="preserve"> </w:t>
      </w:r>
      <w:r>
        <w:t xml:space="preserve">We approve this rule and affirm it.</w:t>
      </w:r>
    </w:p>
    <w:p>
      <w:pPr>
        <w:pStyle w:val="CaseBody"/>
      </w:pPr>
      <w:r>
        <w:t xml:space="preserve">The Chancellor also held that even though the ultimate burden of proof is on the majority shareholder to show by a preponderance of the evidence that the transaction is fair, it is first the burden of the plaintiff attacking the merger to demonstrate some basis for invoking the fairness obligation. We agree with that principle. However, where corporate action has been approved by an informed vote of a majority of the minority shareholders, we conclude that the burden entirely shifts to the plaintiff to show that the transaction was unfair to the minority.</w:t>
      </w:r>
      <w:r>
        <w:t xml:space="preserve"> </w:t>
      </w:r>
      <w:r>
        <w:rPr>
          <w:iCs/>
          <w:i/>
        </w:rPr>
        <w:t xml:space="preserve">See, e.g.,</w:t>
      </w:r>
      <w:r>
        <w:t xml:space="preserve"> </w:t>
      </w:r>
      <w:r>
        <w:rPr>
          <w:iCs/>
          <w:i/>
        </w:rPr>
        <w:t xml:space="preserve">Michelson v. Duncan,</w:t>
      </w:r>
      <w:r>
        <w:t xml:space="preserve"> </w:t>
      </w:r>
      <w:r>
        <w:t xml:space="preserve">Del.Supr., 407 A.2d 211, 224 (1979). But in all this, the burden clearly remains on those relying on the vote to show that they completely disclosed all material facts relevant to the transaction.</w:t>
      </w:r>
    </w:p>
    <w:p>
      <w:pPr>
        <w:pStyle w:val="CaseBody"/>
      </w:pPr>
      <w:r>
        <w:t xml:space="preserve">Here, the record does not support a conclusion that the minority stockholder vote was an informed one. Material information, necessary to acquaint those shareholders with the bargaining positions of Signal and UOP, was withheld under circumstances amounting to a breach of fiduciary duty. We therefore conclude that this merger does not meet the test of fairness, at least as we address that concept, and no burden thus shifted to the plaintiff by reason of the minority shareholder vote. Accordingly, we reverse and remand for further proceedings consistent herewith.</w:t>
      </w:r>
    </w:p>
    <w:p>
      <w:pPr>
        <w:pStyle w:val="CaseBody"/>
      </w:pPr>
      <w:r>
        <w:rPr>
          <w:rStyle w:val="Elision"/>
        </w:rPr>
        <w:t xml:space="preserve">[ … ]</w:t>
      </w:r>
    </w:p>
    <w:p>
      <w:pPr>
        <w:pStyle w:val="CaseBody"/>
      </w:pPr>
      <w:r>
        <w:t xml:space="preserve">Our treatment of these matters has necessarily led us to a reconsideration of the business purpose rule announced in the trilogy of</w:t>
      </w:r>
      <w:r>
        <w:t xml:space="preserve"> </w:t>
      </w:r>
      <w:r>
        <w:rPr>
          <w:iCs/>
          <w:i/>
        </w:rPr>
        <w:t xml:space="preserve">Singer v. Magnavox Co., supra;</w:t>
      </w:r>
      <w:r>
        <w:t xml:space="preserve"> </w:t>
      </w:r>
      <w:r>
        <w:rPr>
          <w:iCs/>
          <w:i/>
        </w:rPr>
        <w:t xml:space="preserve">Tanzer v. International General Industries, Inc.,</w:t>
      </w:r>
      <w:r>
        <w:t xml:space="preserve"> </w:t>
      </w:r>
      <w:r>
        <w:t xml:space="preserve">Del.Supr., 379 A.2d 1121 (1977); and</w:t>
      </w:r>
      <w:r>
        <w:t xml:space="preserve"> </w:t>
      </w:r>
      <w:r>
        <w:rPr>
          <w:iCs/>
          <w:i/>
        </w:rPr>
        <w:t xml:space="preserve">Roland International Corp. v. Najjar,</w:t>
      </w:r>
      <w:r>
        <w:t xml:space="preserve"> </w:t>
      </w:r>
      <w:r>
        <w:t xml:space="preserve">Del.Supr., 407 A.2d 1032 (1979). For the reasons hereafter set forth we consider that the business purpose requirement of these cases is no longer the law of Delaware.</w:t>
      </w:r>
    </w:p>
    <w:bookmarkEnd w:id="321"/>
    <w:bookmarkStart w:id="322" w:name="i.-4"/>
    <w:p>
      <w:pPr>
        <w:pStyle w:val="Heading2"/>
      </w:pPr>
      <w:r>
        <w:t xml:space="preserve">I.</w:t>
      </w:r>
    </w:p>
    <w:p>
      <w:pPr>
        <w:pStyle w:val="CaseBody"/>
      </w:pPr>
      <w:r>
        <w:t xml:space="preserve">The facts found by the trial court, pertinent to the issues before us, are supported by the record, and we draw from them as set out in the Chancellor's opinion.</w:t>
      </w:r>
      <w:hyperlink w:anchor="Xda4592070438fee19bbda3ef466aff1c0f4153c">
        <w:r>
          <w:rPr>
            <w:rStyle w:val="Hyperlink"/>
            <w:vertAlign w:val="superscript"/>
          </w:rPr>
          <w:t xml:space="preserve">[5]</w:t>
        </w:r>
      </w:hyperlink>
    </w:p>
    <w:p>
      <w:pPr>
        <w:pStyle w:val="CaseBody"/>
      </w:pPr>
      <w:r>
        <w:t xml:space="preserve">Signal is a diversified, technically based company operating through various subsidiaries. Its stock is publicly traded on the New York, Philadelphia and Pacific Stock Exchanges. UOP, formerly known as Universal Oil Products Company, was a diversified industrial company engaged in various lines of business, including petroleum and petro-chemical services and related products, construction, fabricated metal products, transportation equipment products, chemicals and plastics, and other products and services including land development, lumber products and waste disposal. Its stock was publicly held and listed on the New York Stock Exchange.</w:t>
      </w:r>
    </w:p>
    <w:p>
      <w:pPr>
        <w:pStyle w:val="CaseBody"/>
      </w:pPr>
      <w:r>
        <w:t xml:space="preserve">In 1974 Signal sold one of its wholly-owned subsidiaries for $420,000,000 in cash.</w:t>
      </w:r>
      <w:r>
        <w:t xml:space="preserve"> </w:t>
      </w:r>
      <w:r>
        <w:rPr>
          <w:iCs/>
          <w:i/>
        </w:rPr>
        <w:t xml:space="preserve">See</w:t>
      </w:r>
      <w:r>
        <w:t xml:space="preserve"> </w:t>
      </w:r>
      <w:r>
        <w:rPr>
          <w:iCs/>
          <w:i/>
        </w:rPr>
        <w:t xml:space="preserve">Gimbel v. Signal Companies, Inc.,</w:t>
      </w:r>
      <w:r>
        <w:t xml:space="preserve"> </w:t>
      </w:r>
      <w:r>
        <w:t xml:space="preserve">Del. Ch., 316 A.2d 599,</w:t>
      </w:r>
      <w:r>
        <w:t xml:space="preserve"> </w:t>
      </w:r>
      <w:r>
        <w:rPr>
          <w:iCs/>
          <w:i/>
        </w:rPr>
        <w:t xml:space="preserve">aff'd,</w:t>
      </w:r>
      <w:r>
        <w:t xml:space="preserve"> </w:t>
      </w:r>
      <w:r>
        <w:t xml:space="preserve">Del.Supr., 316 A.2d 619 (1974). While looking to invest this cash surplus, Signal became interested in UOP as a possible acquisition. Friendly negotiations ensued, and Signal proposed to acquire a controlling interest in UOP at a price of $19 per share. UOP's representatives sought $25 per share. In the arm's length bargaining that followed, an understanding was reached whereby Signal agreed to purchase from UOP 1,500,000 shares of UOP's authorized but unissued stock at $21 per share.</w:t>
      </w:r>
    </w:p>
    <w:p>
      <w:pPr>
        <w:pStyle w:val="CaseBody"/>
      </w:pPr>
      <w:r>
        <w:t xml:space="preserve">This purchase was contingent upon Signal making a successful cash tender offer for 4,300,000 publicly held shares of UOP, also at a price of $21 per share. This combined method of acquisition permitted Signal to acquire 5,800,000 shares of stock, representing 50.5% of UOP's outstanding shares. The UOP board of directors advised the company's shareholders that it had no objection to Signal's tender offer at that price. Immediately before the announcement of the tender offer, UOP's common stock had been trading on the New York Stock Exchange at a fraction under $14 per share.</w:t>
      </w:r>
    </w:p>
    <w:p>
      <w:pPr>
        <w:pStyle w:val="CaseBody"/>
      </w:pPr>
      <w:r>
        <w:t xml:space="preserve">The negotiations between Signal and UOP occurred during April 1975, and the resulting tender offer was greatly oversubscribed. However, Signal limited its total purchase of the tendered shares so that, when coupled with the stock bought from UOP, it had achieved its goal of becoming a 50.5% shareholder of UOP.</w:t>
      </w:r>
    </w:p>
    <w:p>
      <w:pPr>
        <w:pStyle w:val="CaseBody"/>
      </w:pPr>
      <w:r>
        <w:t xml:space="preserve">Although UOP's board consisted of thirteen directors, Signal nominated and elected only six. Of these, five were either directors or employees of Signal. The sixth, a partner in the banking firm of Lazard Freres &amp; Co., had been one of Signal's representatives in the negotiations and bargaining with UOP concerning the tender offer and purchase price of the UOP shares.</w:t>
      </w:r>
    </w:p>
    <w:p>
      <w:pPr>
        <w:pStyle w:val="CaseBody"/>
      </w:pPr>
      <w:r>
        <w:t xml:space="preserve">[705] However, the president and chief executive officer of UOP retired during 1975, and Signal caused him to be replaced by James V. Crawford, a long-time employee and senior executive vice president of one of Signal's wholly-owned subsidiaries. Crawford succeeded his predecessor on UOP's board of directors and also was made a director of Signal.</w:t>
      </w:r>
    </w:p>
    <w:p>
      <w:pPr>
        <w:pStyle w:val="CaseBody"/>
      </w:pPr>
      <w:r>
        <w:t xml:space="preserve">By the end of 1977 Signal basically was unsuccessful in finding other suitable investment candidates for its excess cash, and by February 1978 considered that it had no other realistic acquisitions available to it on a friendly basis. Once again its attention turned to UOP.</w:t>
      </w:r>
    </w:p>
    <w:p>
      <w:pPr>
        <w:pStyle w:val="CaseBody"/>
      </w:pPr>
      <w:r>
        <w:t xml:space="preserve">The trial court found that at the instigation of certain Signal management personnel, including William W. Walkup, its board chairman, and Forrest N. Shumway, its president, a feasibility study was made concerning the possible acquisition of the balance of UOP's outstanding shares. This study was performed by two Signal officers, Charles S. Arledge, vice president (director of planning), and Andrew J. Chitiea, senior vice president (chief financial officer). Messrs. Walkup, Shumway, Arledge and Chitiea were all directors of UOP in addition to their membership on the Signal board.</w:t>
      </w:r>
    </w:p>
    <w:p>
      <w:pPr>
        <w:pStyle w:val="CaseBody"/>
      </w:pPr>
      <w:r>
        <w:t xml:space="preserve">Arledge and Chitiea concluded that it would be a good investment for Signal to acquire the remaining 49.5% of UOP shares at any price up to $24 each. Their report was discussed between Walkup and Shumway who, along with Arledge, Chitiea and Brewster L. Arms, internal counsel for Signal, constituted Signal's senior management. In particular, they talked about the proper price to be paid if the acquisition was pursued, purportedly keeping in mind that as UOP's majority shareholder, Signal owed a fiduciary responsibility to both its own stockholders as well as to UOP's minority. It was ultimately agreed that a meeting of Signal's executive committee would be called to propose that Signal acquire the remaining outstanding stock of UOP through a cash-out merger in the range of $20 to $21 per share.</w:t>
      </w:r>
    </w:p>
    <w:p>
      <w:pPr>
        <w:pStyle w:val="CaseBody"/>
      </w:pPr>
      <w:r>
        <w:t xml:space="preserve">The executive committee meeting was set for February 28, 1978. As a courtesy, UOP's president, Crawford, was invited to attend, although he was not a member of Signal's executive committee. On his arrival, and prior to the meeting, Crawford was asked to meet privately with Walkup and Shumway. He was then told of Signal's plan to acquire full ownership of UOP and was asked for his reaction to the proposed price range of $20 to $21 per share. Crawford said he thought such a price would be "generous", and that it was certainly one which should be submitted to UOP's minority shareholders for their ultimate consideration. He stated, however, that Signal's 100% ownership could cause internal problems at UOP. He believed that employees would have to be given some assurance of their future place in a fully-owned Signal subsidiary. Otherwise, he feared the departure of essential personnel. Also, many of UOP's key employees had stock option incentive programs which would be wiped out by a merger. Crawford therefore urged that some adjustment would have to be made, such as providing a comparable incentive in Signal's shares, if after the merger he was to maintain his quality of personnel and efficiency at UOP.</w:t>
      </w:r>
    </w:p>
    <w:p>
      <w:pPr>
        <w:pStyle w:val="CaseBody"/>
      </w:pPr>
      <w:r>
        <w:t xml:space="preserve">Thus, Crawford voiced no objection to the $20 to $21 price range, nor did he suggest that Signal should consider paying more than $21 per share for the minority interests. Later, at the executive committee meeting the same factors were discussed, with Crawford repeating the position he earlier took with Walkup and Shumway. Also considered was the 1975 tender offer and the fact that it had been greatly oversubscribed at $21 per share. For many reasons, Signal's management concluded that the acquisition of UOP's minority shares provided the solution to a number of its business problems.</w:t>
      </w:r>
    </w:p>
    <w:p>
      <w:pPr>
        <w:pStyle w:val="CaseBody"/>
      </w:pPr>
      <w:r>
        <w:t xml:space="preserve">Thus, it was the consensus that a price of $20 to $21 per share would be fair to both Signal and the minority shareholders of UOP. Signal's executive committee authorized [706] its management "to negotiate" with UOP "for a cash acquisition of the minority ownership in UOP, Inc., with the intention of presenting a proposal to [Signal's] board of directors ... on March 6, 1978". Immediately after this February 28, 1978 meeting, Signal issued a press release stating:</w:t>
      </w:r>
    </w:p>
    <w:p>
      <w:pPr>
        <w:pStyle w:val="BlockText"/>
      </w:pPr>
      <w:r>
        <w:t xml:space="preserve">The Signal Companies, Inc. and UOP, Inc. are conducting negotiations for the acquisition for cash by Signal of the 49.5 per cent of UOP which it does not presently own, announced Forrest N. Shumway, president and chief executive officer of Signal, and James V. Crawford, UOP president.</w:t>
      </w:r>
    </w:p>
    <w:p>
      <w:pPr>
        <w:pStyle w:val="BlockText"/>
      </w:pPr>
      <w:r>
        <w:t xml:space="preserve">Price and other terms of the proposed transaction have not yet been finalized and would be subject to approval of the boards of directors of Signal and UOP, scheduled to meet early next week, the stockholders of UOP and certain federal agencies.</w:t>
      </w:r>
    </w:p>
    <w:p>
      <w:pPr>
        <w:pStyle w:val="CaseBody"/>
      </w:pPr>
      <w:r>
        <w:t xml:space="preserve">The announcement also referred to the fact that the closing price of UOP's common stock on that day was $14.50 per share.</w:t>
      </w:r>
    </w:p>
    <w:p>
      <w:pPr>
        <w:pStyle w:val="CaseBody"/>
      </w:pPr>
      <w:r>
        <w:t xml:space="preserve">Two days later, on March 2, 1978, Signal issued a second press release stating that its management would recommend a price in the range of $20 to $21 per share for UOP's 49.5% minority interest. This announcement referred to Signal's earlier statement that "negotiations" were being conducted for the acquisition of the minority shares.</w:t>
      </w:r>
    </w:p>
    <w:p>
      <w:pPr>
        <w:pStyle w:val="CaseBody"/>
      </w:pPr>
      <w:r>
        <w:t xml:space="preserve">Between Tuesday, February 28, 1978 and Monday, March 6, 1978, a total of four business days, Crawford spoke by telephone with all of UOP's non-Signal, i.e., outside, directors. Also during that period, Crawford retained Lehman Brothers to render a fairness opinion as to the price offered the minority for its stock. He gave two reasons for this choice. First, the time schedule between the announcement and the board meetings was short (by then only three business days) and since Lehman Brothers had been acting as UOP's investment banker for many years, Crawford felt that it would be in the best position to respond on such brief notice. Second, James W. Glanville, a long-time director of UOP and a partner in Lehman Brothers, had acted as a financial advisor to UOP for many years. Crawford believed that Glanville's familiarity with UOP, as a member of its board, would also be of assistance in enabling Lehman Brothers to render a fairness opinion within the existing time constraints.</w:t>
      </w:r>
    </w:p>
    <w:p>
      <w:pPr>
        <w:pStyle w:val="CaseBody"/>
      </w:pPr>
      <w:r>
        <w:t xml:space="preserve">Crawford telephoned Glanville, who gave his assurance that Lehman Brothers had no conflicts that would prevent it from accepting the task. Glanville's immediate personal reaction was that a price of $20 to $21 would certainly be fair, since it represented almost a 50% premium over UOP's market price. Glanville sought a $250,000 fee for Lehman Brothers' services, but Crawford thought this too much. After further discussions Glanville finally agreed that Lehman Brothers would render its fairness opinion for $150,000.</w:t>
      </w:r>
    </w:p>
    <w:p>
      <w:pPr>
        <w:pStyle w:val="CaseBody"/>
      </w:pPr>
      <w:r>
        <w:t xml:space="preserve">During this period Crawford also had several telephone contacts with Signal officials. In only one of them, however, was the price of the shares discussed. In a conversation with Walkup, Crawford advised that as a result of his communications with UOP's non-Signal directors, it was his feeling that the price would have to be the top of the proposed range, or $21 per share, if the approval of UOP's outside directors was to be obtained. But again, he did not seek any price higher than $21.</w:t>
      </w:r>
    </w:p>
    <w:p>
      <w:pPr>
        <w:pStyle w:val="CaseBody"/>
      </w:pPr>
      <w:r>
        <w:t xml:space="preserve">Glanville assembled a three-man Lehman Brothers team to do the work on the fairness opinion. These persons examined relevant documents and information concerning UOP, including its annual reports and its Securities and Exchange Commission filings from 1973 through 1976, as well as its audited financial statements for 1977, its interim reports to shareholders, and its recent and historical market prices and trading volumes. In addition, on Friday, March 3, 1978, two members of the Lehman Brothers team flew to UOP's headquarters in Des Plaines, Illinois, to perform a "due diligence" visit, during the course of which they interviewed Crawford as well as UOP's general counsel, its chief financial officer, and other key executives and personnel.</w:t>
      </w:r>
    </w:p>
    <w:p>
      <w:pPr>
        <w:pStyle w:val="CaseBody"/>
      </w:pPr>
      <w:r>
        <w:t xml:space="preserve">[707] As a result, the Lehman Brothers team concluded that "the price of either $20 or $21 would be a fair price for the remaining shares of UOP". They telephoned this impression to Glanville, who was spending the weekend in Vermont.</w:t>
      </w:r>
    </w:p>
    <w:p>
      <w:pPr>
        <w:pStyle w:val="CaseBody"/>
      </w:pPr>
      <w:r>
        <w:t xml:space="preserve">On Monday morning, March 6, 1978, Glanville and the senior member of the Lehman Brothers team flew to Des Plaines to attend the scheduled UOP directors meeting. Glanville looked over the assembled information during the flight. The two had with them the draft of a "fairness opinion letter" in which the price had been left blank. Either during or immediately prior to the directors' meeting, the two-page "fairness opinion letter" was typed in final form and the price of $21 per share was inserted.</w:t>
      </w:r>
    </w:p>
    <w:p>
      <w:pPr>
        <w:pStyle w:val="CaseBody"/>
      </w:pPr>
      <w:r>
        <w:t xml:space="preserve">On March 6, 1978, both the Signal and UOP boards were convened to consider the proposed merger. Telephone communications were maintained between the two meetings. Walkup, Signal's board chairman, and also a UOP director, attended UOP's meeting with Crawford in order to present Signal's position and answer any questions that UOP's non-Signal directors might have. Arledge and Chitiea, along with Signal's other designees on UOP's board, participated by conference telephone. All of UOP's outside directors attended the meeting either in person or by conference telephone.</w:t>
      </w:r>
    </w:p>
    <w:p>
      <w:pPr>
        <w:pStyle w:val="CaseBody"/>
      </w:pPr>
      <w:r>
        <w:t xml:space="preserve">First, Signal's board unanimously adopted a resolution authorizing Signal to propose to UOP a cash merger of $21 per share as outlined in a certain merger agreement and other supporting documents. This proposal required that the merger be approved by a majority of UOP's outstanding minority shares voting at the stockholders meeting at which the merger would be considered, and that the minority shares voting in favor of the merger, when coupled with Signal's 50.5% interest would have to comprise at least two-thirds of all UOP shares. Otherwise the proposed merger would be deemed disapproved.</w:t>
      </w:r>
    </w:p>
    <w:p>
      <w:pPr>
        <w:pStyle w:val="CaseBody"/>
      </w:pPr>
      <w:r>
        <w:t xml:space="preserve">UOP's board then considered the proposal. Copies of the agreement were delivered to the directors in attendance, and other copies had been forwarded earlier to the directors participating by telephone. They also had before them UOP financial data for 1974-1977, UOP's most recent financial statements, market price information, and budget projections for 1978. In addition they had Lehman Brothers' hurriedly prepared fairness opinion letter finding the price of $21 to be fair. Glanville, the Lehman Brothers partner, and UOP director, commented on the information that had gone into preparation of the letter.</w:t>
      </w:r>
    </w:p>
    <w:p>
      <w:pPr>
        <w:pStyle w:val="CaseBody"/>
      </w:pPr>
      <w:r>
        <w:t xml:space="preserve">Signal also suggests that the Arledge-Chitiea feasibility study, indicating that a price of up to $24 per share would be a "good investment" for Signal, was discussed at the UOP directors' meeting. The Chancellor made no such finding, and our independent review of the record, detailed</w:t>
      </w:r>
      <w:r>
        <w:t xml:space="preserve"> </w:t>
      </w:r>
      <w:r>
        <w:rPr>
          <w:iCs/>
          <w:i/>
        </w:rPr>
        <w:t xml:space="preserve">infra,</w:t>
      </w:r>
      <w:r>
        <w:t xml:space="preserve"> </w:t>
      </w:r>
      <w:r>
        <w:t xml:space="preserve">satisfies us by a preponderance of the evidence that there was no discussion of this document at UOP's board meeting. Furthermore, it is clear beyond peradventure that nothing in that report was ever disclosed to UOP's minority shareholders prior to their approval of the merger.</w:t>
      </w:r>
    </w:p>
    <w:p>
      <w:pPr>
        <w:pStyle w:val="CaseBody"/>
      </w:pPr>
      <w:r>
        <w:t xml:space="preserve">After consideration of Signal's proposal, Walkup and Crawford left the meeting to permit a free and uninhibited exchange between UOP's non-Signal directors. Upon their return a resolution to accept Signal's offer was then proposed and adopted. While Signal's men on UOP's board participated in various aspects of the meeting, they abstained from voting. However, the minutes show that each of them "if voting would have voted yes".</w:t>
      </w:r>
    </w:p>
    <w:p>
      <w:pPr>
        <w:pStyle w:val="CaseBody"/>
      </w:pPr>
      <w:r>
        <w:t xml:space="preserve">On March 7, 1978, UOP sent a letter to its shareholders advising them of the action taken by UOP's board with respect to Signal's offer. This document pointed out, among other things, that on February 28, 1978 "both companies had announced negotiations were being conducted".</w:t>
      </w:r>
    </w:p>
    <w:p>
      <w:pPr>
        <w:pStyle w:val="CaseBody"/>
      </w:pPr>
      <w:r>
        <w:t xml:space="preserve">Despite the swift board action of the two companies, the merger was not submitted to UOP's shareholders until their annual [708] meeting on May 26, 1978. In the notice of that meeting and proxy statement sent to shareholders in May, UOP's management and board urged that the merger be approved. The proxy statement also advised:</w:t>
      </w:r>
    </w:p>
    <w:p>
      <w:pPr>
        <w:pStyle w:val="BlockText"/>
      </w:pPr>
      <w:r>
        <w:t xml:space="preserve">The price was determined after</w:t>
      </w:r>
      <w:r>
        <w:t xml:space="preserve"> </w:t>
      </w:r>
      <w:r>
        <w:rPr>
          <w:iCs/>
          <w:i/>
        </w:rPr>
        <w:t xml:space="preserve">discussions</w:t>
      </w:r>
      <w:r>
        <w:t xml:space="preserve"> </w:t>
      </w:r>
      <w:r>
        <w:t xml:space="preserve">between James V. Crawford, a director of Signal and Chief Executive Officer of UOP, and officers of Signal which took place during meetings on February 28, 1978, and in the course of several subsequent telephone conversations. (Emphasis added.)</w:t>
      </w:r>
    </w:p>
    <w:p>
      <w:pPr>
        <w:pStyle w:val="CaseBody"/>
      </w:pPr>
      <w:r>
        <w:t xml:space="preserve">In the original draft of the proxy statement the word "negotiations" had been used rather than "discussions". However, when the Securities and Exchange Commission sought details of the "negotiations" as part of its review of these materials, the term was deleted and the word "discussions" was substituted. The proxy statement indicated that the vote of UOP's board in approving the merger had been unanimous. It also advised the shareholders that Lehman Brothers had given its opinion that the merger price of $21 per share was fair to UOP's minority. However, it did not disclose the hurried method by which this conclusion was reached.</w:t>
      </w:r>
    </w:p>
    <w:p>
      <w:pPr>
        <w:pStyle w:val="CaseBody"/>
      </w:pPr>
      <w:r>
        <w:t xml:space="preserve">As of the record date of UOP's annual meeting, there were 11,488,302 shares of UOP common stock outstanding, 5,688,302 of which were owned by the minority. At the meeting only 56%, or 3,208,652, of the minority shares were voted. Of these, 2,953,812, or 51.9% of the total minority, voted for the merger, and 254,840 voted against it. When Signal's stock was added to the minority shares voting in favor, a total of 76.2% of UOP's outstanding shares approved the merger while only 2.2% opposed it.</w:t>
      </w:r>
    </w:p>
    <w:p>
      <w:pPr>
        <w:pStyle w:val="CaseBody"/>
      </w:pPr>
      <w:r>
        <w:t xml:space="preserve">By its terms the merger became effective on May 26, 1978, and each share of UOP's stock held by the minority was automatically converted into a right to receive $21 cash.</w:t>
      </w:r>
    </w:p>
    <w:bookmarkEnd w:id="322"/>
    <w:bookmarkStart w:id="323" w:name="ii.-5"/>
    <w:p>
      <w:pPr>
        <w:pStyle w:val="Heading2"/>
      </w:pPr>
      <w:r>
        <w:t xml:space="preserve">II.</w:t>
      </w:r>
    </w:p>
    <w:bookmarkEnd w:id="323"/>
    <w:bookmarkStart w:id="324" w:name="a.-3"/>
    <w:p>
      <w:pPr>
        <w:pStyle w:val="Heading2"/>
      </w:pPr>
      <w:r>
        <w:t xml:space="preserve">A.</w:t>
      </w:r>
    </w:p>
    <w:p>
      <w:pPr>
        <w:pStyle w:val="CaseBody"/>
      </w:pPr>
      <w:r>
        <w:t xml:space="preserve">A primary issue mandating reversal is the preparation by two UOP directors, Arledge and Chitiea, of their feasibility study for the exclusive use and benefit of Signal. This document was of obvious significance to both Signal and UOP. Using UOP data, it described the advantages to Signal of ousting the minority at a price range of $21-$24 per share. Mr. Arledge, one of the authors, outlined the benefits to Signal:</w:t>
      </w:r>
      <w:hyperlink w:anchor="X16f8bed824e7b8504d614ca6d7af41ed6d9ee33">
        <w:r>
          <w:rPr>
            <w:rStyle w:val="Hyperlink"/>
            <w:vertAlign w:val="superscript"/>
          </w:rPr>
          <w:t xml:space="preserve">[6]</w:t>
        </w:r>
      </w:hyperlink>
    </w:p>
    <w:bookmarkEnd w:id="324"/>
    <w:bookmarkStart w:id="325" w:name="purpose-of-the-merger"/>
    <w:p>
      <w:pPr>
        <w:pStyle w:val="Heading2"/>
      </w:pPr>
      <w:r>
        <w:t xml:space="preserve">Purpose Of The Merger</w:t>
      </w:r>
    </w:p>
    <w:p>
      <w:pPr>
        <w:pStyle w:val="BlockText"/>
      </w:pPr>
      <w:r>
        <w:t xml:space="preserve">1) Provides an outstanding investment opportunity for Signal — (Better than any recent acquisition we have seen.)</w:t>
      </w:r>
    </w:p>
    <w:p>
      <w:pPr>
        <w:pStyle w:val="BlockText"/>
      </w:pPr>
      <w:r>
        <w:t xml:space="preserve">2) Increases Signal's earnings.</w:t>
      </w:r>
    </w:p>
    <w:p>
      <w:pPr>
        <w:pStyle w:val="BlockText"/>
      </w:pPr>
      <w:r>
        <w:t xml:space="preserve">3) Facilitates the flow of resources between Signal and its subsidiaries — (Big factor — works both ways.)</w:t>
      </w:r>
    </w:p>
    <w:p>
      <w:pPr>
        <w:pStyle w:val="BlockText"/>
      </w:pPr>
      <w:r>
        <w:t xml:space="preserve">4) Provides cost savings potential for Signal and UOP.</w:t>
      </w:r>
    </w:p>
    <w:p>
      <w:pPr>
        <w:pStyle w:val="BlockText"/>
      </w:pPr>
      <w:r>
        <w:t xml:space="preserve">5) Improves the percentage of Signal's `operating earnings' as opposed to `holding company earnings'.</w:t>
      </w:r>
    </w:p>
    <w:p>
      <w:pPr>
        <w:pStyle w:val="BlockText"/>
      </w:pPr>
      <w:r>
        <w:t xml:space="preserve">6) Simplifies the understanding of Signal.</w:t>
      </w:r>
    </w:p>
    <w:p>
      <w:pPr>
        <w:pStyle w:val="BlockText"/>
      </w:pPr>
      <w:r>
        <w:t xml:space="preserve">7) Facilitates technological exchange among Signal's subsidiaries.</w:t>
      </w:r>
    </w:p>
    <w:p>
      <w:pPr>
        <w:pStyle w:val="BlockText"/>
      </w:pPr>
      <w:r>
        <w:t xml:space="preserve">8) Eliminates potential conflicts of interest.</w:t>
      </w:r>
    </w:p>
    <w:p>
      <w:pPr>
        <w:pStyle w:val="CaseBody"/>
      </w:pPr>
      <w:r>
        <w:t xml:space="preserve">Having written those words, solely for the use of Signal, it is clear from the record that neither Arledge nor Chitiea shared this report with their fellow directors of UOP. We are satisfied that no one else did either. This conduct hardly meets the fiduciary standards applicable to such a transaction. While Mr. Walkup, Signal's chairman of the board and a UOP director, attended the March 6, 1978 UOP board meeting and testified at trial that he had discussed the Arledge-Chitiea report with the UOP directors at this meeting, the record does not support this assertion. Perhaps it is the result of some confusion on Mr. Walkup's [709] part. In any event Mr. Shumway, Signal's president, testified that he made sure the Signal outside directors had this report prior to the March 6, 1978 Signal board meeting, but he did not testify that the Arledge-Chitiea report was also sent to UOP's outside directors.</w:t>
      </w:r>
    </w:p>
    <w:p>
      <w:pPr>
        <w:pStyle w:val="CaseBody"/>
      </w:pPr>
      <w:r>
        <w:t xml:space="preserve">Mr. Crawford, UOP's president, could not recall that any documents, other than a draft of the merger agreement, were sent to UOP's directors before the March 6, 1978 UOP meeting. Mr. Chitiea, an author of the report, testified that it was made available to Signal's directors, but to his knowledge it was not circulated to the outside directors of UOP. He specifically testified that he "didn't share" that information with the outside directors of UOP with whom he served.</w:t>
      </w:r>
    </w:p>
    <w:p>
      <w:pPr>
        <w:pStyle w:val="CaseBody"/>
      </w:pPr>
      <w:r>
        <w:t xml:space="preserve">None of UOP's outside directors who testified stated that they had seen this document. The minutes of the UOP board meeting do not identify the Arledge-Chitiea report as having been delivered to UOP's outside directors. This is particularly significant since the minutes describe in considerable detail the materials that actually were distributed. While these minutes recite Mr. Walkup's presentation of the Signal offer, they do not mention the Arledge-Chitiea report or any disclosure that Signal considered a price of up to $24 to be a good investment. If Mr. Walkup had in fact provided such important information to UOP's outside directors, it is logical to assume that these carefully drafted minutes would disclose it. The post-trial briefs of Signal and UOP contain a thorough description of the documents purportedly available to their boards at the March 6, 1978, meetings. Although the Arledge-Chitiea report is specifically identified as being available to the Signal directors, there is no mention of it being among the documents submitted to the UOP board. Even when queried at a prior oral argument before this Court, counsel for Signal did not claim that the Arledge-Chitiea report had been disclosed to UOP's outside directors. Instead, he chose to belittle its contents. This was the same approach taken before us at the last oral argument.</w:t>
      </w:r>
    </w:p>
    <w:p>
      <w:pPr>
        <w:pStyle w:val="CaseBody"/>
      </w:pPr>
      <w:r>
        <w:t xml:space="preserve">Actually, it appears that a three-page summary of figures was given to all UOP directors. Its first page is identical to one page of the Arledge-Chitiea report, but this dealt with nothing more than a justification of the $21 price. Significantly, the contents of this three-page summary are what the minutes reflect Mr. Walkup told the UOP board. However, nothing contained in either the minutes or this three-page summary reflects Signal's study regarding the $24 price.</w:t>
      </w:r>
    </w:p>
    <w:p>
      <w:pPr>
        <w:pStyle w:val="CaseBody"/>
      </w:pPr>
      <w:r>
        <w:t xml:space="preserve">The Arledge-Chitiea report speaks for itself in supporting the Chancellor's finding that a price of up to $24 was a "good investment" for Signal. It shows that a return on the investment at $21 would be 15.7% versus 15.5% at $24 per share. This was a difference of only two-tenths of one percent, while it meant over $17,000,000 to the minority. Under such circumstances, paying UOP's minority shareholders $24 would have had relatively little long-term effect on Signal, and the Chancellor's findings concerning the benefit to Signal, even at a price of $24, were obviously correct.</w:t>
      </w:r>
      <w:r>
        <w:t xml:space="preserve"> </w:t>
      </w:r>
      <w:r>
        <w:rPr>
          <w:iCs/>
          <w:i/>
        </w:rPr>
        <w:t xml:space="preserve">Levitt v. Bouvier,</w:t>
      </w:r>
      <w:r>
        <w:t xml:space="preserve"> </w:t>
      </w:r>
      <w:r>
        <w:t xml:space="preserve">Del.Supr., 287 A.2d 671, 673 (1972).</w:t>
      </w:r>
    </w:p>
    <w:p>
      <w:pPr>
        <w:pStyle w:val="CaseBody"/>
      </w:pPr>
      <w:r>
        <w:t xml:space="preserve">Certainly, this was a matter of material significance to UOP and its shareholders. Since the study was prepared by two UOP directors, using UOP information for the exclusive benefit of Signal, and nothing whatever was done to disclose it to the outside UOP directors or the minority shareholders, a question of breach of fiduciary duty arises. This problem occurs because there were common Signal-UOP directors participating, at least to some extent, in the UOP board's decision-making processes without full disclosure of the conflicts they faced.</w:t>
      </w:r>
      <w:hyperlink w:anchor="X019b3a6cad7851024ffa15fbd144bac35af6bb6">
        <w:r>
          <w:rPr>
            <w:rStyle w:val="Hyperlink"/>
            <w:vertAlign w:val="superscript"/>
          </w:rPr>
          <w:t xml:space="preserve">[7]</w:t>
        </w:r>
      </w:hyperlink>
    </w:p>
    <w:bookmarkEnd w:id="325"/>
    <w:bookmarkStart w:id="326" w:name="b.-3"/>
    <w:p>
      <w:pPr>
        <w:pStyle w:val="Heading2"/>
      </w:pPr>
      <w:r>
        <w:t xml:space="preserve">[710] B.</w:t>
      </w:r>
    </w:p>
    <w:p>
      <w:pPr>
        <w:pStyle w:val="CaseBody"/>
      </w:pPr>
      <w:r>
        <w:t xml:space="preserve">In assessing this situation, the Court of Chancery was required to:</w:t>
      </w:r>
    </w:p>
    <w:p>
      <w:pPr>
        <w:pStyle w:val="BlockText"/>
      </w:pPr>
      <w:r>
        <w:t xml:space="preserve">examine what information defendants had and to measure it against what they gave to the minority stockholders, in a context in which `complete candor' is required. In other words, the limited function of the Court was to determine whether defendants had disclosed all information in their possession germane to the transaction in issue. And by `germane' we mean, for present purposes, information such as a reasonable shareholder would consider important in deciding whether to sell or retain stock.</w:t>
      </w:r>
    </w:p>
    <w:p>
      <w:pPr>
        <w:pStyle w:val="BlockText"/>
      </w:pPr>
      <w:r>
        <w:t xml:space="preserve">* * * * * *</w:t>
      </w:r>
    </w:p>
    <w:p>
      <w:pPr>
        <w:pStyle w:val="BlockText"/>
      </w:pPr>
      <w:r>
        <w:t xml:space="preserve">... Completeness, not adequacy, is both the norm and the mandate under present circumstances.</w:t>
      </w:r>
    </w:p>
    <w:p>
      <w:pPr>
        <w:pStyle w:val="CaseBody"/>
      </w:pPr>
      <w:r>
        <w:rPr>
          <w:iCs/>
          <w:i/>
        </w:rPr>
        <w:t xml:space="preserve">Lynch v. Vickers Energy Corp.,</w:t>
      </w:r>
      <w:r>
        <w:t xml:space="preserve"> </w:t>
      </w:r>
      <w:r>
        <w:t xml:space="preserve">Del.Supr., 383 A.2d 278, 281 (1977) (</w:t>
      </w:r>
      <w:r>
        <w:rPr>
          <w:iCs/>
          <w:i/>
        </w:rPr>
        <w:t xml:space="preserve">Lynch I</w:t>
      </w:r>
      <w:r>
        <w:t xml:space="preserve">). This is merely stating in another way the long-existing principle of Delaware law that these Signal designated directors on UOP's board still owed UOP and its shareholders an uncompromising duty of loyalty. The classic language of</w:t>
      </w:r>
      <w:r>
        <w:t xml:space="preserve"> </w:t>
      </w:r>
      <w:r>
        <w:rPr>
          <w:iCs/>
          <w:i/>
        </w:rPr>
        <w:t xml:space="preserve">Guth v. Loft, Inc.,</w:t>
      </w:r>
      <w:r>
        <w:t xml:space="preserve"> </w:t>
      </w:r>
      <w:r>
        <w:t xml:space="preserve">Del.Supr., 5 A.2d 503, 510 (1939), requires no embellishment:</w:t>
      </w:r>
    </w:p>
    <w:p>
      <w:pPr>
        <w:pStyle w:val="BlockText"/>
      </w:pPr>
      <w:r>
        <w:t xml:space="preserve">A public policy, existing through the years, and derived from a profound knowledge of human characteristics and motives, has established a rule that demands of a corporate officer or director, peremptorily and inexorably, the most scrupulous observance of his duty, not only affirmatively to protect the interests of the corporation committed to his charge, but also to refrain from doing anything that would work injury to the corporation, or to deprive it of profit or advantage which his skill and ability might properly bring to it, or to enable it to make in the reasonable and lawful exercise of its powers. The rule that requires an undivided and unselfish loyalty to the corporation demands that there shall be no conflict between duty and self-interest.</w:t>
      </w:r>
    </w:p>
    <w:p>
      <w:pPr>
        <w:pStyle w:val="CaseBody"/>
      </w:pPr>
      <w:r>
        <w:t xml:space="preserve">Given the absence of any attempt to structure this transaction on an arm's length basis, Signal cannot escape the effects of the conflicts it faced, particularly when its designees on UOP's board did not totally abstain from participation in the matter. There is no "safe harbor" for such divided loyalties in Delaware. When directors of a Delaware corporation are on both sides of a transaction, they are required to demonstrate their utmost good faith and the most scrupulous inherent fairness of the bargain.</w:t>
      </w:r>
      <w:r>
        <w:t xml:space="preserve"> </w:t>
      </w:r>
      <w:r>
        <w:rPr>
          <w:iCs/>
          <w:i/>
        </w:rPr>
        <w:t xml:space="preserve">Gottlieb v. Heyden Chemical Corp.,</w:t>
      </w:r>
      <w:r>
        <w:t xml:space="preserve"> </w:t>
      </w:r>
      <w:r>
        <w:t xml:space="preserve">Del.Supr., 91 A.2d 57, 57-58 (1952). The requirement of fairness is unflinching in its demand that where one stands on both sides of a transaction, he has the burden of establishing its entire fairness, sufficient to pass the test of careful scrutiny by the courts.</w:t>
      </w:r>
      <w:r>
        <w:t xml:space="preserve"> </w:t>
      </w:r>
      <w:r>
        <w:rPr>
          <w:iCs/>
          <w:i/>
        </w:rPr>
        <w:t xml:space="preserve">Sterling v. Mayflower Hotel Corp.,</w:t>
      </w:r>
      <w:r>
        <w:t xml:space="preserve"> </w:t>
      </w:r>
      <w:r>
        <w:t xml:space="preserve">Del.Supr., 93 A.2d 107, 110 (1952);</w:t>
      </w:r>
      <w:r>
        <w:t xml:space="preserve"> </w:t>
      </w:r>
      <w:r>
        <w:rPr>
          <w:iCs/>
          <w:i/>
        </w:rPr>
        <w:t xml:space="preserve">Bastian v. Bourns, Inc.,</w:t>
      </w:r>
      <w:r>
        <w:t xml:space="preserve"> </w:t>
      </w:r>
      <w:r>
        <w:t xml:space="preserve">Del.Ch., 256 A.2d 680, 681 (1969),</w:t>
      </w:r>
      <w:r>
        <w:t xml:space="preserve"> </w:t>
      </w:r>
      <w:r>
        <w:rPr>
          <w:iCs/>
          <w:i/>
        </w:rPr>
        <w:t xml:space="preserve">aff'd,</w:t>
      </w:r>
      <w:r>
        <w:t xml:space="preserve"> </w:t>
      </w:r>
      <w:r>
        <w:t xml:space="preserve">Del.Supr., 278 A.2d 467 (1970);</w:t>
      </w:r>
      <w:r>
        <w:t xml:space="preserve"> </w:t>
      </w:r>
      <w:r>
        <w:rPr>
          <w:iCs/>
          <w:i/>
        </w:rPr>
        <w:t xml:space="preserve">David J. Greene &amp; Co. v. Dunhill International Inc.,</w:t>
      </w:r>
      <w:r>
        <w:t xml:space="preserve"> </w:t>
      </w:r>
      <w:r>
        <w:t xml:space="preserve">Del.Ch., 249 A.2d 427, 431 (1968).</w:t>
      </w:r>
    </w:p>
    <w:p>
      <w:pPr>
        <w:pStyle w:val="CaseBody"/>
      </w:pPr>
      <w:r>
        <w:t xml:space="preserve">There is no dilution of this obligation where one holds dual or multiple directorships, as in a parent-subsidiary context.</w:t>
      </w:r>
      <w:r>
        <w:t xml:space="preserve"> </w:t>
      </w:r>
      <w:r>
        <w:rPr>
          <w:iCs/>
          <w:i/>
        </w:rPr>
        <w:t xml:space="preserve">Levien v. Sinclair Oil Corp.,</w:t>
      </w:r>
      <w:r>
        <w:t xml:space="preserve"> </w:t>
      </w:r>
      <w:r>
        <w:t xml:space="preserve">Del.Ch., 261 A.2d 911, 915 (1969). Thus, individuals who act in a dual capacity as directors of two corporations, one of whom is parent and the other subsidiary, owe the same duty of good management to both corporations, and in the absence of an independent negotiating [711] structure (see note 7,</w:t>
      </w:r>
      <w:r>
        <w:t xml:space="preserve"> </w:t>
      </w:r>
      <w:r>
        <w:rPr>
          <w:iCs/>
          <w:i/>
        </w:rPr>
        <w:t xml:space="preserve">supra</w:t>
      </w:r>
      <w:r>
        <w:t xml:space="preserve">), or the directors' total abstention from any participation in the matter, this duty is to be exercised in light of what is best for both companies.</w:t>
      </w:r>
      <w:r>
        <w:t xml:space="preserve"> </w:t>
      </w:r>
      <w:r>
        <w:rPr>
          <w:iCs/>
          <w:i/>
        </w:rPr>
        <w:t xml:space="preserve">Warshaw v. Calhoun,</w:t>
      </w:r>
      <w:r>
        <w:t xml:space="preserve"> </w:t>
      </w:r>
      <w:r>
        <w:t xml:space="preserve">Del. Supr., 221 A.2d 487, 492 (1966). The record demonstrates that Signal has not met this obligation.</w:t>
      </w:r>
    </w:p>
    <w:bookmarkEnd w:id="326"/>
    <w:bookmarkStart w:id="327" w:name="c.-2"/>
    <w:p>
      <w:pPr>
        <w:pStyle w:val="Heading2"/>
      </w:pPr>
      <w:r>
        <w:t xml:space="preserve">C.</w:t>
      </w:r>
    </w:p>
    <w:p>
      <w:pPr>
        <w:pStyle w:val="CaseBody"/>
      </w:pPr>
      <w:r>
        <w:t xml:space="preserve">The concept of fairness has two basic aspects: fair dealing and fair price. The former embraces questions of when the transaction was timed, how it was initiated, structured, negotiated, disclosed to the directors, and how the approvals of the directors and the stockholders were obtained. The latter aspect of fairness relates to the economic and financial considerations of the proposed merger, including all relevant factors: assets, market value, earnings, future prospects, and any other elements that affect the intrinsic or inherent value of a company's stock. Moore,</w:t>
      </w:r>
      <w:r>
        <w:t xml:space="preserve"> </w:t>
      </w:r>
      <w:r>
        <w:rPr>
          <w:iCs/>
          <w:i/>
        </w:rPr>
        <w:t xml:space="preserve">The "Interested" Director or Officer Transaction,</w:t>
      </w:r>
      <w:r>
        <w:t xml:space="preserve"> </w:t>
      </w:r>
      <w:r>
        <w:t xml:space="preserve">4 Del.J. Corp.L. 674, 676 (1979); Nathan &amp; Shapiro,</w:t>
      </w:r>
      <w:r>
        <w:t xml:space="preserve"> </w:t>
      </w:r>
      <w:r>
        <w:rPr>
          <w:iCs/>
          <w:i/>
        </w:rPr>
        <w:t xml:space="preserve">Legal Standard of Fairness of Merger Terms Under Delaware Law,</w:t>
      </w:r>
      <w:r>
        <w:t xml:space="preserve"> </w:t>
      </w:r>
      <w:r>
        <w:t xml:space="preserve">2 Del.J. Corp.L. 44, 46-47 (1977).</w:t>
      </w:r>
      <w:r>
        <w:t xml:space="preserve"> </w:t>
      </w:r>
      <w:r>
        <w:rPr>
          <w:iCs/>
          <w:i/>
        </w:rPr>
        <w:t xml:space="preserve">See</w:t>
      </w:r>
      <w:r>
        <w:t xml:space="preserve"> </w:t>
      </w:r>
      <w:r>
        <w:rPr>
          <w:iCs/>
          <w:i/>
        </w:rPr>
        <w:t xml:space="preserve">Tri-Continental Corp. v. Battye,</w:t>
      </w:r>
      <w:r>
        <w:t xml:space="preserve"> </w:t>
      </w:r>
      <w:r>
        <w:t xml:space="preserve">Del.Supr., 74 A.2d 71, 72 (1950); 8</w:t>
      </w:r>
      <w:r>
        <w:t xml:space="preserve"> </w:t>
      </w:r>
      <w:r>
        <w:rPr>
          <w:iCs/>
          <w:i/>
        </w:rPr>
        <w:t xml:space="preserve">Del.C.</w:t>
      </w:r>
      <w:r>
        <w:t xml:space="preserve"> </w:t>
      </w:r>
      <w:r>
        <w:t xml:space="preserve">§ 262(h). However, the test for fairness is not a bifurcated one as between fair dealing and price. All aspects of the issue must be examined as a whole since the question is one of entire fairness. However, in a non-fraudulent transaction we recognize that price may be the preponderant consideration outweighing other features of the merger. Here, we address the two basic aspects of fairness separately because we find reversible error as to both.</w:t>
      </w:r>
    </w:p>
    <w:bookmarkEnd w:id="327"/>
    <w:bookmarkStart w:id="328" w:name="d.-1"/>
    <w:p>
      <w:pPr>
        <w:pStyle w:val="Heading2"/>
      </w:pPr>
      <w:r>
        <w:t xml:space="preserve">D.</w:t>
      </w:r>
    </w:p>
    <w:p>
      <w:pPr>
        <w:pStyle w:val="CaseBody"/>
      </w:pPr>
      <w:r>
        <w:t xml:space="preserve">Part of fair dealing is the obvious duty of candor required by</w:t>
      </w:r>
      <w:r>
        <w:t xml:space="preserve"> </w:t>
      </w:r>
      <w:r>
        <w:rPr>
          <w:iCs/>
          <w:i/>
        </w:rPr>
        <w:t xml:space="preserve">Lynch I, supra.</w:t>
      </w:r>
      <w:r>
        <w:t xml:space="preserve"> </w:t>
      </w:r>
      <w:r>
        <w:t xml:space="preserve">Moreover, one possessing superior knowledge may not mislead any stockholder by use of corporate information to which the latter is not privy.</w:t>
      </w:r>
      <w:r>
        <w:t xml:space="preserve"> </w:t>
      </w:r>
      <w:r>
        <w:rPr>
          <w:iCs/>
          <w:i/>
        </w:rPr>
        <w:t xml:space="preserve">Lank v. Steiner,</w:t>
      </w:r>
      <w:r>
        <w:t xml:space="preserve"> </w:t>
      </w:r>
      <w:r>
        <w:t xml:space="preserve">Del. Supr., 224 A.2d 242, 244 (1966). Delaware has long imposed this duty even upon persons who are not corporate officers or directors, but who nonetheless are privy to matters of interest or significance to their company.</w:t>
      </w:r>
      <w:r>
        <w:t xml:space="preserve"> </w:t>
      </w:r>
      <w:r>
        <w:rPr>
          <w:iCs/>
          <w:i/>
        </w:rPr>
        <w:t xml:space="preserve">Brophy v. Cities Service Co.,</w:t>
      </w:r>
      <w:r>
        <w:t xml:space="preserve"> </w:t>
      </w:r>
      <w:r>
        <w:t xml:space="preserve">Del. Ch., 70 A.2d 5, 7 (1949). With the well-established Delaware law on the subject, and the Court of Chancery's findings of fact here, it is inevitable that the obvious conflicts posed by Arledge and Chitiea's preparation of their "feasibility study", derived from UOP information, for the sole use and benefit of Signal, cannot pass muster.</w:t>
      </w:r>
    </w:p>
    <w:p>
      <w:pPr>
        <w:pStyle w:val="CaseBody"/>
      </w:pPr>
      <w:r>
        <w:t xml:space="preserve">The Arledge-Chitiea report is but one aspect of the element of fair dealing. How did this merger evolve? It is clear that it was entirely initiated by Signal. The serious time constraints under which the principals acted were all set by Signal. It had not found a suitable outlet for its excess cash and considered UOP a desirable investment, particularly since it was now in a position to acquire the whole company for itself. For whatever reasons, and they were only Signal's, the entire transaction was presented to and approved by UOP's board within four business days. Standing alone, this is not necessarily indicative of any lack of fairness by a majority shareholder. It was what occurred, or more properly, what did not occur, during this brief period that makes the time constraints imposed by Signal relevant to the issue of fairness.</w:t>
      </w:r>
    </w:p>
    <w:p>
      <w:pPr>
        <w:pStyle w:val="CaseBody"/>
      </w:pPr>
      <w:r>
        <w:t xml:space="preserve">The structure of the transaction, again, was Signal's doing. So far as negotiations were concerned, it is clear that they were modest at best. Crawford, Signal's man at UOP, never really talked price with Signal, except to accede to its management's statements on the subject, and to convey to Signal the UOP outside directors' view that as between the $20-$21 range under consideration, it would have to be $21. The latter is not a surprising outcome, but hardly arm's length negotiations. Only the protection of benefits for UOP's key employees and the issue of Lehman Brothers' fee approached any concept of bargaining.</w:t>
      </w:r>
    </w:p>
    <w:p>
      <w:pPr>
        <w:pStyle w:val="CaseBody"/>
      </w:pPr>
      <w:r>
        <w:t xml:space="preserve">[712] As we have noted, the matter of disclosure to the UOP directors was wholly flawed by the conflicts of interest raised by the Arledge-Chitiea report. All of those conflicts were resolved by Signal in its own favor without divulging any aspect of them to UOP.</w:t>
      </w:r>
    </w:p>
    <w:p>
      <w:pPr>
        <w:pStyle w:val="CaseBody"/>
      </w:pPr>
      <w:r>
        <w:t xml:space="preserve">This cannot but undermine a conclusion that this merger meets any reasonable test of fairness. The outside UOP directors lacked one material piece of information generated by two of their colleagues, but shared only with Signal. True, the UOP board had the Lehman Brothers' fairness opinion, but that firm has been blamed by the plaintiff for the hurried task it performed, when more properly the responsibility for this lies with Signal. There was no disclosure of the circumstances surrounding the rather cursory preparation of the Lehman Brothers' fairness opinion. Instead, the impression was given UOP's minority that a careful study had been made, when in fact speed was the hallmark, and Mr. Glanville, Lehman's partner in charge of the matter, and also a UOP director, having spent the weekend in Vermont, brought a draft of the "fairness opinion letter" to the UOP directors' meeting on March 6, 1978 with the price left blank. We can only conclude from the record that the rush imposed on Lehman Brothers by Signal's timetable contributed to the difficulties under which this investment banking firm attempted to perform its responsibilities. Yet, none of this was disclosed to UOP's minority.</w:t>
      </w:r>
    </w:p>
    <w:p>
      <w:pPr>
        <w:pStyle w:val="CaseBody"/>
      </w:pPr>
      <w:r>
        <w:t xml:space="preserve">Finally, the minority stockholders were denied the critical information that Signal considered a price of $24 to be a good investment. Since this would have meant over $17,000,000 more to the minority, we cannot conclude that the shareholder vote was an informed one. Under the circumstances, an approval by a majority of the minority was meaningless.</w:t>
      </w:r>
      <w:r>
        <w:t xml:space="preserve"> </w:t>
      </w:r>
      <w:r>
        <w:rPr>
          <w:iCs/>
          <w:i/>
        </w:rPr>
        <w:t xml:space="preserve">Lynch I,</w:t>
      </w:r>
      <w:r>
        <w:t xml:space="preserve"> </w:t>
      </w:r>
      <w:r>
        <w:t xml:space="preserve">383 A.2d at 279, 281;</w:t>
      </w:r>
      <w:r>
        <w:t xml:space="preserve"> </w:t>
      </w:r>
      <w:r>
        <w:rPr>
          <w:iCs/>
          <w:i/>
        </w:rPr>
        <w:t xml:space="preserve">Cahall v. Lofland,</w:t>
      </w:r>
      <w:r>
        <w:t xml:space="preserve"> </w:t>
      </w:r>
      <w:r>
        <w:t xml:space="preserve">Del.Ch., 114 A. 224 (1921).</w:t>
      </w:r>
    </w:p>
    <w:p>
      <w:pPr>
        <w:pStyle w:val="CaseBody"/>
      </w:pPr>
      <w:r>
        <w:t xml:space="preserve">Given these particulars and the Delaware law on the subject, the record does not establish that this transaction satisfies any reasonable concept of fair dealing, and the Chancellor's findings in that regard must be reversed.</w:t>
      </w:r>
    </w:p>
    <w:bookmarkEnd w:id="328"/>
    <w:bookmarkStart w:id="329" w:name="e."/>
    <w:p>
      <w:pPr>
        <w:pStyle w:val="Heading2"/>
      </w:pPr>
      <w:r>
        <w:t xml:space="preserve">E.</w:t>
      </w:r>
    </w:p>
    <w:p>
      <w:pPr>
        <w:pStyle w:val="CaseBody"/>
      </w:pPr>
      <w:r>
        <w:t xml:space="preserve">Turning to the matter of price, plaintiff also challenges its fairness. His evidence was that on the date the merger was approved the stock was worth at least $26 per share. In support, he offered the testimony of a chartered investment analyst who used two basic approaches to valuation: a comparative analysis of the premium paid over market in ten other tender offer-merger combinations, and a discounted cash flow analysis.</w:t>
      </w:r>
    </w:p>
    <w:p>
      <w:pPr>
        <w:pStyle w:val="CaseBody"/>
      </w:pPr>
      <w:r>
        <w:t xml:space="preserve">In this breach of fiduciary duty case, the Chancellor perceived that the approach to valuation was the same as that in an appraisal proceeding. Consistent with precedent, he rejected plaintiff's method of proof and accepted defendants' evidence of value as being in accord with practice under prior case law. This means that the so-called "Delaware block" or weighted average method was employed wherein the elements of value, i.e., assets, market price, earnings, etc., were assigned a particular weight and the resulting amounts added to determine the value per share. This procedure has been in use for decades.</w:t>
      </w:r>
      <w:r>
        <w:t xml:space="preserve"> </w:t>
      </w:r>
      <w:r>
        <w:rPr>
          <w:iCs/>
          <w:i/>
        </w:rPr>
        <w:t xml:space="preserve">See</w:t>
      </w:r>
      <w:r>
        <w:t xml:space="preserve"> </w:t>
      </w:r>
      <w:r>
        <w:rPr>
          <w:iCs/>
          <w:i/>
        </w:rPr>
        <w:t xml:space="preserve">In re General Realty &amp; Utilities Corp.,</w:t>
      </w:r>
      <w:r>
        <w:t xml:space="preserve"> </w:t>
      </w:r>
      <w:r>
        <w:t xml:space="preserve">Del.Ch., 52 A.2d 6, 14-15 (1947). However, to the extent it excludes other generally accepted techniques used in the financial community and the courts, it is now clearly outmoded. It is time we recognize this in appraisal and other stock valuation proceedings and bring our law current on the subject.</w:t>
      </w:r>
    </w:p>
    <w:p>
      <w:pPr>
        <w:pStyle w:val="CaseBody"/>
      </w:pPr>
      <w:r>
        <w:t xml:space="preserve">While the Chancellor rejected plaintiff's discounted cash flow method of valuing UOP's stock, as not corresponding with "either logic or the existing law" (426 A.2d at 1360), it is significant that this was essentially the focus, i.e., earnings potential of UOP, of Messrs. Arledge and Chitiea in their evaluation of the merger. Accordingly, the standard "Delaware block" or weighted average method of valuation, formerly [713] employed in appraisal and other stock valuation cases, shall no longer exclusively control such proceedings. We believe that a more liberal approach must include proof of value by any techniques or methods which are generally considered acceptable in the financial community and otherwise admissible in court,</w:t>
      </w:r>
      <w:r>
        <w:rPr>
          <w:rStyle w:val="Elision"/>
        </w:rPr>
        <w:t xml:space="preserve">[ … ]</w:t>
      </w:r>
      <w:r>
        <w:rPr>
          <w:iCs/>
          <w:i/>
        </w:rPr>
        <w:t xml:space="preserve">.</w:t>
      </w:r>
    </w:p>
    <w:p>
      <w:pPr>
        <w:pStyle w:val="CaseBody"/>
      </w:pPr>
      <w:r>
        <w:t xml:space="preserve">Fair price obviously requires consideration of all relevant factors involving the value of a company. This has long been the law of Delaware as stated in</w:t>
      </w:r>
      <w:r>
        <w:t xml:space="preserve"> </w:t>
      </w:r>
      <w:r>
        <w:rPr>
          <w:iCs/>
          <w:i/>
        </w:rPr>
        <w:t xml:space="preserve">Tri-Continental Corp.,</w:t>
      </w:r>
      <w:r>
        <w:t xml:space="preserve"> </w:t>
      </w:r>
      <w:r>
        <w:t xml:space="preserve">74 A.2d at 72:</w:t>
      </w:r>
    </w:p>
    <w:p>
      <w:pPr>
        <w:pStyle w:val="BlockText"/>
      </w:pPr>
      <w:r>
        <w:t xml:space="preserve">The basic concept of value under the appraisal statute is that the stockholder is entitled to be paid for that which has been taken from him, viz., his proportionate interest in a going concern. By value of the stockholder's proportionate interest in the corporate enterprise is meant the true or intrinsic value of his stock which has been taken by the merger. In determining what figure represents this true or intrinsic value, the appraiser and the courts must take into consideration all factors and elements which reasonably might enter into the fixing of value. Thus, market value, asset value, dividends, earning prospects, the nature of the enterprise and any other facts which were known or which could be ascertained as of the date of merger and which throw any light on</w:t>
      </w:r>
      <w:r>
        <w:t xml:space="preserve"> </w:t>
      </w:r>
      <w:r>
        <w:rPr>
          <w:iCs/>
          <w:i/>
        </w:rPr>
        <w:t xml:space="preserve">future prospects</w:t>
      </w:r>
      <w:r>
        <w:t xml:space="preserve"> </w:t>
      </w:r>
      <w:r>
        <w:t xml:space="preserve">of the merged corporation are not only pertinent to an inquiry as to the value of the dissenting stockholders' interest, but</w:t>
      </w:r>
      <w:r>
        <w:t xml:space="preserve"> </w:t>
      </w:r>
      <w:r>
        <w:rPr>
          <w:iCs/>
          <w:i/>
        </w:rPr>
        <w:t xml:space="preserve">must be considered</w:t>
      </w:r>
      <w:r>
        <w:t xml:space="preserve"> </w:t>
      </w:r>
      <w:r>
        <w:t xml:space="preserve">by the agency fixing the value. (Emphasis added.)</w:t>
      </w:r>
    </w:p>
    <w:p>
      <w:pPr>
        <w:pStyle w:val="CaseBody"/>
      </w:pPr>
      <w:r>
        <w:t xml:space="preserve">This is not only in accord with the realities of present day affairs, but it is thoroughly consonant with the purpose and intent of our statutory law. Under 8</w:t>
      </w:r>
      <w:r>
        <w:t xml:space="preserve"> </w:t>
      </w:r>
      <w:r>
        <w:rPr>
          <w:iCs/>
          <w:i/>
        </w:rPr>
        <w:t xml:space="preserve">Del.C.</w:t>
      </w:r>
      <w:r>
        <w:t xml:space="preserve"> </w:t>
      </w:r>
      <w:r>
        <w:t xml:space="preserve">§ 262(h), the Court of Chancery:</w:t>
      </w:r>
    </w:p>
    <w:p>
      <w:pPr>
        <w:pStyle w:val="BlockText"/>
      </w:pPr>
      <w:r>
        <w:t xml:space="preserve">shall appraise the shares, determining their</w:t>
      </w:r>
      <w:r>
        <w:t xml:space="preserve"> </w:t>
      </w:r>
      <w:r>
        <w:rPr>
          <w:iCs/>
          <w:i/>
        </w:rPr>
        <w:t xml:space="preserve">fair</w:t>
      </w:r>
      <w:r>
        <w:t xml:space="preserve"> </w:t>
      </w:r>
      <w:r>
        <w:t xml:space="preserve">value exclusive of any element of value arising from the accomplishment or expectation of the merger, together with a fair rate of interest, if any, to be paid upon the amount determined to be the</w:t>
      </w:r>
      <w:r>
        <w:t xml:space="preserve"> </w:t>
      </w:r>
      <w:r>
        <w:rPr>
          <w:iCs/>
          <w:i/>
        </w:rPr>
        <w:t xml:space="preserve">fair</w:t>
      </w:r>
      <w:r>
        <w:t xml:space="preserve"> </w:t>
      </w:r>
      <w:r>
        <w:t xml:space="preserve">value. In determining such</w:t>
      </w:r>
      <w:r>
        <w:t xml:space="preserve"> </w:t>
      </w:r>
      <w:r>
        <w:rPr>
          <w:iCs/>
          <w:i/>
        </w:rPr>
        <w:t xml:space="preserve">fair</w:t>
      </w:r>
      <w:r>
        <w:t xml:space="preserve"> </w:t>
      </w:r>
      <w:r>
        <w:t xml:space="preserve">value, the Court shall take into account</w:t>
      </w:r>
      <w:r>
        <w:t xml:space="preserve"> </w:t>
      </w:r>
      <w:r>
        <w:rPr>
          <w:iCs/>
          <w:i/>
        </w:rPr>
        <w:t xml:space="preserve">all relevant factors</w:t>
      </w:r>
      <w:r>
        <w:t xml:space="preserve"> </w:t>
      </w:r>
      <w:r>
        <w:t xml:space="preserve">... (Emphasis added)</w:t>
      </w:r>
    </w:p>
    <w:p>
      <w:pPr>
        <w:pStyle w:val="CaseBody"/>
      </w:pPr>
      <w:r>
        <w:rPr>
          <w:iCs/>
          <w:i/>
        </w:rPr>
        <w:t xml:space="preserve">See also</w:t>
      </w:r>
      <w:r>
        <w:t xml:space="preserve"> </w:t>
      </w:r>
      <w:r>
        <w:rPr>
          <w:iCs/>
          <w:i/>
        </w:rPr>
        <w:t xml:space="preserve">Bell v. Kirby Lumber Corp.,</w:t>
      </w:r>
      <w:r>
        <w:t xml:space="preserve"> </w:t>
      </w:r>
      <w:r>
        <w:t xml:space="preserve">Del. Supr., 413 A.2d 137, 150-51 (1980) (Quillen, J., concurring).</w:t>
      </w:r>
    </w:p>
    <w:p>
      <w:pPr>
        <w:pStyle w:val="CaseBody"/>
      </w:pPr>
      <w:r>
        <w:t xml:space="preserve">It is significant that section 262 now mandates the determination of "fair" value based upon "all relevant factors". Only the speculative elements of value that may arise from the "accomplishment or expectation" of the merger are excluded. We take this to be a very narrow exception to the appraisal process, designed to eliminate use of</w:t>
      </w:r>
      <w:r>
        <w:t xml:space="preserve"> </w:t>
      </w:r>
      <w:r>
        <w:rPr>
          <w:iCs/>
          <w:i/>
        </w:rPr>
        <w:t xml:space="preserve">pro forma</w:t>
      </w:r>
      <w:r>
        <w:t xml:space="preserve"> </w:t>
      </w:r>
      <w:r>
        <w:t xml:space="preserve">data and projections of a speculative variety relating to the completion of a merger. But elements of future value, including the nature of the enterprise, which are known or susceptible of proof as of the date of the merger and not the product of speculation, may be considered. When the trial court deems it appropriate, fair value also includes any damages, resulting from the taking, which the stockholders sustain as a class. If that was not the case, then the obligation to consider "all relevant factors" in the valuation process would be eroded. We are supported in this view not only by</w:t>
      </w:r>
      <w:r>
        <w:t xml:space="preserve"> </w:t>
      </w:r>
      <w:r>
        <w:rPr>
          <w:iCs/>
          <w:i/>
        </w:rPr>
        <w:t xml:space="preserve">Tri-Continental Corp.,</w:t>
      </w:r>
      <w:r>
        <w:t xml:space="preserve"> </w:t>
      </w:r>
      <w:r>
        <w:t xml:space="preserve">74 A.2d at 72, but also by the evolutionary amendments to section 262.</w:t>
      </w:r>
    </w:p>
    <w:p>
      <w:pPr>
        <w:pStyle w:val="CaseBody"/>
      </w:pPr>
      <w:r>
        <w:t xml:space="preserve">Prior to an amendment in 1976, the earlier relevant provision of section 262 stated:</w:t>
      </w:r>
    </w:p>
    <w:p>
      <w:pPr>
        <w:pStyle w:val="BlockText"/>
      </w:pPr>
      <w:r>
        <w:t xml:space="preserve">(f) The appraiser shall determine the value of the stock of the stockholders ... The Court shall by its decree determine the value of the stock of the stockholders entitled to payment therefor ...</w:t>
      </w:r>
    </w:p>
    <w:p>
      <w:pPr>
        <w:pStyle w:val="CaseBody"/>
      </w:pPr>
      <w:r>
        <w:t xml:space="preserve">The first references to "fair" value occurred in a 1976 amendment to section 262(f), which provided:</w:t>
      </w:r>
    </w:p>
    <w:p>
      <w:pPr>
        <w:pStyle w:val="BlockText"/>
      </w:pPr>
      <w:r>
        <w:t xml:space="preserve">[714] (f) ... the Court shall appraise the shares, determining their fair value exclusively of any element of value arising from the accomplishment or expectation of the merger....</w:t>
      </w:r>
    </w:p>
    <w:p>
      <w:pPr>
        <w:pStyle w:val="CaseBody"/>
      </w:pPr>
      <w:r>
        <w:t xml:space="preserve">It was not until the 1981 amendment to section 262 that the reference to "fair value" was repeatedly emphasized and the statutory mandate that the Court "take into account all relevant factors" appeared [section 262(h)]. Clearly, there is a legislative intent to fully compensate shareholders for whatever their loss may be, subject only to the narrow limitation that one can not take speculative effects of the merger into account.</w:t>
      </w:r>
    </w:p>
    <w:p>
      <w:pPr>
        <w:pStyle w:val="CaseBody"/>
      </w:pPr>
      <w:r>
        <w:t xml:space="preserve">Although the Chancellor received the plaintiff's evidence, his opinion indicates that the use of it was precluded because of past Delaware practice. While we do not suggest a monetary result one way or the other, we do think the plaintiff's evidence should be part of the factual mix and weighed as such. Until the $21 price is measured on remand by the valuation standards mandated by Delaware law, there can be no finding at the present stage of these proceedings that the price is fair. Given the lack of any candid disclosure of the material facts surrounding establishment of the $21 price, the majority of the minority vote, approving the merger, is meaningless.</w:t>
      </w:r>
    </w:p>
    <w:p>
      <w:pPr>
        <w:pStyle w:val="CaseBody"/>
      </w:pPr>
      <w:r>
        <w:rPr>
          <w:rStyle w:val="Elision"/>
        </w:rPr>
        <w:t xml:space="preserve">[ … ]</w:t>
      </w:r>
    </w:p>
    <w:bookmarkEnd w:id="329"/>
    <w:bookmarkStart w:id="330" w:name="iii.-5"/>
    <w:p>
      <w:pPr>
        <w:pStyle w:val="Heading2"/>
      </w:pPr>
      <w:r>
        <w:t xml:space="preserve">III.</w:t>
      </w:r>
    </w:p>
    <w:p>
      <w:pPr>
        <w:pStyle w:val="CaseBody"/>
      </w:pPr>
      <w:r>
        <w:t xml:space="preserve">Finally, we address the matter of business purpose. The defendants contend that the purpose of this merger was not a proper subject of inquiry by the trial court. The plaintiff says that no valid purpose existed — the entire transaction was a mere subterfuge designed to eliminate the minority. The Chancellor ruled otherwise, but in so doing he clearly circumscribed the thrust and effect of</w:t>
      </w:r>
      <w:r>
        <w:t xml:space="preserve"> </w:t>
      </w:r>
      <w:r>
        <w:rPr>
          <w:iCs/>
          <w:i/>
        </w:rPr>
        <w:t xml:space="preserve">Singer. Weinberger v. UOP,</w:t>
      </w:r>
      <w:r>
        <w:t xml:space="preserve"> </w:t>
      </w:r>
      <w:r>
        <w:t xml:space="preserve">426 A.2d at 1342-43, 1348-50. This has led to the thoroughly sound observation that the business purpose test "may be ... virtually interpreted out of existence, as it was in</w:t>
      </w:r>
      <w:r>
        <w:t xml:space="preserve"> </w:t>
      </w:r>
      <w:r>
        <w:rPr>
          <w:iCs/>
          <w:i/>
        </w:rPr>
        <w:t xml:space="preserve">Weinberger</w:t>
      </w:r>
      <w:r>
        <w:t xml:space="preserve">".</w:t>
      </w:r>
      <w:hyperlink w:anchor="Xedf4ccb964dcbac9490bb6c6f1643ca5f7ba9b6">
        <w:r>
          <w:rPr>
            <w:rStyle w:val="Hyperlink"/>
            <w:vertAlign w:val="superscript"/>
          </w:rPr>
          <w:t xml:space="preserve">[9]</w:t>
        </w:r>
      </w:hyperlink>
    </w:p>
    <w:p>
      <w:pPr>
        <w:pStyle w:val="CaseBody"/>
      </w:pPr>
      <w:r>
        <w:t xml:space="preserve">The requirement of a business purpose is new to our law of mergers and was a departure from prior case law.</w:t>
      </w:r>
      <w:r>
        <w:t xml:space="preserve"> </w:t>
      </w:r>
      <w:r>
        <w:rPr>
          <w:iCs/>
          <w:i/>
        </w:rPr>
        <w:t xml:space="preserve">See</w:t>
      </w:r>
      <w:r>
        <w:t xml:space="preserve"> </w:t>
      </w:r>
      <w:r>
        <w:rPr>
          <w:iCs/>
          <w:i/>
        </w:rPr>
        <w:t xml:space="preserve">Stauffer v. Standard Brands, Inc., supra;</w:t>
      </w:r>
      <w:r>
        <w:t xml:space="preserve"> </w:t>
      </w:r>
      <w:r>
        <w:rPr>
          <w:iCs/>
          <w:i/>
        </w:rPr>
        <w:t xml:space="preserve">David J. Greene &amp; Co. v. Schenley Industries, Inc., supra.</w:t>
      </w:r>
    </w:p>
    <w:p>
      <w:pPr>
        <w:pStyle w:val="CaseBody"/>
      </w:pPr>
      <w:r>
        <w:t xml:space="preserve">In view of the fairness test which has long been applicable to parent-subsidiary mergers,</w:t>
      </w:r>
      <w:r>
        <w:rPr>
          <w:rStyle w:val="Elision"/>
        </w:rPr>
        <w:t xml:space="preserve">[ … ]</w:t>
      </w:r>
      <w:r>
        <w:t xml:space="preserve">and the broad discretion of the Chancellor to fashion such relief as the facts of a given case may dictate, we do not believe that any additional meaningful protection is afforded minority shareholders by the business purpose requirement of the trilogy of</w:t>
      </w:r>
      <w:r>
        <w:t xml:space="preserve"> </w:t>
      </w:r>
      <w:r>
        <w:rPr>
          <w:iCs/>
          <w:i/>
        </w:rPr>
        <w:t xml:space="preserve">Singer, Tanzer,</w:t>
      </w:r>
      <w:hyperlink w:anchor="X9fc7e736f9309a6d90efd6a6949d60d66d492c8">
        <w:r>
          <w:rPr>
            <w:rStyle w:val="Hyperlink"/>
            <w:vertAlign w:val="superscript"/>
          </w:rPr>
          <w:t xml:space="preserve">[10]</w:t>
        </w:r>
      </w:hyperlink>
      <w:r>
        <w:rPr>
          <w:iCs/>
          <w:i/>
        </w:rPr>
        <w:t xml:space="preserve">Najjar,</w:t>
      </w:r>
      <w:hyperlink w:anchor="X30a926d128c0770d02face763e245352a4d3ad5">
        <w:r>
          <w:rPr>
            <w:rStyle w:val="Hyperlink"/>
            <w:vertAlign w:val="superscript"/>
          </w:rPr>
          <w:t xml:space="preserve">[11]</w:t>
        </w:r>
      </w:hyperlink>
      <w:r>
        <w:t xml:space="preserve"> </w:t>
      </w:r>
      <w:r>
        <w:t xml:space="preserve">and their progeny. Accordingly, such requirement shall no longer be of any force or effect.</w:t>
      </w:r>
    </w:p>
    <w:p>
      <w:pPr>
        <w:pStyle w:val="CaseBody"/>
      </w:pPr>
      <w:r>
        <w:t xml:space="preserve">The judgment of the Court of Chancery, finding both the circumstances of the merger and the price paid the minority shareholders to be fair, is reversed. The matter is remanded for further proceedings consistent herewith. Upon remand the plaintiff's post-trial motion to enlarge the class should be granted.</w:t>
      </w:r>
    </w:p>
    <w:bookmarkEnd w:id="330"/>
    <w:bookmarkStart w:id="331" w:name="section-40"/>
    <w:p>
      <w:pPr>
        <w:pStyle w:val="Heading2"/>
      </w:pPr>
      <w:r>
        <w:t xml:space="preserve">* * * * * *</w:t>
      </w:r>
    </w:p>
    <w:p>
      <w:pPr>
        <w:pStyle w:val="CaseBody"/>
      </w:pPr>
      <w:r>
        <w:t xml:space="preserve">REVERSED AND REMANDED.</w:t>
      </w:r>
    </w:p>
    <w:p>
      <w:pPr>
        <w:pStyle w:val="CaseBody"/>
      </w:pPr>
      <w:hyperlink w:anchor="X640807c31047729c785bd91fd95547f86c35536">
        <w:r>
          <w:rPr>
            <w:rStyle w:val="Hyperlink"/>
          </w:rPr>
          <w:t xml:space="preserve">[1]</w:t>
        </w:r>
      </w:hyperlink>
      <w:r>
        <w:t xml:space="preserve"> </w:t>
      </w:r>
      <w:r>
        <w:t xml:space="preserve">Accordingly, this Court's February 9, 1982 opinion is withdrawn.</w:t>
      </w:r>
    </w:p>
    <w:p>
      <w:pPr>
        <w:pStyle w:val="CaseBody"/>
      </w:pPr>
      <w:hyperlink w:anchor="X8305d84079336c92b12c80b3031bc4a3cd80351">
        <w:r>
          <w:rPr>
            <w:rStyle w:val="Hyperlink"/>
          </w:rPr>
          <w:t xml:space="preserve">[2]</w:t>
        </w:r>
      </w:hyperlink>
      <w:r>
        <w:t xml:space="preserve"> </w:t>
      </w:r>
      <w:r>
        <w:t xml:space="preserve">For the opinion of the trial court see</w:t>
      </w:r>
      <w:r>
        <w:t xml:space="preserve"> </w:t>
      </w:r>
      <w:r>
        <w:rPr>
          <w:iCs/>
          <w:i/>
        </w:rPr>
        <w:t xml:space="preserve">Weinberger v. UOP, Inc.,</w:t>
      </w:r>
      <w:r>
        <w:t xml:space="preserve"> </w:t>
      </w:r>
      <w:r>
        <w:t xml:space="preserve">Del.Ch., 426 A.2d 1333 (1981).</w:t>
      </w:r>
    </w:p>
    <w:p>
      <w:pPr>
        <w:pStyle w:val="CaseBody"/>
      </w:pPr>
      <w:hyperlink w:anchor="Xe509a43853b009e888136fef5596d1585dfc1d1">
        <w:r>
          <w:rPr>
            <w:rStyle w:val="Hyperlink"/>
          </w:rPr>
          <w:t xml:space="preserve">[3]</w:t>
        </w:r>
      </w:hyperlink>
      <w:r>
        <w:t xml:space="preserve"> </w:t>
      </w:r>
      <w:r>
        <w:t xml:space="preserve">Shortly before the last oral argument, the plaintiff dismissed Lehman Brothers from the action. Thus, we do not deal with the issues raised by the plaintiff's claims against this defendant.</w:t>
      </w:r>
    </w:p>
    <w:p>
      <w:pPr>
        <w:pStyle w:val="CaseBody"/>
      </w:pPr>
      <w:hyperlink w:anchor="X4a594ca96a4ea13f55c690d6320bafb45160dfe">
        <w:r>
          <w:rPr>
            <w:rStyle w:val="Hyperlink"/>
          </w:rPr>
          <w:t xml:space="preserve">[4]</w:t>
        </w:r>
      </w:hyperlink>
      <w:r>
        <w:t xml:space="preserve"> </w:t>
      </w:r>
      <w:r>
        <w:t xml:space="preserve">In a pre-trial ruling the Chancellor ordered the complaint dismissed for failure to state a cause of action.</w:t>
      </w:r>
      <w:r>
        <w:t xml:space="preserve"> </w:t>
      </w:r>
      <w:r>
        <w:rPr>
          <w:iCs/>
          <w:i/>
        </w:rPr>
        <w:t xml:space="preserve">See</w:t>
      </w:r>
      <w:r>
        <w:t xml:space="preserve"> </w:t>
      </w:r>
      <w:r>
        <w:rPr>
          <w:iCs/>
          <w:i/>
        </w:rPr>
        <w:t xml:space="preserve">Weinberger v. UOP, Inc.,</w:t>
      </w:r>
      <w:r>
        <w:t xml:space="preserve"> </w:t>
      </w:r>
      <w:r>
        <w:t xml:space="preserve">Del.Ch., 409 A.2d 1262 (1979).</w:t>
      </w:r>
    </w:p>
    <w:p>
      <w:pPr>
        <w:pStyle w:val="CaseBody"/>
      </w:pPr>
      <w:hyperlink w:anchor="Xa05f004ac216c656e0e9cf5c880e69b08022110">
        <w:r>
          <w:rPr>
            <w:rStyle w:val="Hyperlink"/>
          </w:rPr>
          <w:t xml:space="preserve">[5]</w:t>
        </w:r>
      </w:hyperlink>
      <w:r>
        <w:t xml:space="preserve"> </w:t>
      </w:r>
      <w:r>
        <w:rPr>
          <w:iCs/>
          <w:i/>
        </w:rPr>
        <w:t xml:space="preserve">Weinberger v. UOP, Inc.,</w:t>
      </w:r>
      <w:r>
        <w:t xml:space="preserve"> </w:t>
      </w:r>
      <w:r>
        <w:t xml:space="preserve">Del.Ch., 426 A.2d 1333, 1335-40 (1981).</w:t>
      </w:r>
    </w:p>
    <w:p>
      <w:pPr>
        <w:pStyle w:val="CaseBody"/>
      </w:pPr>
      <w:hyperlink w:anchor="X88fed893c3da4a83a1eb4f1bfb8db00adedd3db">
        <w:r>
          <w:rPr>
            <w:rStyle w:val="Hyperlink"/>
          </w:rPr>
          <w:t xml:space="preserve">[6]</w:t>
        </w:r>
      </w:hyperlink>
      <w:r>
        <w:t xml:space="preserve"> </w:t>
      </w:r>
      <w:r>
        <w:t xml:space="preserve">The parentheses indicate certain handwritten comments of Mr. Arledge.</w:t>
      </w:r>
    </w:p>
    <w:p>
      <w:pPr>
        <w:pStyle w:val="CaseBody"/>
      </w:pPr>
      <w:hyperlink w:anchor="X170460877c3551b6691ee08e05bdf9d0176d193">
        <w:r>
          <w:rPr>
            <w:rStyle w:val="Hyperlink"/>
          </w:rPr>
          <w:t xml:space="preserve">[7]</w:t>
        </w:r>
      </w:hyperlink>
      <w:r>
        <w:t xml:space="preserve"> </w:t>
      </w:r>
      <w:r>
        <w:t xml:space="preserve">Although perfection is not possible, or expected, the result here could have been entirely different if UOP had appointed an independent negotiating committee of its outside directors to deal with Signal at arm's length.</w:t>
      </w:r>
      <w:r>
        <w:t xml:space="preserve"> </w:t>
      </w:r>
      <w:r>
        <w:rPr>
          <w:iCs/>
          <w:i/>
        </w:rPr>
        <w:t xml:space="preserve">See, e.g.,</w:t>
      </w:r>
      <w:r>
        <w:t xml:space="preserve"> </w:t>
      </w:r>
      <w:r>
        <w:rPr>
          <w:iCs/>
          <w:i/>
        </w:rPr>
        <w:t xml:space="preserve">Harriman v. E.I. duPont de Nemours &amp; Co.,</w:t>
      </w:r>
      <w:r>
        <w:t xml:space="preserve"> </w:t>
      </w:r>
      <w:r>
        <w:t xml:space="preserve">411 F.Supp. 133 (D.Del.1975). Since fairness in this context can be equated to conduct by a theoretical, wholly independent, board of directors acting upon the matter before them, it is unfortunate that this course apparently was neither considered nor pursued.</w:t>
      </w:r>
      <w:r>
        <w:t xml:space="preserve"> </w:t>
      </w:r>
      <w:r>
        <w:rPr>
          <w:iCs/>
          <w:i/>
        </w:rPr>
        <w:t xml:space="preserve">Johnston v. Greene,</w:t>
      </w:r>
      <w:r>
        <w:t xml:space="preserve"> </w:t>
      </w:r>
      <w:r>
        <w:t xml:space="preserve">Del.Supr., 121 A.2d 919, 925 (1956). Particularly in a parent-subsidiary context, a showing that the action taken was as though each of the contending parties had in fact exerted its bargaining power against the other at arm's length is strong evidence that the transaction meets the test of fairness.</w:t>
      </w:r>
      <w:r>
        <w:t xml:space="preserve"> </w:t>
      </w:r>
      <w:r>
        <w:rPr>
          <w:iCs/>
          <w:i/>
        </w:rPr>
        <w:t xml:space="preserve">Getty Oil Co. v. Skelly Oil Co.,</w:t>
      </w:r>
      <w:r>
        <w:t xml:space="preserve"> </w:t>
      </w:r>
      <w:r>
        <w:t xml:space="preserve">Del.Supr., 267 A.2d 883, 886 (1970);</w:t>
      </w:r>
      <w:r>
        <w:t xml:space="preserve"> </w:t>
      </w:r>
      <w:r>
        <w:rPr>
          <w:iCs/>
          <w:i/>
        </w:rPr>
        <w:t xml:space="preserve">Puma v. Marriott,</w:t>
      </w:r>
      <w:r>
        <w:t xml:space="preserve"> </w:t>
      </w:r>
      <w:r>
        <w:t xml:space="preserve">Del.Ch., 283 A.2d 693, 696 (1971).</w:t>
      </w:r>
    </w:p>
    <w:p>
      <w:pPr>
        <w:pStyle w:val="CaseBody"/>
      </w:pPr>
      <w:hyperlink w:anchor="Xa1f5ae86f066ccc7280f3bc4cb30663417572b5">
        <w:r>
          <w:rPr>
            <w:rStyle w:val="Hyperlink"/>
          </w:rPr>
          <w:t xml:space="preserve">[8]</w:t>
        </w:r>
      </w:hyperlink>
      <w:r>
        <w:t xml:space="preserve"> </w:t>
      </w:r>
      <w:r>
        <w:t xml:space="preserve">Under 8</w:t>
      </w:r>
      <w:r>
        <w:t xml:space="preserve"> </w:t>
      </w:r>
      <w:r>
        <w:rPr>
          <w:iCs/>
          <w:i/>
        </w:rPr>
        <w:t xml:space="preserve">Del.C.</w:t>
      </w:r>
      <w:r>
        <w:t xml:space="preserve"> </w:t>
      </w:r>
      <w:r>
        <w:t xml:space="preserve">§ 262(a), (d) &amp; (e), a stockholder is required to act within certain time periods to perfect the right to an appraisal.</w:t>
      </w:r>
    </w:p>
    <w:p>
      <w:pPr>
        <w:pStyle w:val="CaseBody"/>
      </w:pPr>
      <w:hyperlink w:anchor="Xbcc9ba15c085cb4ab734ab8cf4902a956410a9f">
        <w:r>
          <w:rPr>
            <w:rStyle w:val="Hyperlink"/>
          </w:rPr>
          <w:t xml:space="preserve">[9]</w:t>
        </w:r>
      </w:hyperlink>
      <w:r>
        <w:t xml:space="preserve"> </w:t>
      </w:r>
      <w:r>
        <w:t xml:space="preserve">Weiss,</w:t>
      </w:r>
      <w:r>
        <w:t xml:space="preserve"> </w:t>
      </w:r>
      <w:r>
        <w:rPr>
          <w:iCs/>
          <w:i/>
        </w:rPr>
        <w:t xml:space="preserve">The Law of Take Out Mergers: A Historical Perspective,</w:t>
      </w:r>
      <w:r>
        <w:t xml:space="preserve"> </w:t>
      </w:r>
      <w:r>
        <w:t xml:space="preserve">56 N.Y.U.L.Rev. 624, 671, n. 300 (1981).</w:t>
      </w:r>
    </w:p>
    <w:p>
      <w:pPr>
        <w:pStyle w:val="CaseBody"/>
      </w:pPr>
      <w:hyperlink w:anchor="Xcc0d2cd0e67eac960b24b931ca38fd3694a2a8f">
        <w:r>
          <w:rPr>
            <w:rStyle w:val="Hyperlink"/>
          </w:rPr>
          <w:t xml:space="preserve">[10]</w:t>
        </w:r>
      </w:hyperlink>
      <w:r>
        <w:t xml:space="preserve"> </w:t>
      </w:r>
      <w:r>
        <w:rPr>
          <w:iCs/>
          <w:i/>
        </w:rPr>
        <w:t xml:space="preserve">Tanzer v. International General Industries, Inc.,</w:t>
      </w:r>
      <w:r>
        <w:t xml:space="preserve"> </w:t>
      </w:r>
      <w:r>
        <w:t xml:space="preserve">Del.Supr., 379 A.2d 1121, 1124-25 (1977).</w:t>
      </w:r>
    </w:p>
    <w:p>
      <w:pPr>
        <w:pStyle w:val="CaseBody"/>
      </w:pPr>
      <w:hyperlink w:anchor="Xd95e77444996b639ca78cd0a710e449c9f13292">
        <w:r>
          <w:rPr>
            <w:rStyle w:val="Hyperlink"/>
          </w:rPr>
          <w:t xml:space="preserve">[11]</w:t>
        </w:r>
      </w:hyperlink>
      <w:r>
        <w:t xml:space="preserve"> </w:t>
      </w:r>
      <w:r>
        <w:rPr>
          <w:iCs/>
          <w:i/>
        </w:rPr>
        <w:t xml:space="preserve">Roland International Corp. v. Najjar,</w:t>
      </w:r>
      <w:r>
        <w:t xml:space="preserve"> </w:t>
      </w:r>
      <w:r>
        <w:t xml:space="preserve">Del. Supr., 407 A.2d 1032, 1036 (1979).</w:t>
      </w:r>
    </w:p>
    <w:bookmarkEnd w:id="331"/>
    <w:p>
      <w:pPr>
        <w:pStyle w:val="NodeEnd"/>
      </w:pPr>
      <w:r>
        <w:t xml:space="preserve"> </w:t>
      </w:r>
    </w:p>
    <w:p>
      <w:pPr>
        <w:pStyle w:val="NodeStart"/>
      </w:pPr>
      <w:r>
        <w:t xml:space="preserve"> </w:t>
      </w:r>
    </w:p>
    <w:p>
      <w:pPr>
        <w:pStyle w:val="HeadSeparator"/>
      </w:pPr>
      <w:r>
        <w:t xml:space="preserve"> </w:t>
      </w:r>
    </w:p>
    <w:bookmarkStart w:id="141" w:name="_auto_toc_141"/>
    <w:bookmarkEnd w:id="141"/>
    <w:p>
      <w:pPr>
        <w:pStyle w:val="ResourceNumber"/>
      </w:pPr>
      <w:r>
        <w:t xml:space="preserve">11.1.5</w:t>
      </w:r>
    </w:p>
    <w:p>
      <w:pPr>
        <w:pStyle w:val="ResourceTitle"/>
      </w:pPr>
      <w:r>
        <w:t xml:space="preserve">Kahn v. Lynch Communication Systems, Inc.</w:t>
      </w:r>
    </w:p>
    <w:p>
      <w:pPr>
        <w:pStyle w:val="HeadEnd"/>
      </w:pPr>
      <w:r>
        <w:t xml:space="preserve"> </w:t>
      </w:r>
    </w:p>
    <w:p>
      <w:pPr>
        <w:pStyle w:val="CaseHeader"/>
      </w:pPr>
      <w:r>
        <w:t xml:space="preserve">Delaware Supreme Court</w:t>
      </w:r>
    </w:p>
    <w:p>
      <w:pPr>
        <w:pStyle w:val="CaseHeader"/>
      </w:pPr>
      <w:r>
        <w:t xml:space="preserve">669 A.2d 79</w:t>
      </w:r>
    </w:p>
    <w:p>
      <w:pPr>
        <w:pStyle w:val="CaseHeader"/>
      </w:pPr>
      <w:r>
        <w:t xml:space="preserve">No. 169, 1995</w:t>
      </w:r>
    </w:p>
    <w:p>
      <w:pPr>
        <w:pStyle w:val="CaseHeader"/>
      </w:pPr>
      <w:r>
        <w:t xml:space="preserve">1995-11-22</w:t>
      </w:r>
    </w:p>
    <w:p>
      <w:pPr>
        <w:pStyle w:val="CaseBody"/>
      </w:pPr>
      <w:r>
        <w:t xml:space="preserve">Submitted: Sept. 6, 1995.</w:t>
      </w:r>
    </w:p>
    <w:p>
      <w:pPr>
        <w:pStyle w:val="CaseBody"/>
      </w:pPr>
      <w:r>
        <w:t xml:space="preserve">Victor F. Battaglia and Robert D. Goldberg, Biggs and Battaglia, Wilmington, and Joan T. Harnes (argued), Silverman, Harnes</w:t>
      </w:r>
      <w:r>
        <w:t xml:space="preserve"> </w:t>
      </w:r>
      <w:r>
        <w:rPr>
          <w:iCs/>
          <w:i/>
        </w:rPr>
        <w:t xml:space="preserve">&amp;</w:t>
      </w:r>
      <w:r>
        <w:t xml:space="preserve"> </w:t>
      </w:r>
      <w:r>
        <w:t xml:space="preserve">Harnes, New York City, for Appellant.</w:t>
      </w:r>
    </w:p>
    <w:p>
      <w:pPr>
        <w:pStyle w:val="CaseBody"/>
      </w:pPr>
      <w:r>
        <w:t xml:space="preserve">Allen M. Terrell, Jr. (argued), and John T. Dorsey, Richards, Layton &amp; Finger, Wilmington, for Appellees.</w:t>
      </w:r>
    </w:p>
    <w:p>
      <w:pPr>
        <w:pStyle w:val="CaseBody"/>
      </w:pPr>
      <w:r>
        <w:t xml:space="preserve">Before WALSH, HOLLAND, and HARTNETT, Justices.</w:t>
      </w:r>
    </w:p>
    <w:p>
      <w:pPr>
        <w:pStyle w:val="CaseBody"/>
      </w:pPr>
      <w:r>
        <w:t xml:space="preserve">WALSH, Justice:</w:t>
      </w:r>
    </w:p>
    <w:p>
      <w:pPr>
        <w:pStyle w:val="CaseBody"/>
      </w:pPr>
      <w:r>
        <w:t xml:space="preserve">This is the second appeal in this shareholder litigation after a Court of Chancery ruling in favor of the defendants. The underlying dispute arises from a cash-out merger of Lynch Communications System, Inc. (“Lynch”) into a subsidiary of Alcatel USA, Inc. (“Alcatel”). In the previous appeal, this Court determined that Alcatel, as a controlling shareholder of Lynch, dominated the merger negotiations despite the fact that Lynch’s board of directors had appointed an independent negotiating committee.</w:t>
      </w:r>
      <w:r>
        <w:t xml:space="preserve"> </w:t>
      </w:r>
      <w:r>
        <w:rPr>
          <w:iCs/>
          <w:i/>
        </w:rPr>
        <w:t xml:space="preserve">Kahn v. Lynch Communication Systems, Inc.,</w:t>
      </w:r>
      <w:r>
        <w:t xml:space="preserve"> </w:t>
      </w:r>
      <w:r>
        <w:t xml:space="preserve">Del.Supr.,</w:t>
      </w:r>
      <w:r>
        <w:t xml:space="preserve"> </w:t>
      </w:r>
      <w:r>
        <w:t xml:space="preserve">638 A.2d 1110</w:t>
      </w:r>
      <w:r>
        <w:t xml:space="preserve">, 1112-13 (1994)</w:t>
      </w:r>
      <w:r>
        <w:t xml:space="preserve"> </w:t>
      </w:r>
      <w:r>
        <w:rPr>
          <w:iCs/>
          <w:i/>
        </w:rPr>
        <w:t xml:space="preserve">(“Lynch I”).</w:t>
      </w:r>
      <w:r>
        <w:t xml:space="preserve"> </w:t>
      </w:r>
      <w:r>
        <w:t xml:space="preserve">We concluded, however, that such a determination did not necessarily preclude a finding that the transaction was entirely fair and remanded the matter to the Court of Chancery for a determination of entire fairness, with the burden of proof upon the defendants.</w:t>
      </w:r>
    </w:p>
    <w:p>
      <w:pPr>
        <w:pStyle w:val="CaseBody"/>
      </w:pPr>
      <w:r>
        <w:t xml:space="preserve">Upon remand, the Court of Chancery reevaluated the record under the appropriate burden of proof and concluded that the transaction was entirely fair to the Lynch minority shareholders. The court also rejected plaintiffs claim that the defendants violated their duty of disclosure in failing to describe specifically the threat of a lower priced tender offer. We affirm in both respects.</w:t>
      </w:r>
    </w:p>
    <w:p>
      <w:pPr>
        <w:pStyle w:val="CaseBody"/>
      </w:pPr>
      <w:r>
        <w:t xml:space="preserve">i</w:t>
      </w:r>
    </w:p>
    <w:p>
      <w:pPr>
        <w:pStyle w:val="CaseBody"/>
      </w:pPr>
      <w:r>
        <w:t xml:space="preserve">The facts underlying the derivative claims are set forth extensively in</w:t>
      </w:r>
      <w:r>
        <w:t xml:space="preserve"> </w:t>
      </w:r>
      <w:r>
        <w:rPr>
          <w:iCs/>
          <w:i/>
        </w:rPr>
        <w:t xml:space="preserve">Lynch I</w:t>
      </w:r>
      <w:r>
        <w:t xml:space="preserve"> </w:t>
      </w:r>
      <w:r>
        <w:t xml:space="preserve">and we summarize them briefly for present purposes.</w:t>
      </w:r>
    </w:p>
    <w:p>
      <w:pPr>
        <w:pStyle w:val="CaseBody"/>
      </w:pPr>
      <w:r>
        <w:t xml:space="preserve">Lynch, a Delaware corporation, designed and manufactured electronic telecommunications equipment, primarily for sale to telephone operating companies. Alcatel, a holding company, is a subsidiary of Alcatel (S.A.), a French company involved in public telecommunications, business communications, electronics, and optronics. Alcatel (S.A.), in turn, is a subsidiary of Compagnie Generale d’Electricite (“CGE”), a French corporation with operations in energy, transportation, telecommunications and business systems.</w:t>
      </w:r>
    </w:p>
    <w:p>
      <w:pPr>
        <w:pStyle w:val="CaseBody"/>
      </w:pPr>
      <w:r>
        <w:t xml:space="preserve">In 1981, Alcatel</w:t>
      </w:r>
      <w:r>
        <w:rPr>
          <w:rStyle w:val="FootnoteReference"/>
        </w:rPr>
        <w:footnoteReference w:customMarkFollows="1" w:id="37"/>
        <w:t xml:space="preserve">1</w:t>
      </w:r>
      <w:r>
        <w:t xml:space="preserve"> </w:t>
      </w:r>
      <w:r>
        <w:t xml:space="preserve">acquired 30.6% of Lynch’s common stock pursuant to a stock purchase agreement. As part of that agreement, Lynch amended its certificate of incorporation to require an 80% affirmative vote to approve any business combination. By the time of the events leading to the contested merger, Alcatel owned 43.3% of Lynch’s outstanding stock and designated five of the eleven directors on Lynch’s board of directors, two of the three members of the executive committee, and two of the four members of the compensation committee.</w:t>
      </w:r>
    </w:p>
    <w:p>
      <w:pPr>
        <w:pStyle w:val="CaseBody"/>
      </w:pPr>
      <w:r>
        <w:t xml:space="preserve">In the spring of 1986, Lynch determined that it needed to acquire fiber optics technology in order to remain competitive. Lynch management identified a target company, Telco Systems, Inc. (“Telco”), that had the needed technology. Telco was apparently amenable to acquisition by Lynch. Lynch had to obtain Alcatel’s consent, however, since the supermajority voting provision gave Alcatel an effective veto over any business combination. Exercising this power, Alcatel vetoed the transaction and instead proposed a combination of Lynch and Celwave Systems, Inc. (“Celwave”), an indirect subsidiary of CGE that possessed fibre optics technology. Ellsworth F. Dertinger (“Dertinger”), chairman of the board and CEO of Lynch, stated that Celwave would not be of interest to Lynch if Celwave were not owned by Alcatel. Nevertheless, the Lynch Board unanimously adopted a resolution that established a committee of independent directors (the “Independent Committee”) to negotiate with Celwave and recommend the terms and conditions on which a combination would be based.</w:t>
      </w:r>
    </w:p>
    <w:p>
      <w:pPr>
        <w:pStyle w:val="CaseBody"/>
      </w:pPr>
      <w:r>
        <w:t xml:space="preserve">On October 24, 1986, Alcatel’s investment banking firm, Dillon, Read &amp; Co., Inc. (“Dillon, Read”) made a presentation to the Independent Committee in which it explained the benefits of a Lynch/Celwave combination and proposed a stock-for-stock merger. The Independent Committee’s investment advisors reviewed the Dillon, Read report and placed a significantly lower value on Celwave than had Dillon, Read. Consequently, the Independent Committee decided that the proposal was unattractive to Lynch and made a recommendation against the Lynch/Celwave combination.</w:t>
      </w:r>
    </w:p>
    <w:p>
      <w:pPr>
        <w:pStyle w:val="CaseBody"/>
      </w:pPr>
      <w:r>
        <w:t xml:space="preserve">Reacting to the Independent Committee’s recommendation, Alcatel withdrew the Cel-wave proposal and instead offered to acquire the Lynch shares it did not already , own at $14 cash per share. In response, at its November 7th board meeting, the Lynch directors revised the mandate of the Independent Committee and authorized the same directors to negotiate the cash merger offer with Alcatel. Meeting on the same day, the Independent Committee decided that $14 per share was inadequate.</w:t>
      </w:r>
    </w:p>
    <w:p>
      <w:pPr>
        <w:pStyle w:val="CaseBody"/>
      </w:pPr>
      <w:r>
        <w:t xml:space="preserve">On November 12, the Independent Committee made a counteroffer of $17 per share. The parties negotiated for approximately two weeks, during which time Alcatel’s highest offer was $15.50 per share. On November 24, 1986, the Independent Committee met with its financial and legal advisors and were informed by one of the committee members that Alcatel was “ready to proceed with an unfriendly tender at a lower price” if the $15.50 offer was not accepted. The Independent Committee, after consulting with its financial and legal advisors, voted unanimously to recommend that the Lynch board approve Alcatel’s $15.50 cash per share merger. The Lynch board met later that day and, with Alcatel’s nominees abstaining, approved the merger.</w:t>
      </w:r>
    </w:p>
    <w:p>
      <w:pPr>
        <w:pStyle w:val="CaseBody"/>
      </w:pPr>
      <w:r>
        <w:t xml:space="preserve">Kahn, a Lynch shareholder, brought suit, later certified as a class action, challenging Alcatel’s acquisition of Lynch through a tender offer and cash-out merger. Kahn alleged the merger to be unfair in that Alcatel, as a controlling shareholder, breached its fiduciary duties to Lynch’s minority shareholders. Specifically, Kahn charged that Al-catel dictated the terms of the merger; made false, misleading, and inadequate disclosures; and paid an unfair price.</w:t>
      </w:r>
    </w:p>
    <w:p>
      <w:pPr>
        <w:pStyle w:val="CaseBody"/>
      </w:pPr>
      <w:r>
        <w:t xml:space="preserve">In its initial ruling, the Court of Chancery agreed with Kahn in finding that Alcatel exercised control over Lynch, but rejected the claim that Alcatel’s disclosures in connection with the merger were insufficient.</w:t>
      </w:r>
      <w:r>
        <w:t xml:space="preserve"> </w:t>
      </w:r>
      <w:r>
        <w:rPr>
          <w:iCs/>
          <w:i/>
        </w:rPr>
        <w:t xml:space="preserve">Kahn v. Lynch Communication Systems, Inc.,</w:t>
      </w:r>
      <w:r>
        <w:t xml:space="preserve"> </w:t>
      </w:r>
      <w:r>
        <w:t xml:space="preserve">Del.Ch., C.A. No. 8748,</w:t>
      </w:r>
      <w:r>
        <w:t xml:space="preserve"> </w:t>
      </w:r>
      <w:r>
        <w:t xml:space="preserve">1993 WL 290193</w:t>
      </w:r>
      <w:r>
        <w:t xml:space="preserve"> </w:t>
      </w:r>
      <w:r>
        <w:t xml:space="preserve">slip op. at 5, 18, Berger, V.C. (July 9, 1993) (the “1993 decision”). Since Alcatel had negotiated with Lynch through an Independent Committee, however, the court placed the burden of disproving entire fairness on the plaintiff. In its evaluation of the evidence, the court concluded that Kahn had not carried his burden of demonstrating that the price was unfair and thus failed to prove a breach of fiduciary duty on the part of Alca-tel. Judgment was accordingly entered for the defendants and Kahn appealed.</w:t>
      </w:r>
    </w:p>
    <w:p>
      <w:pPr>
        <w:pStyle w:val="CaseBody"/>
      </w:pPr>
      <w:r>
        <w:t xml:space="preserve">On appeal, this Court agreed with the Court of Chancery that Alcatel was a controlling shareholder.</w:t>
      </w:r>
      <w:r>
        <w:t xml:space="preserve"> </w:t>
      </w:r>
      <w:r>
        <w:rPr>
          <w:iCs/>
          <w:i/>
        </w:rPr>
        <w:t xml:space="preserve">Lynch I,</w:t>
      </w:r>
      <w:r>
        <w:t xml:space="preserve"> </w:t>
      </w:r>
      <w:r>
        <w:t xml:space="preserve">638 A.2d at 1114-15</w:t>
      </w:r>
      <w:r>
        <w:t xml:space="preserve">. Since Alcatel had vetoed Lynch’s acquisition of Telco and dominated Lynch’s board on other occasions, the Court of Chancery’s finding was clearly supported by the record.</w:t>
      </w:r>
      <w:r>
        <w:t xml:space="preserve"> </w:t>
      </w:r>
      <w:r>
        <w:rPr>
          <w:iCs/>
          <w:i/>
        </w:rPr>
        <w:t xml:space="preserve">Id.</w:t>
      </w:r>
    </w:p>
    <w:p>
      <w:pPr>
        <w:pStyle w:val="CaseBody"/>
      </w:pPr>
      <w:r>
        <w:t xml:space="preserve">This Court then turned to the finding that the transaction was entirely fair. We noted that normally a controlling shareholder, such as Alcatel, bears the burden of proving the entire fairness of a transaction in the context of a parent-subsidiary merger.</w:t>
      </w:r>
      <w:r>
        <w:t xml:space="preserve"> </w:t>
      </w:r>
      <w:r>
        <w:rPr>
          <w:iCs/>
          <w:i/>
        </w:rPr>
        <w:t xml:space="preserve">Id.</w:t>
      </w:r>
      <w:r>
        <w:rPr>
          <w:iCs/>
          <w:i/>
        </w:rPr>
        <w:t xml:space="preserve"> </w:t>
      </w:r>
      <w:r>
        <w:t xml:space="preserve">at 1115</w:t>
      </w:r>
      <w:r>
        <w:t xml:space="preserve">.</w:t>
      </w:r>
      <w:r>
        <w:t xml:space="preserve"> </w:t>
      </w:r>
      <w:r>
        <w:rPr>
          <w:iCs/>
          <w:i/>
        </w:rPr>
        <w:t xml:space="preserve">Weinberger v. UOP, Inc.,</w:t>
      </w:r>
      <w:r>
        <w:t xml:space="preserve"> </w:t>
      </w:r>
      <w:r>
        <w:t xml:space="preserve">Del.Supr.,</w:t>
      </w:r>
      <w:r>
        <w:t xml:space="preserve"> </w:t>
      </w:r>
      <w:r>
        <w:t xml:space="preserve">457 A.2d 701</w:t>
      </w:r>
      <w:r>
        <w:t xml:space="preserve">, 710 (1983), requires that the party that has the burden of showing entire fairness must address that concept’s “two basic aspects: fair dealing and fair price.”</w:t>
      </w:r>
      <w:r>
        <w:t xml:space="preserve"> </w:t>
      </w:r>
      <w:r>
        <w:rPr>
          <w:iCs/>
          <w:i/>
        </w:rPr>
        <w:t xml:space="preserve">Wein-berger</w:t>
      </w:r>
      <w:r>
        <w:t xml:space="preserve"> </w:t>
      </w:r>
      <w:r>
        <w:t xml:space="preserve">also addressed the question of what type of evidence would constitute a showing of entire fairness, and indicated that procedures, such as an independent negotiating committee which approximated an arm’s length bargaining process is strong evidence of fairness.</w:t>
      </w:r>
      <w:r>
        <w:t xml:space="preserve"> </w:t>
      </w:r>
      <w:r>
        <w:t xml:space="preserve">457 A2d at</w:t>
      </w:r>
      <w:r>
        <w:t xml:space="preserve"> </w:t>
      </w:r>
      <w:r>
        <w:t xml:space="preserve">709-10 n. 7.</w:t>
      </w:r>
    </w:p>
    <w:p>
      <w:pPr>
        <w:pStyle w:val="CaseBody"/>
      </w:pPr>
      <w:r>
        <w:t xml:space="preserve">The question remained, however, of the weight to be accorded such evidence, or, more specifically, whether a procedure approximating arm’s length bargaining shifts the burden to the plaintiffs to show entire fairness or changes the standard of review so that the transaction will be examined under the business judgment rule. In</w:t>
      </w:r>
      <w:r>
        <w:t xml:space="preserve"> </w:t>
      </w:r>
      <w:r>
        <w:rPr>
          <w:iCs/>
          <w:i/>
        </w:rPr>
        <w:t xml:space="preserve">Lynch I</w:t>
      </w:r>
      <w:r>
        <w:t xml:space="preserve"> </w:t>
      </w:r>
      <w:r>
        <w:t xml:space="preserve">we noted that, since</w:t>
      </w:r>
      <w:r>
        <w:t xml:space="preserve"> </w:t>
      </w:r>
      <w:r>
        <w:rPr>
          <w:iCs/>
          <w:i/>
        </w:rPr>
        <w:t xml:space="preserve">Weinberger,</w:t>
      </w:r>
      <w:r>
        <w:t xml:space="preserve"> </w:t>
      </w:r>
      <w:r>
        <w:t xml:space="preserve">a business purpose has not been required to justify a merger.</w:t>
      </w:r>
      <w:r>
        <w:t xml:space="preserve"> </w:t>
      </w:r>
      <w:r>
        <w:t xml:space="preserve">638 A.2d at 1116</w:t>
      </w:r>
      <w:r>
        <w:t xml:space="preserve">. Therefore, since no business judgment need be exercised, the business judgment rule is not the proper standard of review.</w:t>
      </w:r>
      <w:r>
        <w:t xml:space="preserve"> </w:t>
      </w:r>
      <w:r>
        <w:rPr>
          <w:iCs/>
          <w:i/>
        </w:rPr>
        <w:t xml:space="preserve">Id.</w:t>
      </w:r>
      <w:r>
        <w:t xml:space="preserve"> </w:t>
      </w:r>
      <w:r>
        <w:t xml:space="preserve">“Consequently, in a merger between the corporation and its controlling stockholder — even one negotiated by disinterested, independent directors — no court could be certain whether the transaction terms fully approximate what truly independent parties would have achieved in an arm's length negotiation.”</w:t>
      </w:r>
      <w:r>
        <w:t xml:space="preserve"> </w:t>
      </w:r>
      <w:r>
        <w:rPr>
          <w:iCs/>
          <w:i/>
        </w:rPr>
        <w:t xml:space="preserve">Citron v. E.I. Du Pont de Nemours &amp; Co.,</w:t>
      </w:r>
      <w:r>
        <w:t xml:space="preserve"> </w:t>
      </w:r>
      <w:r>
        <w:t xml:space="preserve">Del.Ch.,</w:t>
      </w:r>
      <w:r>
        <w:t xml:space="preserve"> </w:t>
      </w:r>
      <w:r>
        <w:t xml:space="preserve">584 A.2d 490</w:t>
      </w:r>
      <w:r>
        <w:t xml:space="preserve">, 502 (1990). Accordingly, the transaction must be examined for its entire fairness “because the unchanging nature of the underlying ‘interested’ transaction requires careful scrutiny.”</w:t>
      </w:r>
      <w:r>
        <w:t xml:space="preserve"> </w:t>
      </w:r>
      <w:r>
        <w:t xml:space="preserve">638 A.2d at 1116</w:t>
      </w:r>
      <w:r>
        <w:t xml:space="preserve">.</w:t>
      </w:r>
    </w:p>
    <w:p>
      <w:pPr>
        <w:pStyle w:val="CaseBody"/>
      </w:pPr>
      <w:r>
        <w:t xml:space="preserve">The next issue addressed by this Court in</w:t>
      </w:r>
      <w:r>
        <w:t xml:space="preserve"> </w:t>
      </w:r>
      <w:r>
        <w:rPr>
          <w:iCs/>
          <w:i/>
        </w:rPr>
        <w:t xml:space="preserve">Lynch I</w:t>
      </w:r>
      <w:r>
        <w:t xml:space="preserve"> </w:t>
      </w:r>
      <w:r>
        <w:t xml:space="preserve">was the allocation of the burden of proof. In order to shift the burden of showing entire fairness to the plaintiffs, the Independent Committee’s negotiations must have resulted in something approaching arm’s length negotiations. When undertaking this evaluation “particular consideration must be given to evidence of whether the special committee was truly independent, fully informed, and had the freedom to negotiate at arm’s length.”</w:t>
      </w:r>
      <w:r>
        <w:t xml:space="preserve"> </w:t>
      </w:r>
      <w:r>
        <w:rPr>
          <w:iCs/>
          <w:i/>
        </w:rPr>
        <w:t xml:space="preserve">Lynch I,</w:t>
      </w:r>
      <w:r>
        <w:t xml:space="preserve"> </w:t>
      </w:r>
      <w:r>
        <w:t xml:space="preserve">638 A2d at 1120-21</w:t>
      </w:r>
      <w:r>
        <w:t xml:space="preserve">. We noted with approval an earlier Court of Chancery ruling</w:t>
      </w:r>
      <w:r>
        <w:t xml:space="preserve"> </w:t>
      </w:r>
      <w:r>
        <w:rPr>
          <w:iCs/>
          <w:i/>
        </w:rPr>
        <w:t xml:space="preserve">to</w:t>
      </w:r>
      <w:r>
        <w:t xml:space="preserve"> </w:t>
      </w:r>
      <w:r>
        <w:t xml:space="preserve">the effect that at least two factors are required for this type of negotiation: (1) “the majority shareholder did not dictate the terms of the merger,” and (2) the committee had real bargaining power so that it could negotiate with the controlling shareholder at arm’s length.</w:t>
      </w:r>
      <w:r>
        <w:t xml:space="preserve"> </w:t>
      </w:r>
      <w:r>
        <w:rPr>
          <w:iCs/>
          <w:i/>
        </w:rPr>
        <w:t xml:space="preserve">Rabkin v. Olin Corp.,</w:t>
      </w:r>
      <w:r>
        <w:t xml:space="preserve"> </w:t>
      </w:r>
      <w:r>
        <w:t xml:space="preserve">Del.Ch., C.A. No. 7547 (Consolidated), Chandler, V.C.,</w:t>
      </w:r>
      <w:r>
        <w:t xml:space="preserve"> </w:t>
      </w:r>
      <w:r>
        <w:t xml:space="preserve">1990 WL 47648</w:t>
      </w:r>
      <w:r>
        <w:t xml:space="preserve">, slip op. at 14-15 (Apr. 17, 1990),</w:t>
      </w:r>
      <w:r>
        <w:t xml:space="preserve"> </w:t>
      </w:r>
      <w:r>
        <w:rPr>
          <w:iCs/>
          <w:i/>
        </w:rPr>
        <w:t xml:space="preserve">reprinted, in</w:t>
      </w:r>
      <w:r>
        <w:t xml:space="preserve"> </w:t>
      </w:r>
      <w:r>
        <w:t xml:space="preserve">16 Del. J.Corp.L. 851</w:t>
      </w:r>
      <w:r>
        <w:t xml:space="preserve">, 861-62 (1991),</w:t>
      </w:r>
      <w:r>
        <w:t xml:space="preserve"> </w:t>
      </w:r>
      <w:r>
        <w:rPr>
          <w:iCs/>
          <w:i/>
        </w:rPr>
        <w:t xml:space="preserve">aff'd,</w:t>
      </w:r>
      <w:r>
        <w:t xml:space="preserve"> </w:t>
      </w:r>
      <w:r>
        <w:t xml:space="preserve">Del.Supr.,</w:t>
      </w:r>
      <w:r>
        <w:t xml:space="preserve"> </w:t>
      </w:r>
      <w:r>
        <w:t xml:space="preserve">586 A.2d 1202</w:t>
      </w:r>
      <w:r>
        <w:t xml:space="preserve"> </w:t>
      </w:r>
      <w:r>
        <w:t xml:space="preserve">(1990).</w:t>
      </w:r>
    </w:p>
    <w:p>
      <w:pPr>
        <w:pStyle w:val="CaseBody"/>
      </w:pPr>
      <w:r>
        <w:t xml:space="preserve">Without explicitly referring to the</w:t>
      </w:r>
      <w:r>
        <w:t xml:space="preserve"> </w:t>
      </w:r>
      <w:r>
        <w:rPr>
          <w:iCs/>
          <w:i/>
        </w:rPr>
        <w:t xml:space="preserve">Rabkin</w:t>
      </w:r>
      <w:r>
        <w:t xml:space="preserve"> </w:t>
      </w:r>
      <w:r>
        <w:t xml:space="preserve">test, the Court of Chancery in the 1993 decision found that it had been satisfied to the extent the Independent Committee had appropriately simulated an arm’s length transaction. However, in</w:t>
      </w:r>
      <w:r>
        <w:t xml:space="preserve"> </w:t>
      </w:r>
      <w:r>
        <w:rPr>
          <w:iCs/>
          <w:i/>
        </w:rPr>
        <w:t xml:space="preserve">Lynch I,</w:t>
      </w:r>
      <w:r>
        <w:t xml:space="preserve"> </w:t>
      </w:r>
      <w:r>
        <w:t xml:space="preserve">this Court found that determination to be unsupported by the record.</w:t>
      </w:r>
      <w:r>
        <w:t xml:space="preserve"> </w:t>
      </w:r>
      <w:r>
        <w:t xml:space="preserve">638 A2d at 1121</w:t>
      </w:r>
      <w:r>
        <w:t xml:space="preserve">. Alcatel’s threat of a hostile bid prevented the negotiations from approximating an arm’s length transaction.</w:t>
      </w:r>
      <w:r>
        <w:t xml:space="preserve"> </w:t>
      </w:r>
      <w:r>
        <w:rPr>
          <w:iCs/>
          <w:i/>
        </w:rPr>
        <w:t xml:space="preserve">Id.</w:t>
      </w:r>
      <w:r>
        <w:t xml:space="preserve"> </w:t>
      </w:r>
      <w:r>
        <w:t xml:space="preserve">The Independent Committee had, in effect, surrendered to the ultimatum delivered with Alcatel’s last offer.</w:t>
      </w:r>
      <w:r>
        <w:t xml:space="preserve"> </w:t>
      </w:r>
      <w:r>
        <w:rPr>
          <w:iCs/>
          <w:i/>
        </w:rPr>
        <w:t xml:space="preserve">Id.</w:t>
      </w:r>
      <w:r>
        <w:t xml:space="preserve"> </w:t>
      </w:r>
      <w:r>
        <w:t xml:space="preserve">Alcatel’s use of its disproportionate bargaining power destroyed any approximation to being at arm’s length the negotiations otherwise may have had. We therefore held that the Court of Chancery had improperly allocated the burden of proof to the plaintiff.</w:t>
      </w:r>
      <w:r>
        <w:t xml:space="preserve"> </w:t>
      </w:r>
      <w:r>
        <w:rPr>
          <w:iCs/>
          <w:i/>
        </w:rPr>
        <w:t xml:space="preserve">Id.</w:t>
      </w:r>
      <w:r>
        <w:rPr>
          <w:iCs/>
          <w:i/>
        </w:rPr>
        <w:t xml:space="preserve"> </w:t>
      </w:r>
      <w:r>
        <w:t xml:space="preserve">at 1112</w:t>
      </w:r>
      <w:r>
        <w:t xml:space="preserve">.</w:t>
      </w:r>
    </w:p>
    <w:p>
      <w:pPr>
        <w:pStyle w:val="CaseBody"/>
      </w:pPr>
      <w:r>
        <w:t xml:space="preserve">Consequently, the case was remanded for a “redetermination of the entire fairness of the cash-out merger to Kahn and the other Lynch minority shareholders with the burden of proof remaining on Alcatel, the dominant and interested shareholder.”</w:t>
      </w:r>
      <w:r>
        <w:t xml:space="preserve"> </w:t>
      </w:r>
      <w:r>
        <w:rPr>
          <w:iCs/>
          <w:i/>
        </w:rPr>
        <w:t xml:space="preserve">Id.</w:t>
      </w:r>
      <w:r>
        <w:rPr>
          <w:iCs/>
          <w:i/>
        </w:rPr>
        <w:t xml:space="preserve"> </w:t>
      </w:r>
      <w:r>
        <w:t xml:space="preserve">at 1122</w:t>
      </w:r>
      <w:r>
        <w:t xml:space="preserve">;</w:t>
      </w:r>
      <w:r>
        <w:t xml:space="preserve"> </w:t>
      </w:r>
      <w:r>
        <w:rPr>
          <w:iCs/>
          <w:i/>
        </w:rPr>
        <w:t xml:space="preserve">see Cede &amp; Co. v. Technicolor, Inc.,</w:t>
      </w:r>
      <w:r>
        <w:t xml:space="preserve"> </w:t>
      </w:r>
      <w:r>
        <w:t xml:space="preserve">Del.Supr.,</w:t>
      </w:r>
      <w:r>
        <w:t xml:space="preserve"> </w:t>
      </w:r>
      <w:r>
        <w:t xml:space="preserve">634 A.2d 345</w:t>
      </w:r>
      <w:r>
        <w:t xml:space="preserve">, 367 (1993),</w:t>
      </w:r>
      <w:r>
        <w:t xml:space="preserve"> </w:t>
      </w:r>
      <w:r>
        <w:rPr>
          <w:iCs/>
          <w:i/>
        </w:rPr>
        <w:t xml:space="preserve">on reargument,</w:t>
      </w:r>
      <w:r>
        <w:t xml:space="preserve"> </w:t>
      </w:r>
      <w:r>
        <w:t xml:space="preserve">636 A.2d 956</w:t>
      </w:r>
      <w:r>
        <w:t xml:space="preserve"> </w:t>
      </w:r>
      <w:r>
        <w:t xml:space="preserve">(1994)</w:t>
      </w:r>
      <w:r>
        <w:t xml:space="preserve"> </w:t>
      </w:r>
      <w:r>
        <w:rPr>
          <w:iCs/>
          <w:i/>
        </w:rPr>
        <w:t xml:space="preserve">(“Cede II”).</w:t>
      </w:r>
      <w:r>
        <w:t xml:space="preserve"> </w:t>
      </w:r>
      <w:r>
        <w:t xml:space="preserve">Revisiting its decision based solely on the existing record and in light of this Court’s instructions, the Court of Chancery preliminarily, and correctly, noted that “the Supreme Court did not intend to foreclose a finding of entire fairness on remand.”</w:t>
      </w:r>
      <w:r>
        <w:t xml:space="preserve"> </w:t>
      </w:r>
      <w:r>
        <w:rPr>
          <w:iCs/>
          <w:i/>
        </w:rPr>
        <w:t xml:space="preserve">Kahn v. Lynch Communication Systems, Inc.,</w:t>
      </w:r>
      <w:r>
        <w:t xml:space="preserve"> </w:t>
      </w:r>
      <w:r>
        <w:t xml:space="preserve">Del. Ch., CA. No. 8748,</w:t>
      </w:r>
      <w:r>
        <w:t xml:space="preserve"> </w:t>
      </w:r>
      <w:r>
        <w:t xml:space="preserve">1995 WL 301403</w:t>
      </w:r>
      <w:r>
        <w:t xml:space="preserve">, slip. op. at 3, Berger, J. (April 17, 1995) (the “1995 decision”). “[T]he absence of certain elements of fair dealing does not mandate a decision that the transaction was not entirely fair.”</w:t>
      </w:r>
      <w:r>
        <w:t xml:space="preserve"> </w:t>
      </w:r>
      <w:r>
        <w:rPr>
          <w:iCs/>
          <w:i/>
        </w:rPr>
        <w:t xml:space="preserve">Id.</w:t>
      </w:r>
      <w:r>
        <w:t xml:space="preserve"> </w:t>
      </w:r>
      <w:r>
        <w:t xml:space="preserve">at 3-4;</w:t>
      </w:r>
      <w:r>
        <w:t xml:space="preserve"> </w:t>
      </w:r>
      <w:r>
        <w:rPr>
          <w:iCs/>
          <w:i/>
        </w:rPr>
        <w:t xml:space="preserve">accord Cinerama, Inc. v. Technicolor, Inc.,</w:t>
      </w:r>
      <w:r>
        <w:t xml:space="preserve"> </w:t>
      </w:r>
      <w:r>
        <w:t xml:space="preserve">Del.Supr.,</w:t>
      </w:r>
      <w:r>
        <w:t xml:space="preserve"> </w:t>
      </w:r>
      <w:r>
        <w:t xml:space="preserve">663 A.2d 1156</w:t>
      </w:r>
      <w:r>
        <w:t xml:space="preserve">, 1179 (1995).</w:t>
      </w:r>
    </w:p>
    <w:p>
      <w:pPr>
        <w:pStyle w:val="CaseBody"/>
      </w:pPr>
      <w:r>
        <w:t xml:space="preserve">After examining the transaction for entire fairness, the Court of Chancery once again found for the defendants, holding that they had carried the burden of showing the entire fairness of the transaction.</w:t>
      </w:r>
      <w:r>
        <w:t xml:space="preserve"> </w:t>
      </w:r>
      <w:r>
        <w:rPr>
          <w:iCs/>
          <w:i/>
        </w:rPr>
        <w:t xml:space="preserve">See Cinerama, Inc. v. Technicolor, Inc.,</w:t>
      </w:r>
      <w:r>
        <w:t xml:space="preserve"> </w:t>
      </w:r>
      <w:r>
        <w:t xml:space="preserve">Del.Ch.,</w:t>
      </w:r>
      <w:r>
        <w:t xml:space="preserve"> </w:t>
      </w:r>
      <w:r>
        <w:t xml:space="preserve">663 A.2d 1134</w:t>
      </w:r>
      <w:r>
        <w:t xml:space="preserve">, 1144 (1994). The Court of Chancery rejected the plaintiffs claim that the coercion of the Independent Committee should have been disclosed to the shareholders. In addition, despite this coercion, the defendants were deemed to have met their burden of fair dealing because they had satisfied other relevant factors set forth in</w:t>
      </w:r>
      <w:r>
        <w:t xml:space="preserve"> </w:t>
      </w:r>
      <w:r>
        <w:rPr>
          <w:iCs/>
          <w:i/>
        </w:rPr>
        <w:t xml:space="preserve">Weinberger.</w:t>
      </w:r>
      <w:r>
        <w:t xml:space="preserve"> </w:t>
      </w:r>
      <w:r>
        <w:t xml:space="preserve">1995 decision, slip op. at 3-5 (citing</w:t>
      </w:r>
      <w:r>
        <w:t xml:space="preserve"> </w:t>
      </w:r>
      <w:r>
        <w:rPr>
          <w:iCs/>
          <w:i/>
        </w:rPr>
        <w:t xml:space="preserve">Weinberger,</w:t>
      </w:r>
      <w:r>
        <w:t xml:space="preserve"> </w:t>
      </w:r>
      <w:r>
        <w:t xml:space="preserve">457 A.2d at 711</w:t>
      </w:r>
      <w:r>
        <w:t xml:space="preserve">). Specifically, the court examined the transaction’s timing, initiation, structure and negotiation.</w:t>
      </w:r>
    </w:p>
    <w:p>
      <w:pPr>
        <w:pStyle w:val="CaseBody"/>
      </w:pPr>
      <w:r>
        <w:t xml:space="preserve">Next, the Court of Chancery examined the issue of fair price. Finding the evaluation of the plaintiffs’ expert flawed, the court concluded that the defendants had also met their burden of establishing the fairness of the price received by the stockholders. 1995 decision, slip op. at 5-6. Thus, the Court of Chancery held for the defendants after finding that they had established the entire fairness of the transaction.</w:t>
      </w:r>
      <w:r>
        <w:t xml:space="preserve"> </w:t>
      </w:r>
      <w:r>
        <w:rPr>
          <w:iCs/>
          <w:i/>
        </w:rPr>
        <w:t xml:space="preserve">Accord Cinerama, Inc. v. Technicolor, Inc.,</w:t>
      </w:r>
      <w:r>
        <w:t xml:space="preserve"> </w:t>
      </w:r>
      <w:r>
        <w:t xml:space="preserve">Del.Ch.,</w:t>
      </w:r>
      <w:r>
        <w:t xml:space="preserve"> </w:t>
      </w:r>
      <w:r>
        <w:t xml:space="preserve">663 A2d 1134</w:t>
      </w:r>
      <w:r>
        <w:t xml:space="preserve">, 1144 (1994).</w:t>
      </w:r>
    </w:p>
    <w:p>
      <w:pPr>
        <w:pStyle w:val="CaseBody"/>
      </w:pPr>
      <w:r>
        <w:t xml:space="preserve">In this appeal from the 1995 decision of the Court of Chancery, Kahn raises several issues. First, he contends that the finding of fair dealing was inconsistent with our opinion in</w:t>
      </w:r>
      <w:r>
        <w:t xml:space="preserve"> </w:t>
      </w:r>
      <w:r>
        <w:rPr>
          <w:iCs/>
          <w:i/>
        </w:rPr>
        <w:t xml:space="preserve">Lynch I</w:t>
      </w:r>
      <w:r>
        <w:t xml:space="preserve"> </w:t>
      </w:r>
      <w:r>
        <w:t xml:space="preserve">and unsupported by the record. Specifically, Kahn asserts that the coercion of the Independent Committee constituted a</w:t>
      </w:r>
      <w:r>
        <w:t xml:space="preserve"> </w:t>
      </w:r>
      <w:r>
        <w:rPr>
          <w:iCs/>
          <w:i/>
        </w:rPr>
        <w:t xml:space="preserve">per se</w:t>
      </w:r>
      <w:r>
        <w:t xml:space="preserve"> </w:t>
      </w:r>
      <w:r>
        <w:t xml:space="preserve">breach of fiduciary duty which strongly compels a finding that the transaction was not entirely fair. In addition, the plaintiff charges that the initiation, timing and negotiation of the merger were unfair and also require a finding of unfair dealing.</w:t>
      </w:r>
    </w:p>
    <w:p>
      <w:pPr>
        <w:pStyle w:val="CaseBody"/>
      </w:pPr>
      <w:r>
        <w:t xml:space="preserve">Second, the plaintiff contends that Alcatel breached its fiduciary duty to Lynch’s stockholders by not fully disclosing its conduct in negotiating the merger. Thus, according to the plaintiff, the Court of Chancery erred by not finding a breach of the duty of disclosure. Such a finding, it is argued, is itself proof of unfair dealing.</w:t>
      </w:r>
    </w:p>
    <w:p>
      <w:pPr>
        <w:pStyle w:val="CaseBody"/>
      </w:pPr>
      <w:r>
        <w:t xml:space="preserve">The third claim made by Kahn is a challenge to the determination that the stockholders received a fair price for their shares. Kahn insists that the evidence submitted by Alcatel did not sustain their burden of showing that the price was fair.</w:t>
      </w:r>
    </w:p>
    <w:p>
      <w:pPr>
        <w:pStyle w:val="CaseBody"/>
      </w:pPr>
      <w:r>
        <w:t xml:space="preserve">II</w:t>
      </w:r>
    </w:p>
    <w:p>
      <w:pPr>
        <w:pStyle w:val="CaseBody"/>
      </w:pPr>
      <w:r>
        <w:t xml:space="preserve">Although we address this matter a second time following a partial reversal and remand, the standard of appellate review of the Court of Chancery’s second decision is the same. To the extent that the Court of Chancery made supplemental factual findings, we will defer to those findings unless they are clearly erroneous or not arrived at through a logical process.</w:t>
      </w:r>
      <w:r>
        <w:t xml:space="preserve"> </w:t>
      </w:r>
      <w:r>
        <w:rPr>
          <w:iCs/>
          <w:i/>
        </w:rPr>
        <w:t xml:space="preserve">Cede &amp; Co. v. Technicolor, Inc.,</w:t>
      </w:r>
      <w:r>
        <w:t xml:space="preserve"> </w:t>
      </w:r>
      <w:r>
        <w:t xml:space="preserve">Del.Supr.,</w:t>
      </w:r>
      <w:r>
        <w:t xml:space="preserve"> </w:t>
      </w:r>
      <w:r>
        <w:t xml:space="preserve">634 A.2d 345</w:t>
      </w:r>
      <w:r>
        <w:t xml:space="preserve">, 360 (1993);</w:t>
      </w:r>
      <w:r>
        <w:t xml:space="preserve"> </w:t>
      </w:r>
      <w:r>
        <w:rPr>
          <w:iCs/>
          <w:i/>
        </w:rPr>
        <w:t xml:space="preserve">Lynch I,</w:t>
      </w:r>
      <w:r>
        <w:t xml:space="preserve"> </w:t>
      </w:r>
      <w:r>
        <w:t xml:space="preserve">638 A.2d at 1114</w:t>
      </w:r>
      <w:r>
        <w:t xml:space="preserve">. Our review of the formulation and application of legal principles, however, is plenary and requires no deference.</w:t>
      </w:r>
      <w:r>
        <w:t xml:space="preserve"> </w:t>
      </w:r>
      <w:r>
        <w:rPr>
          <w:iCs/>
          <w:i/>
        </w:rPr>
        <w:t xml:space="preserve">Gilbert v. El Paso Co.,</w:t>
      </w:r>
      <w:r>
        <w:t xml:space="preserve"> </w:t>
      </w:r>
      <w:r>
        <w:t xml:space="preserve">Del.Supr.,</w:t>
      </w:r>
      <w:r>
        <w:t xml:space="preserve"> </w:t>
      </w:r>
      <w:r>
        <w:t xml:space="preserve">575 A.2d 1131</w:t>
      </w:r>
      <w:r>
        <w:t xml:space="preserve">, 1142 (1990).</w:t>
      </w:r>
    </w:p>
    <w:p>
      <w:pPr>
        <w:pStyle w:val="CaseBody"/>
      </w:pPr>
      <w:r>
        <w:t xml:space="preserve">A.</w:t>
      </w:r>
    </w:p>
    <w:p>
      <w:pPr>
        <w:pStyle w:val="CaseBody"/>
      </w:pPr>
      <w:r>
        <w:t xml:space="preserve">At the outset we must confront the disagreement between the parties concerning the extent to which our decision in</w:t>
      </w:r>
      <w:r>
        <w:t xml:space="preserve"> </w:t>
      </w:r>
      <w:r>
        <w:rPr>
          <w:iCs/>
          <w:i/>
        </w:rPr>
        <w:t xml:space="preserve">Lynch I</w:t>
      </w:r>
      <w:r>
        <w:t xml:space="preserve"> </w:t>
      </w:r>
      <w:r>
        <w:t xml:space="preserve">limited the scope of the Court of Chancery’s re-examination of the record on remand. Kahn argues that this Court’s characterization of Alcatel’s conduct as “coercive” was not accorded adequate consideration by the trial court in its entire fairness calculation. Alcatel contends to the contrary that this Court’s evaluation of the record in</w:t>
      </w:r>
      <w:r>
        <w:t xml:space="preserve"> </w:t>
      </w:r>
      <w:r>
        <w:rPr>
          <w:iCs/>
          <w:i/>
        </w:rPr>
        <w:t xml:space="preserve">Lynch I</w:t>
      </w:r>
      <w:r>
        <w:t xml:space="preserve"> </w:t>
      </w:r>
      <w:r>
        <w:t xml:space="preserve">was done in the context of determining which party had the burden of proving entire fairness and that the Court of Chancery, on remand, was restricted procedurally, but not substantively, in its view of the trial evidence.</w:t>
      </w:r>
    </w:p>
    <w:p>
      <w:pPr>
        <w:pStyle w:val="CaseBody"/>
      </w:pPr>
      <w:r>
        <w:t xml:space="preserve">While we agree that our decision in</w:t>
      </w:r>
      <w:r>
        <w:t xml:space="preserve"> </w:t>
      </w:r>
      <w:r>
        <w:rPr>
          <w:iCs/>
          <w:i/>
        </w:rPr>
        <w:t xml:space="preserve">Lynch I</w:t>
      </w:r>
      <w:r>
        <w:t xml:space="preserve"> </w:t>
      </w:r>
      <w:r>
        <w:t xml:space="preserve">limited the range of findings available to the Court of Chancery upon remand, our previous review of the record focused upon the threshold question of burden of proof. Our reversal on burden of proof left open the question whether the transaction was entirely fair.</w:t>
      </w:r>
      <w:r>
        <w:t xml:space="preserve"> </w:t>
      </w:r>
      <w:r>
        <w:rPr>
          <w:iCs/>
          <w:i/>
        </w:rPr>
        <w:t xml:space="preserve">Lynch I,</w:t>
      </w:r>
      <w:r>
        <w:t xml:space="preserve"> </w:t>
      </w:r>
      <w:r>
        <w:t xml:space="preserve">638 A.2d at 1122</w:t>
      </w:r>
      <w:r>
        <w:t xml:space="preserve">. Indeed, Kahn concedes that our ruling on burden shifting did not create</w:t>
      </w:r>
      <w:r>
        <w:t xml:space="preserve"> </w:t>
      </w:r>
      <w:r>
        <w:rPr>
          <w:iCs/>
          <w:i/>
        </w:rPr>
        <w:t xml:space="preserve">per se</w:t>
      </w:r>
      <w:r>
        <w:t xml:space="preserve"> </w:t>
      </w:r>
      <w:r>
        <w:t xml:space="preserve">liability, an obvious concession since we did not address the fair price element in</w:t>
      </w:r>
      <w:r>
        <w:t xml:space="preserve"> </w:t>
      </w:r>
      <w:r>
        <w:rPr>
          <w:iCs/>
          <w:i/>
        </w:rPr>
        <w:t xml:space="preserve">Lynch</w:t>
      </w:r>
      <w:r>
        <w:t xml:space="preserve"> </w:t>
      </w:r>
      <w:r>
        <w:t xml:space="preserve">.7, except to note that the Independent Committee’s ability to negotiate price had been compromised by Alcatel’s threat to proceed with a hostile tender offer.</w:t>
      </w:r>
      <w:r>
        <w:t xml:space="preserve"> </w:t>
      </w:r>
      <w:r>
        <w:rPr>
          <w:iCs/>
          <w:i/>
        </w:rPr>
        <w:t xml:space="preserve">See Cinerama, Inc. v. Technicolor, Inc.,</w:t>
      </w:r>
      <w:r>
        <w:t xml:space="preserve"> </w:t>
      </w:r>
      <w:r>
        <w:t xml:space="preserve">Del.Supr.,</w:t>
      </w:r>
      <w:r>
        <w:t xml:space="preserve"> </w:t>
      </w:r>
      <w:r>
        <w:t xml:space="preserve">663 A.2d 1156</w:t>
      </w:r>
      <w:r>
        <w:t xml:space="preserve">, 1162 (1995). The Court of Chancery correctly took as its premise on remand that Alcatel, as the dominant and interested shareholder bore the burden of demonstrating the entire fairness of the merger transaction. Its findings will be tested from that perspective.</w:t>
      </w:r>
    </w:p>
    <w:p>
      <w:pPr>
        <w:pStyle w:val="CaseBody"/>
      </w:pPr>
      <w:r>
        <w:t xml:space="preserve">As we noted in</w:t>
      </w:r>
      <w:r>
        <w:t xml:space="preserve"> </w:t>
      </w:r>
      <w:r>
        <w:rPr>
          <w:iCs/>
          <w:i/>
        </w:rPr>
        <w:t xml:space="preserve">Lynch I,</w:t>
      </w:r>
      <w:r>
        <w:t xml:space="preserve"> </w:t>
      </w:r>
      <w:r>
        <w:t xml:space="preserve">“a controlling or dominating shareholder standing on both sides of a transaction, as in a parent-subsidiary context, bears the burden of proving its entire fairness”</w:t>
      </w:r>
      <w:r>
        <w:t xml:space="preserve"> </w:t>
      </w:r>
      <w:r>
        <w:t xml:space="preserve">638 A.2d at 1115</w:t>
      </w:r>
      <w:r>
        <w:t xml:space="preserve">. The standard for demonstrating entire fairness is the oft-repeated one announced in</w:t>
      </w:r>
      <w:r>
        <w:t xml:space="preserve"> </w:t>
      </w:r>
      <w:r>
        <w:rPr>
          <w:iCs/>
          <w:i/>
        </w:rPr>
        <w:t xml:space="preserve">Weinberger v. UOP, Inc.,</w:t>
      </w:r>
      <w:r>
        <w:t xml:space="preserve"> </w:t>
      </w:r>
      <w:r>
        <w:t xml:space="preserve">Del.Supr.,</w:t>
      </w:r>
      <w:r>
        <w:t xml:space="preserve"> </w:t>
      </w:r>
      <w:r>
        <w:t xml:space="preserve">457 A.2d 701</w:t>
      </w:r>
      <w:r>
        <w:t xml:space="preserve">, 711 (1983): fair dealing and fair price. Fair dealing addresses the timing and structure of negotiations as well as the method of approval of the transaction, while fair price relates to all the factors which affect the value of the stock of the merged company.</w:t>
      </w:r>
      <w:r>
        <w:t xml:space="preserve"> </w:t>
      </w:r>
      <w:r>
        <w:rPr>
          <w:iCs/>
          <w:i/>
        </w:rPr>
        <w:t xml:space="preserve">Id.</w:t>
      </w:r>
      <w:r>
        <w:t xml:space="preserve"> </w:t>
      </w:r>
      <w:r>
        <w:t xml:space="preserve">An important teaching of</w:t>
      </w:r>
      <w:r>
        <w:t xml:space="preserve"> </w:t>
      </w:r>
      <w:r>
        <w:rPr>
          <w:iCs/>
          <w:i/>
        </w:rPr>
        <w:t xml:space="preserve">Weinberger,</w:t>
      </w:r>
      <w:r>
        <w:t xml:space="preserve"> </w:t>
      </w:r>
      <w:r>
        <w:t xml:space="preserve">however, is that the test is not bifurcated or compartmentalized but one requiring an examination of all aspects of the transaction to gain a sense of whether the deal in its entirety is fair.</w:t>
      </w:r>
      <w:r>
        <w:t xml:space="preserve"> </w:t>
      </w:r>
      <w:r>
        <w:rPr>
          <w:iCs/>
          <w:i/>
        </w:rPr>
        <w:t xml:space="preserve">Id.</w:t>
      </w:r>
      <w:r>
        <w:t xml:space="preserve"> </w:t>
      </w:r>
      <w:r>
        <w:t xml:space="preserve">In its most recent authoritative analysis of the subject, this Court held: “the board will have to demonstrate entire fairness by presenting evidence of the cumulative manner by which it ... discharged all of its fiduciary duties.”</w:t>
      </w:r>
      <w:r>
        <w:t xml:space="preserve"> </w:t>
      </w:r>
      <w:r>
        <w:rPr>
          <w:iCs/>
          <w:i/>
        </w:rPr>
        <w:t xml:space="preserve">Cinerama, Inc. v. Technicolor, Inc.,</w:t>
      </w:r>
      <w:r>
        <w:t xml:space="preserve"> </w:t>
      </w:r>
      <w:r>
        <w:t xml:space="preserve">Del.Supr.,</w:t>
      </w:r>
      <w:r>
        <w:t xml:space="preserve"> </w:t>
      </w:r>
      <w:r>
        <w:t xml:space="preserve">663 A.2d at 1163</w:t>
      </w:r>
      <w:r>
        <w:t xml:space="preserve">.</w:t>
      </w:r>
    </w:p>
    <w:p>
      <w:pPr>
        <w:pStyle w:val="CaseBody"/>
      </w:pPr>
      <w:r>
        <w:t xml:space="preserve">B.</w:t>
      </w:r>
    </w:p>
    <w:p>
      <w:pPr>
        <w:pStyle w:val="CaseBody"/>
      </w:pPr>
      <w:r>
        <w:t xml:space="preserve">This Court will now review the Court of Chancery’s entire fairness analysis upon remand.</w:t>
      </w:r>
      <w:r>
        <w:t xml:space="preserve"> </w:t>
      </w:r>
      <w:r>
        <w:rPr>
          <w:iCs/>
          <w:i/>
        </w:rPr>
        <w:t xml:space="preserve">Accord Cinerama, Inc. v. Technicolor, Inc.,</w:t>
      </w:r>
      <w:r>
        <w:t xml:space="preserve"> </w:t>
      </w:r>
      <w:r>
        <w:t xml:space="preserve">Del.Supr.,</w:t>
      </w:r>
      <w:r>
        <w:t xml:space="preserve"> </w:t>
      </w:r>
      <w:r>
        <w:t xml:space="preserve">663 A.2d at 1172</w:t>
      </w:r>
      <w:r>
        <w:t xml:space="preserve">. The record reflects that the Court of Chancery followed this Court’s mandate by applying a unified approach to its entire fairness examination.</w:t>
      </w:r>
      <w:r>
        <w:t xml:space="preserve"> </w:t>
      </w:r>
      <w:r>
        <w:rPr>
          <w:iCs/>
          <w:i/>
        </w:rPr>
        <w:t xml:space="preserve">Lynch I,</w:t>
      </w:r>
      <w:r>
        <w:t xml:space="preserve"> </w:t>
      </w:r>
      <w:r>
        <w:t xml:space="preserve">638 A.2d at 1115</w:t>
      </w:r>
      <w:r>
        <w:t xml:space="preserve">. In doing so, the Court of Chancery properly considered “how the board of directors discharged all of its fiduciary duties with regard to each aspect of the non-bifurcated components of entire fairness: fair dealing and fair price.”</w:t>
      </w:r>
      <w:r>
        <w:t xml:space="preserve"> </w:t>
      </w:r>
      <w:r>
        <w:rPr>
          <w:iCs/>
          <w:i/>
        </w:rPr>
        <w:t xml:space="preserve">Cinerama, Inc. v. Technicolor, Inc.,</w:t>
      </w:r>
      <w:r>
        <w:t xml:space="preserve"> </w:t>
      </w:r>
      <w:r>
        <w:t xml:space="preserve">Del.Supr.,</w:t>
      </w:r>
      <w:r>
        <w:t xml:space="preserve"> </w:t>
      </w:r>
      <w:r>
        <w:t xml:space="preserve">663 A.2d at 1172</w:t>
      </w:r>
      <w:r>
        <w:t xml:space="preserve">.</w:t>
      </w:r>
    </w:p>
    <w:p>
      <w:pPr>
        <w:pStyle w:val="CaseBody"/>
      </w:pPr>
      <w:r>
        <w:t xml:space="preserve">In addressing the fair dealing component of the transaction, the Court of Chancery determined that the initiation and timing of the transactions were responsive to Lynch’s needs. This conclusion was based on the fact that Lynch’s marketing strategy was handicapped by the lack of a fiber optic technology. Alcatel proposed the merger with Celwave to remedy this competitive weakness, but Lynch management and the non-Alcatel directors did not believe this combination would be beneficial to Lynch. Dertinger, Lynch’s CEO, suggested to Alcatel that, under the circumstances, a cash merger with Alcatel will be preferable to a Celwave merger. Thus, the Alcatel offer to acquire the minority interests in Lynch was viewed as an alternative to the disfavored Celwave transaction.</w:t>
      </w:r>
    </w:p>
    <w:p>
      <w:pPr>
        <w:pStyle w:val="CaseBody"/>
      </w:pPr>
      <w:r>
        <w:t xml:space="preserve">Kahn argues that the Telco acquisition, which Lynch management strongly supported, was vetoed by Alcatel to force Lynch to accept Celwave as a merger partner or agree to a cash out merger with Alcatel. The benefits of the Telco transaction, however, are clearly debatable. Telco was not profitable and had a limited fiber optic capability. There is no assurance that Lynch’s shareholders would have benefitted from the acquisition. More to the point, the timing of a merger transaction cannot be viewed solely from the perspective of the acquired entity. A majority shareholder is naturally motivated by economic self-interest in initiating a transaction. Otherwise, there is no reason to do it. Thus, mere initiation by the acquirer is not reprehensible so long as the controlling shareholder does not gain a financial advantage at the expense of the minority.</w:t>
      </w:r>
      <w:r>
        <w:t xml:space="preserve"> </w:t>
      </w:r>
      <w:r>
        <w:rPr>
          <w:iCs/>
          <w:i/>
        </w:rPr>
        <w:t xml:space="preserve">Cinerama, Inc. v. Technicolor, Inc.,</w:t>
      </w:r>
      <w:r>
        <w:t xml:space="preserve"> </w:t>
      </w:r>
      <w:r>
        <w:t xml:space="preserve">Del.Supr.,</w:t>
      </w:r>
      <w:r>
        <w:t xml:space="preserve"> </w:t>
      </w:r>
      <w:r>
        <w:t xml:space="preserve">663 A.2d 1156</w:t>
      </w:r>
      <w:r>
        <w:t xml:space="preserve">, 1172 (1995);</w:t>
      </w:r>
      <w:r>
        <w:t xml:space="preserve"> </w:t>
      </w:r>
      <w:r>
        <w:rPr>
          <w:iCs/>
          <w:i/>
        </w:rPr>
        <w:t xml:space="preserve">Jedwab v. MGM Grand Hotels, Inc.,</w:t>
      </w:r>
      <w:r>
        <w:t xml:space="preserve"> </w:t>
      </w:r>
      <w:r>
        <w:t xml:space="preserve">Del.Ch.,</w:t>
      </w:r>
      <w:r>
        <w:t xml:space="preserve"> </w:t>
      </w:r>
      <w:r>
        <w:t xml:space="preserve">509 A.2d 584</w:t>
      </w:r>
      <w:r>
        <w:t xml:space="preserve">, 599 (1986).</w:t>
      </w:r>
    </w:p>
    <w:p>
      <w:pPr>
        <w:pStyle w:val="CaseBody"/>
      </w:pPr>
      <w:r>
        <w:t xml:space="preserve">In support of its claim of coercion, Kahn contends that Alcatel timed its merger offer, with a thinly-veiled threat of using its controlling position to force the result, to take advantage of the opportunity to buy Lynch on the cheap. As will be discussed at greater length in our fair price analysis,</w:t>
      </w:r>
      <w:r>
        <w:t xml:space="preserve"> </w:t>
      </w:r>
      <w:r>
        <w:rPr>
          <w:iCs/>
          <w:i/>
        </w:rPr>
        <w:t xml:space="preserve">infra,</w:t>
      </w:r>
      <w:r>
        <w:t xml:space="preserve"> </w:t>
      </w:r>
      <w:r>
        <w:t xml:space="preserve">Lynch was experiencing a difficult and rapidly changing competitive situation. Its current financial results reflected that fact. Although its stock was trading at low levels, this may simply have been a reflection of its competitive problems. Alcatel is not to be faulted for taking advantage of the objective reality of Lynch’s financial situation. Thus, the mere fact that the transaction was initiated at Alcatel’s discretion, does not dictate a finding of unfairness in the absence of a determination that the minority shareholders of Lynch were harmed by the timing. The Court of Chancery rejected such a claim and we agree.</w:t>
      </w:r>
    </w:p>
    <w:p>
      <w:pPr>
        <w:pStyle w:val="CaseBody"/>
      </w:pPr>
      <w:r>
        <w:t xml:space="preserve">C.</w:t>
      </w:r>
    </w:p>
    <w:p>
      <w:pPr>
        <w:pStyle w:val="CaseBody"/>
      </w:pPr>
      <w:r>
        <w:t xml:space="preserve">With respect to the negotiations and structure of the transaction, the Court of Chancery, while acknowledging that the Court in</w:t>
      </w:r>
      <w:r>
        <w:t xml:space="preserve"> </w:t>
      </w:r>
      <w:r>
        <w:rPr>
          <w:iCs/>
          <w:i/>
        </w:rPr>
        <w:t xml:space="preserve">Lynch I</w:t>
      </w:r>
      <w:r>
        <w:t xml:space="preserve"> </w:t>
      </w:r>
      <w:r>
        <w:t xml:space="preserve">found the negotiations coercive, commented that the negotiations “certainly were no less fair than if there had been no negotiations at all.” 1995 decision, slip op. at 4. The court noted that a committee of non-Alcatel directors negotiated an increase in price from $14 per share to $15.50. The committee also retained two investment banking firms who were well acquainted with Lynch’s prospects based on their work on the Celwave proposal. Moreover, the committee had the benefit of outside legal counsel.</w:t>
      </w:r>
    </w:p>
    <w:p>
      <w:pPr>
        <w:pStyle w:val="CaseBody"/>
      </w:pPr>
      <w:r>
        <w:t xml:space="preserve">It is true that the committee and the Board, agreed to a price which at least one member of the committee later opined was not a fair price.</w:t>
      </w:r>
      <w:r>
        <w:t xml:space="preserve"> </w:t>
      </w:r>
      <w:r>
        <w:rPr>
          <w:iCs/>
          <w:i/>
        </w:rPr>
        <w:t xml:space="preserve">Lynch I,</w:t>
      </w:r>
      <w:r>
        <w:t xml:space="preserve"> </w:t>
      </w:r>
      <w:r>
        <w:t xml:space="preserve">638 A.2d at 1118</w:t>
      </w:r>
      <w:r>
        <w:t xml:space="preserve">. But there is no requirement of unanimity in such matters either at the Independent Committee level or by the Board. A finding of unfair dealing based on lack of unanimity could discourage the use of special committees in majority dominated cash-out mergers. Here Alcatel could have presented a merger offer directly to the Lynch Board, which it controlled, and received a quick approval. Had it done so, of course, it would have born the burden of demonstrating entire fairness in the event the transaction was later questioned.</w:t>
      </w:r>
      <w:r>
        <w:t xml:space="preserve"> </w:t>
      </w:r>
      <w:r>
        <w:rPr>
          <w:iCs/>
          <w:i/>
        </w:rPr>
        <w:t xml:space="preserve">See Weinberger v. UOP,</w:t>
      </w:r>
      <w:r>
        <w:t xml:space="preserve"> </w:t>
      </w:r>
      <w:r>
        <w:t xml:space="preserve">Del.Supr.,</w:t>
      </w:r>
      <w:r>
        <w:t xml:space="preserve"> </w:t>
      </w:r>
      <w:r>
        <w:t xml:space="preserve">457 A.2d 701</w:t>
      </w:r>
      <w:r>
        <w:t xml:space="preserve"> </w:t>
      </w:r>
      <w:r>
        <w:t xml:space="preserve">(1983). Where, ultimately, it has been required to assume the same burden, it should fare no worse in a judicial review of the fairness of its negotiations with the Independent Committee.</w:t>
      </w:r>
    </w:p>
    <w:p>
      <w:pPr>
        <w:pStyle w:val="CaseBody"/>
      </w:pPr>
      <w:r>
        <w:t xml:space="preserve">Kahn asserts that the Court of Chancery did not properly consider our finding of coercion in</w:t>
      </w:r>
      <w:r>
        <w:t xml:space="preserve"> </w:t>
      </w:r>
      <w:r>
        <w:rPr>
          <w:iCs/>
          <w:i/>
        </w:rPr>
        <w:t xml:space="preserve">Lynch I.</w:t>
      </w:r>
      <w:r>
        <w:t xml:space="preserve"> </w:t>
      </w:r>
      <w:r>
        <w:t xml:space="preserve">Generally, as in this case, the burden rests on the party that engaged in coercive conduct to demonstrate the equity of their actions.</w:t>
      </w:r>
      <w:r>
        <w:t xml:space="preserve"> </w:t>
      </w:r>
      <w:r>
        <w:rPr>
          <w:iCs/>
          <w:i/>
        </w:rPr>
        <w:t xml:space="preserve">Lynch I,</w:t>
      </w:r>
      <w:r>
        <w:t xml:space="preserve"> </w:t>
      </w:r>
      <w:r>
        <w:t xml:space="preserve">638 A2d at</w:t>
      </w:r>
      <w:r>
        <w:t xml:space="preserve"> </w:t>
      </w:r>
      <w:r>
        <w:rPr>
          <w:iCs/>
          <w:i/>
        </w:rPr>
        <w:t xml:space="preserve">1121</w:t>
      </w:r>
      <w:r>
        <w:rPr>
          <w:iCs/>
          <w:i/>
        </w:rPr>
        <w:t xml:space="preserve">; Unitrin, Inc. v. American General Corp.,</w:t>
      </w:r>
      <w:r>
        <w:t xml:space="preserve"> </w:t>
      </w:r>
      <w:r>
        <w:t xml:space="preserve">Del.Supr.,</w:t>
      </w:r>
      <w:r>
        <w:t xml:space="preserve"> </w:t>
      </w:r>
      <w:r>
        <w:t xml:space="preserve">651 A.2d 1361</w:t>
      </w:r>
      <w:r>
        <w:t xml:space="preserve">, 1373, 1387 (1995) (holding that burden rests on board of directors which has taken draconian, e.g., coercive, measures in response to hostile tender offer). Kahn challenges the Court of Chancery’s finding of fair dealing by relying upon the holding in</w:t>
      </w:r>
      <w:r>
        <w:t xml:space="preserve"> </w:t>
      </w:r>
      <w:r>
        <w:rPr>
          <w:iCs/>
          <w:i/>
        </w:rPr>
        <w:t xml:space="preserve">Ivanhoe Partners v. Newmont Min. Corp.,</w:t>
      </w:r>
      <w:r>
        <w:t xml:space="preserve"> </w:t>
      </w:r>
      <w:r>
        <w:t xml:space="preserve">Del.Ch.,</w:t>
      </w:r>
      <w:r>
        <w:t xml:space="preserve"> </w:t>
      </w:r>
      <w:r>
        <w:t xml:space="preserve">533 A.2d 585</w:t>
      </w:r>
      <w:r>
        <w:t xml:space="preserve">, 605-06 (1987),</w:t>
      </w:r>
      <w:r>
        <w:t xml:space="preserve"> </w:t>
      </w:r>
      <w:r>
        <w:rPr>
          <w:iCs/>
          <w:i/>
        </w:rPr>
        <w:t xml:space="preserve">aff'd,</w:t>
      </w:r>
      <w:r>
        <w:t xml:space="preserve"> </w:t>
      </w:r>
      <w:r>
        <w:t xml:space="preserve">Del.Supr.,</w:t>
      </w:r>
      <w:r>
        <w:t xml:space="preserve"> </w:t>
      </w:r>
      <w:r>
        <w:t xml:space="preserve">535 A.2d 1334</w:t>
      </w:r>
      <w:r>
        <w:t xml:space="preserve"> </w:t>
      </w:r>
      <w:r>
        <w:t xml:space="preserve">(1988),</w:t>
      </w:r>
      <w:r>
        <w:t xml:space="preserve"> </w:t>
      </w:r>
      <w:r>
        <w:rPr>
          <w:iCs/>
          <w:i/>
        </w:rPr>
        <w:t xml:space="preserve">for</w:t>
      </w:r>
      <w:r>
        <w:t xml:space="preserve"> </w:t>
      </w:r>
      <w:r>
        <w:t xml:space="preserve">the proposition that coercion creates liability</w:t>
      </w:r>
      <w:r>
        <w:t xml:space="preserve"> </w:t>
      </w:r>
      <w:r>
        <w:rPr>
          <w:iCs/>
          <w:i/>
        </w:rPr>
        <w:t xml:space="preserve">per se.</w:t>
      </w:r>
      <w:r>
        <w:t xml:space="preserve"> </w:t>
      </w:r>
      <w:r>
        <w:t xml:space="preserve"> </w:t>
      </w:r>
      <w:r>
        <w:rPr>
          <w:iCs/>
          <w:i/>
        </w:rPr>
        <w:t xml:space="preserve">Ivanhoe</w:t>
      </w:r>
      <w:r>
        <w:t xml:space="preserve"> </w:t>
      </w:r>
      <w:r>
        <w:t xml:space="preserve">makes clear, however, that to be actionable, the coercive conduct directed at selling shareholders must be a “material” influence on the decision to sell.</w:t>
      </w:r>
      <w:r>
        <w:t xml:space="preserve"> </w:t>
      </w:r>
      <w:r>
        <w:rPr>
          <w:iCs/>
          <w:i/>
        </w:rPr>
        <w:t xml:space="preserve">Id.; see also Eisenberg v. Chicago Milwaukee Corp.,</w:t>
      </w:r>
      <w:r>
        <w:t xml:space="preserve"> </w:t>
      </w:r>
      <w:r>
        <w:t xml:space="preserve">Del.Ch.,</w:t>
      </w:r>
      <w:r>
        <w:t xml:space="preserve"> </w:t>
      </w:r>
      <w:r>
        <w:t xml:space="preserve">537 A2d 1051</w:t>
      </w:r>
      <w:r>
        <w:t xml:space="preserve">, 1061-62 (1987).</w:t>
      </w:r>
    </w:p>
    <w:p>
      <w:pPr>
        <w:pStyle w:val="CaseBody"/>
      </w:pPr>
      <w:r>
        <w:t xml:space="preserve">Where other economic forces are at work and more likely produced the decision to sell, as the Court of Chancery determined here, the specter of coercion may not be deemed material with respect to the transaction as a whole, and will not prevent a finding of entire fairness. In this case, no shareholder was treated differently in the transaction from any other shareholder nor subjected to a two-tiered or squeeze-out treatment.</w:t>
      </w:r>
      <w:r>
        <w:t xml:space="preserve"> </w:t>
      </w:r>
      <w:r>
        <w:rPr>
          <w:iCs/>
          <w:i/>
        </w:rPr>
        <w:t xml:space="preserve">See, e.g., Unocal Corp. v. Mesa Petroleum Co.,</w:t>
      </w:r>
      <w:r>
        <w:t xml:space="preserve"> </w:t>
      </w:r>
      <w:r>
        <w:t xml:space="preserve">Del.Supr.,</w:t>
      </w:r>
      <w:r>
        <w:t xml:space="preserve"> </w:t>
      </w:r>
      <w:r>
        <w:t xml:space="preserve">493 A.2d 946</w:t>
      </w:r>
      <w:r>
        <w:t xml:space="preserve">, 956 (1985). Alcatel offered cash for all the minority shares and paid cash for all shares tendered. Clearly there was no coercion exerted which was material to this aspect of the transaction, and thus no finding of</w:t>
      </w:r>
      <w:r>
        <w:t xml:space="preserve"> </w:t>
      </w:r>
      <w:r>
        <w:rPr>
          <w:iCs/>
          <w:i/>
        </w:rPr>
        <w:t xml:space="preserve">per se</w:t>
      </w:r>
      <w:r>
        <w:t xml:space="preserve"> </w:t>
      </w:r>
      <w:r>
        <w:t xml:space="preserve">liability is required.</w:t>
      </w:r>
    </w:p>
    <w:p>
      <w:pPr>
        <w:pStyle w:val="CaseBody"/>
      </w:pPr>
      <w:r>
        <w:t xml:space="preserve">D.</w:t>
      </w:r>
    </w:p>
    <w:p>
      <w:pPr>
        <w:pStyle w:val="CaseBody"/>
      </w:pPr>
      <w:r>
        <w:t xml:space="preserve">As previously noted, in</w:t>
      </w:r>
      <w:r>
        <w:t xml:space="preserve"> </w:t>
      </w:r>
      <w:r>
        <w:rPr>
          <w:iCs/>
          <w:i/>
        </w:rPr>
        <w:t xml:space="preserve">Lynch I</w:t>
      </w:r>
      <w:r>
        <w:t xml:space="preserve"> </w:t>
      </w:r>
      <w:r>
        <w:t xml:space="preserve">this Court did not address the fair price aspect of the merger transaction since our remand required a reexamination of fair dealing at the trial level. The parties had presented extensive evidence at the original trial concerning the value of Lynch. Upon remand the Court of Chancery reassessed that evidence with the burden on Alcatel to prove the fairness of the cash-out merger price.</w:t>
      </w:r>
      <w:r>
        <w:t xml:space="preserve"> </w:t>
      </w:r>
      <w:r>
        <w:rPr>
          <w:iCs/>
          <w:i/>
        </w:rPr>
        <w:t xml:space="preserve">Accord Cinerama, Inc. v. Technicolor, Inc.,</w:t>
      </w:r>
      <w:r>
        <w:t xml:space="preserve"> </w:t>
      </w:r>
      <w:r>
        <w:t xml:space="preserve">Del.Ch.,</w:t>
      </w:r>
      <w:r>
        <w:t xml:space="preserve"> </w:t>
      </w:r>
      <w:r>
        <w:t xml:space="preserve">663 A.2d 1134</w:t>
      </w:r>
      <w:r>
        <w:t xml:space="preserve">, 1142-44 (1994).</w:t>
      </w:r>
    </w:p>
    <w:p>
      <w:pPr>
        <w:pStyle w:val="CaseBody"/>
      </w:pPr>
      <w:r>
        <w:t xml:space="preserve">In considering whether Alcatel had discharged its burden with respect to fairness of price, the Court of Chancery placed reliance upon the testimony of Michael McCarty, a senior officer at Dillon Read, who prepared Alcatel’s proposal to the Independent Committee. He valued Lynch at $15.50 to $16.00 per share — a range determined by using the closing market price of $11 per share of October 17,1988 and adding a merger premium of 41 to 46%. Dillon Read’s valuation had been prepared in October, 1986 in connection with the Lynch/Celwave combination proposed at a time when Lynch was experiencing a downward trend in earnings and prospects. Subsequent to the October valuation, Lynch management revised its three year forecast downward to reflect disappointing third quarter results.</w:t>
      </w:r>
    </w:p>
    <w:p>
      <w:pPr>
        <w:pStyle w:val="CaseBody"/>
      </w:pPr>
      <w:r>
        <w:t xml:space="preserve">The Court of Chancery also considered the valuation reports issued by both Kidder Peabody and Thompson McKinmon who were retained by the Independent Committee at the time of the Celwave proposal in October. At that time both bankers valued Lynch at $16.50 to $17.50 per share. These valuations, however, were made in response to Alcatel’s Celwave proposal and were not, strictly speaking, fairness opinions. When Lynch later revised downward its financial forecasts based on poor third quarter operating results both firms opined that the Alcatel merger price was fair as of the later merger date.</w:t>
      </w:r>
    </w:p>
    <w:p>
      <w:pPr>
        <w:pStyle w:val="CaseBody"/>
      </w:pPr>
      <w:r>
        <w:t xml:space="preserve">Kahn supported his claim of inadequate price principally through the expert testimony of Fred Shinagle, an independent financial analyst, who opined that the fair value of Lynch on November 24, 1986 was $18.25 per share. He reached that conclusion by averaging equally the values he derived from market price, book value, earning power and capitalization.</w:t>
      </w:r>
    </w:p>
    <w:p>
      <w:pPr>
        <w:pStyle w:val="CaseBody"/>
      </w:pPr>
      <w:r>
        <w:t xml:space="preserve">Shinagle used the average market price for Lynch stock during the week of June 23, 1986 since Lynch and Alcatel first began discussion about a Celwave transaction on June 25. That average was $13.23 per share. He next computed Lynch’s book value of $17.99 per share by applying a multiple of 1.7 to Lynch’s accounting book value of $10.58 per share. The multiple was derived from the average book value multiple of six companies which Shinagle chose for comparison analysis. The information concerning the comparable companies was gathered from Standard &amp; Poor’s summary sheets using the Standard Industrial Code (SIC) Classification. Shinagle did not perform a first hand review of the financial statements of the comparable companies but relied solely upon the Standard &amp; Poor material. Nor did Shinagle perform any independent research on Lynch’s production and industry but relied instead on information relayed by Dertinger.</w:t>
      </w:r>
    </w:p>
    <w:p>
      <w:pPr>
        <w:pStyle w:val="CaseBody"/>
      </w:pPr>
      <w:r>
        <w:t xml:space="preserve">Shinagle’s capitalization value for Lynch, $27.92 per share, was secured by multiplying the book capitalization figure of $11.17 per share by 2.5. This multiple was not the average but the highest of the six comparable companies. He justified the use of the highest multiple on the ground that Lynch had a lower debt to equity ratio than any of the comparables. He believed that an inverse correlation exists between debt-to-equity and capitalization multipliers.</w:t>
      </w:r>
    </w:p>
    <w:p>
      <w:pPr>
        <w:pStyle w:val="CaseBody"/>
      </w:pPr>
      <w:r>
        <w:t xml:space="preserve">Finally, Shinagle devised a value for earning power of $13.37 per share again by calculating average multiples from his comparable companies for revenue, net income and cash flow. These multiples applied against Lynch’s forecasted revenue, net income and cash flow yield results which he averaged to reach earning power value.</w:t>
      </w:r>
    </w:p>
    <w:p>
      <w:pPr>
        <w:pStyle w:val="CaseBody"/>
      </w:pPr>
      <w:r>
        <w:t xml:space="preserve">In addition to the testimony of his valuation expert, Kahn offered the view of Der-tinger, Lynch’s CEO at the time of the merger, who testified that he thought the fan-value of Lynch at the time of the merger was $20 per share. Dertinger considered “two values of Lynch: Our marketing value — that is in the eyes of our customers — and the value of Lynch on Wall Street as exemplified primarily by the stock price. But I think that is definitely secondary to a company’s potential.” Board member Hubert Kertz also testified that in his opinion Lynch’s value was well above the $14 merger price. Although conceding that “not being a financial man but being a manager” he thought that “even under almost the worst scenario, it ought to be somewhere in the high teens or $20 a share.”</w:t>
      </w:r>
    </w:p>
    <w:p>
      <w:pPr>
        <w:pStyle w:val="CaseBody"/>
      </w:pPr>
      <w:r>
        <w:t xml:space="preserve">In its fair price analysis, the Court of Chancery accepted the fairness opinions tendered by Alcatel and found the merger price fair. The court rejected Kahn’s attack on the merger price because it found the Shina-gle valuation methodology to be flawed for the reason set forth in the trial court’s 1993 decision. Those deficiencies included Shina-gle’s decision to use the highest capitalization ratio instead of the average as he did with his other calculations involving the comparable companies. The court noted that had Shinagle used the average capitalization rate of the comparable companies, consistent with his use of averages for his other valuation approaches, his capitalization value would have been $13.18 per share instead of the $27.92 per share produced by applying the highest capitalization ratio. The court rejected Shinagle’s assumption that debVequity ratio correlates to a high capitalization ratio as unjustified.</w:t>
      </w:r>
    </w:p>
    <w:p>
      <w:pPr>
        <w:pStyle w:val="CaseBody"/>
      </w:pPr>
      <w:r>
        <w:t xml:space="preserve">In resolving issues of valuation the Court of Chancery undertakes a mixed determination of law and fact. When faced with differing methodologies or opinions the court is entitled to draw its own conclusions from the evidence.</w:t>
      </w:r>
      <w:r>
        <w:t xml:space="preserve"> </w:t>
      </w:r>
      <w:r>
        <w:rPr>
          <w:iCs/>
          <w:i/>
        </w:rPr>
        <w:t xml:space="preserve">Kahn v. Household Acquisition Corp.,</w:t>
      </w:r>
      <w:r>
        <w:t xml:space="preserve"> </w:t>
      </w:r>
      <w:r>
        <w:t xml:space="preserve">Del.Supr.,</w:t>
      </w:r>
      <w:r>
        <w:t xml:space="preserve"> </w:t>
      </w:r>
      <w:r>
        <w:t xml:space="preserve">591 A.2d 166</w:t>
      </w:r>
      <w:r>
        <w:t xml:space="preserve">, 175 (1991). So long as the court’s ultimate determination of value is based on the application of recognized valuation standards, its acceptance of one expert’s opinion, to the exclusion of another, will not be disturbed.</w:t>
      </w:r>
      <w:r>
        <w:t xml:space="preserve"> </w:t>
      </w:r>
      <w:r>
        <w:rPr>
          <w:iCs/>
          <w:i/>
        </w:rPr>
        <w:t xml:space="preserve">Id.</w:t>
      </w:r>
    </w:p>
    <w:p>
      <w:pPr>
        <w:pStyle w:val="CaseBody"/>
      </w:pPr>
      <w:r>
        <w:t xml:space="preserve">The Court of Chancery’s finding that Alcatel had successfully born the initial burden of proving the fairness of the merger price is fully supportable by the evidence tendered by the experts retained by Alcatel and by the Independent Committee. Shinagle’s opinions supporting a higher valuation were rejected as flawed and the testimony of Dertinger and Kertz not credited by the trial court because of the lack of analysis or objective support. Although the burden of proving fair price had shifted to Alcatel, once a sufficient showing of fair value of the company was presented, the party attacking the merger was required to come forward with sufficient credible evidence to persuade the finder of fact of the merit of a greater figure proposed.</w:t>
      </w:r>
      <w:r>
        <w:t xml:space="preserve"> </w:t>
      </w:r>
      <w:r>
        <w:rPr>
          <w:iCs/>
          <w:i/>
        </w:rPr>
        <w:t xml:space="preserve">See Cinerama, Inc. v. Technicolor, Inc.,</w:t>
      </w:r>
      <w:r>
        <w:t xml:space="preserve"> </w:t>
      </w:r>
      <w:r>
        <w:t xml:space="preserve">Del.Supr.,</w:t>
      </w:r>
      <w:r>
        <w:t xml:space="preserve"> </w:t>
      </w:r>
      <w:r>
        <w:t xml:space="preserve">663 A.2d 1156</w:t>
      </w:r>
      <w:r>
        <w:t xml:space="preserve">, 1177 (1995);</w:t>
      </w:r>
      <w:r>
        <w:t xml:space="preserve"> </w:t>
      </w:r>
      <w:r>
        <w:rPr>
          <w:iCs/>
          <w:i/>
        </w:rPr>
        <w:t xml:space="preserve">Citron v. E.I. DuPont de Nemours &amp; Co.,</w:t>
      </w:r>
      <w:r>
        <w:t xml:space="preserve"> </w:t>
      </w:r>
      <w:r>
        <w:t xml:space="preserve">DehCh.,</w:t>
      </w:r>
      <w:r>
        <w:t xml:space="preserve"> </w:t>
      </w:r>
      <w:r>
        <w:t xml:space="preserve">584 A.2d 490</w:t>
      </w:r>
      <w:r>
        <w:t xml:space="preserve">, 508 (1990);</w:t>
      </w:r>
      <w:r>
        <w:t xml:space="preserve"> </w:t>
      </w:r>
      <w:r>
        <w:rPr>
          <w:iCs/>
          <w:i/>
        </w:rPr>
        <w:t xml:space="preserve">Rosenblatt v. Getty Oil Co.,</w:t>
      </w:r>
      <w:r>
        <w:t xml:space="preserve"> </w:t>
      </w:r>
      <w:r>
        <w:t xml:space="preserve">Del.Supr.,</w:t>
      </w:r>
      <w:r>
        <w:t xml:space="preserve"> </w:t>
      </w:r>
      <w:r>
        <w:t xml:space="preserve">493 A.2d 929</w:t>
      </w:r>
      <w:r>
        <w:t xml:space="preserve">, 942 (1985). The Court of Chancery was not persuaded that Kahn had presented evidence of sufficient quality to prove the inadequacy of the merger price. We find that ruling to be logically determined and supported by the evidence and accordingly affirm.</w:t>
      </w:r>
    </w:p>
    <w:p>
      <w:pPr>
        <w:pStyle w:val="CaseBody"/>
      </w:pPr>
      <w:r>
        <w:t xml:space="preserve">Ill</w:t>
      </w:r>
    </w:p>
    <w:p>
      <w:pPr>
        <w:pStyle w:val="CaseBody"/>
      </w:pPr>
      <w:r>
        <w:t xml:space="preserve">We next address the remaining question decided by the Court of Chancery in its 1993 decision but not resolved in</w:t>
      </w:r>
      <w:r>
        <w:t xml:space="preserve"> </w:t>
      </w:r>
      <w:r>
        <w:rPr>
          <w:iCs/>
          <w:i/>
        </w:rPr>
        <w:t xml:space="preserve">Lynch</w:t>
      </w:r>
      <w:r>
        <w:t xml:space="preserve"> </w:t>
      </w:r>
      <w:r>
        <w:t xml:space="preserve">I — whether Alcatel violated the duty of disclosure in its Offer to Purchase directed to Lynch shareholders. Kahn asserts that in light of this Court’s finding that Alcatel used coercion to gain approval of the merger price by the Lynch board, the Offer to Purchase contained material omissions. To the contrary, Alcatel maintains that in both the Offer to Purchase and in its Schedule 13D filed with the Securities and Exchange Commission, Al-catel fully and clearly indicated that its option included a tender offer directly to stockholders if negotiations with the Lynch Board proved unsuccessful.</w:t>
      </w:r>
    </w:p>
    <w:p>
      <w:pPr>
        <w:pStyle w:val="CaseBody"/>
      </w:pPr>
      <w:r>
        <w:t xml:space="preserve">A controlling shareholder owes a duty of complete candor when standing on both sides of a transaction and must disclose fully all the material facts and circumstances surrounding the transaction.</w:t>
      </w:r>
      <w:r>
        <w:t xml:space="preserve"> </w:t>
      </w:r>
      <w:r>
        <w:rPr>
          <w:iCs/>
          <w:i/>
        </w:rPr>
        <w:t xml:space="preserve">Arnold v. Society for Sav. Bancorp, Inc.,</w:t>
      </w:r>
      <w:r>
        <w:t xml:space="preserve"> </w:t>
      </w:r>
      <w:r>
        <w:t xml:space="preserve">Del.Supr.,</w:t>
      </w:r>
      <w:r>
        <w:t xml:space="preserve"> </w:t>
      </w:r>
      <w:r>
        <w:t xml:space="preserve">650 A.2d 1270</w:t>
      </w:r>
      <w:r>
        <w:t xml:space="preserve">, 1276 (1994). Information is deemed material if “there is a substantial likelihood that a reasonable shareholder would consider it important in deciding how to vote.”</w:t>
      </w:r>
      <w:r>
        <w:t xml:space="preserve"> </w:t>
      </w:r>
      <w:r>
        <w:rPr>
          <w:iCs/>
          <w:i/>
        </w:rPr>
        <w:t xml:space="preserve">Rosenblatt v. Getty Oil Co.,</w:t>
      </w:r>
      <w:r>
        <w:t xml:space="preserve"> </w:t>
      </w:r>
      <w:r>
        <w:t xml:space="preserve">Del.Supr.,</w:t>
      </w:r>
      <w:r>
        <w:t xml:space="preserve"> </w:t>
      </w:r>
      <w:r>
        <w:t xml:space="preserve">493 A.2d 929</w:t>
      </w:r>
      <w:r>
        <w:t xml:space="preserve">, 944 (1985) (quoting</w:t>
      </w:r>
      <w:r>
        <w:t xml:space="preserve"> </w:t>
      </w:r>
      <w:r>
        <w:rPr>
          <w:iCs/>
          <w:i/>
        </w:rPr>
        <w:t xml:space="preserve">TSC Indus., Inc. v. Northway, Inc.,</w:t>
      </w:r>
      <w:r>
        <w:t xml:space="preserve"> </w:t>
      </w:r>
      <w:r>
        <w:t xml:space="preserve">426 U.S. 438</w:t>
      </w:r>
      <w:r>
        <w:t xml:space="preserve">, 449,</w:t>
      </w:r>
      <w:r>
        <w:t xml:space="preserve"> </w:t>
      </w:r>
      <w:r>
        <w:t xml:space="preserve">96 S.Ct. 2126</w:t>
      </w:r>
      <w:r>
        <w:t xml:space="preserve">, 2132,</w:t>
      </w:r>
      <w:r>
        <w:t xml:space="preserve"> </w:t>
      </w:r>
      <w:r>
        <w:t xml:space="preserve">48 L.Ed.2d 757</w:t>
      </w:r>
      <w:r>
        <w:t xml:space="preserve"> </w:t>
      </w:r>
      <w:r>
        <w:t xml:space="preserve">(1976)). The materiality standard is an objective one, determined from the perspective of the reasonable shareholder, not that of the directors or other party who undertakes to distribute information.</w:t>
      </w:r>
      <w:r>
        <w:t xml:space="preserve"> </w:t>
      </w:r>
      <w:r>
        <w:rPr>
          <w:iCs/>
          <w:i/>
        </w:rPr>
        <w:t xml:space="preserve">Zirn v. VLI Corp.,</w:t>
      </w:r>
      <w:r>
        <w:t xml:space="preserve"> </w:t>
      </w:r>
      <w:r>
        <w:t xml:space="preserve">Del.Supr.,</w:t>
      </w:r>
      <w:r>
        <w:t xml:space="preserve"> </w:t>
      </w:r>
      <w:r>
        <w:t xml:space="preserve">621 A.2d 773</w:t>
      </w:r>
      <w:r>
        <w:t xml:space="preserve">, 779 (1993). In reviewing a ruling pursuant to these legal standards, this Court will review the entire record.</w:t>
      </w:r>
      <w:r>
        <w:t xml:space="preserve"> </w:t>
      </w:r>
      <w:r>
        <w:rPr>
          <w:iCs/>
          <w:i/>
        </w:rPr>
        <w:t xml:space="preserve">Id.</w:t>
      </w:r>
      <w:r>
        <w:rPr>
          <w:iCs/>
          <w:i/>
        </w:rPr>
        <w:t xml:space="preserve"> </w:t>
      </w:r>
      <w:r>
        <w:t xml:space="preserve">at 778</w:t>
      </w:r>
      <w:r>
        <w:t xml:space="preserve">. “[I]f the findings of the trial judge are sufficiently supported by the record and are the product of an orderly and logical deductive process, ... we accept them, even though independently we might have reached opposite conclusions.”</w:t>
      </w:r>
      <w:r>
        <w:t xml:space="preserve"> </w:t>
      </w:r>
      <w:r>
        <w:rPr>
          <w:iCs/>
          <w:i/>
        </w:rPr>
        <w:t xml:space="preserve">Id.</w:t>
      </w:r>
      <w:r>
        <w:t xml:space="preserve"> </w:t>
      </w:r>
      <w:r>
        <w:t xml:space="preserve">(citations omitted).</w:t>
      </w:r>
    </w:p>
    <w:p>
      <w:pPr>
        <w:pStyle w:val="CaseBody"/>
      </w:pPr>
      <w:r>
        <w:t xml:space="preserve">We begin our examination of the record below with the allegedly deficient documents. The Offer to Purchase, distributed to</w:t>
      </w:r>
      <w:r>
        <w:t xml:space="preserve"> </w:t>
      </w:r>
      <w:r>
        <w:rPr>
          <w:iCs/>
          <w:i/>
        </w:rPr>
        <w:t xml:space="preserve">Lynch</w:t>
      </w:r>
      <w:r>
        <w:t xml:space="preserve"> </w:t>
      </w:r>
      <w:r>
        <w:t xml:space="preserve">shareholders at the Board’s behest and apparently under Alcatel’s direction, described Alcatel’s negotiation stance as follows:</w:t>
      </w:r>
    </w:p>
    <w:p>
      <w:pPr>
        <w:pStyle w:val="BlockText"/>
      </w:pPr>
      <w:r>
        <w:t xml:space="preserve">Discussions between representatives of Dillon Read on behalf of Alcatel USA and the Independent Committee and its financial advisors continued during the period from November 12 to November 20, 1986. During such discussions representatives of Alcatel USA informed the Independent Committee that, in the event the parties could not reach an agreement for a transaction, Alcatel USA would consider the options that were available to it at that time, including among other things, making an offer directly to the stockholders of the Company.</w:t>
      </w:r>
    </w:p>
    <w:p>
      <w:pPr>
        <w:pStyle w:val="CaseBody"/>
      </w:pPr>
      <w:r>
        <w:t xml:space="preserve">In its 1993 decision, the Court of Chancery found that the Offer to Purchase and this language in particular “sufficiently describe Alcatel’s position. They alert a reasonable investor that Alcatel had a certain amount of bargaining leverage and was using it.” On remand, the Court of Chancery held to the same conclusion, stating: “The Supreme Court’s description of the negotiations as coercive does not mandate the use of that term in the proxy materials.”</w:t>
      </w:r>
    </w:p>
    <w:p>
      <w:pPr>
        <w:pStyle w:val="CaseBody"/>
      </w:pPr>
      <w:r>
        <w:t xml:space="preserve">Kahn argues that Alcatel’s description of its negotiating options was incomplete and misleading and should have conveyed the additional information that its “making an offer” would have been “far below the merger price of $15.50 per share.” The narrow question thus becomes whether a reasonable shareholder would have considered the additional language “as having significantly altered the total mix of information made available.” Ar</w:t>
      </w:r>
      <w:r>
        <w:rPr>
          <w:iCs/>
          <w:i/>
        </w:rPr>
        <w:t xml:space="preserve">nold v. Bancorp,</w:t>
      </w:r>
      <w:r>
        <w:t xml:space="preserve"> </w:t>
      </w:r>
      <w:r>
        <w:t xml:space="preserve">650 A.2d at 1277</w:t>
      </w:r>
      <w:r>
        <w:t xml:space="preserve">.</w:t>
      </w:r>
    </w:p>
    <w:p>
      <w:pPr>
        <w:pStyle w:val="CaseBody"/>
      </w:pPr>
      <w:r>
        <w:t xml:space="preserve">Although the additional language may have rendered the Offer to Purchase somewhat more informative by “closing the circle” on the full extent of Alcatel’s options, we agree with the Court of Chancery that such additional language was not required to describe the extent of Alcatel’s bargaining power.</w:t>
      </w:r>
      <w:r>
        <w:t xml:space="preserve"> </w:t>
      </w:r>
      <w:r>
        <w:rPr>
          <w:iCs/>
          <w:i/>
        </w:rPr>
        <w:t xml:space="preserve">See Seibert v. Harper &amp; Row Publishers, Inc.,</w:t>
      </w:r>
      <w:r>
        <w:t xml:space="preserve"> </w:t>
      </w:r>
      <w:r>
        <w:t xml:space="preserve">Del.Ch., C.A. No. 6689,</w:t>
      </w:r>
      <w:r>
        <w:t xml:space="preserve"> </w:t>
      </w:r>
      <w:r>
        <w:t xml:space="preserve">10 Del.J.Corp.L. 645</w:t>
      </w:r>
      <w:r>
        <w:t xml:space="preserve">, 655,</w:t>
      </w:r>
      <w:r>
        <w:t xml:space="preserve"> </w:t>
      </w:r>
      <w:r>
        <w:t xml:space="preserve">1984 WL 21874</w:t>
      </w:r>
      <w:r>
        <w:t xml:space="preserve">, Berger, Y.C. (Dec. 5, 1984) (noting that a proxy statement need not disclose facts which are “generally known”). There can be little doubt that Al-catel intended to acquire the entire equity interest in Lynch and the description of negotiations contained in the Offer to Purchase described its efforts and the responses of the Lynch Board and the Independent Committee. The Offer to Purchase disclosed the full range of value advanced by the parties during negotiations and notes that the final price of $15.50 was not within the preliminary range but reflects the change in financial projections based on Lynch’s third-quarter results.</w:t>
      </w:r>
    </w:p>
    <w:p>
      <w:pPr>
        <w:pStyle w:val="CaseBody"/>
      </w:pPr>
      <w:r>
        <w:t xml:space="preserve">Kahn concedes that Alcatel was not required to describe its own conduct as coercive but at the same time argues that the Offer to Purchase should have contained sufficient facts concerning Alcatel’s negotiation power to permit the minority shareholders of Lynch to gain the same impression. This contention overstates the effect of our holding in</w:t>
      </w:r>
      <w:r>
        <w:t xml:space="preserve"> </w:t>
      </w:r>
      <w:r>
        <w:rPr>
          <w:iCs/>
          <w:i/>
        </w:rPr>
        <w:t xml:space="preserve">Lynch I</w:t>
      </w:r>
      <w:r>
        <w:t xml:space="preserve"> </w:t>
      </w:r>
      <w:r>
        <w:t xml:space="preserve">and misconceives the requirements of materiality.</w:t>
      </w:r>
      <w:r>
        <w:t xml:space="preserve"> </w:t>
      </w:r>
      <w:r>
        <w:rPr>
          <w:iCs/>
          <w:i/>
        </w:rPr>
        <w:t xml:space="preserve">Weiss v. Rockwell Int’l Corp.,</w:t>
      </w:r>
      <w:r>
        <w:t xml:space="preserve"> </w:t>
      </w:r>
      <w:r>
        <w:t xml:space="preserve">Del.Ch., C.A No. 8811,</w:t>
      </w:r>
      <w:r>
        <w:t xml:space="preserve"> </w:t>
      </w:r>
      <w:r>
        <w:t xml:space="preserve">15 Del.J.Corp.L. 777</w:t>
      </w:r>
      <w:r>
        <w:t xml:space="preserve">, 787,</w:t>
      </w:r>
      <w:r>
        <w:t xml:space="preserve"> </w:t>
      </w:r>
      <w:r>
        <w:t xml:space="preserve">1989 WL 80345</w:t>
      </w:r>
      <w:r>
        <w:t xml:space="preserve">, Jacobs, V.C. (July 10, 1989) (“To argue, as plaintiff does, that the proxy statement should have embellished these disclosures by adding to them a confession of corporate wrongdoing ... is simply not required.”),</w:t>
      </w:r>
      <w:r>
        <w:rPr>
          <w:iCs/>
          <w:i/>
        </w:rPr>
        <w:t xml:space="preserve">aff'd,</w:t>
      </w:r>
      <w:r>
        <w:t xml:space="preserve"> </w:t>
      </w:r>
      <w:r>
        <w:t xml:space="preserve">Del.Supr.,</w:t>
      </w:r>
      <w:r>
        <w:t xml:space="preserve"> </w:t>
      </w:r>
      <w:r>
        <w:t xml:space="preserve">574 A.2d 264</w:t>
      </w:r>
      <w:r>
        <w:t xml:space="preserve"> </w:t>
      </w:r>
      <w:r>
        <w:t xml:space="preserve">(1990). A reasonable minority shareholder of Lynch was under no illusions concerning the leverage available to Alcatel and its willingness to use it to acquire the minority interest.</w:t>
      </w:r>
    </w:p>
    <w:p>
      <w:pPr>
        <w:pStyle w:val="CaseBody"/>
      </w:pPr>
      <w:r>
        <w:t xml:space="preserve">Alcatel’s consideration of available options including “making an offer directly to the stockholders” is obviously conveying an intent to terminate negotiations with the Board and engage in a hostile tender offer. The materiality of the tendered information is the statement of Alcatel’s range of options and that such options were disclosed to the Independent Committee as part of the negotiations that led to the agreement of the Lynch Board to recommend the merger prices. In our view nothing further was required and we find the holding of the Court of Chancery that no disclosure violation occurred here to be clearly supported by the record.</w:t>
      </w:r>
    </w:p>
    <w:p>
      <w:pPr>
        <w:pStyle w:val="CaseBody"/>
      </w:pPr>
      <w:r>
        <w:t xml:space="preserve">The Court of Chancery’s finding of no disclosure violation, which we endorse, though not determinative of entire fairness, is of “persuasive substantive significance.”</w:t>
      </w:r>
      <w:r>
        <w:t xml:space="preserve"> </w:t>
      </w:r>
      <w:r>
        <w:rPr>
          <w:iCs/>
          <w:i/>
        </w:rPr>
        <w:t xml:space="preserve">Cinerama, Inc. v. Technicolor, Inc.,</w:t>
      </w:r>
      <w:r>
        <w:t xml:space="preserve"> </w:t>
      </w:r>
      <w:r>
        <w:t xml:space="preserve">Del.Supr.,</w:t>
      </w:r>
      <w:r>
        <w:t xml:space="preserve"> </w:t>
      </w:r>
      <w:r>
        <w:t xml:space="preserve">663 A.2d 1156</w:t>
      </w:r>
      <w:r>
        <w:t xml:space="preserve">, 1176 (1995). Such a determination precludes the award of damages</w:t>
      </w:r>
      <w:r>
        <w:t xml:space="preserve"> </w:t>
      </w:r>
      <w:r>
        <w:rPr>
          <w:iCs/>
          <w:i/>
        </w:rPr>
        <w:t xml:space="preserve">per se,</w:t>
      </w:r>
      <w:r>
        <w:t xml:space="preserve"> </w:t>
      </w:r>
      <w:r>
        <w:t xml:space="preserve">bears directly upon the manner in which stockholder approval was obtained, and places this case in the category of “non-fraudulent transactions” in which price may be the preponderant consideration.</w:t>
      </w:r>
      <w:r>
        <w:t xml:space="preserve"> </w:t>
      </w:r>
      <w:r>
        <w:rPr>
          <w:iCs/>
          <w:i/>
        </w:rPr>
        <w:t xml:space="preserve">Id.</w:t>
      </w:r>
      <w:r>
        <w:t xml:space="preserve"> </w:t>
      </w:r>
      <w:r>
        <w:t xml:space="preserve">(quoting</w:t>
      </w:r>
      <w:r>
        <w:t xml:space="preserve"> </w:t>
      </w:r>
      <w:r>
        <w:rPr>
          <w:iCs/>
          <w:i/>
        </w:rPr>
        <w:t xml:space="preserve">Weinberger v. UOP, Inc.,</w:t>
      </w:r>
      <w:r>
        <w:t xml:space="preserve"> </w:t>
      </w:r>
      <w:r>
        <w:t xml:space="preserve">457 A.2d at 711</w:t>
      </w:r>
      <w:r>
        <w:t xml:space="preserve">.)</w:t>
      </w:r>
      <w:r>
        <w:rPr>
          <w:rStyle w:val="FootnoteReference"/>
        </w:rPr>
        <w:footnoteReference w:customMarkFollows="1" w:id="91"/>
        <w:t xml:space="preserve">3</w:t>
      </w:r>
      <w:r>
        <w:t xml:space="preserve"> </w:t>
      </w:r>
      <w:r>
        <w:t xml:space="preserve">Although the merger was not conditioned on a majority of the minority vote, we note that more than 94 percent of the shares were tendered in response to Alcatel’s offer.</w:t>
      </w:r>
    </w:p>
    <w:p>
      <w:pPr>
        <w:pStyle w:val="CaseBody"/>
      </w:pPr>
      <w:r>
        <w:t xml:space="preserve">IV</w:t>
      </w:r>
    </w:p>
    <w:p>
      <w:pPr>
        <w:pStyle w:val="CaseBody"/>
      </w:pPr>
      <w:r>
        <w:t xml:space="preserve">In summary, after reassessing the trial record under an entire fairness standard, with the burden of proof upon Alcatel, the Court of Chancery determined that, as a result of the manner by which the board discharged its fiduciary duties, the timing and structure of negotiations and the disclosure to shareholders of such event were the product of fair dealing. Similarly, the trial court concluded that the merger price was fair.</w:t>
      </w:r>
      <w:r>
        <w:t xml:space="preserve"> </w:t>
      </w:r>
      <w:r>
        <w:rPr>
          <w:iCs/>
          <w:i/>
        </w:rPr>
        <w:t xml:space="preserve">Cinerama, Inc. v. Technicolor, Inc.,</w:t>
      </w:r>
      <w:r>
        <w:t xml:space="preserve"> </w:t>
      </w:r>
      <w:r>
        <w:t xml:space="preserve">Del.Supr.,</w:t>
      </w:r>
      <w:r>
        <w:t xml:space="preserve"> </w:t>
      </w:r>
      <w:r>
        <w:t xml:space="preserve">663 A.2d at 1172</w:t>
      </w:r>
      <w:r>
        <w:t xml:space="preserve">. Thus the non-bifureated standard of</w:t>
      </w:r>
      <w:r>
        <w:t xml:space="preserve"> </w:t>
      </w:r>
      <w:r>
        <w:rPr>
          <w:iCs/>
          <w:i/>
        </w:rPr>
        <w:t xml:space="preserve">Weinberger</w:t>
      </w:r>
      <w:r>
        <w:t xml:space="preserve"> </w:t>
      </w:r>
      <w:r>
        <w:t xml:space="preserve">was satisfied. Under our standard of review, we defer to the trial court’s evidentiary findings if supported by the record and logically determined.</w:t>
      </w:r>
      <w:r>
        <w:t xml:space="preserve"> </w:t>
      </w:r>
      <w:r>
        <w:rPr>
          <w:iCs/>
          <w:i/>
        </w:rPr>
        <w:t xml:space="preserve">Cinerama, Inc. v. Technicolor, Inc.,</w:t>
      </w:r>
      <w:r>
        <w:t xml:space="preserve"> </w:t>
      </w:r>
      <w:r>
        <w:t xml:space="preserve">Del.Supr.,</w:t>
      </w:r>
      <w:r>
        <w:t xml:space="preserve"> </w:t>
      </w:r>
      <w:r>
        <w:t xml:space="preserve">663 A.2d at 1178</w:t>
      </w:r>
      <w:r>
        <w:t xml:space="preserve">.</w:t>
      </w:r>
    </w:p>
    <w:p>
      <w:pPr>
        <w:pStyle w:val="CaseBody"/>
      </w:pPr>
      <w:r>
        <w:t xml:space="preserve">In deciding the ultimate question of entire fairness, the Court of Chancery was required to carefully analyze the factual circumstances in the context of how the board discharged all of its fiduciary duties, apply a disciplined balancing approach to its findings, and articulate the basis for its decision.</w:t>
      </w:r>
      <w:r>
        <w:t xml:space="preserve"> </w:t>
      </w:r>
      <w:r>
        <w:rPr>
          <w:iCs/>
          <w:i/>
        </w:rPr>
        <w:t xml:space="preserve">Cinerama, Inc. v. Technicolor, Inc.,</w:t>
      </w:r>
      <w:r>
        <w:t xml:space="preserve"> </w:t>
      </w:r>
      <w:r>
        <w:t xml:space="preserve">Del.Supr.,</w:t>
      </w:r>
      <w:r>
        <w:t xml:space="preserve"> </w:t>
      </w:r>
      <w:r>
        <w:t xml:space="preserve">663 A.2d at 1179</w:t>
      </w:r>
      <w:r>
        <w:t xml:space="preserve">. The record reflects that was done. We find no error in the trial court’s application of legal standards and accordingly affirm.</w:t>
      </w:r>
      <w:r>
        <w:t xml:space="preserve"> </w:t>
      </w:r>
      <w:r>
        <w:rPr>
          <w:iCs/>
          <w:i/>
        </w:rPr>
        <w:t xml:space="preserve">Id.</w:t>
      </w:r>
    </w:p>
    <w:bookmarkStart w:id="142" w:name="_auto_toc_142"/>
    <w:bookmarkEnd w:id="142"/>
    <w:p>
      <w:pPr>
        <w:pStyle w:val="ResourceNumber"/>
      </w:pPr>
      <w:r>
        <w:t xml:space="preserve">11.1.6</w:t>
      </w:r>
    </w:p>
    <w:p>
      <w:pPr>
        <w:pStyle w:val="ResourceTitle"/>
      </w:pPr>
      <w:r>
        <w:t xml:space="preserve">Guth et al. v. Loft, Inc.</w:t>
      </w:r>
    </w:p>
    <w:p>
      <w:pPr>
        <w:pStyle w:val="HeadFieldSeparator"/>
      </w:pPr>
      <w:r>
        <w:t xml:space="preserve"> </w:t>
      </w:r>
    </w:p>
    <w:p>
      <w:pPr>
        <w:pStyle w:val="ResourceHeadnote"/>
      </w:pPr>
      <w:r>
        <w:rPr>
          <w:iCs/>
          <w:i/>
        </w:rPr>
        <w:t xml:space="preserve">Guth</w:t>
      </w:r>
      <w:r>
        <w:t xml:space="preserve"> </w:t>
      </w:r>
      <w:r>
        <w:t xml:space="preserve">is the mother of all Delaware duty of loyalty cases. The decision introduces the basic idea that it is incumbent on the fiduciary to prove that the fiduciary acted “in the utmost good faith” (or, in modern parlance, with “entire fairness”) to the corporation in spite of the fiduciary’s conflict of interest. As mentioned above, approval by a majority of fully informed, disinterested directors or shareholders can absolve the fiduciary or at least shift the burden of proof. In</w:t>
      </w:r>
      <w:r>
        <w:t xml:space="preserve"> </w:t>
      </w:r>
      <w:r>
        <w:rPr>
          <w:iCs/>
          <w:i/>
        </w:rPr>
        <w:t xml:space="preserve">Guth</w:t>
      </w:r>
      <w:r>
        <w:t xml:space="preserve">, however, the Court of Chancery had found that Guth had not obtained such approval from his board.</w:t>
      </w:r>
    </w:p>
    <w:p>
      <w:pPr>
        <w:pStyle w:val="ResourceHeadnote"/>
      </w:pPr>
      <w:r>
        <w:t xml:space="preserve">The decision deals with two separate aspects of Guth’s behavior. The corporate resources that Guth used for his business, such as Loft’s funds and personnel, clearly belonged to Loft, and there was little question that Guth had to compensate Loft for their use. The contentious part of the decision, however, deals with a difficult line-drawing problem: which transactions come within the purview of the duty of loyalty in the first place? Surely fiduciaries must retain the right to self-interested behavior in some corner of their life. Where is the line? In particular, which business opportunities are “corporate opportunities” belonging to the corporation, and which are open to the fiduciaries to pursue for their own benefit? Cf. DGCL 122(17). And why does it matter here, seeing that</w:t>
      </w:r>
      <w:r>
        <w:t xml:space="preserve"> </w:t>
      </w:r>
      <w:r>
        <w:rPr>
          <w:iCs/>
          <w:i/>
        </w:rPr>
        <w:t xml:space="preserve">some</w:t>
      </w:r>
      <w:r>
        <w:t xml:space="preserve"> </w:t>
      </w:r>
      <w:r>
        <w:t xml:space="preserve">of Guth's actions clearly were actionable self-dealing? Hint: Which remedy is available for which action?</w:t>
      </w:r>
    </w:p>
    <w:p>
      <w:pPr>
        <w:pStyle w:val="HeadEnd"/>
      </w:pPr>
      <w:r>
        <w:t xml:space="preserve"> </w:t>
      </w:r>
    </w:p>
    <w:p>
      <w:pPr>
        <w:pStyle w:val="BodyText"/>
      </w:pPr>
      <w:r>
        <w:t xml:space="preserve">5 A.2d 503</w:t>
      </w:r>
    </w:p>
    <w:bookmarkStart w:id="332" w:name="guth-et-al.-v.-loft-inc."/>
    <w:p>
      <w:pPr>
        <w:pStyle w:val="Heading2"/>
      </w:pPr>
      <w:r>
        <w:t xml:space="preserve"> GUTH et al.</w:t>
      </w:r>
      <w:r>
        <w:br/>
      </w:r>
      <w:r>
        <w:t xml:space="preserve">v.</w:t>
      </w:r>
      <w:r>
        <w:br/>
      </w:r>
      <w:r>
        <w:t xml:space="preserve">LOFT, Inc.</w:t>
      </w:r>
    </w:p>
    <w:p>
      <w:pPr>
        <w:pStyle w:val="FirstParagraph"/>
      </w:pPr>
      <w:r>
        <w:t xml:space="preserve"> Supreme Court of Delaware.</w:t>
      </w:r>
      <w:r>
        <w:br/>
      </w:r>
      <w:r>
        <w:t xml:space="preserve"> April 11, 1939.</w:t>
      </w:r>
    </w:p>
    <w:p>
      <w:pPr>
        <w:pStyle w:val="BodyText"/>
      </w:pPr>
      <w:r>
        <w:rPr>
          <w:rStyle w:val="Elision"/>
        </w:rPr>
        <w:t xml:space="preserve">[ … ]</w:t>
      </w:r>
      <w:r>
        <w:rPr>
          <w:rStyle w:val="Elision"/>
        </w:rPr>
        <w:t xml:space="preserve">[ … ]</w:t>
      </w:r>
    </w:p>
    <w:p>
      <w:pPr>
        <w:pStyle w:val="BodyText"/>
      </w:pPr>
      <w:r>
        <w:t xml:space="preserve">or convenience, Loft Incorporated, will be referred to as Loft; the Grace Company, Inc., of Delaware, as Grace; and Pepsi-Cola Company, a corporation of Delaware, as Pepsi.</w:t>
      </w:r>
    </w:p>
    <w:p>
      <w:pPr>
        <w:pStyle w:val="BodyText"/>
      </w:pPr>
      <w:r>
        <w:t xml:space="preserve">Loft filed a bill in the Court of Chancery against Charles G. Guth, Grace and Pepsi seeking to impress a trust in favor of the complainant upon all shares of the capital stock of Pepsi registered in the name of Guth and in the name of Grace (approximately 91% of the capital stock), to secure a transfer of those shares to the complainant, and for an accounting.</w:t>
      </w:r>
    </w:p>
    <w:p>
      <w:pPr>
        <w:pStyle w:val="BodyText"/>
      </w:pPr>
      <w:r>
        <w:t xml:space="preserve">The cause was heard at great length by the Chancellor who, on September 17, 1938, rendered a decision in favor of the complainant in accordance with the prayers of the bill. Loft, Inc., v. Guth, Del.Ch., 2 A.2d 225. An interlocutory decree, and an interlocutory order fixing terms of stay and amounts of supersedeas bonds, were entered on October 4, 1938; and, thereafter, an appeal was duly prosecuted to this Court.</w:t>
      </w:r>
    </w:p>
    <w:p>
      <w:pPr>
        <w:pStyle w:val="BodyText"/>
      </w:pPr>
      <w:r>
        <w:t xml:space="preserve">The essential facts, admitted or found by the Chancellor, briefly stated, are these: Loft was, and is, a corporation engaged in the manufacturing and selling of candies, syrups, beverages and foodstuffs, having its executive offices and main plant at Long Island City, New York. In 1931 Loft operated 115 stores largely located in the congested centers of population along the Middle Atlantic seaboard. While its operations chiefly were of a retail nature, its wholesale activities were not unimportant, amounting in 1931 to over $800,000. It had the equipment and the personnel to carry on syrup making operations, and was engaged in manufacturing fountain syrups to supply its own extensive needs. It had assets exceeding $9,000,000 in value, excluding goodwill; and from 1931 to 1935, it had sufficient working capital for its own cash requirements.</w:t>
      </w:r>
    </w:p>
    <w:p>
      <w:pPr>
        <w:pStyle w:val="BodyText"/>
      </w:pPr>
      <w:r>
        <w:t xml:space="preserve">Guth, a man of long experience in the candy, chocolate and soft drink business, became Vice President of Loft in August, 1929, and its president in March 1930.</w:t>
      </w:r>
    </w:p>
    <w:p>
      <w:pPr>
        <w:pStyle w:val="BodyText"/>
      </w:pPr>
      <w:r>
        <w:t xml:space="preserve">Grace was owned by Guth and his family. It owned a plant in Baltimore, Maryland, where it was engaged in the manufacture of syrups for soft drinks, and it had been supplying Loft with "Lady Grace Chocolate Syrup".</w:t>
      </w:r>
    </w:p>
    <w:p>
      <w:pPr>
        <w:pStyle w:val="BodyText"/>
      </w:pPr>
      <w:r>
        <w:t xml:space="preserve">In 1931, Coca-Cola was dispensed at all of the Loft Stores, and of the Coca-Cola syrup Loft made large purchases, averaging over 30,000 gallons annually. The cost of the syrup was $1.48 per gallon. Guth requested the Coca-Cola Company to give Loft a jobber's discount in view of its large requirements of syrups which exceeded greatly the purchases of some other users of the syrup to whom such discount had been granted. After many conferences, the Coca-Cola Company refused to give the discount. Guth became incensed, and contemplated the replacement of the Coca-Cola beverage with some other cola drink. On May 19, 1931, he addressed a memorandum to V. O. Robertson, Loft's vice-president, asking "Why are we paying a full price for Coca-Cola? Can you handle this, or would you suggest our buying Pebsaco (Pepsi-Cola) at about $1.00 per gallon?" To this Robertson replied that Loft was not paying quite full price for Coca-Cola, it paying $1.48 per gallon instead of $1.60, but that it was too much, and that he was investigating as to Pepsi-Cola.</w:t>
      </w:r>
    </w:p>
    <w:p>
      <w:pPr>
        <w:pStyle w:val="BodyText"/>
      </w:pPr>
      <w:r>
        <w:t xml:space="preserve">Pepsi-Cola was a syrup compounded and marketed by National Pepsi-Cola Company, controlled by one Megargel. The Pepsi-Cola beverage had been on the market for upwards of twenty five years, but chiefly in southern territory. It was possessed of a secret formula and trademark. This company, as it happened, was adjudicated a bankrupt on May 26, 1931, upon a petition filed on May 18, the day before the date of Guth's memorandum to Robertson suggesting a trial of Pepsi-Cola syrup by Loft.</w:t>
      </w:r>
    </w:p>
    <w:p>
      <w:pPr>
        <w:pStyle w:val="BodyText"/>
      </w:pPr>
      <w:r>
        <w:t xml:space="preserve">[5 A.2d 506] Megargel was not unknown to Guth. In 1928, when Guth had no connection with Loft, Megargel had tried unsuccessfully to interest Guth and.one Hoodless, vice-president and general manager of a sugar company, in National Pepsi-Cola Company. Upon the bankruptcy of this company Hoodless, who apparently had had some communication with Megargel, informed Guth that Megargel would communicate with him, and Megargel did inform Guth of his company's bankruptcy and that he was in a position to acquire from the trustee in bankruptcy, the secret formula and trademark for the manufacture and sale of Pepsi-Cola.</w:t>
      </w:r>
    </w:p>
    <w:p>
      <w:pPr>
        <w:pStyle w:val="BodyText"/>
      </w:pPr>
      <w:r>
        <w:t xml:space="preserve">In July, 1931, Megargel and Guth entered into an agreement whereby Megargel would acquire the Pepsi-Cola formula and trademark; would form a new corporation, with an authorized capital of 300,000 shares of the par value of $5, to which corporation Megargel would transfer the formula and trademark; would keep 100,000 shares for himself, transfer a like number to Guth, and turn back 100,000 shares to the company as treasury stock, all or a part thereof to be sold to provide working capital. By the agreement between the two Megargel was to receive $25,000 annually for the first six years, and, thereafter, a royalty of 2 1/2 cents on each gallon of syrup.</w:t>
      </w:r>
    </w:p>
    <w:p>
      <w:pPr>
        <w:pStyle w:val="BodyText"/>
      </w:pPr>
      <w:r>
        <w:t xml:space="preserve">Megargel had no money. The price of the formula and trademark was $10,000. Guth loaned Megargel $12,000 upon his agreement to repay him out of the first $25,000 coming to him under the agreement between the two, and Megargel made a formal assignment to Guth to that effect. The $12,000 was paid to Megargel in this way: $5000 directly to Megargel by Guth, and $7,000 by Loft's certified check, Guth delivering to Loft simultaneously his two checks aggregating $7000. Guth also advanced $426.40 to defray the cost of incorporating the company. This amount and the sum of $12,000 were afterwards repaid to Guth.</w:t>
      </w:r>
    </w:p>
    <w:p>
      <w:pPr>
        <w:pStyle w:val="BodyText"/>
      </w:pPr>
      <w:r>
        <w:t xml:space="preserve">Pepsi-Cola Company was organized under the laws of Delaware in August, 1931. The formula and trademark were acquired from the trustee in bankruptcy of National Pepsi-Cola Company, and its capital stock was distributed as agreed, except that 100,000 shares were placed in the name of Grace.</w:t>
      </w:r>
    </w:p>
    <w:p>
      <w:pPr>
        <w:pStyle w:val="BodyText"/>
      </w:pPr>
      <w:r>
        <w:t xml:space="preserve">At this time Megargel could give no financial assistance to the venture directly or indirectly. Grace, upon a comparison of its assets with its liabilities, was insolvent. Only $13,000 of Pepsi's treasury stock was ever sold. Guth was heavily indebted to Loft, and, generally, he was in most serious financial straits, and was entirely unable to finance the enterprise. On the other hand, Loft was well able to finance it.</w:t>
      </w:r>
    </w:p>
    <w:p>
      <w:pPr>
        <w:pStyle w:val="BodyText"/>
      </w:pPr>
      <w:r>
        <w:t xml:space="preserve">Guth, during the years 1931 to 1935 dominated Loft through his control of the Board of Directors. He has completely controlled Pepsi. Without the knowledge or consent of Loft's Board of Directors he drew upon Loft without limit to further the Pepsi enterprise having at one time almost the entire working capital of Loft engaged therein. He used Loft's plant facilities, materials, credit, executives and employees as he willed. Pepsi's payroll sheets were a part of Loft's and a single Loft check was drawn for both.</w:t>
      </w:r>
    </w:p>
    <w:p>
      <w:pPr>
        <w:pStyle w:val="BodyText"/>
      </w:pPr>
      <w:r>
        <w:t xml:space="preserve">An attempt was made to keep an account of the time spent by Loft's workmen on Pepsi's enterprises, and in 1935, when Pepsi had available profits, the account was paid; but no charge was made by Loft as against Pepsi for the services rendered by Loft's executives, higher ranking office employees or chemist, nor for the use of its plant and facilities.</w:t>
      </w:r>
    </w:p>
    <w:p>
      <w:pPr>
        <w:pStyle w:val="BodyText"/>
      </w:pPr>
      <w:r>
        <w:rPr>
          <w:rStyle w:val="Elision"/>
        </w:rPr>
        <w:t xml:space="preserve">[ … ]</w:t>
      </w:r>
      <w:r>
        <w:rPr>
          <w:rStyle w:val="Elision"/>
        </w:rPr>
        <w:t xml:space="preserve">[ … ]</w:t>
      </w:r>
    </w:p>
    <w:p>
      <w:pPr>
        <w:pStyle w:val="BodyText"/>
      </w:pPr>
      <w:r>
        <w:t xml:space="preserve">uth claimed that he offered Loft the opportunity to take over the Pepsi-Cola enterprise, frankly stating to the directors that if Loft did not, he would; but that the Board declined because Pepsi-Cola had proved a failure, and that for Loft to sponsor a company to compete with Coca-Cola would cause trouble; that the proposition was not in line with Loft's business; that it was not equipped to carry on such business on an extensive scale; and that it would involve too great a financial risk. Yet, he claimed that, in August, 1933, the Loft directors consented, without a vote, that Loft should extend to Guth its facilities and resources without limit upon Guth's guarantee of all advances, and upon Guth's contract to furnish Loft a continuous supply of syrup at a favorable price. The guaranty was not in writing if one was made, and the contract was not produced.</w:t>
      </w:r>
    </w:p>
    <w:p>
      <w:pPr>
        <w:pStyle w:val="BodyText"/>
      </w:pPr>
      <w:r>
        <w:rPr>
          <w:rStyle w:val="Elision"/>
        </w:rPr>
        <w:t xml:space="preserve">[ … ]</w:t>
      </w:r>
      <w:r>
        <w:rPr>
          <w:rStyle w:val="Elision"/>
        </w:rPr>
        <w:t xml:space="preserve">[ … ]</w:t>
      </w:r>
    </w:p>
    <w:p>
      <w:pPr>
        <w:pStyle w:val="BodyText"/>
      </w:pPr>
      <w:r>
        <w:t xml:space="preserve">he Chancellor found that Guth had never offered the Pepsi opportunity to Loft;</w:t>
      </w:r>
      <w:r>
        <w:t xml:space="preserve"> </w:t>
      </w:r>
      <w:r>
        <w:rPr>
          <w:rStyle w:val="Elision"/>
        </w:rPr>
        <w:t xml:space="preserve">[ … ]</w:t>
      </w:r>
      <w:r>
        <w:rPr>
          <w:rStyle w:val="Elision"/>
        </w:rPr>
        <w:t xml:space="preserve">[ … ]</w:t>
      </w:r>
      <w:r>
        <w:t xml:space="preserve">that Guth's use of Loft's money, credit, facilities and personnel in the furtherance of the Pepsi venture was without the knowledge or authorization of Loft's directors; that Guth's alleged personal guaranty to Loft against loss resulting from the venture was not in writing, and otherwise was worthless; that no contract existed between Pepsi and Loft whereby the former was to furnish the latter with a constant supply of syrup for a definite time and at a definite price; that as against Loft's contribution to the Pepsi-Cola venture, the appellants had contributed practically nothing; that after the repayment of the sum of $12,000 which had been loaned by Guth to Megargel, Guth had not a dollar invested in Pepsi stock; that Guth was a full time president of Loft at an attractive salary, and could not claim to have invested</w:t>
      </w:r>
      <w:r>
        <w:t xml:space="preserve"> </w:t>
      </w:r>
      <w:r>
        <w:rPr>
          <w:iCs/>
          <w:i/>
        </w:rPr>
        <w:t xml:space="preserve">[5 A.2d 508]</w:t>
      </w:r>
      <w:r>
        <w:t xml:space="preserve">his services in the enterprise; that in 1933, Pepsi was insolvent; that Loft, until July, 1934, bore practically the entire financial burdens of Pepsi, but for which it must have failed disastrously to the great loss of Loft.</w:t>
      </w:r>
    </w:p>
    <w:p>
      <w:pPr>
        <w:pStyle w:val="BodyText"/>
      </w:pPr>
      <w:r>
        <w:rPr>
          <w:rStyle w:val="Elision"/>
        </w:rPr>
        <w:t xml:space="preserve">[ … ]</w:t>
      </w:r>
      <w:r>
        <w:rPr>
          <w:rStyle w:val="Elision"/>
        </w:rPr>
        <w:t xml:space="preserve">[ … ]</w:t>
      </w:r>
    </w:p>
    <w:p>
      <w:pPr>
        <w:pStyle w:val="BodyText"/>
      </w:pPr>
      <w:r>
        <w:t xml:space="preserve">y the decree entered the Chancellor found, inter alia, that Guth was estopped to deny that opportunity of acquiring the Pepsi-Cola trademark and formula was received by him on behalf of Loft, and that the opportunity was wrongfully appropriated by Guth to himself; that the value inhering in and represented by the 97,500 shares of Pepsi stock standing in the name of Guth and the 140,000 shares standing in the name of Grace, were, in equity, the property of Loft; that the dividends declared and paid on the shares of stock were, and had been, the property of Loft; and that for all practical purposes Guth and Grace were one.</w:t>
      </w:r>
    </w:p>
    <w:p>
      <w:pPr>
        <w:pStyle w:val="BodyText"/>
      </w:pPr>
      <w:r>
        <w:t xml:space="preserve">The Chancellor ordered Guth and Grace to transfer the shares of stock to Loft;</w:t>
      </w:r>
      <w:r>
        <w:t xml:space="preserve"> </w:t>
      </w:r>
      <w:r>
        <w:rPr>
          <w:rStyle w:val="Elision"/>
        </w:rPr>
        <w:t xml:space="preserve">[ … ]</w:t>
      </w:r>
      <w:r>
        <w:rPr>
          <w:rStyle w:val="Elision"/>
        </w:rPr>
        <w:t xml:space="preserve">[ … ]</w:t>
      </w:r>
    </w:p>
    <w:bookmarkEnd w:id="332"/>
    <w:bookmarkStart w:id="333" w:name="X0441b49c12f4f3b9b07c89ac1ccce960fc48990"/>
    <w:p>
      <w:pPr>
        <w:pStyle w:val="Heading2"/>
      </w:pPr>
      <w:r>
        <w:t xml:space="preserve">AYTON, Chief Justice, delivering the opinion of the Court:</w:t>
      </w:r>
    </w:p>
    <w:p>
      <w:pPr>
        <w:pStyle w:val="FirstParagraph"/>
      </w:pPr>
      <w:r>
        <w:t xml:space="preserve">In the Court below the appellants took the position that, on the facts, the complainant was entitled to no equitable relief whatever. In this Court, they seek only a modification of the Chancellor's decree, not a reversal of it. They now contend that the question is one of equitable adjustment based upon the extent and value of the respective contributions of the appellants and the appellee. This change of position is brought about, as it is said, because of certain basic fact findings of the Chancellor which are admittedly unassailable in this Court. The appellants accept the findings of fact; but they contend that the Chancellor's inferences from them were unwarrantable in material instances</w:t>
      </w:r>
      <w:r>
        <w:rPr>
          <w:rStyle w:val="Elision"/>
        </w:rPr>
        <w:t xml:space="preserve">[ … ]</w:t>
      </w:r>
      <w:r>
        <w:rPr>
          <w:rStyle w:val="Elision"/>
        </w:rPr>
        <w:t xml:space="preserve">[ … ]</w:t>
      </w:r>
    </w:p>
    <w:p>
      <w:pPr>
        <w:pStyle w:val="BodyText"/>
      </w:pPr>
      <w:r>
        <w:t xml:space="preserve">orporate officers and directors are not permitted to use their position of trust and confidence to further their private interests. While technically not trustees, they stand in a fiduciary relation to the corporation and its stockholders. A public policy, existing through the years, and derived from a profound knowledge of human characteristics and motives, has established a rule that demands of a corporate officer or director, peremptorily and inexorably, the most scrupulous observance of his duty, not only affirmatively to protect the interests of the corporation committed to his charge, but also to refrain from doing anything that would work injury to the corporation, or to deprive it of profit or advantage which his skill and ability might properly bring to it, or to enable it to make in the reasonable and lawful exercise of its powers. The rule that requires an undivided and unselfish loyalty to the corporation demands that there shall be no conflict between duty and self-interest. The occasions for the determination of honesty, good faith and loyal conduct are many and varied, and no hard and fast rule can be formulated. The standard of loyalty is measured by no fixed scale.</w:t>
      </w:r>
    </w:p>
    <w:p>
      <w:pPr>
        <w:pStyle w:val="BodyText"/>
      </w:pPr>
      <w:r>
        <w:t xml:space="preserve">If an officer or director of a corporation, in violation of his duty as such, acquires gain or advantage for himself, the law charges the interest so acquired with a trust for the benefit of the corporation, at its election, while it denies to the betrayer all benefit and profit. The rule, inveterate and uncompromising in its rigidity, does not rest upon the narrow ground of injury or damage to the corporation resulting from a betrayal of confidence, but upon a broader foundation of a wise public policy that, for the purpose of removing all temptation, extinguishes all possibility of profit flowing from a breach of the confidence imposed by the fiduciary relation. Given the relation between the parties, a certain result follows; and a constructive trust is the remedial device through which precedence of self is compelled to give way to the stern demands of loyalty.</w:t>
      </w:r>
      <w:r>
        <w:t xml:space="preserve"> </w:t>
      </w:r>
      <w:r>
        <w:rPr>
          <w:rStyle w:val="Elision"/>
        </w:rPr>
        <w:t xml:space="preserve">[ … ]</w:t>
      </w:r>
      <w:r>
        <w:rPr>
          <w:rStyle w:val="Elision"/>
        </w:rPr>
        <w:t xml:space="preserve">[ … ]</w:t>
      </w:r>
    </w:p>
    <w:p>
      <w:pPr>
        <w:pStyle w:val="BodyText"/>
      </w:pPr>
      <w:r>
        <w:t xml:space="preserve">he rule, referred to briefly as the rule of corporate opportunity, is merely one of the manifestations of the general rule that demands of an officer or director the utmost good faith in his relation to the corporation which he represents.</w:t>
      </w:r>
    </w:p>
    <w:p>
      <w:pPr>
        <w:pStyle w:val="BodyText"/>
      </w:pPr>
      <w:r>
        <w:t xml:space="preserve">It is true that when a business opportunity comes to a corporate officer or director in his individual capacity rather than in his official capacity, and the opportunity is one which, because of the nature of the enterprise, is not essential to his corporation, and is one in which it has no interest or expectancy, the officer or director is entitled to treat the opportunity as his own, and the corporation has no interest in it, if, of course, the officer or director has not wrongfully embarked the [5 A.2d 511] corporation's resources therein. Colorado &amp; Utah Coal Co. v. Harris et al., 97 Colo. 309, 49 P.2d 429; Lagarde v. Anniston Lime &amp; Stone Co., 126 Ala. 496, 28 So. 199; Pioneer Oil &amp; Gas Co. v. Anderson, 168 Miss. 334, 151 So. 161; Sandy River R. Co. v. Stubbs, 77 Me. 594, 2 A. 9; Lancaster Loose Leaf Tobacco Co. v. Robinson, 199 Ky. 313, 250 S.W. 997. But, in all of these cases, except, perhaps, in one, there was no infidelity on the part of the corporate officer sought to be charged. In the first case, it was found that the corporation had no practical use for the property acquired by Harris. In the Pioneer Oil &amp; Gas Co. case, Anderson used no funds or assets of the corporation, did not know that the corporation was negotiating for the oil lands and, further, the corporation could not, in any event have acquired them, because their proprietors objected to the corporation's having an interest in them, and because the corporation was in no financial position to pay for them. In the Stubbs case, the railroad company, desiring to purchase from Porter such part of his land as was necessary for its right of way, station, water-tank, and woodshed, declined to accede to his price. Stubbs, a director, made every effort to buy the necessary land for the company and failed. He then bought the entire tract, and offered to sell to the company what it needed. The company repudiated expressly all participation in the purchase. Later the company located its tracks and buildings on a part of the land, but could not agree with Stubbs as to damages or terms of the conveyance. Three and one-half years thereafter, Stubbs was informed for the first time that the company claimed that he held the land in trust for it. In the Lancaster Loose Leaf Tobacco Co. case, the company had never engaged in the particular line of business, and its established policy had been not to engage in it. The only interest which the company had in the burley tobacco bought by Robinson was its commissions in selling it on its floors, and these commissions it received. In the Lagarde case, it was said that the proprietorship of the property acquired by the Legardes may have been important to the corporation, but was not shown to have been necessary to the continuance of its business, or that its purchase by the Legardes had in any way impaired the value of the corporation's property. This decision is, perhaps, the strongest cited on behalf of the appellants. With deference to the Court that rendered it, a different view of the correctness of the conclusion reached may be entertained.</w:t>
      </w:r>
    </w:p>
    <w:p>
      <w:pPr>
        <w:pStyle w:val="BodyText"/>
      </w:pPr>
      <w:r>
        <w:t xml:space="preserve">On the other hand, it is equally true that, if there is presented to a corporate officer or director a business opportunity which the corporation is financially able to undertake, is, from its nature, in the line of the corporation's business and is of practical advantage to it, is one in which the corporation has an interest or a reasonable expectancy, and, by embracing the opportunity, the self-interest of the officer or director will be brought into conflict with that of his corporation, the law will not permit him to seize the opportunity for himself. And, if, in such circumstances, the interests of the corporation are betrayed, the corporation may elect to claim all of the benefits of the transaction for itself, and the law will impress a trust in favor of the corporation upon the property, interests and profits so acquired.</w:t>
      </w:r>
      <w:r>
        <w:t xml:space="preserve"> </w:t>
      </w:r>
      <w:r>
        <w:rPr>
          <w:rStyle w:val="Elision"/>
        </w:rPr>
        <w:t xml:space="preserve">[ … ]</w:t>
      </w:r>
      <w:r>
        <w:rPr>
          <w:rStyle w:val="Elision"/>
        </w:rPr>
        <w:t xml:space="preserve">[ … ]</w:t>
      </w:r>
    </w:p>
    <w:p>
      <w:pPr>
        <w:pStyle w:val="BodyText"/>
      </w:pPr>
      <w:r>
        <w:t xml:space="preserve">ut, there is little profit in a discussion of the particular cases cited. In none of them are the facts and circumstances comparable to those of the case under consideration. The question is not one to be decided on narrow or technical grounds, but upon broad considerations of corporate duty and loyalty.</w:t>
      </w:r>
    </w:p>
    <w:p>
      <w:pPr>
        <w:pStyle w:val="BodyText"/>
      </w:pPr>
      <w:r>
        <w:rPr>
          <w:rStyle w:val="Elision"/>
        </w:rPr>
        <w:t xml:space="preserve">[ … ]</w:t>
      </w:r>
      <w:r>
        <w:rPr>
          <w:rStyle w:val="Elision"/>
        </w:rPr>
        <w:t xml:space="preserve">[ … ]</w:t>
      </w:r>
    </w:p>
    <w:p>
      <w:pPr>
        <w:pStyle w:val="BodyText"/>
      </w:pPr>
      <w:r>
        <w:t xml:space="preserve">uty and loyalty are inseparably connected. Duty is that which is required by one's station or occupation; is that which one is bound by legal or moral obligation to do or refrain from doing; and it is with [5 A.2d 512] this conception of duty as the underlying basis of the principle applicable to the situation disclosed, that the conduct and acts of Guth with respect to his acquisition of the Pepsi-Cola enterprise will be scrutinized. Guth was not merely a director and the president of Loft. He was its master. It is admitted that Guth manifested some of the qualities of a dictator. The directors were selected by him. Some of them held salaried positions in the company. All of them held their positions at his favor. Whether they were supine merely, or for sufficient reasons entirely subservient to Guth, it is not profitable to inquire. It is sufficient to say that they either wilfully or negligently allowed Guth absolute freedom of action in the management of Loft's activities, and theirs is an unenviable position whether testifying for or against the appellants.</w:t>
      </w:r>
    </w:p>
    <w:p>
      <w:pPr>
        <w:pStyle w:val="BodyText"/>
      </w:pPr>
      <w:r>
        <w:t xml:space="preserve">Prior to May, 1931, Guth became convinced that Loft was being unfairly discriminated against by the Coca-Cola Company of whose syrup it was a large purchaser, in that Loft had been refused a jobber's discount on the syrup, although others, whose purchases were of far less importance, had been given such discount. He determined to replace Coca-Cola as a beverage at the Loft stores with some other cola drink, if that could be accomplished. So, on May 19, 1931, he suggested an inquiry with respect to desirability of discontinuing the use of Coca-Cola, and replacing it with Pepsi-Cola at a greatly reduced price. Pepsi-Cola was the syrup produced by National Pepsi-Cola Company. As a beverage it had been on the market for over twenty-five years, and while it was not known to consumers in the area of the Loft stores, its formula and trademark were well established. Guth's purpose was to deliver Loft from the thraldom of the Coca-Cola Company, which practically dominated the field of cola beverages, and, at the same time, to gain for Loft a greater margin of profit on its sales of cola beverages. Certainly, the choice of an acceptable substitute for Coca-Cola was not a wide one, and, doubtless, his experience in the field of bottled beverages convinced him that it was necessary for him to obtain a cola syrup whose formula and trademark were secure against attack. Although the difficulties and dangers were great, he concluded to make the change. Almost simultaneously, National Pepsi-Cola Company, in which Megargel was predominant and whom Guth knew, went into bankruptcy; and Guth was informed that the long established Pepsi-Cola formula and trademark could be had at a small price. Guth, of course, was Loft; and Loft's determination to replace Coca-Cola with some other cola beverage in its many stores was practically co-incidental with the opportunity to acquire the Pepsi-Cola formula and trademark. This was the condition of affairs when Megargel approached Guth. Guth contended that his negotiation with Megargel in 1931 was but a continuation of a negotiation begun in 1928, when he had no connection with Loft; but the Chancellor found to the contrary, and his finding is accepted.</w:t>
      </w:r>
    </w:p>
    <w:p>
      <w:pPr>
        <w:pStyle w:val="BodyText"/>
      </w:pPr>
      <w:r>
        <w:t xml:space="preserve">It is urged by the appellants that Megargel offered the Pepsi-Cola opportunity to Guth personally, and not to him as president of Loft. The Chancellor said that there was no way of knowing the fact, as Megargel was dead, and the benefit of his testimony could not be had; but that it was not important, for the matter of consequence was how Guth received the proposition.</w:t>
      </w:r>
    </w:p>
    <w:p>
      <w:pPr>
        <w:pStyle w:val="BodyText"/>
      </w:pPr>
      <w:r>
        <w:t xml:space="preserve">It was incumbent upon Guth to show that his every act in dealing with the opportunity presented was in the exercise of the utmost good faith to Loft; and the burden was cast upon him satisfactorily to prove that the offer was made to him individually. Reasonable inferences, drawn from acknowledged facts and circumstances, are powerful factors in arriving at the truth of a disputed matter, and such inferences are not to be ignored in considering the acts and conduct of Megargel. He had been for years engaged in the manufacture and sale of a cola syrup in competition with Coca-Cola. He knew of the difficulties of competition with such a powerful opponent in general, and in particular in the securing of a necessary foothold in a new territory where Coca-Cola was supreme. He could not hope to establish the popularity and use of his syrup in a strange field, and in competition with the assured position of Coca-Cola, by the usual advertising means, for he, himself, had no money or resources, and it is entirely unbelievable that he expected Guth to have command of the vast amount of money necessary to popularize Pepsi-Cola by the ordinary methods. He knew of the difficulty, not to say impossibility, of inducing proprietors of soft drink establishments to use a cola drink utterly unknown [5 A.2d 513] to their patrons. It would seem clear, from any reasonable point of view, that Megargel sought to interest someone who controlled an existing opportunity to popularize his product by an actual presentation of it to the consuming public. Such person was Guth, the president of Loft. It is entirely reasonable to infer that Megargel approached Guth as president of Loft, operating, as it did, many soft drink fountains in a most necessary and desirable territory where Pepsi-Cola was little known, he well knowing that if the drink could be established in New York and circumjacent territory, its success would be assured. Every reasonable inference points to this conclusion. What was finally agreed upon between Megargel and Guth, and what outward appearance their agreement assumed, is of small importance. It was a matter of indifference to Megargel whether his co-adventurer was Guth personally, or Loft, so long as his terms were met and his object attained.</w:t>
      </w:r>
    </w:p>
    <w:p>
      <w:pPr>
        <w:pStyle w:val="BodyText"/>
      </w:pPr>
      <w:r>
        <w:t xml:space="preserve">Leaving aside the manner of the offer of the opportunity, certain other matters are to be considered in determining whether the opportunity, in the circumstances, belonged to Loft; and in this we agree that Guth's right to appropriate the Pepsi-Cola opportunity to himself depends upon the circumstances existing at the time it presented itself to him without regard to subsequent events, and that due weight should be given to character of the opportunity which Megargel envisioned and brought to Guth's door.</w:t>
      </w:r>
    </w:p>
    <w:p>
      <w:pPr>
        <w:pStyle w:val="BodyText"/>
      </w:pPr>
      <w:r>
        <w:t xml:space="preserve">The real issue is whether the opportunity to secure a very substantial stock interest in a corporation to be formed for the purpose of exploiting a cola beverage on a wholesale scale was so closely associated with the existing business activities of Loft, and so essential thereto, as to bring the transaction within that class of cases where the acquisition of the property would throw the corporate officer purchasing it into competition with his company. This is a factual question to be decided by reasonable inferences from objective facts.</w:t>
      </w:r>
    </w:p>
    <w:p>
      <w:pPr>
        <w:pStyle w:val="BodyText"/>
      </w:pPr>
      <w:r>
        <w:rPr>
          <w:rStyle w:val="Elision"/>
        </w:rPr>
        <w:t xml:space="preserve">[ … ]</w:t>
      </w:r>
      <w:r>
        <w:rPr>
          <w:rStyle w:val="Elision"/>
        </w:rPr>
        <w:t xml:space="preserve">[ … ]</w:t>
      </w:r>
    </w:p>
    <w:p>
      <w:pPr>
        <w:pStyle w:val="BodyText"/>
      </w:pPr>
      <w:r>
        <w:t xml:space="preserve">he appellants suggest a doubt whether Loft would have been able to finance the project along the lines contemplated by Megargel, viewing the situation as of 1931. The answer to this suggestion is two-fold. The Chancellor found that Loft's net asset position at that time was amply sufficient to finance the enterprise, and that its plant, equipment, executives, personnel and facilities, supplemented by such expansion for the necessary development of the business as it was well able to provide, were in all respects adequate. The second answer is that Loft's resources were found to be sufficient, for Guth made use of no other to any important extent.</w:t>
      </w:r>
    </w:p>
    <w:p>
      <w:pPr>
        <w:pStyle w:val="BodyText"/>
      </w:pPr>
      <w:r>
        <w:t xml:space="preserve">Next it is contended that the Pepsi-Cola opportunity was not in the line of Loft's activities which essentially were of a retail nature. It is pointed out that, in 1931, the retail stores operated by Loft were largely located in the congested areas along the Middle Atlantic Seaboard, that its manufacturing [5 A.2d 514] operations were centered in its New York factory, and that it was a definitely localized business, and not operated on a national scale; whereas, the Megargel proposition envisaged annual sales of syrup at least a million gallons, which could be accomplished only by a wholesale distribution. Loft, however, had many wholesale activities. Its wholesale business in 1931 amounted to over $800,000. It was a large company by any standard. It had an enormous plant. It paid enormous rentals. Guth, himself, said that Loft's success depended upon the fullest utilization of its large plant facilities. Moreover, it was a manufacturer of syrups and, with the exception of cola syrup, it supplied its own extensive needs. The appellants admit that wholsesale distribution of bottled beverages can best be accomplished by license agreements with bottlers. Guth, president of Loft, was an able and experienced man in that field. Loft, then, through its own personnel, possessed the technical knowledge, the practical business experience, and the resources necessary for the development of the Pepsi-Cola enterprise.</w:t>
      </w:r>
    </w:p>
    <w:p>
      <w:pPr>
        <w:pStyle w:val="BodyText"/>
      </w:pPr>
      <w:r>
        <w:rPr>
          <w:rStyle w:val="Elision"/>
        </w:rPr>
        <w:t xml:space="preserve">[ … ]</w:t>
      </w:r>
      <w:r>
        <w:rPr>
          <w:rStyle w:val="Elision"/>
        </w:rPr>
        <w:t xml:space="preserve">[ … ]</w:t>
      </w:r>
    </w:p>
    <w:p>
      <w:pPr>
        <w:pStyle w:val="BodyText"/>
      </w:pPr>
      <w:r>
        <w:t xml:space="preserve">t is urged that Loft had no interest or expectancy in the Pepsi-Cola opportunity. That it had no existing property right therein is manifest; but we cannot agree that it had no concern or expectancy in the opportunity within the protection of remedial equity. Loft had a practical and essential concern with respect to some cola syrup with an established formula and trademark. A cola beverage has come to be a business necessity for soft drink establishments; and it was essential to the success of Loft to serve at its soda fountains an acceptible five cent cola drink in order to attract into its stores the great multitude of people who have formed the habit of drinking cola beverages. When Guth determined to discontinue the sale of Coca-Cola in the Loft stores, it became, by his own act, a matter of urgent necessity for Loft to acquire a constant supply of some satisfactory cola syrup, secure against probable attack, as a replacement; and when the Pepsi-Cola opportunity presented itself, Guth having already considered the availability of the syrup, it became impressed with a Loft interest and expectancy arising out of the circumstances and the urgent and practical need created by him as the directing head of Loft.</w:t>
      </w:r>
    </w:p>
    <w:p>
      <w:pPr>
        <w:pStyle w:val="BodyText"/>
      </w:pPr>
      <w:r>
        <w:t xml:space="preserve">As a general proposition it may be said that a corporate officer or director is entirely free to engage in an independent, competitive business, so long as he violates no legal or moral duty with respect to the fiduciary relation that exists between the corporation and himself. The appellants contend that no conflict of interest between Guth and Loft resulted from his acquirement and exploitation of the Pepsi-Cola opportunity. They maintain that the acquisition did not place Guth in competition with Loft any more than a manufacturer can be said to compete with a retail merchant whom the manufacturer supplies with goods to be sold. However true the statement, applied generally, may be, we emphatically dissent from the application of the analogy to the situation of the parties here. There is no unity between the ordinary manufacturer and the retailer of his goods. Generally, the retailer, if he [5 A.2d 515] becomes dissatisfied with one supplier of merchandise, can turn to another. He is under no compulsion and no restraint. In the instant case Guth was Loft, and Guth was Pepsi. He absolutely controlled Loft. His authority over Pepsi was supreme. As Pepsi, he created and controlled the supply of Pepsi-Cola syrup, and he determined the price and the terms. What he offered, as Pepsi, he had the power, as Loft, to accept. Upon any consideration of human characteristics and motives, he created a conflict between self-interest and duty. He made himself the judge in his own cause. This was the inevitable result of the dual personality which Guth assumed, and his position was one which, upon the least austere view of corporate duty, he had no right to assume. Moreover, a reasonable probability of injury to Loft resulted from the situation forced upon it. Guth was in the same position to impose his terms upon Loft as had been the Coca-Cola Company. If Loft had been in servitude to that company with respect to its need for a cola syrup, its condition did not change when its supply came to depend upon Pepsi, for, it was found by the Chancellor, against Guth's contention, that he had not given Loft the protection of a contract which secured to it a constant supply of Pepsi-Cola syrup at any definite price or for any definite time.</w:t>
      </w:r>
    </w:p>
    <w:p>
      <w:pPr>
        <w:pStyle w:val="BodyText"/>
      </w:pPr>
      <w:r>
        <w:t xml:space="preserve">It is useless to pursue the argument. The facts and circumstances demonstrate that Guth's appropriation of the Pepsi-Cola opportunity to himself placed him in a competitive position with Loft with respect to a commodity essential to it, thereby rendering his personal interests incompatible with the superior interests of his corporation; and this situation was accomplished, not openly and with his own resources, but secretly and with the money and facilities of the corporation which was committed to his protection.</w:t>
      </w:r>
    </w:p>
    <w:p>
      <w:pPr>
        <w:pStyle w:val="BodyText"/>
      </w:pPr>
      <w:r>
        <w:rPr>
          <w:rStyle w:val="Elision"/>
        </w:rPr>
        <w:t xml:space="preserve">[ … ]</w:t>
      </w:r>
      <w:r>
        <w:rPr>
          <w:rStyle w:val="Elision"/>
        </w:rPr>
        <w:t xml:space="preserve">[ … ]</w:t>
      </w:r>
    </w:p>
    <w:p>
      <w:pPr>
        <w:pStyle w:val="BodyText"/>
      </w:pPr>
      <w:r>
        <w:t xml:space="preserve">pon a consideration of all the facts and circumstances as disclosed we are convinced that the opportunity to acquire the Pepsi-Cola trademark and formula, goodwill and business belonged to the complainant, and that Guth, as its President, had no right to appropriate the opportunity to himself.</w:t>
      </w:r>
    </w:p>
    <w:p>
      <w:pPr>
        <w:pStyle w:val="BodyText"/>
      </w:pPr>
      <w:r>
        <w:rPr>
          <w:rStyle w:val="Elision"/>
        </w:rPr>
        <w:t xml:space="preserve">[ … ]</w:t>
      </w:r>
      <w:r>
        <w:rPr>
          <w:rStyle w:val="Elision"/>
        </w:rPr>
        <w:t xml:space="preserve">[ … ]</w:t>
      </w:r>
    </w:p>
    <w:bookmarkEnd w:id="333"/>
    <w:p>
      <w:pPr>
        <w:pStyle w:val="NodeEnd"/>
      </w:pPr>
      <w:r>
        <w:t xml:space="preserve"> </w:t>
      </w:r>
    </w:p>
    <w:p>
      <w:pPr>
        <w:pStyle w:val="NodeStart"/>
      </w:pPr>
      <w:r>
        <w:t xml:space="preserve"> </w:t>
      </w:r>
    </w:p>
    <w:p>
      <w:pPr>
        <w:pStyle w:val="HeadSeparator"/>
      </w:pPr>
      <w:r>
        <w:t xml:space="preserve"> </w:t>
      </w:r>
    </w:p>
    <w:bookmarkStart w:id="143" w:name="_auto_toc_143"/>
    <w:bookmarkEnd w:id="143"/>
    <w:p>
      <w:pPr>
        <w:pStyle w:val="ResourceNumber"/>
      </w:pPr>
      <w:r>
        <w:t xml:space="preserve">11.2</w:t>
      </w:r>
    </w:p>
    <w:p>
      <w:pPr>
        <w:pStyle w:val="ResourceTitle"/>
      </w:pPr>
      <w:r>
        <w:t xml:space="preserve">Hypo: board service?</w:t>
      </w:r>
    </w:p>
    <w:p>
      <w:pPr>
        <w:pStyle w:val="HeadFieldSeparator"/>
      </w:pPr>
      <w:r>
        <w:t xml:space="preserve"> </w:t>
      </w:r>
    </w:p>
    <w:p>
      <w:pPr>
        <w:pStyle w:val="ResourceHeadnote"/>
      </w:pPr>
      <w:r>
        <w:t xml:space="preserve">Therein of Meinhard v. Salmon (NY 1928).</w:t>
      </w:r>
    </w:p>
    <w:p>
      <w:pPr>
        <w:pStyle w:val="HeadEnd"/>
      </w:pPr>
      <w:r>
        <w:t xml:space="preserve"> </w:t>
      </w:r>
    </w:p>
    <w:p>
      <w:pPr>
        <w:pStyle w:val="BodyText"/>
      </w:pPr>
      <w:r>
        <w:t xml:space="preserve">Imagine you are the in-house lawyer for a real estate developer, Rosalind Franklin Broes. Broes is doing business through RFB Condominiums Inc. ("RFBC"), a Delaware corporation. Broes is RFBC’s sole shareholder and president. You are technically an employee of RFBC. RFBC develops and administers condo complexes in the Midwestern United States, mainly in Michigan.</w:t>
      </w:r>
    </w:p>
    <w:p>
      <w:pPr>
        <w:pStyle w:val="BodyText"/>
      </w:pPr>
      <w:r>
        <w:t xml:space="preserve">Broes now wants your opinion on the following issue. One of RFBC’s bankers, John Cash of Big Bank, has asked Broes to join the board of another real estate developer, CIS Inc., also a Delaware corporation. CIS is an erstwhile competitor of RFBC. It has been in chapter 11 for the last two years, however, and lost or sold most of its properties and contracts during that time. When it emerges from bankruptcy next month, it will only have interests in Texas. Cash sits on CIS’s creditor committee on behalf of Big Bank, a major creditor of CIS. Cash would like to get Broes’s experience onto CIS’s board.</w:t>
      </w:r>
    </w:p>
    <w:p>
      <w:pPr>
        <w:pStyle w:val="BodyText"/>
      </w:pPr>
      <w:r>
        <w:t xml:space="preserve">Broes is concerned that service on CIS’s board will expose her to conflicts of interest. She has shared these concerns with Cash. In Cash’s view, the concerns are unfounded. After all, he, Cash, also has access to much confidential information from both CIS and RFBC in his role as their banker. Besides, he argues, CIS and RFBC will no longer be operating in the same areas. Lastly, even if CIS wanted to expand back into the Midwest, Cash points out that CIS would find it very difficult to do so under the restrictive post-bankruptcy loan covenants that prohibit most acquisitions or additional financing.</w:t>
      </w:r>
    </w:p>
    <w:p>
      <w:pPr>
        <w:pStyle w:val="BodyText"/>
      </w:pPr>
      <w:r>
        <w:t xml:space="preserve">Broes is still worried though. She looked around the internet, and what she found did not reassure her. The most famous description of the duty of loyalty sounds rather ominous to her. It was penned by Judge Benjamin Cardozo, then Chief Judge of the New York Court of Appeals, in</w:t>
      </w:r>
      <w:r>
        <w:t xml:space="preserve"> </w:t>
      </w:r>
      <w:hyperlink r:id="rId334">
        <w:r>
          <w:rPr>
            <w:rStyle w:val="Hyperlink"/>
            <w:iCs/>
            <w:i/>
          </w:rPr>
          <w:t xml:space="preserve">Meinhard v. Salmon, </w:t>
        </w:r>
        <w:r>
          <w:rPr>
            <w:rStyle w:val="Hyperlink"/>
          </w:rPr>
          <w:t xml:space="preserve">249 N.Y. 458 (1928)</w:t>
        </w:r>
      </w:hyperlink>
      <w:r>
        <w:t xml:space="preserve">:</w:t>
      </w:r>
    </w:p>
    <w:p>
      <w:pPr>
        <w:pStyle w:val="BlockText"/>
      </w:pPr>
      <w:r>
        <w:t xml:space="preserve">“Joint adventurers, like copartners, owe to one another, while the enterprise continues, the duty of the finest loyalty. Many forms of conduct permissible in a workaday world for those acting at arm's length, are forbidden to those bound by fiduciary ties. A trustee is held to something stricter than the morals of the market place. Not honesty alone, but the punctilio of an honor the most sensitive, is then the standard of behavior. As to this there has developed a tradition that is unbending and inveterate. Uncompromising rigidity has been the attitude of courts of equity when petitioned to undermine the rule of undivided loyalty by the ‘disintegrating erosion’ of particular exceptions . . . . Only thus has the level of conduct for fiduciaries been kept at a level higher than that trodden by the crowd. It will not consciously be lowered by any judgment of this court.”</w:t>
      </w:r>
    </w:p>
    <w:p>
      <w:pPr>
        <w:pStyle w:val="FirstParagraph"/>
      </w:pPr>
      <w:r>
        <w:t xml:space="preserve">Broes says she definitely does not want to sink to the “level . . . trodden by the crowd,” but she isn’t quite sure what “the punctilio of an honor the most sensitive” demands of her. Can she or can she not serve on CIS’s board without getting into trouble? What would you advise Broes to do?</w:t>
      </w:r>
    </w:p>
    <w:p>
      <w:pPr>
        <w:pStyle w:val="NodeEnd"/>
      </w:pPr>
      <w:r>
        <w:t xml:space="preserve"> </w:t>
      </w:r>
    </w:p>
    <w:p>
      <w:pPr>
        <w:pStyle w:val="NodeStart"/>
      </w:pPr>
      <w:r>
        <w:t xml:space="preserve"> </w:t>
      </w:r>
    </w:p>
    <w:p>
      <w:pPr>
        <w:pStyle w:val="HeadSeparator"/>
      </w:pPr>
      <w:r>
        <w:t xml:space="preserve"> </w:t>
      </w:r>
    </w:p>
    <w:bookmarkStart w:id="144" w:name="_auto_toc_144"/>
    <w:bookmarkEnd w:id="144"/>
    <w:p>
      <w:pPr>
        <w:pStyle w:val="SectionNumber"/>
      </w:pPr>
      <w:r>
        <w:t xml:space="preserve">11.3</w:t>
      </w:r>
    </w:p>
    <w:p>
      <w:pPr>
        <w:pStyle w:val="SectionTitle"/>
      </w:pPr>
      <w:r>
        <w:t xml:space="preserve">Reference Readings</w:t>
      </w:r>
    </w:p>
    <w:p>
      <w:pPr>
        <w:pStyle w:val="HeadEnd"/>
      </w:pPr>
      <w:r>
        <w:t xml:space="preserve"> </w:t>
      </w:r>
    </w:p>
    <w:p>
      <w:pPr>
        <w:pStyle w:val="NodeEnd"/>
      </w:pPr>
      <w:r>
        <w:t xml:space="preserve"> </w:t>
      </w:r>
    </w:p>
    <w:p>
      <w:pPr>
        <w:pStyle w:val="NodeStart"/>
      </w:pPr>
      <w:r>
        <w:t xml:space="preserve"> </w:t>
      </w:r>
    </w:p>
    <w:p>
      <w:pPr>
        <w:pStyle w:val="HeadSeparator"/>
      </w:pPr>
      <w:r>
        <w:t xml:space="preserve"> </w:t>
      </w:r>
    </w:p>
    <w:bookmarkStart w:id="145" w:name="_auto_toc_145"/>
    <w:bookmarkEnd w:id="145"/>
    <w:p>
      <w:pPr>
        <w:pStyle w:val="ResourceNumber"/>
      </w:pPr>
      <w:r>
        <w:t xml:space="preserve">11.3.1</w:t>
      </w:r>
    </w:p>
    <w:p>
      <w:pPr>
        <w:pStyle w:val="ResourceTitle"/>
      </w:pPr>
      <w:r>
        <w:t xml:space="preserve">Kahn v. Sullivan</w:t>
      </w:r>
    </w:p>
    <w:p>
      <w:pPr>
        <w:pStyle w:val="HeadEnd"/>
      </w:pPr>
      <w:r>
        <w:t xml:space="preserve"> </w:t>
      </w:r>
    </w:p>
    <w:p>
      <w:pPr>
        <w:pStyle w:val="CaseHeader"/>
      </w:pPr>
      <w:r>
        <w:t xml:space="preserve">Delaware Supreme Court</w:t>
      </w:r>
    </w:p>
    <w:p>
      <w:pPr>
        <w:pStyle w:val="CaseHeader"/>
      </w:pPr>
      <w:r>
        <w:t xml:space="preserve">594 A.2d 48</w:t>
      </w:r>
    </w:p>
    <w:p>
      <w:pPr>
        <w:pStyle w:val="CaseHeader"/>
      </w:pPr>
      <w:r>
        <w:t xml:space="preserve">1991-07-09</w:t>
      </w:r>
    </w:p>
    <w:p>
      <w:pPr>
        <w:pStyle w:val="CaseBody"/>
      </w:pPr>
      <w:r>
        <w:t xml:space="preserve">Submitted: July 9, 1991.</w:t>
      </w:r>
      <w:r>
        <w:rPr>
          <w:rStyle w:val="FootnoteReference"/>
        </w:rPr>
        <w:footnoteReference w:customMarkFollows="1" w:id="38"/>
        <w:t xml:space="preserve">1</w:t>
      </w:r>
    </w:p>
    <w:p>
      <w:pPr>
        <w:pStyle w:val="CaseBody"/>
      </w:pPr>
      <w:r>
        <w:t xml:space="preserve">Robert D. Goldberg, Biggs and Battag-lia, Wilmington, Sidney Silverman (argued), Silverman, Harnes &amp; Obstefeld, New York City, John K. Van de Kamp, Atty. Gen., for the State of Cal., and Susan Henrichson (argued), Deputy Atty. Gen., for the State of Cal., for objectors-appellants Alan R. Kahn and California Public Employees’ Retirement System respectively.</w:t>
      </w:r>
    </w:p>
    <w:p>
      <w:pPr>
        <w:pStyle w:val="CaseBody"/>
      </w:pPr>
      <w:r>
        <w:t xml:space="preserve">Thomas G. Hughes, Schlusser, Reiver, Hughes &amp; Sisk, Wilmington, for objector-appellant Barnett Stepak.</w:t>
      </w:r>
    </w:p>
    <w:p>
      <w:pPr>
        <w:pStyle w:val="CaseBody"/>
      </w:pPr>
      <w:r>
        <w:t xml:space="preserve">William Prickett (argued), and Michael Hanrahan, Prickett, Jones, Elliott, Kristol &amp; Schnee, Wilmington, and Arthur T. Sus-man and Terry R. Saunders, Susman, Saunders and Buchler, Chicago, Ill., and David Bershad and Steven G. Schulman, Milberg, Weiss, Bershad, Specthris and Lerach, New York City, for plaintiffs Joseph Sullivan and Alan Brody.</w:t>
      </w:r>
    </w:p>
    <w:p>
      <w:pPr>
        <w:pStyle w:val="CaseBody"/>
      </w:pPr>
      <w:r>
        <w:t xml:space="preserve">Grover C. Brown (argued), and Norris P. Wright, Morris, James, Hitchens &amp; Williams, Wilmington, for defendants Senator Gore, Mr. Kluge, Mr. Krim, Mr. Nizer, Mr. Nolley, Dr. Piper, Mr. Syriani and Ms. Tomich.</w:t>
      </w:r>
    </w:p>
    <w:p>
      <w:pPr>
        <w:pStyle w:val="CaseBody"/>
      </w:pPr>
      <w:r>
        <w:t xml:space="preserve">Bruce M. Stargatt, Edward B. Maxwell, 2nd, Young, Conaway, Stargatt &amp; Taylor, Wilmington, Bruce W. Kauffman, Stephen J. Mathes and Camille J. Wolfe, Dilworth, Paxson, Kalish &amp; Kauffman, Philadelphia, Pa., for individual defendants Dr. Irani, Mr. Moss, Mr. Davis, Mr. Groman, Mr. Hammer, Mr. Hentschel, Mr. Hirl, Mr. Stern and Michael Hammer, Sp. Adm’r of the Estate of Dr. Armand Hammer.</w:t>
      </w:r>
    </w:p>
    <w:p>
      <w:pPr>
        <w:pStyle w:val="CaseBody"/>
      </w:pPr>
      <w:r>
        <w:t xml:space="preserve">Charles Crompton and Donald J. Wolfe, Jr., Potter, Anderson &amp; Corroon, Wilmington, for defendant Occidental Petroleum Corp.</w:t>
      </w:r>
    </w:p>
    <w:p>
      <w:pPr>
        <w:pStyle w:val="CaseBody"/>
      </w:pPr>
      <w:r>
        <w:t xml:space="preserve">Rodman Ward, Jr. and Marc B. Tucker, Skadden, Arps, Slate, Meagher &amp; Flom, Wilmington, for intervenor-appellee Armand Hammer Museum of Art and Cultural Center, Inc.</w:t>
      </w:r>
    </w:p>
    <w:p>
      <w:pPr>
        <w:pStyle w:val="CaseBody"/>
      </w:pPr>
      <w:r>
        <w:t xml:space="preserve">Before CHRISTIE, C.J., HORSEY and HOLLAND, JJ.</w:t>
      </w:r>
    </w:p>
    <w:p>
      <w:pPr>
        <w:pStyle w:val="CaseBody"/>
      </w:pPr>
      <w:r>
        <w:t xml:space="preserve">HOLLAND, Justice:</w:t>
      </w:r>
    </w:p>
    <w:p>
      <w:pPr>
        <w:pStyle w:val="CaseBody"/>
      </w:pPr>
      <w:r>
        <w:t xml:space="preserve">This is an appeal from the approval of the settlement of one of three civil actions brought in the Court of Chancery by certain shareholders of Occidental Petroleum Corporation (“Occidental”). Each civil action challenged a decision by Occidental’s board of directors (the “Board”), through a special committee of Occidental’s outside directors (“the Special Committee”), to make a charitable donation. The purpose of the charitable donation was to construct and fund an art museum.</w:t>
      </w:r>
    </w:p>
    <w:p>
      <w:pPr>
        <w:pStyle w:val="CaseBody"/>
      </w:pPr>
      <w:r>
        <w:t xml:space="preserve">The shareholder plaintiffs in this litigation,</w:t>
      </w:r>
      <w:r>
        <w:rPr>
          <w:rStyle w:val="FootnoteReference"/>
        </w:rPr>
        <w:footnoteReference w:customMarkFollows="1" w:id="67"/>
        <w:t xml:space="preserve">2</w:t>
      </w:r>
      <w:r>
        <w:t xml:space="preserve"> </w:t>
      </w:r>
      <w:r>
        <w:t xml:space="preserve">Joseph Sullivan and Alan Brody, agreed to a settlement of their class and derivative actions subject to the approval of the Court of Chancery. The settlement was authorized, on behalf of Occidental, by the Special Committee. The shareholder plaintiffs in the other two civil actions,</w:t>
      </w:r>
      <w:r>
        <w:rPr>
          <w:rStyle w:val="FootnoteReference"/>
        </w:rPr>
        <w:footnoteReference w:customMarkFollows="1" w:id="92"/>
        <w:t xml:space="preserve">3</w:t>
      </w:r>
      <w:r>
        <w:t xml:space="preserve"> </w:t>
      </w:r>
      <w:r>
        <w:t xml:space="preserve">Alan R. Kahn (“Kahn”) and Barnett Stepak (“Stepak”), appeared in the</w:t>
      </w:r>
      <w:r>
        <w:t xml:space="preserve"> </w:t>
      </w:r>
      <w:r>
        <w:rPr>
          <w:iCs/>
          <w:i/>
        </w:rPr>
        <w:t xml:space="preserve">Sullivan</w:t>
      </w:r>
      <w:r>
        <w:t xml:space="preserve"> </w:t>
      </w:r>
      <w:r>
        <w:t xml:space="preserve">action and objected to the proposed settlement. California Public Employees Retirement System (“CalPERS”) was permitted to intervene as a shareholder plaintiff in the</w:t>
      </w:r>
      <w:r>
        <w:t xml:space="preserve"> </w:t>
      </w:r>
      <w:r>
        <w:rPr>
          <w:iCs/>
          <w:i/>
        </w:rPr>
        <w:t xml:space="preserve">Kahn</w:t>
      </w:r>
      <w:r>
        <w:t xml:space="preserve"> </w:t>
      </w:r>
      <w:r>
        <w:t xml:space="preserve">action and also appeared in opposition to the proposed settlement in the</w:t>
      </w:r>
      <w:r>
        <w:t xml:space="preserve"> </w:t>
      </w:r>
      <w:r>
        <w:rPr>
          <w:iCs/>
          <w:i/>
        </w:rPr>
        <w:t xml:space="preserve">Sullivan</w:t>
      </w:r>
      <w:r>
        <w:t xml:space="preserve"> </w:t>
      </w:r>
      <w:r>
        <w:t xml:space="preserve">action.</w:t>
      </w:r>
    </w:p>
    <w:p>
      <w:pPr>
        <w:pStyle w:val="CaseBody"/>
      </w:pPr>
      <w:r>
        <w:t xml:space="preserve">On April 4, 1990, a settlement hearing was held in the</w:t>
      </w:r>
      <w:r>
        <w:t xml:space="preserve"> </w:t>
      </w:r>
      <w:r>
        <w:rPr>
          <w:iCs/>
          <w:i/>
        </w:rPr>
        <w:t xml:space="preserve">Sullivan</w:t>
      </w:r>
      <w:r>
        <w:t xml:space="preserve"> </w:t>
      </w:r>
      <w:r>
        <w:t xml:space="preserve">action by the Court of Chancery. In a memorandum opinion dated August 7, 1990, the Court of Chancery concluded that, under all of the circumstances, the terms of the settlement in the</w:t>
      </w:r>
      <w:r>
        <w:t xml:space="preserve"> </w:t>
      </w:r>
      <w:r>
        <w:rPr>
          <w:iCs/>
          <w:i/>
        </w:rPr>
        <w:t xml:space="preserve">Sullivan</w:t>
      </w:r>
      <w:r>
        <w:t xml:space="preserve"> </w:t>
      </w:r>
      <w:r>
        <w:t xml:space="preserve">action were fair and reasonable. It ordered that the settlement be approved. Kahn, CalPERS and Stepak (“the Objectors”) have each appealed from that decision and order by the Court of Chancery.</w:t>
      </w:r>
    </w:p>
    <w:p>
      <w:pPr>
        <w:pStyle w:val="CaseBody"/>
      </w:pPr>
      <w:r>
        <w:t xml:space="preserve">The Objectors contend that the Court of Chancery abused its discretion in approving the settlement in the</w:t>
      </w:r>
      <w:r>
        <w:t xml:space="preserve"> </w:t>
      </w:r>
      <w:r>
        <w:rPr>
          <w:iCs/>
          <w:i/>
        </w:rPr>
        <w:t xml:space="preserve">Sullivan</w:t>
      </w:r>
      <w:r>
        <w:t xml:space="preserve"> </w:t>
      </w:r>
      <w:r>
        <w:t xml:space="preserve">action. The Objectors’ first contention is that the Court of Chancery erred in holding that it was “highly probable” that the protection of the business judgment rule would successfully apply to the actions taken by the directors of Occidental who had been named as defendants. The Objectors’ second contention is that the Court of Chancery abused its discretion in finding that the shareholder plaintiffs’ claims of corporate waste were weak. Finally, the Objectors contend that the Court of Chancery abused its discretion in approving the settlement because the consideration for the settlement was inadequate in view of the strength of the claims which were being compromised.</w:t>
      </w:r>
    </w:p>
    <w:p>
      <w:pPr>
        <w:pStyle w:val="CaseBody"/>
      </w:pPr>
      <w:r>
        <w:t xml:space="preserve">The applicable standard of appellate review requires this Court to examine the record for an abuse of discretion by the Court of Chancery in approving the settlement. We have carefully reviewed the record and considered the Objectors’ contentions. We have concluded that the decision of the Court of Chancery must be affirmed.</w:t>
      </w:r>
    </w:p>
    <w:p>
      <w:pPr>
        <w:pStyle w:val="CaseBody"/>
      </w:pPr>
      <w:r>
        <w:rPr>
          <w:iCs/>
          <w:i/>
        </w:rPr>
        <w:t xml:space="preserve">Facts</w:t>
      </w:r>
    </w:p>
    <w:p>
      <w:pPr>
        <w:pStyle w:val="CaseBody"/>
      </w:pPr>
      <w:r>
        <w:t xml:space="preserve">Occidental is a Delaware corporation. According to the parties, Occidental has about 290 million shares of stock outstanding which are held by approximately 495 thousand shareholders. For the year ending December 31, 1988, Occidental had assets of approximately twenty billion dollars, operating revenues of twenty billion dollars and pre-tax earnings of $574 million. Its corporate headquarters are located in Los Angeles, California.</w:t>
      </w:r>
    </w:p>
    <w:p>
      <w:pPr>
        <w:pStyle w:val="CaseBody"/>
      </w:pPr>
      <w:r>
        <w:t xml:space="preserve">At the time of his death on December 10, 1990, Dr. Hammer was Occidental’s chief executive officer and the chairman of its board of directors. Since the early 1920’s, Dr. Hammer had been a serious art collector. When Dr. Hammer died, he personally and The Armand Hammer Foundation (the “Foundation”), owned three major collections of art (referred to in their entirety as “the Art Collection”). The Art Collection, valued at $300-$400 million included: “Five Centuries of Art,” more than 100 works by artists such as Rembrandt, Rubens, Renoir and Van Gogh; the</w:t>
      </w:r>
      <w:r>
        <w:t xml:space="preserve"> </w:t>
      </w:r>
      <w:r>
        <w:rPr>
          <w:iCs/>
          <w:i/>
        </w:rPr>
        <w:t xml:space="preserve">Codex Hammer,</w:t>
      </w:r>
      <w:r>
        <w:t xml:space="preserve"> </w:t>
      </w:r>
      <w:r>
        <w:t xml:space="preserve">a rare manuscript by Leonardo da Vinci; and the world’s most extensive private collection of paintings, lithographs and bronzes by the French satirist Honoré Daumier.</w:t>
      </w:r>
      <w:r>
        <w:t xml:space="preserve"> </w:t>
      </w:r>
      <w:r>
        <w:rPr>
          <w:iCs/>
          <w:i/>
        </w:rPr>
        <w:t xml:space="preserve">See The Armand Hammer Collection</w:t>
      </w:r>
      <w:r>
        <w:t xml:space="preserve"> </w:t>
      </w:r>
      <w:r>
        <w:t xml:space="preserve">(J. Walker 2d ed. 1982).</w:t>
      </w:r>
    </w:p>
    <w:p>
      <w:pPr>
        <w:pStyle w:val="CaseBody"/>
      </w:pPr>
      <w:r>
        <w:t xml:space="preserve">For many years, the Board has determined that it is in the best interest of Occidental to support and promote the acquisition and exhibition of the Art Collection. Through Occidental’s financial support and sponsorship, the Art Collection has been viewed by more than six million people in more than twenty-five American cities and at least eighteen foreign countries. The majority of those exhibitions have been in areas where Occidental has operations or was negotiating business contracts. Occidental’s Annual Reports to its shareholders have described the benefits and good will which it attributes to the financial support that Occidental has provided for the Art Collection.</w:t>
      </w:r>
    </w:p>
    <w:p>
      <w:pPr>
        <w:pStyle w:val="CaseBody"/>
      </w:pPr>
      <w:r>
        <w:t xml:space="preserve">Dr. Hammer enjoyed an ongoing relationship with the Los Angeles County Museum of Art (“LACMA”) for several decades. In 1968, Dr. Hammer agreed to donate a number of paintings to LACMA, as well as funds to purchase additional art. For approximately twenty years thereafter, Dr. Hammer both publicly and privately expressed his intention to donate the Art Collection to LACMA. However, Dr. Hammer and LACMA had never entered into a binding agreement to that effect. Nevertheless, LACMA named one of its buildings the Frances and Armand Hammer Wing in recognition of Dr. Hammer’s gifts.</w:t>
      </w:r>
      <w:r>
        <w:rPr>
          <w:rStyle w:val="FootnoteReference"/>
        </w:rPr>
        <w:footnoteReference w:customMarkFollows="1" w:id="115"/>
        <w:t xml:space="preserve">4</w:t>
      </w:r>
    </w:p>
    <w:p>
      <w:pPr>
        <w:pStyle w:val="CaseBody"/>
      </w:pPr>
      <w:r>
        <w:t xml:space="preserve">Occidental approved of Dr. Hammer’s decision to permanently display the Art Collection at LACMA. In fact, it made substantial financial contributions to facilitate that display. In 1982, for example, Occidental paid two million dollars to expand and refurbish the Hammer Wing at LAC-MA.</w:t>
      </w:r>
    </w:p>
    <w:p>
      <w:pPr>
        <w:pStyle w:val="CaseBody"/>
      </w:pPr>
      <w:r>
        <w:t xml:space="preserve">In 1987, Dr. Hammer presented Daniel N. Belin, Esquire (“Belin”), the president of LACMA’s Board of Trustees, with a thirty-nine page proposed agreement which set forth the terms upon which Dr. Hammer would permanently locate the Art Collection at LACMA. LACMA and Dr. Hammer tried, but were unable to reach a binding agreement. Consequently, Dr. Hammer concluded that he would make arrangements for the permanent display of the Art Collection at a location other than at LAC-MA. On January 8, 1988, Dr. Hammer wrote a letter to Belin which stated that he had “decided to create my own museum to house” the Art Collection.</w:t>
      </w:r>
    </w:p>
    <w:p>
      <w:pPr>
        <w:pStyle w:val="CaseBody"/>
      </w:pPr>
      <w:r>
        <w:t xml:space="preserve">On January 19, 1988, at a meeting of the executive committee of Occidental’s board of directors (“the Executive Committee”), Dr. Hammer proposed that Occidental, in conjunction with the Foundation, construct a museum for the Art Collection. After discussing Occidental’s history of identification with the Art Collection, the Executive Committee decided that it was in Occidental’s best interest to accept Dr. Hammer’s proposal. The Executive Committee approved the negotiation of arrangements for the preliminary design and construction of an art museum.</w:t>
      </w:r>
      <w:r>
        <w:rPr>
          <w:rStyle w:val="FootnoteReference"/>
        </w:rPr>
        <w:footnoteReference w:customMarkFollows="1" w:id="138"/>
        <w:t xml:space="preserve">5</w:t>
      </w:r>
      <w:r>
        <w:t xml:space="preserve"> </w:t>
      </w:r>
      <w:r>
        <w:t xml:space="preserve">It would be located adjacent to Occidental’s headquarters, on the site of an existing parking garage used by Occidental for its employees. The Executive Committee also decided that once the art museum project was substantially defined, a final proposal would be presented to the Board or the Executive Committee for approval and authorization.</w:t>
      </w:r>
    </w:p>
    <w:p>
      <w:pPr>
        <w:pStyle w:val="CaseBody"/>
      </w:pPr>
      <w:r>
        <w:t xml:space="preserve">The art museum concept was announced publicly on January 21,1988. On February 11,1988, the Board approved the Executive Committee’s prior actions. Occidental informed its shareholders of the preliminary plan to construct The Armand Hammer Museum and Cultural Center of Art (“the Museum”) in its 1987 Annual Report. In accordance with the January 19, 1988 resolutions passed by the Executive Committee, construction of a new parking garage for Occidental began in the fall of 1988. The Board approved a construction bond on November 10, 1988.</w:t>
      </w:r>
    </w:p>
    <w:p>
      <w:pPr>
        <w:pStyle w:val="CaseBody"/>
      </w:pPr>
      <w:r>
        <w:t xml:space="preserve">On December 15, 1988, the Board was presented with a detailed plan for the Museum proposal. The Board approved the concept and authorized a complete study of the proposal. Following the December 15th Board meeting, the law firm of Dil-worth, Paxson, Kalish &amp; Kauffman (“Dil-worth”) was retained by the Board to examine the Museum proposal and to prepare a memorandum addressing the issues relevant to the Board’s consideration of the proposal.</w:t>
      </w:r>
      <w:r>
        <w:rPr>
          <w:rStyle w:val="FootnoteReference"/>
        </w:rPr>
        <w:footnoteReference w:customMarkFollows="1" w:id="160"/>
        <w:t xml:space="preserve">6</w:t>
      </w:r>
      <w:r>
        <w:t xml:space="preserve"> </w:t>
      </w:r>
      <w:r>
        <w:t xml:space="preserve">The law firm of Skadden, Arps, Slate, Meagher &amp; Flom (“Skadden Arps”) was retained to represent the new legal entity which would be necessitated by the Museum proposal. Occidental’s public accountants, Arthur Andersen &amp; Co. (“Arthur Andersen”), were also asked to examine the Museum proposal.</w:t>
      </w:r>
    </w:p>
    <w:p>
      <w:pPr>
        <w:pStyle w:val="CaseBody"/>
      </w:pPr>
      <w:r>
        <w:t xml:space="preserve">On or about February 6, 1989, ten days prior to the Board’s prescheduled February 16 meeting, Dilworth provided each member of the Board with a ninety-six page memorandum. It contained a definition of the Museum proposal and the anticipated magnitude of the proposed charitable donation by Occidental. It reviewed the authority of the Board to approve such a donation and the reasonableness of the proposed donation. The Dilworth memorandum included an analysis of the donation’s effect on Occidental’s financial condition, the potential for good will and other benefits to Occidental, and a comparison of the proposed charitable contribution by Occidental to the charitable contributions of other corporations.</w:t>
      </w:r>
    </w:p>
    <w:p>
      <w:pPr>
        <w:pStyle w:val="CaseBody"/>
      </w:pPr>
      <w:r>
        <w:t xml:space="preserve">The advance distribution of the Dilworth memorandum was supplemented on February 10, 1989 by a tax opinion letter from Skadden Arps. That same day, the Board also received a consulting report from the Duncan Appraisal Corporation. The latter document addressed the option price for the Museum’s purchase of Occidental’s headquarters building, museum facility and parking garage in thirty years as contemplated by the Museum proposal.</w:t>
      </w:r>
    </w:p>
    <w:p>
      <w:pPr>
        <w:pStyle w:val="CaseBody"/>
      </w:pPr>
      <w:r>
        <w:t xml:space="preserve">During the February 16 Board meeting, a Dilworth representative personally presented the basis for that law firm’s analysis of the Museum proposal, as set forth in its February 6 written memorandum. The presentation reviewed again the directors’ standard of conduct in considering the Museum proposal, as well as the financial and tax consequences to Occidental as a result of the donation. Following the Dilworth presentation, the Board resolved to appoint the Special Committee, comprised of its eight independent and disinterested outside directors, to further review and to act upon the Museum proposal:</w:t>
      </w:r>
    </w:p>
    <w:p>
      <w:pPr>
        <w:pStyle w:val="BlockText"/>
      </w:pPr>
      <w:r>
        <w:t xml:space="preserve">RESOLVED, that a special committee be, and hereby is appointed for the purpose of considering and acting on the Proposal (the “Special Committee”). A copy of the Proposal is attached hereto as Exhibit “A”;</w:t>
      </w:r>
    </w:p>
    <w:p>
      <w:pPr>
        <w:pStyle w:val="BlockText"/>
      </w:pPr>
      <w:r>
        <w:t xml:space="preserve">FURTHER RESOLVED, that the Special Committee shall consist of the following directors of the Corporation: Senator Gore, Mr. Kluge, Mr. Krim, Mr. Nizer, Mr. Nolley, Dr. Piper, Mr. Syriani and Miss Tomich.</w:t>
      </w:r>
    </w:p>
    <w:p>
      <w:pPr>
        <w:pStyle w:val="BlockText"/>
      </w:pPr>
      <w:r>
        <w:t xml:space="preserve">FURTHER RESOLVED, that the Special Committee shall have and is hereby granted full authority to consider, act on, approve and authorize the Proposal and the Special Committee’s action respecting the Proposal shall be deemed the action of the Board of Directors of the Corporation and shall bind the Corporation to the same extent as an action of the full Board of Directors.</w:t>
      </w:r>
    </w:p>
    <w:p>
      <w:pPr>
        <w:pStyle w:val="CaseBody"/>
      </w:pPr>
      <w:r>
        <w:t xml:space="preserve">The Board then adjourned to allow the Special Committee to meet.</w:t>
      </w:r>
    </w:p>
    <w:p>
      <w:pPr>
        <w:pStyle w:val="CaseBody"/>
      </w:pPr>
      <w:r>
        <w:t xml:space="preserve">The Special Committee consisted of individuals who collectively had approximately eighty years of service on Occidental’s board of directors. In alphabetical order, they are as follows: Albert Gore</w:t>
      </w:r>
      <w:r>
        <w:rPr>
          <w:rStyle w:val="FootnoteReference"/>
        </w:rPr>
        <w:footnoteReference w:customMarkFollows="1" w:id="180"/>
        <w:t xml:space="preserve">7</w:t>
      </w:r>
      <w:r>
        <w:t xml:space="preserve">; John W. Kluge</w:t>
      </w:r>
      <w:r>
        <w:rPr>
          <w:rStyle w:val="FootnoteReference"/>
        </w:rPr>
        <w:footnoteReference w:customMarkFollows="1" w:id="199"/>
        <w:t xml:space="preserve">8</w:t>
      </w:r>
      <w:r>
        <w:t xml:space="preserve">; Arthur B. Krim</w:t>
      </w:r>
      <w:r>
        <w:rPr>
          <w:rStyle w:val="FootnoteReference"/>
        </w:rPr>
        <w:footnoteReference w:customMarkFollows="1" w:id="218"/>
        <w:t xml:space="preserve">9</w:t>
      </w:r>
      <w:r>
        <w:t xml:space="preserve">; Louis Nizer</w:t>
      </w:r>
      <w:r>
        <w:rPr>
          <w:rStyle w:val="FootnoteReference"/>
        </w:rPr>
        <w:footnoteReference w:customMarkFollows="1" w:id="236"/>
        <w:t xml:space="preserve">10</w:t>
      </w:r>
      <w:r>
        <w:t xml:space="preserve">; George 0. Nolley</w:t>
      </w:r>
      <w:r>
        <w:rPr>
          <w:rStyle w:val="FootnoteReference"/>
        </w:rPr>
        <w:footnoteReference w:customMarkFollows="1" w:id="252"/>
        <w:t xml:space="preserve">11</w:t>
      </w:r>
      <w:r>
        <w:t xml:space="preserve">; Dr. C. Erwin Piper</w:t>
      </w:r>
      <w:r>
        <w:rPr>
          <w:rStyle w:val="FootnoteReference"/>
        </w:rPr>
        <w:footnoteReference w:customMarkFollows="1" w:id="268"/>
        <w:t xml:space="preserve">12</w:t>
      </w:r>
      <w:r>
        <w:t xml:space="preserve">; Aziz D. Syriani</w:t>
      </w:r>
      <w:r>
        <w:rPr>
          <w:rStyle w:val="FootnoteReference"/>
        </w:rPr>
        <w:footnoteReference w:customMarkFollows="1" w:id="284"/>
        <w:t xml:space="preserve">13</w:t>
      </w:r>
      <w:r>
        <w:t xml:space="preserve">; and Rosemary Tomich</w:t>
      </w:r>
      <w:r>
        <w:rPr>
          <w:rStyle w:val="FootnoteReference"/>
        </w:rPr>
        <w:footnoteReference w:customMarkFollows="1" w:id="300"/>
        <w:t xml:space="preserve">14</w:t>
      </w:r>
      <w:r>
        <w:t xml:space="preserve">. Those Board members were not officers of Occidental, and were not associated with the Museum or the Foundation.</w:t>
      </w:r>
    </w:p>
    <w:p>
      <w:pPr>
        <w:pStyle w:val="CaseBody"/>
      </w:pPr>
      <w:r>
        <w:t xml:space="preserve">On February 16, 1989, following the adjournment of the Board meeting, the Special Committee met to consider the proposal presented to the full Board for establishing the Museum. The Special Committee requested the representatives of Dilworth to attend the meeting to respond to any questions relating to its February 6, 1989 opinion letter and memorandum. The Special Committee also asked representatives from Skadden Arps and Arthur Andersen to attend its meeting to address questions concerning the proposed charitable contribution.</w:t>
      </w:r>
      <w:r>
        <w:rPr>
          <w:rStyle w:val="FootnoteReference"/>
        </w:rPr>
        <w:footnoteReference w:customMarkFollows="1" w:id="315"/>
        <w:t xml:space="preserve">15</w:t>
      </w:r>
    </w:p>
    <w:p>
      <w:pPr>
        <w:pStyle w:val="CaseBody"/>
      </w:pPr>
      <w:r>
        <w:t xml:space="preserve">The minutes of the February 16, 1989 meeting of the Special Committee outline its consideration of the Museum proposal. Those minutes reflect that many questions were asked by members of the Special Committee and were answered by the representatives of Dilworth, Skadden Arps, or Arthur Andersen. As a result of its own extensive discussions, and in reliance upon the experts’ opinions, the Special Committee concluded that the establishment of the Museum, adjacent to Occidental’s corporate offices in Los Angeles, would provide benefits to Occidental for at least the thirty-year term of the lease. The Special Committee also concluded that the proposed museum would establish a new cultural landmark for the City of Los Angeles.</w:t>
      </w:r>
    </w:p>
    <w:p>
      <w:pPr>
        <w:pStyle w:val="CaseBody"/>
      </w:pPr>
      <w:r>
        <w:t xml:space="preserve">On February 16, 1989, the Special Committee unanimously approved the Museum proposal, subject to certain conditions. The proposal approved by the Special Committee included the following provisions:</w:t>
      </w:r>
    </w:p>
    <w:p>
      <w:pPr>
        <w:pStyle w:val="BlockText"/>
      </w:pPr>
      <w:r>
        <w:t xml:space="preserve">(1) Occidental would construct a new museum building, renovate portions of four floors of its adjacent headquarters for use by the Museum, and construct a parking garage beneath the museum for its own use for a total cost of approximately $50 million.</w:t>
      </w:r>
    </w:p>
    <w:p>
      <w:pPr>
        <w:pStyle w:val="BlockText"/>
      </w:pPr>
      <w:r>
        <w:t xml:space="preserve">(2) Occidental would lease the Museum building and the four floors of its headquarters to the Museum rent-free for a term of thirty years. Occidental would continue to pay the property taxes, and the Museum would pay the utilities and maintenance expenses;</w:t>
      </w:r>
    </w:p>
    <w:p>
      <w:pPr>
        <w:pStyle w:val="BlockText"/>
      </w:pPr>
      <w:r>
        <w:t xml:space="preserve">(3) Occidental would purchase a thirty-year annuity at an estimated cost of $35.6 million to provide for the funding of the Museum’s operations during its initial years;</w:t>
      </w:r>
    </w:p>
    <w:p>
      <w:pPr>
        <w:pStyle w:val="BlockText"/>
      </w:pPr>
      <w:r>
        <w:t xml:space="preserve">(4) Occidental would grant the Museum an irrevocable option to purchase the Museum building, the parking garage, and the Occidental headquarters building in thirty years for $55 million;</w:t>
      </w:r>
    </w:p>
    <w:p>
      <w:pPr>
        <w:pStyle w:val="BlockText"/>
      </w:pPr>
      <w:r>
        <w:t xml:space="preserve">(5) Dr. Hammer and the Foundation would transfer the Art Collection entirely to the Museum;</w:t>
      </w:r>
    </w:p>
    <w:p>
      <w:pPr>
        <w:pStyle w:val="BlockText"/>
      </w:pPr>
      <w:r>
        <w:t xml:space="preserve">(6) The Museum would be named for Dr. Hammer — The Armand Hammer Museum of Art and Cultural Center.</w:t>
      </w:r>
    </w:p>
    <w:p>
      <w:pPr>
        <w:pStyle w:val="BlockText"/>
      </w:pPr>
      <w:r>
        <w:t xml:space="preserve">(7) Occidental would have representation on the board of directors of the Museum;</w:t>
      </w:r>
    </w:p>
    <w:p>
      <w:pPr>
        <w:pStyle w:val="BlockText"/>
      </w:pPr>
      <w:r>
        <w:t xml:space="preserve">(8) Occidental would receive public recognition for its role in establishing the Museum, for example, by the naming of the courtyard, library, or auditorium for Occidental and Occidental would have the right to use the Museum, and be entitled to “corporate sponsor” rights.</w:t>
      </w:r>
    </w:p>
    <w:p>
      <w:pPr>
        <w:pStyle w:val="CaseBody"/>
      </w:pPr>
      <w:r>
        <w:t xml:space="preserve">The Special Committee’s unanimous approval of the proposal was subject to the following conditions:</w:t>
      </w:r>
    </w:p>
    <w:p>
      <w:pPr>
        <w:pStyle w:val="BlockText"/>
      </w:pPr>
      <w:r>
        <w:t xml:space="preserve">(1) The incorporation of the Museum as a non-profit corporation under Delaware law;</w:t>
      </w:r>
    </w:p>
    <w:p>
      <w:pPr>
        <w:pStyle w:val="BlockText"/>
      </w:pPr>
      <w:r>
        <w:t xml:space="preserve">(2) The determination by the Internal Revenue Service that the Museum would be a tax-exempt entity under the Internal Revenue Code;</w:t>
      </w:r>
    </w:p>
    <w:p>
      <w:pPr>
        <w:pStyle w:val="BlockText"/>
      </w:pPr>
      <w:r>
        <w:t xml:space="preserve">(3) The receipt of supplementation of the February opinion letters to reflect tax issues discussed at the meeting, including the question of self-dealing; and</w:t>
      </w:r>
    </w:p>
    <w:p>
      <w:pPr>
        <w:pStyle w:val="BlockText"/>
      </w:pPr>
      <w:r>
        <w:t xml:space="preserve">(4) The execution of the necessary documents relating to (a) the lease of the Museum facilities, (b) the Museum’s option to purchase Occidental’s headquarters, (c) Occidental’s lease-back rights if the option was exercised, and (d) an agreement for the transfer of the Collection from the Foundation and Dr. Hammer to the Museum, including a full inventory of the art.</w:t>
      </w:r>
    </w:p>
    <w:p>
      <w:pPr>
        <w:pStyle w:val="CaseBody"/>
      </w:pPr>
      <w:r>
        <w:t xml:space="preserve">The Special Committee decided to present requests for expenditures to carry out the foregoing resolutions to the Board in the form of Authorization for Expenditures (“AFE’s”). The AFE’s proposed by the Special Committee were unanimously approved by the Board when it reconvened on February 16, 1989.</w:t>
      </w:r>
    </w:p>
    <w:p>
      <w:pPr>
        <w:pStyle w:val="CaseBody"/>
      </w:pPr>
      <w:r>
        <w:t xml:space="preserve">On April 25, 1989, Occidental reported the Special Committee’s approval of the Museum proposal to its shareholders in the proxy statement for its annual meeting to be held May 26, 1989. On May 2,1989, the first shareholder action (“the</w:t>
      </w:r>
      <w:r>
        <w:t xml:space="preserve"> </w:t>
      </w:r>
      <w:r>
        <w:rPr>
          <w:iCs/>
          <w:i/>
        </w:rPr>
        <w:t xml:space="preserve">Kahn</w:t>
      </w:r>
      <w:r>
        <w:t xml:space="preserve"> </w:t>
      </w:r>
      <w:r>
        <w:t xml:space="preserve">action”) was filed, challenging Occidental’s decision to establish and fund the Museum proposal. The</w:t>
      </w:r>
      <w:r>
        <w:t xml:space="preserve"> </w:t>
      </w:r>
      <w:r>
        <w:rPr>
          <w:iCs/>
          <w:i/>
        </w:rPr>
        <w:t xml:space="preserve">Sullivan</w:t>
      </w:r>
      <w:r>
        <w:t xml:space="preserve"> </w:t>
      </w:r>
      <w:r>
        <w:t xml:space="preserve">action was filed on May 9, 1989.</w:t>
      </w:r>
      <w:r>
        <w:rPr>
          <w:rStyle w:val="FootnoteReference"/>
        </w:rPr>
        <w:footnoteReference w:customMarkFollows="1" w:id="329"/>
        <w:t xml:space="preserve">16</w:t>
      </w:r>
      <w:r>
        <w:t xml:space="preserve"> </w:t>
      </w:r>
      <w:r>
        <w:t xml:space="preserve">On May 12, 1989, Occidental issued a supplement to the proxy statement.</w:t>
      </w:r>
      <w:r>
        <w:rPr>
          <w:rStyle w:val="FootnoteReference"/>
        </w:rPr>
        <w:footnoteReference w:customMarkFollows="1" w:id="343"/>
        <w:t xml:space="preserve">17</w:t>
      </w:r>
      <w:r>
        <w:t xml:space="preserve"> </w:t>
      </w:r>
      <w:r>
        <w:t xml:space="preserve">The</w:t>
      </w:r>
      <w:r>
        <w:t xml:space="preserve"> </w:t>
      </w:r>
      <w:r>
        <w:rPr>
          <w:iCs/>
          <w:i/>
        </w:rPr>
        <w:t xml:space="preserve">Stepak</w:t>
      </w:r>
      <w:r>
        <w:t xml:space="preserve"> </w:t>
      </w:r>
      <w:r>
        <w:t xml:space="preserve">action was commenced on May 31, 1989.</w:t>
      </w:r>
      <w:r>
        <w:rPr>
          <w:rStyle w:val="FootnoteReference"/>
        </w:rPr>
        <w:footnoteReference w:customMarkFollows="1" w:id="356"/>
        <w:t xml:space="preserve">18</w:t>
      </w:r>
    </w:p>
    <w:p>
      <w:pPr>
        <w:pStyle w:val="CaseBody"/>
      </w:pPr>
      <w:r>
        <w:t xml:space="preserve">Settlement negotiations were entered into almost immediately between Occidental and the attorneys for the plaintiffs in the</w:t>
      </w:r>
      <w:r>
        <w:t xml:space="preserve"> </w:t>
      </w:r>
      <w:r>
        <w:rPr>
          <w:iCs/>
          <w:i/>
        </w:rPr>
        <w:t xml:space="preserve">Sullivan</w:t>
      </w:r>
      <w:r>
        <w:t xml:space="preserve"> </w:t>
      </w:r>
      <w:r>
        <w:t xml:space="preserve">action. The attorney for the plaintiffs in the</w:t>
      </w:r>
      <w:r>
        <w:t xml:space="preserve"> </w:t>
      </w:r>
      <w:r>
        <w:rPr>
          <w:iCs/>
          <w:i/>
        </w:rPr>
        <w:t xml:space="preserve">Kahn</w:t>
      </w:r>
      <w:r>
        <w:t xml:space="preserve"> </w:t>
      </w:r>
      <w:r>
        <w:t xml:space="preserve">action was invited to attend the settlement negotiations. After the parties to the</w:t>
      </w:r>
      <w:r>
        <w:t xml:space="preserve"> </w:t>
      </w:r>
      <w:r>
        <w:rPr>
          <w:iCs/>
          <w:i/>
        </w:rPr>
        <w:t xml:space="preserve">Sullivan</w:t>
      </w:r>
      <w:r>
        <w:t xml:space="preserve"> </w:t>
      </w:r>
      <w:r>
        <w:t xml:space="preserve">action were in substantial agreement, the attorney for the plaintiffs in the</w:t>
      </w:r>
      <w:r>
        <w:t xml:space="preserve"> </w:t>
      </w:r>
      <w:r>
        <w:rPr>
          <w:iCs/>
          <w:i/>
        </w:rPr>
        <w:t xml:space="preserve">Kahn</w:t>
      </w:r>
      <w:r>
        <w:t xml:space="preserve"> </w:t>
      </w:r>
      <w:r>
        <w:t xml:space="preserve">action said it was up to his clients whether to accept the settlement, but that he was not going to recommend it.</w:t>
      </w:r>
    </w:p>
    <w:p>
      <w:pPr>
        <w:pStyle w:val="CaseBody"/>
      </w:pPr>
      <w:r>
        <w:t xml:space="preserve">On June 3, 1989, the parties to the</w:t>
      </w:r>
      <w:r>
        <w:t xml:space="preserve"> </w:t>
      </w:r>
      <w:r>
        <w:rPr>
          <w:iCs/>
          <w:i/>
        </w:rPr>
        <w:t xml:space="preserve">Sullivan</w:t>
      </w:r>
      <w:r>
        <w:t xml:space="preserve"> </w:t>
      </w:r>
      <w:r>
        <w:t xml:space="preserve">action signed a Memorandum of Understanding that set forth a proposed settlement in general terms. The proposed settlement was subject to the right of the plaintiffs to engage in additional discovery to confirm the fairness and adequacy of the proposed settlement.</w:t>
      </w:r>
    </w:p>
    <w:p>
      <w:pPr>
        <w:pStyle w:val="CaseBody"/>
      </w:pPr>
      <w:r>
        <w:t xml:space="preserve">On June 9, 1989, the plaintiffs in the</w:t>
      </w:r>
      <w:r>
        <w:t xml:space="preserve"> </w:t>
      </w:r>
      <w:r>
        <w:rPr>
          <w:iCs/>
          <w:i/>
        </w:rPr>
        <w:t xml:space="preserve">Kahn</w:t>
      </w:r>
      <w:r>
        <w:t xml:space="preserve"> </w:t>
      </w:r>
      <w:r>
        <w:t xml:space="preserve">action moved for a preliminary injunction to enjoin the proposed settlement in the</w:t>
      </w:r>
      <w:r>
        <w:t xml:space="preserve"> </w:t>
      </w:r>
      <w:r>
        <w:rPr>
          <w:iCs/>
          <w:i/>
        </w:rPr>
        <w:t xml:space="preserve">Sullivan</w:t>
      </w:r>
      <w:r>
        <w:t xml:space="preserve"> </w:t>
      </w:r>
      <w:r>
        <w:t xml:space="preserve">action and also for expedited discovery. An order granting limited expedited discovery on the motion was entered over the defendants’ objection. The motion for a preliminary injunction was denied by the Court of Chancery on July 19, 1989.</w:t>
      </w:r>
    </w:p>
    <w:p>
      <w:pPr>
        <w:pStyle w:val="CaseBody"/>
      </w:pPr>
      <w:r>
        <w:t xml:space="preserve">In denying the motion for injunctive relief, the Court of Chancery found that Kahn would suffer no irreparable harm if a proposed settlement in</w:t>
      </w:r>
      <w:r>
        <w:t xml:space="preserve"> </w:t>
      </w:r>
      <w:r>
        <w:rPr>
          <w:iCs/>
          <w:i/>
        </w:rPr>
        <w:t xml:space="preserve">Sullivan</w:t>
      </w:r>
      <w:r>
        <w:t xml:space="preserve"> </w:t>
      </w:r>
      <w:r>
        <w:t xml:space="preserve">was subsequently finalized and submitted for approval since Kahn, as a stockholder of Occidental, would have the opportunity to appear and object to the settlement. The Court of Chancery also identified six issues to be addressed at any future settlement hearing:</w:t>
      </w:r>
    </w:p>
    <w:p>
      <w:pPr>
        <w:pStyle w:val="BlockText"/>
      </w:pPr>
      <w:r>
        <w:t xml:space="preserve">(1) the failure of the Special Committee appointed by the directors of Occidental to hire its own counsel and advisors or even to formally approve the challenged acts; (2) the now worthlessness of a prior donation by Occidental to the Los Angeles County Museum; (3) the huge attorney fees which the parties have apparently decided to seek or not oppose; (4) the egocentric nature of some of Armand Hammer’s objections to the Los Angeles County Museum being the recipient of his donation; (5) the issue of who really owns the art; and (6) the lack of any direct substantial benefit to the stockholders.</w:t>
      </w:r>
    </w:p>
    <w:p>
      <w:pPr>
        <w:pStyle w:val="CaseBody"/>
      </w:pPr>
      <w:r>
        <w:t xml:space="preserve">On July 20, 1989, the Special Committee met to discuss the Museum proposal. At that time, the Special Committee was in receipt of a number of documents required as a result of the conditions precedent it had imposed on February 16,1989 before it would finally approve the Museum proposal. Those documents included: the Certificate of Incorporation of The Armand Hammer Museum of Art and Cultural Center, Inc.; Internal Revenue Service correspondence;</w:t>
      </w:r>
      <w:r>
        <w:t xml:space="preserve"> </w:t>
      </w:r>
      <w:r>
        <w:rPr>
          <w:rStyle w:val="FootnoteReference"/>
        </w:rPr>
        <w:footnoteReference w:customMarkFollows="1" w:id="369"/>
        <w:t xml:space="preserve">19</w:t>
      </w:r>
      <w:r>
        <w:t xml:space="preserve"> </w:t>
      </w:r>
      <w:r>
        <w:t xml:space="preserve">opinion letters in draft form from Skadden Arps and Dilworth (later supplemented); a draft lease and option agreement; the Memorandum of Understanding in the</w:t>
      </w:r>
      <w:r>
        <w:t xml:space="preserve"> </w:t>
      </w:r>
      <w:r>
        <w:rPr>
          <w:iCs/>
          <w:i/>
        </w:rPr>
        <w:t xml:space="preserve">Sullivan</w:t>
      </w:r>
      <w:r>
        <w:t xml:space="preserve"> </w:t>
      </w:r>
      <w:r>
        <w:t xml:space="preserve">action; a list of the art works being transferred; and a proposed agreement for the transfer of the Collection to the Museum (“Transfer Agreement”). After reviewing the aforementioned documents and revising the Transfer Agreement, the Special Committee unanimously resolved that the conditions for approval, which it had imposed at their February 16, 1989 meeting, had been satisfied. The Special Committee then authorized Occidental to enter into the lease agreement</w:t>
      </w:r>
      <w:r>
        <w:rPr>
          <w:rStyle w:val="FootnoteReference"/>
        </w:rPr>
        <w:footnoteReference w:customMarkFollows="1" w:id="382"/>
        <w:t xml:space="preserve">20</w:t>
      </w:r>
      <w:r>
        <w:t xml:space="preserve"> </w:t>
      </w:r>
      <w:r>
        <w:t xml:space="preserve">with the Museum and “to purchase a thirty-nine million dollar annuity, or other financial arrangement, for the benefit of the Museum, as contemplated by the proposal.”</w:t>
      </w:r>
    </w:p>
    <w:p>
      <w:pPr>
        <w:pStyle w:val="CaseBody"/>
      </w:pPr>
      <w:r>
        <w:t xml:space="preserve">At its July 20 meeting, the Special Committee also reviewed the July 19, 1989 decision and order of the Court of Chancery denying Kahn’s request for injunctive relief in the</w:t>
      </w:r>
      <w:r>
        <w:t xml:space="preserve"> </w:t>
      </w:r>
      <w:r>
        <w:rPr>
          <w:iCs/>
          <w:i/>
        </w:rPr>
        <w:t xml:space="preserve">Sullivan</w:t>
      </w:r>
      <w:r>
        <w:t xml:space="preserve"> </w:t>
      </w:r>
      <w:r>
        <w:t xml:space="preserve">action. In response to one of the concerns expressed by the Court of Chancery, the Special Committee resolved to retain independent Delaware counsel with no prior connection to Occidental or its officers. Thereafter, this independent counsel would advise the Special Committee with respect to the Museum proposal and the terms of any settlement of the shareholder litigation. The July 20 meeting of the Special Committee then adjourned.</w:t>
      </w:r>
    </w:p>
    <w:p>
      <w:pPr>
        <w:pStyle w:val="CaseBody"/>
      </w:pPr>
      <w:r>
        <w:t xml:space="preserve">On July 25, 1989, the Special Committee held a telephone conference to initially consider numerous law firms to serve as its independent counsel. The Special Committee reconvened by telephone on August 4, 1989. At that time it retained the law firm of Morris, James, Hitchens &amp; Williams (“Morris James”) as its independent Delaware legal counsel. The Special Committee met with Grover C. Brown, Esquire (“Brown”) of Morris James on August 14, 1989 to discuss the shareholder actions that had been filed and the terms of the proposed settlement agreement in the</w:t>
      </w:r>
      <w:r>
        <w:t xml:space="preserve"> </w:t>
      </w:r>
      <w:r>
        <w:rPr>
          <w:iCs/>
          <w:i/>
        </w:rPr>
        <w:t xml:space="preserve">Sullivan</w:t>
      </w:r>
      <w:r>
        <w:t xml:space="preserve"> </w:t>
      </w:r>
      <w:r>
        <w:t xml:space="preserve">action. It met with Brown again on September 20, 1989, at which time it requested a revised Transfer Agreement, explained the basis for its prior actions, and resolved to continue proceeding as planned.</w:t>
      </w:r>
    </w:p>
    <w:p>
      <w:pPr>
        <w:pStyle w:val="CaseBody"/>
      </w:pPr>
      <w:r>
        <w:t xml:space="preserve">On October 6, 1989, Occidental’s Board of Directors, by unanimous written consent, delegated full authority to the Special Committee to settle the shareholder litigation filed in Delaware on Occidental’s behalf. Following this delegation of authority, Morris James submitted a written report to the Special Committee on the advisability of settlement. Additional questions from the Special Committee regarding the settlement were directed to Brown after a telephone meeting of the Special Committee on October 19, 1989.</w:t>
      </w:r>
    </w:p>
    <w:p>
      <w:pPr>
        <w:pStyle w:val="CaseBody"/>
      </w:pPr>
      <w:r>
        <w:t xml:space="preserve">The Special Committee met again on November 16, 1989. Prior to that meeting, the Special Committee received a draft of the Stipulation of Settlement of the</w:t>
      </w:r>
      <w:r>
        <w:t xml:space="preserve"> </w:t>
      </w:r>
      <w:r>
        <w:rPr>
          <w:iCs/>
          <w:i/>
        </w:rPr>
        <w:t xml:space="preserve">Sullivan</w:t>
      </w:r>
      <w:r>
        <w:t xml:space="preserve"> </w:t>
      </w:r>
      <w:r>
        <w:t xml:space="preserve">action, a revised Transfer Agreement in accordance with its September 20 request, and an abstract and analysis of the Transfer Agreement prepared by Morris James. At the meeting on November 16, all of these documents were discussed with Brown of Morris James. The form of a stipulation of settlement was approved unanimously by the Special Committee.</w:t>
      </w:r>
    </w:p>
    <w:p>
      <w:pPr>
        <w:pStyle w:val="CaseBody"/>
      </w:pPr>
      <w:r>
        <w:t xml:space="preserve">The parties to the</w:t>
      </w:r>
      <w:r>
        <w:t xml:space="preserve"> </w:t>
      </w:r>
      <w:r>
        <w:rPr>
          <w:iCs/>
          <w:i/>
        </w:rPr>
        <w:t xml:space="preserve">Sullivan</w:t>
      </w:r>
      <w:r>
        <w:t xml:space="preserve"> </w:t>
      </w:r>
      <w:r>
        <w:t xml:space="preserve">action presented the Court of Chancery with a fully executed Stipulation of Compromise, Settlement and Release agreement (“the Settlement”) on January 24, 1990. This agreement was only slightly changed from the June 3, 1989 Memorandum of Understanding. The Settlement,</w:t>
      </w:r>
      <w:r>
        <w:t xml:space="preserve"> </w:t>
      </w:r>
      <w:r>
        <w:rPr>
          <w:iCs/>
          <w:i/>
        </w:rPr>
        <w:t xml:space="preserve">inter alia,</w:t>
      </w:r>
      <w:r>
        <w:t xml:space="preserve"> </w:t>
      </w:r>
      <w:r>
        <w:t xml:space="preserve">provided:</w:t>
      </w:r>
    </w:p>
    <w:p>
      <w:pPr>
        <w:pStyle w:val="BlockText"/>
      </w:pPr>
      <w:r>
        <w:t xml:space="preserve">(1) The Museum building shall be named the “Occidental Petroleum Cultural Center Building” with the name displayed appropriately on the building.</w:t>
      </w:r>
    </w:p>
    <w:p>
      <w:pPr>
        <w:pStyle w:val="BlockText"/>
      </w:pPr>
      <w:r>
        <w:t xml:space="preserve">(2) Occidental shall be treated as a corporate sponsor by the Museum for as long as the Museum occupies the building.</w:t>
      </w:r>
    </w:p>
    <w:p>
      <w:pPr>
        <w:pStyle w:val="BlockText"/>
      </w:pPr>
      <w:r>
        <w:t xml:space="preserve">(3) Occidental’s contribution of the building shall be recognized by the Museum in public references to the facility.</w:t>
      </w:r>
    </w:p>
    <w:p>
      <w:pPr>
        <w:pStyle w:val="BlockText"/>
      </w:pPr>
      <w:r>
        <w:t xml:space="preserve">(4) Three of Occidental’s directors shall serve on the Museum’s Board (or no less than one-third of the total Museum Board) with Occidental having the option to designate a fourth director.</w:t>
      </w:r>
    </w:p>
    <w:p>
      <w:pPr>
        <w:pStyle w:val="BlockText"/>
      </w:pPr>
      <w:r>
        <w:t xml:space="preserve">(5) There shall be an immediate loan of substantially all of the art collections of Dr. Hammer to the Museum and there shall be an actual transfer of ownership of the collections upon Dr. Hammer’s death or the commencement of operation of the Museum — whichever later occurs.</w:t>
      </w:r>
    </w:p>
    <w:p>
      <w:pPr>
        <w:pStyle w:val="BlockText"/>
      </w:pPr>
      <w:r>
        <w:t xml:space="preserve">(6) All future charitable contributions by Occidental .to any Hammer-affiliated charities shall be limited by the size of the dividends paid to Occidental’s common stockholders. At current dividend levels, Occidental’s annual contributions to Hammer-affiliated charities pursuant to this limitation could not exceed approximately three cents per share.</w:t>
      </w:r>
    </w:p>
    <w:p>
      <w:pPr>
        <w:pStyle w:val="BlockText"/>
      </w:pPr>
      <w:r>
        <w:t xml:space="preserve">(7) Any amounts Occidental pays for construction of the Museum in excess of $50 million and any amounts paid to the Foundation upon Dr. Hammer’s death must be charged against the agreed ceiling on limitations to Hammer-affiliated charities.</w:t>
      </w:r>
    </w:p>
    <w:p>
      <w:pPr>
        <w:pStyle w:val="BlockText"/>
      </w:pPr>
      <w:r>
        <w:t xml:space="preserve">(8) Occidental’s expenditures for the Museum construction shall not exceed $50 million, except that an additional $10 million may be expended through December 31, 1990 but only if such additional expenditures do not enlarge the scope of construction and if such expenditures are approved by the Special Committee. Amounts in excess of $50 million must be charged against the limitation on donations to Hammer-affiliated charities.</w:t>
      </w:r>
    </w:p>
    <w:p>
      <w:pPr>
        <w:pStyle w:val="BlockText"/>
      </w:pPr>
      <w:r>
        <w:t xml:space="preserve">(9) Occidental shall be entitled to receive 50% of any consideration received in excess of a $55 million option price for the Museum property or 50% of any consideration the Museum receives from the assignment or transfer of its option or lease to a third party.</w:t>
      </w:r>
    </w:p>
    <w:p>
      <w:pPr>
        <w:pStyle w:val="BlockText"/>
      </w:pPr>
      <w:r>
        <w:t xml:space="preserve">(10) Plaintiffs’ attorneys’ fees in the</w:t>
      </w:r>
      <w:r>
        <w:t xml:space="preserve"> </w:t>
      </w:r>
      <w:r>
        <w:rPr>
          <w:iCs/>
          <w:i/>
        </w:rPr>
        <w:t xml:space="preserve">Sullivan</w:t>
      </w:r>
      <w:r>
        <w:t xml:space="preserve"> </w:t>
      </w:r>
      <w:r>
        <w:t xml:space="preserve">action shall not exceed $1.4 million.</w:t>
      </w:r>
    </w:p>
    <w:p>
      <w:pPr>
        <w:pStyle w:val="CaseBody"/>
      </w:pPr>
      <w:r>
        <w:t xml:space="preserve">The Court of Chancery directed that for settlement purposes, the</w:t>
      </w:r>
      <w:r>
        <w:t xml:space="preserve"> </w:t>
      </w:r>
      <w:r>
        <w:rPr>
          <w:iCs/>
          <w:i/>
        </w:rPr>
        <w:t xml:space="preserve">Sullivan</w:t>
      </w:r>
      <w:r>
        <w:t xml:space="preserve"> </w:t>
      </w:r>
      <w:r>
        <w:t xml:space="preserve">action would be maintained as a stockholder derivative action and as a class action. The action was to be maintained by those plaintiffs, as representatives of the class who held Occidental common stock on April 6, 1989, and their successors in interest up to and including January 2, 1990, excluding the defendants and members of their immediate families. A settlement hearing was scheduled for April 4, 1990.</w:t>
      </w:r>
      <w:r>
        <w:rPr>
          <w:rStyle w:val="FootnoteReference"/>
        </w:rPr>
        <w:footnoteReference w:customMarkFollows="1" w:id="395"/>
        <w:t xml:space="preserve">21</w:t>
      </w:r>
      <w:r>
        <w:t xml:space="preserve"> </w:t>
      </w:r>
      <w:r>
        <w:t xml:space="preserve">The Notice of Pendency of Class and Derivative Action, Proposed Settlement, Settlement Hearing and Right to Appear, was sent to all class members one month prior to the hearing.</w:t>
      </w:r>
    </w:p>
    <w:p>
      <w:pPr>
        <w:pStyle w:val="CaseBody"/>
      </w:pPr>
      <w:r>
        <w:t xml:space="preserve">In presenting their opposition, the Objectors relied upon the discovery which had been authorized prior to the 1990 hearing on the Settlement, as well as the discovery that had been taken with respect to their 1989 motion for a preliminary injunction. That discovery included answers to interrogatories and responses to requests for the production of documents. That discovery also included the depositions of Dr. Hammer; Daniel N. Belin; Senator Albert Gore, Sr., the acting Chairman of the Special Committee; Ronald Asquith, Vice President of Occidental with the responsibility of overseeing the construction of the parking garage and art museum facilities; and Hillary Gibson, the Director of Development of the Museum, who was responsible for raising funds for its continuing public support. In addition, William Prickett, Esquire (“Prickett”), counsel for Sullivan and Brody, was deposed twice, once in the</w:t>
      </w:r>
      <w:r>
        <w:t xml:space="preserve"> </w:t>
      </w:r>
      <w:r>
        <w:rPr>
          <w:iCs/>
          <w:i/>
        </w:rPr>
        <w:t xml:space="preserve">Sullivan</w:t>
      </w:r>
      <w:r>
        <w:t xml:space="preserve"> </w:t>
      </w:r>
      <w:r>
        <w:t xml:space="preserve">action and once in the</w:t>
      </w:r>
      <w:r>
        <w:t xml:space="preserve"> </w:t>
      </w:r>
      <w:r>
        <w:rPr>
          <w:iCs/>
          <w:i/>
        </w:rPr>
        <w:t xml:space="preserve">Kahn</w:t>
      </w:r>
      <w:r>
        <w:t xml:space="preserve"> </w:t>
      </w:r>
      <w:r>
        <w:t xml:space="preserve">action.</w:t>
      </w:r>
    </w:p>
    <w:p>
      <w:pPr>
        <w:pStyle w:val="CaseBody"/>
      </w:pPr>
      <w:r>
        <w:t xml:space="preserve">On April 4, 1990, the settlement hearing in the</w:t>
      </w:r>
      <w:r>
        <w:t xml:space="preserve"> </w:t>
      </w:r>
      <w:r>
        <w:rPr>
          <w:iCs/>
          <w:i/>
        </w:rPr>
        <w:t xml:space="preserve">Sullivan</w:t>
      </w:r>
      <w:r>
        <w:t xml:space="preserve"> </w:t>
      </w:r>
      <w:r>
        <w:t xml:space="preserve">action was held.</w:t>
      </w:r>
      <w:r>
        <w:rPr>
          <w:rStyle w:val="FootnoteReference"/>
        </w:rPr>
        <w:footnoteReference w:customMarkFollows="1" w:id="407"/>
        <w:t xml:space="preserve">22</w:t>
      </w:r>
      <w:r>
        <w:t xml:space="preserve"> </w:t>
      </w:r>
      <w:r>
        <w:t xml:space="preserve">A number of shareholders appeared or wrote letters objecting to the Settlement. The Objectors argued that the decision of the Special Committee on February 16 to approve the charitable donation to fund the Museum proposal was neither informed nor deliberate and was not cured by any subsequent conduct. Therefore, the Objectors argued that the actions by the Special Committee were not entitled to the protection of the business judgment rule. The Objectors also argued that the charitable donation to the Museum proposal constituted a waste of Occidental’s corporate assets. Consequently, in view of the merits of the claims being compromised, the Objectors submitted that the benefits of the proposed Settlement in the</w:t>
      </w:r>
      <w:r>
        <w:t xml:space="preserve"> </w:t>
      </w:r>
      <w:r>
        <w:rPr>
          <w:iCs/>
          <w:i/>
        </w:rPr>
        <w:t xml:space="preserve">Sullivan</w:t>
      </w:r>
      <w:r>
        <w:t xml:space="preserve"> </w:t>
      </w:r>
      <w:r>
        <w:t xml:space="preserve">action were inadequate.</w:t>
      </w:r>
    </w:p>
    <w:p>
      <w:pPr>
        <w:pStyle w:val="CaseBody"/>
      </w:pPr>
      <w:r>
        <w:t xml:space="preserve">On August 7, 1990, the Court of Chancery found the Settlement to be reasonable under all of the circumstances. The Court of Chancery concluded that the claims asserted by the shareholder plaintiffs would likely be dismissed before or after trial. While noting its own displeasure with the Settlement, the Court of Chancery explained that its role in reviewing the proposed Settlement was restricted to determining in its own business judgment whether, on balance, the Settlement was reasonable.</w:t>
      </w:r>
      <w:r>
        <w:rPr>
          <w:rStyle w:val="FootnoteReference"/>
        </w:rPr>
        <w:footnoteReference w:customMarkFollows="1" w:id="419"/>
        <w:t xml:space="preserve">23</w:t>
      </w:r>
      <w:r>
        <w:t xml:space="preserve"> </w:t>
      </w:r>
      <w:r>
        <w:t xml:space="preserve">The Court opined that although the benefit to be received from the Settlement was meager, it was adequate considering all the facts and circumstances.</w:t>
      </w:r>
    </w:p>
    <w:p>
      <w:pPr>
        <w:pStyle w:val="CaseBody"/>
      </w:pPr>
      <w:r>
        <w:rPr>
          <w:iCs/>
          <w:i/>
        </w:rPr>
        <w:t xml:space="preserve">Standard of Review</w:t>
      </w:r>
    </w:p>
    <w:p>
      <w:pPr>
        <w:pStyle w:val="CaseBody"/>
      </w:pPr>
      <w:r>
        <w:t xml:space="preserve">The Objectors argue that the Court of Chancery erroneously concluded that the Settlement was fair, reasonable and adequate to protect the interests of the shareholders of Occidental. “In analyzing such arguments, this Court has always been assiduous in distinguishing between the function and legal obligations imposed upon the Court of Chancery in initially reviewing a proposed settlement and the appropriate appellate standards by which this Court must subsequently examine such a decision.”</w:t>
      </w:r>
      <w:r>
        <w:t xml:space="preserve"> </w:t>
      </w:r>
      <w:r>
        <w:rPr>
          <w:iCs/>
          <w:i/>
        </w:rPr>
        <w:t xml:space="preserve">Nottingham Partners v. Dana,</w:t>
      </w:r>
      <w:r>
        <w:t xml:space="preserve"> </w:t>
      </w:r>
      <w:r>
        <w:t xml:space="preserve">Del.Supr.,</w:t>
      </w:r>
      <w:r>
        <w:t xml:space="preserve"> </w:t>
      </w:r>
      <w:r>
        <w:t xml:space="preserve">564 A.2d 1089</w:t>
      </w:r>
      <w:r>
        <w:t xml:space="preserve">, 1101-02 (1989). Those separate and distinct legal principles are both well established.</w:t>
      </w:r>
      <w:r>
        <w:t xml:space="preserve"> </w:t>
      </w:r>
      <w:r>
        <w:rPr>
          <w:iCs/>
          <w:i/>
        </w:rPr>
        <w:t xml:space="preserve">Id.</w:t>
      </w:r>
      <w:r>
        <w:t xml:space="preserve"> </w:t>
      </w:r>
      <w:r>
        <w:t xml:space="preserve">at 1102 (citing</w:t>
      </w:r>
      <w:r>
        <w:t xml:space="preserve"> </w:t>
      </w:r>
      <w:r>
        <w:rPr>
          <w:iCs/>
          <w:i/>
        </w:rPr>
        <w:t xml:space="preserve">Rome v. Archer,</w:t>
      </w:r>
      <w:r>
        <w:t xml:space="preserve"> </w:t>
      </w:r>
      <w:r>
        <w:t xml:space="preserve">Del.Supr.,</w:t>
      </w:r>
      <w:r>
        <w:t xml:space="preserve"> </w:t>
      </w:r>
      <w:r>
        <w:t xml:space="preserve">197 A.2d 49</w:t>
      </w:r>
      <w:r>
        <w:t xml:space="preserve">, 53-54 (1964);</w:t>
      </w:r>
      <w:r>
        <w:t xml:space="preserve"> </w:t>
      </w:r>
      <w:r>
        <w:rPr>
          <w:iCs/>
          <w:i/>
        </w:rPr>
        <w:t xml:space="preserve">Polk v. Good,</w:t>
      </w:r>
      <w:r>
        <w:t xml:space="preserve"> </w:t>
      </w:r>
      <w:r>
        <w:t xml:space="preserve">Del.Supr.,</w:t>
      </w:r>
      <w:r>
        <w:t xml:space="preserve"> </w:t>
      </w:r>
      <w:r>
        <w:t xml:space="preserve">507 A.2d 531</w:t>
      </w:r>
      <w:r>
        <w:t xml:space="preserve">, 535-36 (1986)).</w:t>
      </w:r>
    </w:p>
    <w:p>
      <w:pPr>
        <w:pStyle w:val="CaseBody"/>
      </w:pPr>
      <w:r>
        <w:t xml:space="preserve">Delaware law, as a general proposition, favors the voluntary settlement of contested issues.</w:t>
      </w:r>
      <w:r>
        <w:t xml:space="preserve"> </w:t>
      </w:r>
      <w:r>
        <w:rPr>
          <w:iCs/>
          <w:i/>
        </w:rPr>
        <w:t xml:space="preserve">Id.</w:t>
      </w:r>
      <w:r>
        <w:t xml:space="preserve"> </w:t>
      </w:r>
      <w:r>
        <w:t xml:space="preserve">“However, the settlement of a class action is unique in that, ‘because of the fiduciary character of a class action, the Court of Chancery must participate in the consummation of a settlement to the extent of determining its intrinsic fairness.’ ”</w:t>
      </w:r>
      <w:r>
        <w:t xml:space="preserve"> </w:t>
      </w:r>
      <w:r>
        <w:rPr>
          <w:iCs/>
          <w:i/>
        </w:rPr>
        <w:t xml:space="preserve">Id.</w:t>
      </w:r>
      <w:r>
        <w:t xml:space="preserve"> </w:t>
      </w:r>
      <w:r>
        <w:t xml:space="preserve">(quoting</w:t>
      </w:r>
      <w:r>
        <w:t xml:space="preserve"> </w:t>
      </w:r>
      <w:r>
        <w:rPr>
          <w:iCs/>
          <w:i/>
        </w:rPr>
        <w:t xml:space="preserve">Rome v. Archer,</w:t>
      </w:r>
      <w:r>
        <w:t xml:space="preserve"> </w:t>
      </w:r>
      <w:r>
        <w:t xml:space="preserve">197 A.2d at 53</w:t>
      </w:r>
      <w:r>
        <w:t xml:space="preserve">). In determining the fairness of a settlement, the Court of Chancery is not required to afford the parties an opportunity to have a trial on the merits of the issues presented.</w:t>
      </w:r>
      <w:r>
        <w:t xml:space="preserve"> </w:t>
      </w:r>
      <w:r>
        <w:rPr>
          <w:iCs/>
          <w:i/>
        </w:rPr>
        <w:t xml:space="preserve">Id.</w:t>
      </w:r>
      <w:r>
        <w:t xml:space="preserve"> </w:t>
      </w:r>
      <w:r>
        <w:t xml:space="preserve">Nevertheless, the approval of a class action settlement by the Court of Chancery does require more than a cursory scrutiny of the issues presented.</w:t>
      </w:r>
      <w:r>
        <w:t xml:space="preserve"> </w:t>
      </w:r>
      <w:r>
        <w:rPr>
          <w:iCs/>
          <w:i/>
        </w:rPr>
        <w:t xml:space="preserve">Id.</w:t>
      </w:r>
      <w:r>
        <w:t xml:space="preserve"> </w:t>
      </w:r>
      <w:r>
        <w:t xml:space="preserve">The balance between these two extremes has been described as follows:</w:t>
      </w:r>
    </w:p>
    <w:p>
      <w:pPr>
        <w:pStyle w:val="BlockText"/>
      </w:pPr>
      <w:r>
        <w:t xml:space="preserve">Under</w:t>
      </w:r>
      <w:r>
        <w:t xml:space="preserve"> </w:t>
      </w:r>
      <w:r>
        <w:rPr>
          <w:iCs/>
          <w:i/>
        </w:rPr>
        <w:t xml:space="preserve">Rome,</w:t>
      </w:r>
      <w:r>
        <w:t xml:space="preserve"> </w:t>
      </w:r>
      <w:r>
        <w:t xml:space="preserve">the [Court of Chancery’s] function is to consider the nature of the [plaintiff’s] claim, the possible defenses thereto, the legal and factual circumstances of the case, and then to apply its own business judgment in deciding whether the settlement is reasonable in light of these factors.</w:t>
      </w:r>
    </w:p>
    <w:p>
      <w:pPr>
        <w:pStyle w:val="CaseBody"/>
      </w:pPr>
      <w:r>
        <w:rPr>
          <w:iCs/>
          <w:i/>
        </w:rPr>
        <w:t xml:space="preserve">Polk v. Good,</w:t>
      </w:r>
      <w:r>
        <w:t xml:space="preserve"> </w:t>
      </w:r>
      <w:r>
        <w:t xml:space="preserve">507 A.2d at</w:t>
      </w:r>
      <w:r>
        <w:t xml:space="preserve"> </w:t>
      </w:r>
      <w:r>
        <w:t xml:space="preserve">535 (citing</w:t>
      </w:r>
      <w:r>
        <w:t xml:space="preserve"> </w:t>
      </w:r>
      <w:r>
        <w:rPr>
          <w:iCs/>
          <w:i/>
        </w:rPr>
        <w:t xml:space="preserve">Rome v. Archer,</w:t>
      </w:r>
      <w:r>
        <w:t xml:space="preserve"> </w:t>
      </w:r>
      <w:r>
        <w:t xml:space="preserve">197 A.2d at 53</w:t>
      </w:r>
      <w:r>
        <w:t xml:space="preserve">). “If, in the light of these matters, the Court of Chancery approves the settlement as reasonable through the exercise of sound business judgment, its function as the so-called third party to the settlement has been discharged.”</w:t>
      </w:r>
      <w:r>
        <w:t xml:space="preserve"> </w:t>
      </w:r>
      <w:r>
        <w:rPr>
          <w:iCs/>
          <w:i/>
        </w:rPr>
        <w:t xml:space="preserve">Nottingham Partners v. Dana,</w:t>
      </w:r>
      <w:r>
        <w:t xml:space="preserve"> </w:t>
      </w:r>
      <w:r>
        <w:t xml:space="preserve">564 A.2d at 1102</w:t>
      </w:r>
      <w:r>
        <w:t xml:space="preserve"> </w:t>
      </w:r>
      <w:r>
        <w:t xml:space="preserve">(quoting</w:t>
      </w:r>
      <w:r>
        <w:t xml:space="preserve"> </w:t>
      </w:r>
      <w:r>
        <w:rPr>
          <w:iCs/>
          <w:i/>
        </w:rPr>
        <w:t xml:space="preserve">Rome v. Archer,</w:t>
      </w:r>
      <w:r>
        <w:t xml:space="preserve"> </w:t>
      </w:r>
      <w:r>
        <w:t xml:space="preserve">197 A.2d at 53-54</w:t>
      </w:r>
      <w:r>
        <w:t xml:space="preserve">).</w:t>
      </w:r>
    </w:p>
    <w:p>
      <w:pPr>
        <w:pStyle w:val="CaseBody"/>
      </w:pPr>
      <w:r>
        <w:t xml:space="preserve">In an appeal from the Court of Chancery, following the approval of a settlement of a class action, the function of this Court is more limited in its nature.</w:t>
      </w:r>
      <w:r>
        <w:t xml:space="preserve"> </w:t>
      </w:r>
      <w:r>
        <w:rPr>
          <w:iCs/>
          <w:i/>
        </w:rPr>
        <w:t xml:space="preserve">Id.; see also Polk v. Good,</w:t>
      </w:r>
      <w:r>
        <w:t xml:space="preserve"> </w:t>
      </w:r>
      <w:r>
        <w:t xml:space="preserve">507 A.2d at 536</w:t>
      </w:r>
      <w:r>
        <w:t xml:space="preserve">. This Court does not review the record to determine the intrinsic fairness of the settlement in light of its own business judgment.</w:t>
      </w:r>
      <w:r>
        <w:t xml:space="preserve"> </w:t>
      </w:r>
      <w:r>
        <w:rPr>
          <w:iCs/>
          <w:i/>
        </w:rPr>
        <w:t xml:space="preserve">Nottingham Partners v. Dana,</w:t>
      </w:r>
      <w:r>
        <w:t xml:space="preserve"> </w:t>
      </w:r>
      <w:r>
        <w:t xml:space="preserve">564 A.2d at 1102</w:t>
      </w:r>
      <w:r>
        <w:t xml:space="preserve">. This Court reviews the record “solely for the purpose of determining whether or not the Court of Chancery abused its discretion by the exercise of its business judgment.”</w:t>
      </w:r>
      <w:r>
        <w:t xml:space="preserve"> </w:t>
      </w:r>
      <w:r>
        <w:rPr>
          <w:iCs/>
          <w:i/>
        </w:rPr>
        <w:t xml:space="preserve">Id.</w:t>
      </w:r>
      <w:r>
        <w:t xml:space="preserve"> </w:t>
      </w:r>
      <w:r>
        <w:t xml:space="preserve">(citing</w:t>
      </w:r>
      <w:r>
        <w:t xml:space="preserve"> </w:t>
      </w:r>
      <w:r>
        <w:rPr>
          <w:iCs/>
          <w:i/>
        </w:rPr>
        <w:t xml:space="preserve">Polk v. Good,</w:t>
      </w:r>
      <w:r>
        <w:t xml:space="preserve"> </w:t>
      </w:r>
      <w:r>
        <w:t xml:space="preserve">507 A.2d at 536</w:t>
      </w:r>
      <w:r>
        <w:t xml:space="preserve">).</w:t>
      </w:r>
    </w:p>
    <w:p>
      <w:pPr>
        <w:pStyle w:val="CaseBody"/>
      </w:pPr>
      <w:r>
        <w:t xml:space="preserve">Although the applicable standard of appellate review requires this Court to consider the entire record, “if the findings and conclusions of the trial judge are supported by the record and [are] the product of an orderly and logical deductive process, they will be accepted.”</w:t>
      </w:r>
      <w:r>
        <w:t xml:space="preserve"> </w:t>
      </w:r>
      <w:r>
        <w:rPr>
          <w:iCs/>
          <w:i/>
        </w:rPr>
        <w:t xml:space="preserve">Id.</w:t>
      </w:r>
      <w:r>
        <w:t xml:space="preserve"> </w:t>
      </w:r>
      <w:r>
        <w:t xml:space="preserve">(citing</w:t>
      </w:r>
      <w:r>
        <w:t xml:space="preserve"> </w:t>
      </w:r>
      <w:r>
        <w:rPr>
          <w:iCs/>
          <w:i/>
        </w:rPr>
        <w:t xml:space="preserve">Levitt v. Bouvier,</w:t>
      </w:r>
      <w:r>
        <w:t xml:space="preserve"> </w:t>
      </w:r>
      <w:r>
        <w:t xml:space="preserve">Del.Supr.,</w:t>
      </w:r>
      <w:r>
        <w:t xml:space="preserve"> </w:t>
      </w:r>
      <w:r>
        <w:t xml:space="preserve">287 A.2d 671</w:t>
      </w:r>
      <w:r>
        <w:t xml:space="preserve">, 673 (1972)). Consequently, for this Court to set aside a settlement which has been found by the Court of Chancery to be fair and reasonable, the evidence in the record must be so strongly to the contrary that the approval of the settlement constituted an abuse of discretion.</w:t>
      </w:r>
      <w:r>
        <w:t xml:space="preserve"> </w:t>
      </w:r>
      <w:r>
        <w:rPr>
          <w:iCs/>
          <w:i/>
        </w:rPr>
        <w:t xml:space="preserve">Id.</w:t>
      </w:r>
      <w:r>
        <w:t xml:space="preserve"> </w:t>
      </w:r>
      <w:r>
        <w:t xml:space="preserve">(citing</w:t>
      </w:r>
      <w:r>
        <w:t xml:space="preserve"> </w:t>
      </w:r>
      <w:r>
        <w:rPr>
          <w:iCs/>
          <w:i/>
        </w:rPr>
        <w:t xml:space="preserve">Rome v. Archer,</w:t>
      </w:r>
      <w:r>
        <w:t xml:space="preserve"> </w:t>
      </w:r>
      <w:r>
        <w:t xml:space="preserve">197 A.2d at 54</w:t>
      </w:r>
      <w:r>
        <w:t xml:space="preserve">).</w:t>
      </w:r>
    </w:p>
    <w:p>
      <w:pPr>
        <w:pStyle w:val="CaseBody"/>
      </w:pPr>
      <w:r>
        <w:rPr>
          <w:iCs/>
          <w:i/>
        </w:rPr>
        <w:t xml:space="preserve">Claims and Defenses</w:t>
      </w:r>
    </w:p>
    <w:p>
      <w:pPr>
        <w:pStyle w:val="CaseBody"/>
      </w:pPr>
      <w:r>
        <w:t xml:space="preserve">Initially, we will review the Court of Chancery’s examination of the nature of the shareholder plaintiffs’ claims and the possible defenses thereto, in the context of the legal and factual circumstances presented. The proponents of the Settlement argued that the business judgment rule could undoubtedly have been invoked successfully by the defendants as a complete defense to the shareholder plaintiffs’ claims. The business judgment rule “creates a presumption ‘that in making a business decision the directors of a corporation acted on an informed basis, in good faith and in the honest belief that the action taken was in the best interests of the corporation.’ ”</w:t>
      </w:r>
      <w:r>
        <w:t xml:space="preserve"> </w:t>
      </w:r>
      <w:r>
        <w:rPr>
          <w:iCs/>
          <w:i/>
        </w:rPr>
        <w:t xml:space="preserve">Polk v. Good,</w:t>
      </w:r>
      <w:r>
        <w:t xml:space="preserve"> </w:t>
      </w:r>
      <w:r>
        <w:t xml:space="preserve">507 A.2d at 536</w:t>
      </w:r>
      <w:r>
        <w:t xml:space="preserve"> </w:t>
      </w:r>
      <w:r>
        <w:t xml:space="preserve">(quoting</w:t>
      </w:r>
      <w:r>
        <w:t xml:space="preserve"> </w:t>
      </w:r>
      <w:r>
        <w:rPr>
          <w:iCs/>
          <w:i/>
        </w:rPr>
        <w:t xml:space="preserve">Aronson v. Lewis,</w:t>
      </w:r>
      <w:r>
        <w:t xml:space="preserve"> </w:t>
      </w:r>
      <w:r>
        <w:t xml:space="preserve">Del.Supr.,</w:t>
      </w:r>
      <w:r>
        <w:t xml:space="preserve"> </w:t>
      </w:r>
      <w:r>
        <w:t xml:space="preserve">473 A.2d 805</w:t>
      </w:r>
      <w:r>
        <w:t xml:space="preserve">, 812 (1984)). The Objectors presented several alternative arguments in support of their contention that the shareholder plaintiffs would have been, able to rebut the defense based on the protection which the presumption of the business judgment rule provides. Each of those arguments was based, at least in part, upon this Court’s decision in</w:t>
      </w:r>
      <w:r>
        <w:t xml:space="preserve"> </w:t>
      </w:r>
      <w:r>
        <w:rPr>
          <w:iCs/>
          <w:i/>
        </w:rPr>
        <w:t xml:space="preserve">Smith v. Van Gorkom,</w:t>
      </w:r>
      <w:r>
        <w:t xml:space="preserve"> </w:t>
      </w:r>
      <w:r>
        <w:t xml:space="preserve">Del.Supr.,</w:t>
      </w:r>
      <w:r>
        <w:t xml:space="preserve"> </w:t>
      </w:r>
      <w:r>
        <w:t xml:space="preserve">488 A.2d 858</w:t>
      </w:r>
      <w:r>
        <w:t xml:space="preserve"> </w:t>
      </w:r>
      <w:r>
        <w:t xml:space="preserve">(1985).</w:t>
      </w:r>
    </w:p>
    <w:p>
      <w:pPr>
        <w:pStyle w:val="CaseBody"/>
      </w:pPr>
      <w:r>
        <w:t xml:space="preserve">First, the Objectors submitted that the business judgment rule would probably not protect the actions of the Special Committee because the independence of the Special Committee was questionable. In support of that argument, the Objectors assert that at least four members of the Special Committee had close ties to Dr. Hammer and personal business dealings with him.</w:t>
      </w:r>
      <w:r>
        <w:rPr>
          <w:rStyle w:val="FootnoteReference"/>
        </w:rPr>
        <w:footnoteReference w:customMarkFollows="1" w:id="431"/>
        <w:t xml:space="preserve">24</w:t>
      </w:r>
      <w:r>
        <w:t xml:space="preserve"> </w:t>
      </w:r>
      <w:r>
        <w:t xml:space="preserve">After examining the record, the Court of Chancery found that the Objectors had not established any facts that the Special Committee had any self-interest in the transaction either from a personal financial interest or from a motive for entrenchment in office.</w:t>
      </w:r>
      <w:r>
        <w:t xml:space="preserve"> </w:t>
      </w:r>
      <w:r>
        <w:rPr>
          <w:iCs/>
          <w:i/>
        </w:rPr>
        <w:t xml:space="preserve">See Grobow v. Perot,</w:t>
      </w:r>
      <w:r>
        <w:t xml:space="preserve"> </w:t>
      </w:r>
      <w:r>
        <w:t xml:space="preserve">Del.Supr.,</w:t>
      </w:r>
      <w:r>
        <w:t xml:space="preserve"> </w:t>
      </w:r>
      <w:r>
        <w:t xml:space="preserve">539 A.2d 180</w:t>
      </w:r>
      <w:r>
        <w:t xml:space="preserve">, 188 (1988). The Court of Chancery also concluded that there was no evidence in the record indicating that any of the members of the Special Committee were in fact dominated by Dr. Hammer or anyone else.</w:t>
      </w:r>
    </w:p>
    <w:p>
      <w:pPr>
        <w:pStyle w:val="CaseBody"/>
      </w:pPr>
      <w:r>
        <w:t xml:space="preserve">Second, in a related argument, the Objectors argued that the presumption of the business judgment rule would have been overcome because the Special Committee proceeded initially without retaining independent legal counsel. In fact, that was a concern identified by the Court of Chancery in its July 19, 1989 opinion. However, in approving the Settlement, the Court of Chancery noted that the Special Committee had retained independent counsel, and “subsequently, and for the first time, formally approved the challenged charitable contributions.” Thus, the Court of Chancery specifically found that the Special Committee had the advice of independent legal counsel before it finally approved the Museum proposal.</w:t>
      </w:r>
    </w:p>
    <w:p>
      <w:pPr>
        <w:pStyle w:val="CaseBody"/>
      </w:pPr>
      <w:r>
        <w:t xml:space="preserve">In this appeal, with respect to the aforementioned finding, the Objectors submit that the Court of Chancery’s eventual approval of the Settlement was based upon its mistaken belief that a major judicial concern, i.e., the failure of the Special Committee to retain independent counsel prior to its formal approval of the Museum proposal, had been rectified. In particular, the Objectors contend that the Special Committee formally approved the Museum proposal at its July 20,1989 meeting. The parties all agree that the Special Committee retained its independent legal counsel on August 4, 1989. Therefore, the Objectors argue that the Court of Chancery’s conclusion that the business judgment rule would apply was based upon an erroneous premise.</w:t>
      </w:r>
    </w:p>
    <w:p>
      <w:pPr>
        <w:pStyle w:val="CaseBody"/>
      </w:pPr>
      <w:r>
        <w:t xml:space="preserve">In response to that argument by the Objectors, the proponents of the Settlement submit the record reflects that the Special Committee reviewed and ratified all of its prior actions on September 20, 1989, after retaining independent legal counsel. Accordingly, the proponents of the Settlement contend that, whether the September 20, 1989 action by the Special Committee is characterized as the first final approval of the Museum proposal or as a re-approval of its action taken on July 20, 1989, the Special Committee’s ultimate decision to proceed with the Museum proposal was based upon the advice of independent counsel.</w:t>
      </w:r>
    </w:p>
    <w:p>
      <w:pPr>
        <w:pStyle w:val="CaseBody"/>
      </w:pPr>
      <w:r>
        <w:t xml:space="preserve">The Objectors’ third argument in the Court of Chancery, challenging the viability of the business judgment rule as a successful defense, was based upon</w:t>
      </w:r>
      <w:r>
        <w:t xml:space="preserve"> </w:t>
      </w:r>
      <w:r>
        <w:rPr>
          <w:iCs/>
          <w:i/>
        </w:rPr>
        <w:t xml:space="preserve">Van Gor-kom</w:t>
      </w:r>
      <w:r>
        <w:t xml:space="preserve"> </w:t>
      </w:r>
      <w:r>
        <w:t xml:space="preserve">and contended that the Special Committee and other directors were grossly negligent in failing to inform themselves of all material information reasonably available to them.</w:t>
      </w:r>
      <w:r>
        <w:rPr>
          <w:rStyle w:val="FootnoteReference"/>
        </w:rPr>
        <w:footnoteReference w:customMarkFollows="1" w:id="442"/>
        <w:t xml:space="preserve">25</w:t>
      </w:r>
      <w:r>
        <w:t xml:space="preserve"> </w:t>
      </w:r>
      <w:r>
        <w:t xml:space="preserve">Thus, the Objectors argued that even if,</w:t>
      </w:r>
      <w:r>
        <w:t xml:space="preserve"> </w:t>
      </w:r>
      <w:r>
        <w:rPr>
          <w:iCs/>
          <w:i/>
        </w:rPr>
        <w:t xml:space="preserve">arguendo,</w:t>
      </w:r>
      <w:r>
        <w:t xml:space="preserve"> </w:t>
      </w:r>
      <w:r>
        <w:t xml:space="preserve">the Special Committee was itself independent and formally approved the Museum proposal after its retention of independent legal counsel, such approval would not have cured the Special Committee’s prior failure to exercise due care. The Court of Chancery found the record showed that the Special Committee had given due consideration to the Museum proposal and rejected the Objectors’ argument to the contrary.</w:t>
      </w:r>
      <w:r>
        <w:t xml:space="preserve"> </w:t>
      </w:r>
      <w:r>
        <w:rPr>
          <w:iCs/>
          <w:i/>
        </w:rPr>
        <w:t xml:space="preserve">See generally Smith v. Van Gorkom,</w:t>
      </w:r>
      <w:r>
        <w:t xml:space="preserve"> </w:t>
      </w:r>
      <w:r>
        <w:t xml:space="preserve">Del.Supr.,</w:t>
      </w:r>
      <w:r>
        <w:t xml:space="preserve"> </w:t>
      </w:r>
      <w:r>
        <w:t xml:space="preserve">488 A.2d 858</w:t>
      </w:r>
      <w:r>
        <w:t xml:space="preserve"> </w:t>
      </w:r>
      <w:r>
        <w:t xml:space="preserve">(1985).</w:t>
      </w:r>
    </w:p>
    <w:p>
      <w:pPr>
        <w:pStyle w:val="CaseBody"/>
      </w:pPr>
      <w:r>
        <w:t xml:space="preserve">The Court of Chancery carefully considered each of the Objectors’ arguments in response to the merits of the suggested business judgment rule defense. It concluded that if the</w:t>
      </w:r>
      <w:r>
        <w:t xml:space="preserve"> </w:t>
      </w:r>
      <w:r>
        <w:rPr>
          <w:iCs/>
          <w:i/>
        </w:rPr>
        <w:t xml:space="preserve">Sullivan</w:t>
      </w:r>
      <w:r>
        <w:t xml:space="preserve"> </w:t>
      </w:r>
      <w:r>
        <w:t xml:space="preserve">action proceeded, it was highly probable in deciding a motion to dismiss, a motion for summary judgment, or a post-trial motion, the actions of “the Special Committee would be protected by the presumption of propriety afforded by the business judgment rule.” Specifically, the Court of Chancery concluded that it would have been decided that the Special Committee, comprised of Occidental’s outside directors, was independent and made an informed decision to approve the charitable donation to the Museum proposal. These conclusions by the Court of Chancery are supported by the record and are the product of an orderly and logical deductive process.</w:t>
      </w:r>
      <w:r>
        <w:t xml:space="preserve"> </w:t>
      </w:r>
      <w:r>
        <w:rPr>
          <w:iCs/>
          <w:i/>
        </w:rPr>
        <w:t xml:space="preserve">Barkan v. Amsted Industries Inc.,</w:t>
      </w:r>
      <w:r>
        <w:t xml:space="preserve"> </w:t>
      </w:r>
      <w:r>
        <w:t xml:space="preserve">Del.Supr.,</w:t>
      </w:r>
      <w:r>
        <w:t xml:space="preserve"> </w:t>
      </w:r>
      <w:r>
        <w:t xml:space="preserve">567 A.2d 1279</w:t>
      </w:r>
      <w:r>
        <w:t xml:space="preserve">, 1284 (1989);</w:t>
      </w:r>
      <w:r>
        <w:t xml:space="preserve"> </w:t>
      </w:r>
      <w:r>
        <w:rPr>
          <w:iCs/>
          <w:i/>
        </w:rPr>
        <w:t xml:space="preserve">Nottingham Partners v. Dana,</w:t>
      </w:r>
      <w:r>
        <w:t xml:space="preserve"> </w:t>
      </w:r>
      <w:r>
        <w:t xml:space="preserve">564 A.2d at 1102</w:t>
      </w:r>
      <w:r>
        <w:t xml:space="preserve">;</w:t>
      </w:r>
      <w:r>
        <w:t xml:space="preserve"> </w:t>
      </w:r>
      <w:r>
        <w:rPr>
          <w:iCs/>
          <w:i/>
        </w:rPr>
        <w:t xml:space="preserve">Polk v. Good,</w:t>
      </w:r>
      <w:r>
        <w:t xml:space="preserve"> </w:t>
      </w:r>
      <w:r>
        <w:t xml:space="preserve">507 A.2d at 536</w:t>
      </w:r>
      <w:r>
        <w:t xml:space="preserve">;</w:t>
      </w:r>
      <w:r>
        <w:t xml:space="preserve"> </w:t>
      </w:r>
      <w:r>
        <w:rPr>
          <w:iCs/>
          <w:i/>
        </w:rPr>
        <w:t xml:space="preserve">cf. Rome v. Archer,</w:t>
      </w:r>
      <w:r>
        <w:t xml:space="preserve"> </w:t>
      </w:r>
      <w:r>
        <w:t xml:space="preserve">197 A.2d at 54</w:t>
      </w:r>
      <w:r>
        <w:t xml:space="preserve">.</w:t>
      </w:r>
    </w:p>
    <w:p>
      <w:pPr>
        <w:pStyle w:val="CaseBody"/>
      </w:pPr>
      <w:r>
        <w:t xml:space="preserve">Following its analysis and conclusion that the business judgment rule would have been applicable to any judicial examination of the Special Committee’s actions, the Court of Chancery considered the shareholder plaintiffs’ claim that the Board and the Special Committee’s approval of the charitable donation to the Museum proposal constituted a waste of Occidental’s corporate assets. In doing so, it recognized that charitable donations by Delaware corporations are expressly authorized by 8</w:t>
      </w:r>
      <w:r>
        <w:t xml:space="preserve"> </w:t>
      </w:r>
      <w:r>
        <w:rPr>
          <w:iCs/>
          <w:i/>
        </w:rPr>
        <w:t xml:space="preserve">Del.C.</w:t>
      </w:r>
      <w:r>
        <w:t xml:space="preserve"> </w:t>
      </w:r>
      <w:r>
        <w:t xml:space="preserve">§ 122(9). It also recognized that although § 122(9) places no limitations on the size of a charitable corporate gift, that section has been construed “to authorize any reasonable corporate gift of a charitable or educational nature.”</w:t>
      </w:r>
      <w:r>
        <w:t xml:space="preserve"> </w:t>
      </w:r>
      <w:r>
        <w:rPr>
          <w:iCs/>
          <w:i/>
        </w:rPr>
        <w:t xml:space="preserve">Theodora Holding Corp. v. Henderson,</w:t>
      </w:r>
      <w:r>
        <w:t xml:space="preserve"> </w:t>
      </w:r>
      <w:r>
        <w:t xml:space="preserve">Del.Ch.,</w:t>
      </w:r>
      <w:r>
        <w:t xml:space="preserve"> </w:t>
      </w:r>
      <w:r>
        <w:t xml:space="preserve">257 A.2d 398</w:t>
      </w:r>
      <w:r>
        <w:t xml:space="preserve">, 405 (1969). Thus, the Court of Chancery concluded that the test to be applied in examining the merits of a claim alleging corporate waste “is that of reasonableness, a test in which the provisions of the Internal Revenue Code pertaining to charitable gifts by corporations furnish a helpful guide.”</w:t>
      </w:r>
      <w:r>
        <w:t xml:space="preserve"> </w:t>
      </w:r>
      <w:r>
        <w:rPr>
          <w:iCs/>
          <w:i/>
        </w:rPr>
        <w:t xml:space="preserve">Id.</w:t>
      </w:r>
      <w:r>
        <w:t xml:space="preserve"> </w:t>
      </w:r>
      <w:r>
        <w:t xml:space="preserve">We agree with that conclusion.</w:t>
      </w:r>
    </w:p>
    <w:p>
      <w:pPr>
        <w:pStyle w:val="CaseBody"/>
      </w:pPr>
      <w:r>
        <w:t xml:space="preserve">The Objectors argued that Occidental’s charitable contribution to the Museum proposal was unreasonable and a waste of corporate assets because it was excessive.</w:t>
      </w:r>
      <w:r>
        <w:rPr>
          <w:rStyle w:val="FootnoteReference"/>
        </w:rPr>
        <w:footnoteReference w:customMarkFollows="1" w:id="453"/>
        <w:t xml:space="preserve">26</w:t>
      </w:r>
      <w:r>
        <w:t xml:space="preserve"> </w:t>
      </w:r>
      <w:r>
        <w:t xml:space="preserve">The Court of Chancery recognized that not every charitable gift constitutes a valid corporate action. Nevertheless, the Court of Chancery concluded, given the net worth of Occidental, its annual net income before taxes, and the tax benefits to Occidental, that the gift to the Museum was within the range of reasonableness established in</w:t>
      </w:r>
      <w:r>
        <w:t xml:space="preserve"> </w:t>
      </w:r>
      <w:r>
        <w:rPr>
          <w:iCs/>
          <w:i/>
        </w:rPr>
        <w:t xml:space="preserve">Theodora Holding Corp. v. Henderson,</w:t>
      </w:r>
      <w:r>
        <w:t xml:space="preserve"> </w:t>
      </w:r>
      <w:r>
        <w:t xml:space="preserve">Del.Ch.,</w:t>
      </w:r>
      <w:r>
        <w:t xml:space="preserve"> </w:t>
      </w:r>
      <w:r>
        <w:t xml:space="preserve">257 A.2d 398</w:t>
      </w:r>
      <w:r>
        <w:t xml:space="preserve">, 405 (1969). Therefore, the Court of Chancery found that it was “reasonably probable” that plaintiffs would fail on their claim of waste. That finding is supported by the record and is the product of an orderly and logical deductive process.</w:t>
      </w:r>
      <w:r>
        <w:t xml:space="preserve"> </w:t>
      </w:r>
      <w:r>
        <w:rPr>
          <w:iCs/>
          <w:i/>
        </w:rPr>
        <w:t xml:space="preserve">Barkan v. Amsted Industries Inc.,</w:t>
      </w:r>
      <w:r>
        <w:t xml:space="preserve"> </w:t>
      </w:r>
      <w:r>
        <w:t xml:space="preserve">567 A.2d at 1284</w:t>
      </w:r>
      <w:r>
        <w:t xml:space="preserve">;</w:t>
      </w:r>
      <w:r>
        <w:t xml:space="preserve"> </w:t>
      </w:r>
      <w:r>
        <w:rPr>
          <w:iCs/>
          <w:i/>
        </w:rPr>
        <w:t xml:space="preserve">Nottingham Partners v. Dana,</w:t>
      </w:r>
      <w:r>
        <w:t xml:space="preserve"> </w:t>
      </w:r>
      <w:r>
        <w:t xml:space="preserve">564 A.2d at 1102</w:t>
      </w:r>
      <w:r>
        <w:t xml:space="preserve">;</w:t>
      </w:r>
      <w:r>
        <w:t xml:space="preserve"> </w:t>
      </w:r>
      <w:r>
        <w:rPr>
          <w:iCs/>
          <w:i/>
        </w:rPr>
        <w:t xml:space="preserve">Polk v. Good,</w:t>
      </w:r>
      <w:r>
        <w:t xml:space="preserve"> </w:t>
      </w:r>
      <w:r>
        <w:t xml:space="preserve">507 A.2d at 536</w:t>
      </w:r>
      <w:r>
        <w:t xml:space="preserve">;</w:t>
      </w:r>
      <w:r>
        <w:t xml:space="preserve"> </w:t>
      </w:r>
      <w:r>
        <w:rPr>
          <w:iCs/>
          <w:i/>
        </w:rPr>
        <w:t xml:space="preserve">cf. Rome v. Archer,</w:t>
      </w:r>
      <w:r>
        <w:t xml:space="preserve"> </w:t>
      </w:r>
      <w:r>
        <w:t xml:space="preserve">197 A.2d at 54</w:t>
      </w:r>
      <w:r>
        <w:t xml:space="preserve">.</w:t>
      </w:r>
    </w:p>
    <w:p>
      <w:pPr>
        <w:pStyle w:val="CaseBody"/>
      </w:pPr>
      <w:r>
        <w:rPr>
          <w:iCs/>
          <w:i/>
        </w:rPr>
        <w:t xml:space="preserve">Adequacy of the Settlement</w:t>
      </w:r>
    </w:p>
    <w:p>
      <w:pPr>
        <w:pStyle w:val="CaseBody"/>
      </w:pPr>
      <w:r>
        <w:t xml:space="preserve">In examining the Settlement, the Court of Chancery applied the analysis set forth by this Court in</w:t>
      </w:r>
      <w:r>
        <w:t xml:space="preserve"> </w:t>
      </w:r>
      <w:r>
        <w:rPr>
          <w:iCs/>
          <w:i/>
        </w:rPr>
        <w:t xml:space="preserve">Rome</w:t>
      </w:r>
      <w:r>
        <w:t xml:space="preserve"> </w:t>
      </w:r>
      <w:r>
        <w:t xml:space="preserve">and its progeny. First, the Court of Chancery evaluated not only the nature of the shareholder plaintiffs’ claims but also the possible defenses to those claims. In weighing the validity of the claims and the benefits provided by the Settlement, it was neither necessary nor desirable for the Court of Chancery to try the case or to definitively decide the merits of any of the issues.</w:t>
      </w:r>
      <w:r>
        <w:rPr>
          <w:rStyle w:val="FootnoteReference"/>
        </w:rPr>
        <w:footnoteReference w:customMarkFollows="1" w:id="464"/>
        <w:t xml:space="preserve">27</w:t>
      </w:r>
      <w:r>
        <w:t xml:space="preserve"> </w:t>
      </w:r>
      <w:r>
        <w:rPr>
          <w:iCs/>
          <w:i/>
        </w:rPr>
        <w:t xml:space="preserve">Nottingham Partners v. Dana</w:t>
      </w:r>
      <w:r>
        <w:t xml:space="preserve"> </w:t>
      </w:r>
      <w:r>
        <w:t xml:space="preserve">564 A.2d at 1102</w:t>
      </w:r>
      <w:r>
        <w:t xml:space="preserve">;</w:t>
      </w:r>
      <w:r>
        <w:t xml:space="preserve"> </w:t>
      </w:r>
      <w:r>
        <w:rPr>
          <w:iCs/>
          <w:i/>
        </w:rPr>
        <w:t xml:space="preserve">Polk v. Good,</w:t>
      </w:r>
      <w:r>
        <w:t xml:space="preserve"> </w:t>
      </w:r>
      <w:r>
        <w:t xml:space="preserve">507 A.2d at 536</w:t>
      </w:r>
      <w:r>
        <w:t xml:space="preserve">;</w:t>
      </w:r>
      <w:r>
        <w:t xml:space="preserve"> </w:t>
      </w:r>
      <w:r>
        <w:rPr>
          <w:iCs/>
          <w:i/>
        </w:rPr>
        <w:t xml:space="preserve">Rome v. Archer,</w:t>
      </w:r>
      <w:r>
        <w:t xml:space="preserve"> </w:t>
      </w:r>
      <w:r>
        <w:t xml:space="preserve">197 A.2d at 53</w:t>
      </w:r>
      <w:r>
        <w:t xml:space="preserve">. Nevertheless, the Objectors were permitted to take discovery for the purpose of developing a record to support their contentions. After carefully evaluating the parties’ respective legal positions, the Court of Chancery opined that “the [shareholder plaintiffs’] potential for ultimate success on the merits [in the</w:t>
      </w:r>
      <w:r>
        <w:t xml:space="preserve"> </w:t>
      </w:r>
      <w:r>
        <w:rPr>
          <w:iCs/>
          <w:i/>
        </w:rPr>
        <w:t xml:space="preserve">Sullivan</w:t>
      </w:r>
      <w:r>
        <w:t xml:space="preserve"> </w:t>
      </w:r>
      <w:r>
        <w:t xml:space="preserve">action] is, realistically, very poor.”</w:t>
      </w:r>
      <w:r>
        <w:rPr>
          <w:rStyle w:val="FootnoteReference"/>
        </w:rPr>
        <w:footnoteReference w:customMarkFollows="1" w:id="474"/>
        <w:t xml:space="preserve">28</w:t>
      </w:r>
    </w:p>
    <w:p>
      <w:pPr>
        <w:pStyle w:val="CaseBody"/>
      </w:pPr>
      <w:r>
        <w:t xml:space="preserve">Second, in accordance with the procedures set forth in</w:t>
      </w:r>
      <w:r>
        <w:t xml:space="preserve"> </w:t>
      </w:r>
      <w:r>
        <w:rPr>
          <w:iCs/>
          <w:i/>
        </w:rPr>
        <w:t xml:space="preserve">Rome,</w:t>
      </w:r>
      <w:r>
        <w:t xml:space="preserve"> </w:t>
      </w:r>
      <w:r>
        <w:t xml:space="preserve">after considering the legal and factual circumstances of the case</w:t>
      </w:r>
      <w:r>
        <w:t xml:space="preserve"> </w:t>
      </w:r>
      <w:r>
        <w:rPr>
          <w:iCs/>
          <w:i/>
        </w:rPr>
        <w:t xml:space="preserve">sub judice,</w:t>
      </w:r>
      <w:r>
        <w:t xml:space="preserve"> </w:t>
      </w:r>
      <w:r>
        <w:t xml:space="preserve">the Court of Chancery examined the value of the Settlement. The proponents of the Settlement argued that the monetary value of having the Museum building called the “Occidental Petroleum Cultural Center Building” was approximately ten million dollars. The Court of Chancery noted that, in support of their valuation arguments, the proponents also argued that the Settlement: (1) reinforced and assured Occidental’s identification with and meaningful participation in the affairs of the Museum; (2) reinforced and protected the charitable nature and consequences of Occidental’s gifts by securing the prompt delivery and irrevocable transfer of the Art Collection to the Museum; (3) imposed meaningful controls upon the total construction costs that Occidental will pay, which had already forced the reduction of the construction budget by $19.4 million; (4) placed meaningful restrictions upon Occidental’s future charitable donations to “Hammer” affiliated entities and avoided increases in posthumous payments to the Foundation or any other designated recipient after Dr. Hammer’s death; (5) restored to Occidental an equitable portion of any appreciation of the properties in the event the Museum exercised its option and disposed of the properties or transferred its option for value; and (6) guaranteed that the Art Collection would continue to be located in the Los Angeles area and remain available for the enjoyment of the American public rather than dissipated into private collections or sold abroad.</w:t>
      </w:r>
    </w:p>
    <w:p>
      <w:pPr>
        <w:pStyle w:val="CaseBody"/>
      </w:pPr>
      <w:r>
        <w:t xml:space="preserve">The Court of Chancery characterized the proponents’ efforts to quantify the monetary value of most of the Settlement benefits as “speculative.” The Court of Chancery also viewed the estimate that naming the building for Occidental would have a ten million dollar value to Occidental with “a good deal of skepticism.” Nevertheless, the Court of Chancery found that Occidental would, in fact, receive an economic benefit in the form of good will from the charitable donation to the Museum proposal. It also found that Occidental would derive an economic benefit from being able to utilize the Museum, adjacent to its corporate headquarters, in the promotion of its business.</w:t>
      </w:r>
    </w:p>
    <w:p>
      <w:pPr>
        <w:pStyle w:val="CaseBody"/>
      </w:pPr>
      <w:r>
        <w:t xml:space="preserve">Finally, the Court of Chancery applied its own independent business judgment in deciding whether the Settlement was fair and reasonable. In doing so, the Court of Chancery was called upon to function in its special role as the so-called third party to the Settlement.</w:t>
      </w:r>
      <w:r>
        <w:t xml:space="preserve"> </w:t>
      </w:r>
      <w:r>
        <w:rPr>
          <w:iCs/>
          <w:i/>
        </w:rPr>
        <w:t xml:space="preserve">Barkan v. Amsted Industries Inc.,</w:t>
      </w:r>
      <w:r>
        <w:t xml:space="preserve"> </w:t>
      </w:r>
      <w:r>
        <w:t xml:space="preserve">567 A.2d at 1283-84</w:t>
      </w:r>
      <w:r>
        <w:t xml:space="preserve">;</w:t>
      </w:r>
      <w:r>
        <w:t xml:space="preserve"> </w:t>
      </w:r>
      <w:r>
        <w:rPr>
          <w:iCs/>
          <w:i/>
        </w:rPr>
        <w:t xml:space="preserve">Nottingham Partners v. Dana,</w:t>
      </w:r>
      <w:r>
        <w:t xml:space="preserve"> </w:t>
      </w:r>
      <w:r>
        <w:t xml:space="preserve">564 A.2d at 1102</w:t>
      </w:r>
      <w:r>
        <w:t xml:space="preserve"> </w:t>
      </w:r>
      <w:r>
        <w:t xml:space="preserve">(quoting</w:t>
      </w:r>
      <w:r>
        <w:t xml:space="preserve"> </w:t>
      </w:r>
      <w:r>
        <w:rPr>
          <w:iCs/>
          <w:i/>
        </w:rPr>
        <w:t xml:space="preserve">Rome v. Archer,</w:t>
      </w:r>
      <w:r>
        <w:t xml:space="preserve"> </w:t>
      </w:r>
      <w:r>
        <w:t xml:space="preserve">197 A.2d at 53-54</w:t>
      </w:r>
      <w:r>
        <w:t xml:space="preserve">). This required it to balance the policy preference for settlement against the need to insure that the interests of the shareholders, as a class, had been fairly represented.</w:t>
      </w:r>
      <w:r>
        <w:t xml:space="preserve"> </w:t>
      </w:r>
      <w:r>
        <w:rPr>
          <w:iCs/>
          <w:i/>
        </w:rPr>
        <w:t xml:space="preserve">Barkan v. Amsted Industries, Inc.,</w:t>
      </w:r>
      <w:r>
        <w:t xml:space="preserve"> </w:t>
      </w:r>
      <w:r>
        <w:t xml:space="preserve">567 A.2d at</w:t>
      </w:r>
      <w:r>
        <w:t xml:space="preserve"> </w:t>
      </w:r>
      <w:r>
        <w:t xml:space="preserve">1283 (citing</w:t>
      </w:r>
      <w:r>
        <w:t xml:space="preserve"> </w:t>
      </w:r>
      <w:r>
        <w:rPr>
          <w:iCs/>
          <w:i/>
        </w:rPr>
        <w:t xml:space="preserve">Rome v. Archer,</w:t>
      </w:r>
      <w:r>
        <w:t xml:space="preserve"> </w:t>
      </w:r>
      <w:r>
        <w:t xml:space="preserve">197 A.2d at 53</w:t>
      </w:r>
      <w:r>
        <w:t xml:space="preserve">).</w:t>
      </w:r>
    </w:p>
    <w:p>
      <w:pPr>
        <w:pStyle w:val="CaseBody"/>
      </w:pPr>
      <w:r>
        <w:t xml:space="preserve">In discharging its special role in the case</w:t>
      </w:r>
      <w:r>
        <w:t xml:space="preserve"> </w:t>
      </w:r>
      <w:r>
        <w:rPr>
          <w:iCs/>
          <w:i/>
        </w:rPr>
        <w:t xml:space="preserve">sub judice,</w:t>
      </w:r>
      <w:r>
        <w:t xml:space="preserve"> </w:t>
      </w:r>
      <w:r>
        <w:t xml:space="preserve">the Court of Chancery properly evaluated the value of the Settlement in the context of the strength of the claims which were being compromised.</w:t>
      </w:r>
      <w:r>
        <w:t xml:space="preserve"> </w:t>
      </w:r>
      <w:r>
        <w:rPr>
          <w:iCs/>
          <w:i/>
        </w:rPr>
        <w:t xml:space="preserve">Nottingham Partners v. Dana,</w:t>
      </w:r>
      <w:r>
        <w:t xml:space="preserve"> </w:t>
      </w:r>
      <w:r>
        <w:t xml:space="preserve">564 A.2d at 1103</w:t>
      </w:r>
      <w:r>
        <w:t xml:space="preserve">. As this Court stated in</w:t>
      </w:r>
      <w:r>
        <w:t xml:space="preserve"> </w:t>
      </w:r>
      <w:r>
        <w:rPr>
          <w:iCs/>
          <w:i/>
        </w:rPr>
        <w:t xml:space="preserve">Barkan v. Amsted Industries, Inc.,</w:t>
      </w:r>
      <w:r>
        <w:t xml:space="preserve"> </w:t>
      </w:r>
      <w:r>
        <w:t xml:space="preserve">567 A.2d at</w:t>
      </w:r>
      <w:r>
        <w:t xml:space="preserve"> </w:t>
      </w:r>
      <w:r>
        <w:t xml:space="preserve">1285:</w:t>
      </w:r>
    </w:p>
    <w:p>
      <w:pPr>
        <w:pStyle w:val="BlockText"/>
      </w:pPr>
      <w:r>
        <w:t xml:space="preserve">The strength of claims raised in a class action lawsuit helps to determine whether the consideration received for their settlement is adequate and whether dismissal with prejudice is appropriate. Thus, if the [Court of Chancery] were to find that the plaintiff class was being asked to sacrifice a facially credible claim for a small consideration, he would be justified in rejecting a settlement as unfair. Conversely, where the [Court of Chancery] finds that the plaintiff’s potential challenges have little chance of success, he has good reason to approve the proposed settlement.</w:t>
      </w:r>
    </w:p>
    <w:p>
      <w:pPr>
        <w:pStyle w:val="CaseBody"/>
      </w:pPr>
      <w:r>
        <w:t xml:space="preserve">The Court of Chancery found that “the benefit [of the Settlement] to the stockholders of Occidental is sufficient to support the Settlement and is adequate, if only barely so, when compared to the weakness of the plaintiffs’ claims.” The Court of Chancery concluded that “although the Settlement is meager, it is adequate considering all the facts and circumstances.”</w:t>
      </w:r>
    </w:p>
    <w:p>
      <w:pPr>
        <w:pStyle w:val="CaseBody"/>
      </w:pPr>
      <w:r>
        <w:t xml:space="preserve">“[W]hen the Court of Chancery reviews the fairness of a settlement, it must evaluate all of the circumstances of the settlement by using its own business judgment.”</w:t>
      </w:r>
      <w:r>
        <w:t xml:space="preserve"> </w:t>
      </w:r>
      <w:r>
        <w:rPr>
          <w:iCs/>
          <w:i/>
        </w:rPr>
        <w:t xml:space="preserve">Barkan v. Amsted Industries, Inc.,</w:t>
      </w:r>
      <w:r>
        <w:t xml:space="preserve"> </w:t>
      </w:r>
      <w:r>
        <w:t xml:space="preserve">567 A.2d at 1284</w:t>
      </w:r>
      <w:r>
        <w:t xml:space="preserve">. The Court of Chancery’s broad special role contrasts sharply with this Court’s own limited one. Because the Court of Chancery’s decision constitutes an exercise of discretion, this Court reviews the record simply to determine whether that discretion has been abused.</w:t>
      </w:r>
      <w:r>
        <w:t xml:space="preserve"> </w:t>
      </w:r>
      <w:r>
        <w:rPr>
          <w:iCs/>
          <w:i/>
        </w:rPr>
        <w:t xml:space="preserve">Polk v. Good,</w:t>
      </w:r>
      <w:r>
        <w:t xml:space="preserve"> </w:t>
      </w:r>
      <w:r>
        <w:t xml:space="preserve">507 A.2d at 536</w:t>
      </w:r>
      <w:r>
        <w:t xml:space="preserve">. “We do not exercise our own business judgment in an effort to evaluate independently the intrinsic fairness of the settlement.”</w:t>
      </w:r>
      <w:r>
        <w:t xml:space="preserve"> </w:t>
      </w:r>
      <w:r>
        <w:rPr>
          <w:iCs/>
          <w:i/>
        </w:rPr>
        <w:t xml:space="preserve">Barkan v. Amsted Industries, Inc.,</w:t>
      </w:r>
      <w:r>
        <w:t xml:space="preserve"> </w:t>
      </w:r>
      <w:r>
        <w:t xml:space="preserve">567 A.2d at 1284</w:t>
      </w:r>
      <w:r>
        <w:t xml:space="preserve">. “Because the Court of Chancery is in the best position to evaluate the factors that support a settlement, we will not second-guess its business judgment upon appeal.”</w:t>
      </w:r>
      <w:r>
        <w:t xml:space="preserve"> </w:t>
      </w:r>
      <w:r>
        <w:rPr>
          <w:iCs/>
          <w:i/>
        </w:rPr>
        <w:t xml:space="preserve">Id.</w:t>
      </w:r>
      <w:r>
        <w:t xml:space="preserve"> </w:t>
      </w:r>
      <w:r>
        <w:t xml:space="preserve">“Rather, if the findings and conclusions of the Court of Chancery ‘are supported by the record and are the product of an orderly and logical deductive process, they will be accepted’ and the decision will be affirmed.”</w:t>
      </w:r>
      <w:r>
        <w:t xml:space="preserve"> </w:t>
      </w:r>
      <w:r>
        <w:rPr>
          <w:iCs/>
          <w:i/>
        </w:rPr>
        <w:t xml:space="preserve">Id.</w:t>
      </w:r>
      <w:r>
        <w:t xml:space="preserve"> </w:t>
      </w:r>
      <w:r>
        <w:t xml:space="preserve">(quoting</w:t>
      </w:r>
      <w:r>
        <w:t xml:space="preserve"> </w:t>
      </w:r>
      <w:r>
        <w:rPr>
          <w:iCs/>
          <w:i/>
        </w:rPr>
        <w:t xml:space="preserve">Levitt v. Bouvier,</w:t>
      </w:r>
      <w:r>
        <w:t xml:space="preserve"> </w:t>
      </w:r>
      <w:r>
        <w:t xml:space="preserve">287 A.2d at 673</w:t>
      </w:r>
      <w:r>
        <w:t xml:space="preserve">). The Court of Chancery’s decision to approve the Settlement in the</w:t>
      </w:r>
      <w:r>
        <w:t xml:space="preserve"> </w:t>
      </w:r>
      <w:r>
        <w:rPr>
          <w:iCs/>
          <w:i/>
        </w:rPr>
        <w:t xml:space="preserve">Sullivan</w:t>
      </w:r>
      <w:r>
        <w:t xml:space="preserve"> </w:t>
      </w:r>
      <w:r>
        <w:t xml:space="preserve">action is supported by the record and is the product of an orderly and logical deductive process.</w:t>
      </w:r>
    </w:p>
    <w:p>
      <w:pPr>
        <w:pStyle w:val="CaseBody"/>
      </w:pPr>
      <w:r>
        <w:rPr>
          <w:iCs/>
          <w:i/>
        </w:rPr>
        <w:t xml:space="preserve">Conclusion</w:t>
      </w:r>
    </w:p>
    <w:p>
      <w:pPr>
        <w:pStyle w:val="CaseBody"/>
      </w:pPr>
      <w:r>
        <w:t xml:space="preserve">The reasonableness of a particular class action settlement is addressed to the discretion of the Court of Chancery, on a case by case basis, in light of all of the relevant circumstances.</w:t>
      </w:r>
      <w:r>
        <w:t xml:space="preserve"> </w:t>
      </w:r>
      <w:r>
        <w:rPr>
          <w:iCs/>
          <w:i/>
        </w:rPr>
        <w:t xml:space="preserve">Evans v. Jeff D.,</w:t>
      </w:r>
      <w:r>
        <w:t xml:space="preserve"> </w:t>
      </w:r>
      <w:r>
        <w:t xml:space="preserve">475 U.S. 717</w:t>
      </w:r>
      <w:r>
        <w:t xml:space="preserve">, 742,</w:t>
      </w:r>
      <w:r>
        <w:t xml:space="preserve"> </w:t>
      </w:r>
      <w:r>
        <w:t xml:space="preserve">106 S.Ct. 1531</w:t>
      </w:r>
      <w:r>
        <w:t xml:space="preserve">, 1545,</w:t>
      </w:r>
      <w:r>
        <w:t xml:space="preserve"> </w:t>
      </w:r>
      <w:r>
        <w:t xml:space="preserve">89 L.Ed.2d 747</w:t>
      </w:r>
      <w:r>
        <w:t xml:space="preserve">,</w:t>
      </w:r>
      <w:r>
        <w:t xml:space="preserve"> </w:t>
      </w:r>
      <w:r>
        <w:rPr>
          <w:iCs/>
          <w:i/>
        </w:rPr>
        <w:t xml:space="preserve">reh’g denied,</w:t>
      </w:r>
      <w:r>
        <w:t xml:space="preserve"> </w:t>
      </w:r>
      <w:r>
        <w:t xml:space="preserve">476 U.S. 1179</w:t>
      </w:r>
      <w:r>
        <w:t xml:space="preserve">,</w:t>
      </w:r>
      <w:r>
        <w:t xml:space="preserve"> </w:t>
      </w:r>
      <w:r>
        <w:t xml:space="preserve">106 S.Ct. 2909</w:t>
      </w:r>
      <w:r>
        <w:t xml:space="preserve">,</w:t>
      </w:r>
      <w:r>
        <w:t xml:space="preserve"> </w:t>
      </w:r>
      <w:r>
        <w:t xml:space="preserve">90 L.Ed.2d 995</w:t>
      </w:r>
      <w:r>
        <w:t xml:space="preserve"> </w:t>
      </w:r>
      <w:r>
        <w:t xml:space="preserve">(1986). In this case, we find that all of the Court of Chancery’s factual findings of fact are supported by the record. We also find that all of the legal conclusions reached by the Court of Chancery were based upon a proper application of well established principles of law. Consequently, we find that the Court of Chancery did not abuse its discretion in deciding to approve the Settlement in the</w:t>
      </w:r>
      <w:r>
        <w:t xml:space="preserve"> </w:t>
      </w:r>
      <w:r>
        <w:rPr>
          <w:iCs/>
          <w:i/>
        </w:rPr>
        <w:t xml:space="preserve">Sullivan</w:t>
      </w:r>
      <w:r>
        <w:t xml:space="preserve"> </w:t>
      </w:r>
      <w:r>
        <w:t xml:space="preserve">action.</w:t>
      </w:r>
      <w:r>
        <w:t xml:space="preserve"> </w:t>
      </w:r>
      <w:r>
        <w:rPr>
          <w:iCs/>
          <w:i/>
        </w:rPr>
        <w:t xml:space="preserve">Barkan v. Amsted Industries, Inc.,</w:t>
      </w:r>
      <w:r>
        <w:t xml:space="preserve"> </w:t>
      </w:r>
      <w:r>
        <w:t xml:space="preserve">567 A.2d at 1285</w:t>
      </w:r>
      <w:r>
        <w:t xml:space="preserve">;</w:t>
      </w:r>
      <w:r>
        <w:t xml:space="preserve"> </w:t>
      </w:r>
      <w:r>
        <w:rPr>
          <w:iCs/>
          <w:i/>
        </w:rPr>
        <w:t xml:space="preserve">Nottingham Partners v. Dana,</w:t>
      </w:r>
      <w:r>
        <w:t xml:space="preserve"> </w:t>
      </w:r>
      <w:r>
        <w:t xml:space="preserve">564 A.2d at 1104</w:t>
      </w:r>
      <w:r>
        <w:t xml:space="preserve">;</w:t>
      </w:r>
      <w:r>
        <w:t xml:space="preserve"> </w:t>
      </w:r>
      <w:r>
        <w:rPr>
          <w:iCs/>
          <w:i/>
        </w:rPr>
        <w:t xml:space="preserve">Polk v. Good,</w:t>
      </w:r>
      <w:r>
        <w:t xml:space="preserve"> </w:t>
      </w:r>
      <w:r>
        <w:t xml:space="preserve">507 A.2d at 536-39</w:t>
      </w:r>
      <w:r>
        <w:t xml:space="preserve">;</w:t>
      </w:r>
      <w:r>
        <w:t xml:space="preserve"> </w:t>
      </w:r>
      <w:r>
        <w:rPr>
          <w:iCs/>
          <w:i/>
        </w:rPr>
        <w:t xml:space="preserve">Rome v. Archer,</w:t>
      </w:r>
      <w:r>
        <w:t xml:space="preserve"> </w:t>
      </w:r>
      <w:r>
        <w:t xml:space="preserve">197 A.2d at 58</w:t>
      </w:r>
      <w:r>
        <w:t xml:space="preserve">. Therefore, the decision of the Court of Chancery is AFFIRMED.</w:t>
      </w:r>
    </w:p>
    <w:p>
      <w:pPr>
        <w:pStyle w:val="CaseBody"/>
      </w:pPr>
      <w:r>
        <w:t xml:space="preserve">ORDER</w:t>
      </w:r>
    </w:p>
    <w:p>
      <w:pPr>
        <w:pStyle w:val="CaseBody"/>
      </w:pPr>
      <w:r>
        <w:t xml:space="preserve">This 9th day of July, 1991, it appears to the Court that:</w:t>
      </w:r>
    </w:p>
    <w:p>
      <w:pPr>
        <w:pStyle w:val="CaseBody"/>
      </w:pPr>
      <w:r>
        <w:t xml:space="preserve">1) Dr. Armand Hammer, a defendant below and one of the appellees in the above-captioned appeal, died on December 10, 1990 while the said appeal was pending.</w:t>
      </w:r>
    </w:p>
    <w:p>
      <w:pPr>
        <w:pStyle w:val="CaseBody"/>
      </w:pPr>
      <w:r>
        <w:t xml:space="preserve">2) On January 29, 1991, the appellants filed a motion to substitute the personal representative of the estate of Dr. Armand Hammer in place of Dr. Armand Hammer as a defendant-appellee in this matter.</w:t>
      </w:r>
    </w:p>
    <w:p>
      <w:pPr>
        <w:pStyle w:val="CaseBody"/>
      </w:pPr>
      <w:r>
        <w:t xml:space="preserve">3) On or about June 20, 1991, Michael Hammer was appointed Special Administrator of the estate of Armand Hammer, with powers of a general administrator, by the Superior Court of California, County of Los Angeles, Central Branch.</w:t>
      </w:r>
    </w:p>
    <w:p>
      <w:pPr>
        <w:pStyle w:val="CaseBody"/>
      </w:pPr>
      <w:r>
        <w:t xml:space="preserve">4) On July 5, 1991, Michael Hammer, in his capacity as Special Administrator of the estate of Armand Hammer, filed (i) a suggestion of death in this Court regarding the late Dr. Armand Hammer, pursuant to Supreme Court Rule 31; (ii) a statement that he had no objection to the substitution of Michael Hammer, Special Administrator of the estate of Armand Hammer, as a defendant-appellee in place of Dr. Armand Hammer; and (iii) designated Young, Conaway, Stargatt &amp; Taylor as his attorneys in the above-captioned appeal.</w:t>
      </w:r>
    </w:p>
    <w:p>
      <w:pPr>
        <w:pStyle w:val="CaseBody"/>
      </w:pPr>
      <w:r>
        <w:t xml:space="preserve">5) On July 9, 1991, Bruce M. Stargatt, Esquire and Edward B. Maxwell, 2nd, Esquire, Young, Conaway, Stargatt &amp; Taylor, of Wilmington, Delaware, with Bruce W. Kauffman, Esquire and Stephen J. Mathes, Esquire, Dilworth, Paxson, Kalish &amp; Kauffman, of Philadelphia, Pennsylvania, of counsel, entered an appearance for Michael Hammer, Special Administrator of the estate of Armand Hammer.</w:t>
      </w:r>
    </w:p>
    <w:p>
      <w:pPr>
        <w:pStyle w:val="CaseBody"/>
      </w:pPr>
      <w:r>
        <w:t xml:space="preserve">6) On July 9, 1991, the attorneys for Michael Hammer, Special Administrator for the estate of Armand Hammer, notified this Court that their client adopts the position taken on appeal by Dr. Armand Hammer prior to his death and that, consequently, their client does not desire supplemental briefing or argument before this Court renders its decision in this matter.</w:t>
      </w:r>
    </w:p>
    <w:p>
      <w:pPr>
        <w:pStyle w:val="CaseBody"/>
      </w:pPr>
      <w:r>
        <w:t xml:space="preserve">NOW, THEREFORE, IT IS HEREBY ORDERED that Michael Hammer, in his capacity as Special Administrator of the estate of Dr. Armand Hammer, is hereby substituted for Dr. Armand Hammer, as a defendant-appellee in this consolidated appeal.</w:t>
      </w:r>
    </w:p>
    <w:p>
      <w:pPr>
        <w:pStyle w:val="CaseBody"/>
      </w:pPr>
      <w:r>
        <w:t xml:space="preserve">IT IS FURTHER ORDERED that the caption in this consolidated appeal is hereby amended henceforth to be as follows:</w:t>
      </w:r>
    </w:p>
    <w:p>
      <w:pPr>
        <w:pStyle w:val="CaseBody"/>
      </w:pPr>
      <w:r>
        <w:t xml:space="preserve">IN THE SUPREME COURT OF THE STATE OF DELAWARE ALAN R. KAHN, BARNETT STEPAK, CALIFORNIA PUBLIC EMPLOYEES’ RETIREMENT SYSTEM, Objectors Below, Appellants, v. JOSEPH SULLIVAN and ALAN BRODY, Plaintiffs Below, MICHAEL HAMMER, Special Administrator of the Estate of DR. ARMAND HAMMER, OCCIDENTAL PETROLEUM CORPORATION, DR. RAY IRANI, ARTHUR B. KRIM, MORRIE A. MOSS, AZIZ D. SYRIANI, O.C. DAVIS, SENATOR ALBERT GORE, ARTHUR GROMAN, MICHAEL A. HAMMER, DAVID A. HENTSCHEL, J. ROGER HIRL, JOHN KLUGE, LOUIS NIZER, GEORGE O. NOLLEY, DR. C. ERWIN PIPER, GERALD M. STERN, ROSEMARY TOMICH, Defendants Below, THE ARMAND HAMMER MUSEUM OF ART AND CULTURAL CENTER, INC., Intervenor Below, Appellees.</w:t>
      </w:r>
    </w:p>
    <w:p>
      <w:pPr>
        <w:pStyle w:val="CaseBody"/>
      </w:pPr>
      <w:r>
        <w:t xml:space="preserve">Nos. 301, 312, 313, 1990 (Consolidated)</w:t>
      </w:r>
    </w:p>
    <w:p>
      <w:pPr>
        <w:pStyle w:val="CaseBody"/>
      </w:pPr>
      <w:r>
        <w:t xml:space="preserve">Court Below: Court of Chancery of the State of Delaware, in and for New Castle County C.A. No. 10823</w:t>
      </w:r>
    </w:p>
    <w:bookmarkStart w:id="146" w:name="_auto_toc_146"/>
    <w:bookmarkEnd w:id="146"/>
    <w:p>
      <w:pPr>
        <w:pStyle w:val="ResourceNumber"/>
      </w:pPr>
      <w:r>
        <w:t xml:space="preserve">11.3.2</w:t>
      </w:r>
    </w:p>
    <w:p>
      <w:pPr>
        <w:pStyle w:val="ResourceTitle"/>
      </w:pPr>
      <w:r>
        <w:t xml:space="preserve">Kahn v. M&amp;F Worldwide</w:t>
      </w:r>
    </w:p>
    <w:p>
      <w:pPr>
        <w:pStyle w:val="HeadFieldSeparator"/>
      </w:pPr>
      <w:r>
        <w:t xml:space="preserve"> </w:t>
      </w:r>
    </w:p>
    <w:p>
      <w:pPr>
        <w:pStyle w:val="ResourceHeadnote"/>
      </w:pPr>
      <w:r>
        <w:t xml:space="preserve">This decision epitomizes the Delaware judiciary's approach to tricky conflict situations. Practitioners have figured out the court's approach and structure deals accordingly.</w:t>
      </w:r>
    </w:p>
    <w:p>
      <w:pPr>
        <w:pStyle w:val="BlockText"/>
      </w:pPr>
      <w:r>
        <w:t xml:space="preserve">1. What standard of review does the court apply? Is it different from the cases we had seen thus far?</w:t>
      </w:r>
      <w:r>
        <w:br/>
      </w:r>
      <w:r>
        <w:t xml:space="preserve">2. How does the court want to protect minority shareholders? Does it work? Does it work better than alternatives?</w:t>
      </w:r>
      <w:r>
        <w:br/>
      </w:r>
      <w:r>
        <w:t xml:space="preserve">3. Why did this case proceed to summary judgment, whereas the complaint in</w:t>
      </w:r>
      <w:r>
        <w:t xml:space="preserve"> </w:t>
      </w:r>
      <w:r>
        <w:rPr>
          <w:iCs/>
          <w:i/>
        </w:rPr>
        <w:t xml:space="preserve">Aronson</w:t>
      </w:r>
      <w:r>
        <w:t xml:space="preserve"> </w:t>
      </w:r>
      <w:r>
        <w:t xml:space="preserve">was dismissed even before discovery? Hint: under what rule was</w:t>
      </w:r>
      <w:r>
        <w:t xml:space="preserve"> </w:t>
      </w:r>
      <w:r>
        <w:rPr>
          <w:iCs/>
          <w:i/>
        </w:rPr>
        <w:t xml:space="preserve">Aronson</w:t>
      </w:r>
      <w:r>
        <w:t xml:space="preserve"> </w:t>
      </w:r>
      <w:r>
        <w:t xml:space="preserve">decided, and did that rule apply here?</w:t>
      </w:r>
    </w:p>
    <w:p>
      <w:pPr>
        <w:pStyle w:val="HeadEnd"/>
      </w:pPr>
      <w:r>
        <w:t xml:space="preserve"> </w:t>
      </w:r>
    </w:p>
    <w:p>
      <w:pPr>
        <w:pStyle w:val="BodyText"/>
      </w:pPr>
      <w:r>
        <w:t xml:space="preserve">88 A.3d 635 (2014)</w:t>
      </w:r>
    </w:p>
    <w:bookmarkStart w:id="336" w:name="X50221a27079fb0a5a35a3656fc06de91daed097"/>
    <w:p>
      <w:pPr>
        <w:pStyle w:val="Heading2"/>
      </w:pPr>
      <w:r>
        <w:t xml:space="preserve">Alan KAHN, Samuel Pill, Irwin Pill, Rachel Pill and Charlotte Martin, Plaintiffs Below, Appellants,</w:t>
      </w:r>
      <w:r>
        <w:br/>
      </w:r>
      <w:r>
        <w:t xml:space="preserve">v.</w:t>
      </w:r>
      <w:r>
        <w:br/>
      </w:r>
      <w:r>
        <w:t xml:space="preserve">M &amp; F WORLDWIDE CORP., Ronald O. Perelman, Barry F. Schwartz, William C. Bevins, Bruce Slovin, Charles T. Dawson, Stephen G. Taub, John M. Keane, Theo W. Folz, Philip E. Beekman, Martha L. Byorum, Viet D. Dinh, Paul M. Meister, Carl B. Webb and MacAndrews &amp; Forbes Holdings, Inc., Defendants Below, Appellees.</w:t>
      </w:r>
    </w:p>
    <w:p>
      <w:pPr>
        <w:pStyle w:val="FirstParagraph"/>
      </w:pPr>
      <w:r>
        <w:t xml:space="preserve">No. 334, 2013.</w:t>
      </w:r>
    </w:p>
    <w:p>
      <w:pPr>
        <w:pStyle w:val="BodyText"/>
      </w:pPr>
      <w:r>
        <w:t xml:space="preserve">Supreme Court of Delaware.</w:t>
      </w:r>
    </w:p>
    <w:p>
      <w:pPr>
        <w:pStyle w:val="BodyText"/>
      </w:pPr>
      <w:r>
        <w:t xml:space="preserve">Submitted: December 18, 2013.</w:t>
      </w:r>
      <w:r>
        <w:br/>
      </w:r>
      <w:r>
        <w:t xml:space="preserve">Decided: March 14, 2014.</w:t>
      </w:r>
    </w:p>
    <w:p>
      <w:pPr>
        <w:pStyle w:val="BodyText"/>
      </w:pPr>
      <w:r>
        <w:t xml:space="preserve">[638] Carmella P. Keener, Esquire, Rosenthal, Monhait &amp; Goddess, P.A., Wilmington, Delaware, Peter B. Andrews, Esquire, Nadeem Faruqi, Esquire, Beth A. Keller, Esquire, Faruqi &amp; Faruqi, LLP, Wilmington, Delaware, Carl L. Stine, Esquire (argued) and Matthew Insley-Pruitt, Esquire, Wolf Popper LLP, New York, New York, and James S. Notis, Esquire and Kira German, Esquire, Gardy &amp; Notis, LLP, New York, New York, for appellants.</w:t>
      </w:r>
    </w:p>
    <w:p>
      <w:pPr>
        <w:pStyle w:val="BodyText"/>
      </w:pPr>
      <w:r>
        <w:t xml:space="preserve">William M. Lafferty, Esquire, and D. McKinley Measley, Esquire, Morris, Nichols, Arsht &amp; Tunnell LLP, Wilmington, Delaware, and Tariq Mundiya, Esquire (argued), Todd G. Cosenza, Esquire and Christopher J. Miritello, Esquire, Willkie Farr &amp; Gallagher LLP, New York, New York, for appellees, Paul M. Meister, Martha L. Byorum, Viet D. Dinh and Carl B. Webb.</w:t>
      </w:r>
    </w:p>
    <w:p>
      <w:pPr>
        <w:pStyle w:val="BodyText"/>
      </w:pPr>
      <w:r>
        <w:t xml:space="preserve">Thomas J. Allingham, II, Esquire (argued), Christopher M. Foulds, Esquire, Joseph O. Larkin, Esquire, and Jessica L. Raatz, Esquire, Skadden, Arps, Slate, Meagher &amp; Flom LLP, Wilmington, Delaware, for appellees MacAndrews &amp; Forbes Holdings, Inc., Ronald O. Perelman, Barry F. Schwartz, and William C. Bevins.</w:t>
      </w:r>
    </w:p>
    <w:p>
      <w:pPr>
        <w:pStyle w:val="BodyText"/>
      </w:pPr>
      <w:r>
        <w:t xml:space="preserve">Stephen P. Lamb, Esquire and Meghan M. Dougherty, Esquire, Paul, Weiss, Rifkind, Wharton &amp; Garrison LLP, Wilmington, Delaware, for appellees M &amp; F Worldwide Corp., Bruce Slovin, Charles T. Dawson, Stephen G. Taub, John M. Keane, Theo W. Folz, and Philip E. Beekman.</w:t>
      </w:r>
    </w:p>
    <w:p>
      <w:pPr>
        <w:pStyle w:val="BodyText"/>
      </w:pPr>
      <w:r>
        <w:t xml:space="preserve">Before HOLLAND, BERGER, JACOBS and RIDGELY, Justices and JURDEN, Judge,</w:t>
      </w:r>
      <w:hyperlink w:anchor="X10b894268ed5928f7bbf89b91f9917a29128cea">
        <w:r>
          <w:rPr>
            <w:rStyle w:val="Hyperlink"/>
            <w:vertAlign w:val="superscript"/>
          </w:rPr>
          <w:t xml:space="preserve">[1]</w:t>
        </w:r>
      </w:hyperlink>
      <w:r>
        <w:t xml:space="preserve"> </w:t>
      </w:r>
      <w:r>
        <w:t xml:space="preserve">constituting the Court en Banc.</w:t>
      </w:r>
    </w:p>
    <w:bookmarkEnd w:id="336"/>
    <w:bookmarkStart w:id="337" w:name="holland-justice-2"/>
    <w:p>
      <w:pPr>
        <w:pStyle w:val="Heading2"/>
      </w:pPr>
      <w:r>
        <w:t xml:space="preserve">HOLLAND, Justice:</w:t>
      </w:r>
    </w:p>
    <w:p>
      <w:pPr>
        <w:pStyle w:val="FirstParagraph"/>
      </w:pPr>
      <w:r>
        <w:t xml:space="preserve">This is an appeal from a final judgment entered by the Court of Chancery in a proceeding that arises from a 2011 acquisition by MacAndrews &amp; Forbes Holdings, Inc. ("M &amp; F" or "MacAndrews &amp; Forbes") — a 43% stockholder in M &amp; F Worldwide Corp. ("MFW") — of the remaining common stock of MFW (the "Merger"). From the outset, M &amp; F's proposal to take MFW private was made contingent upon two stockholder-protective procedural conditions. First, M &amp; F required the Merger to be negotiated and approved by a special committee of independent MFW directors (the "Special Committee"). Second, M &amp; F required that the Merger be approved by a majority of stockholders unaffiliated with M &amp; F. The Merger closed in December 2011, after it was approved by a vote of 65.4% of MFW's minority stockholders.</w:t>
      </w:r>
    </w:p>
    <w:p>
      <w:pPr>
        <w:pStyle w:val="BodyText"/>
      </w:pPr>
      <w:r>
        <w:t xml:space="preserve">The Appellants initially sought to enjoin the transaction. They withdrew their request for injunctive relief after taking expedited discovery, including several depositions. The Appellants then sought post-closing relief against M &amp; F, Ronald O. Perelman, and MFW's directors (including the members of the Special Committee) for breach of fiduciary duty. Again, the Appellants were provided with extensive discovery. The Defendants then moved for [639] summary judgment, which the Court of Chancery granted.</w:t>
      </w:r>
    </w:p>
    <w:bookmarkEnd w:id="337"/>
    <w:bookmarkStart w:id="338" w:name="court-of-chancery-decision"/>
    <w:p>
      <w:pPr>
        <w:pStyle w:val="Heading2"/>
      </w:pPr>
      <w:r>
        <w:rPr>
          <w:iCs/>
          <w:i/>
        </w:rPr>
        <w:t xml:space="preserve">Court of Chancery Decision</w:t>
      </w:r>
    </w:p>
    <w:p>
      <w:pPr>
        <w:pStyle w:val="FirstParagraph"/>
      </w:pPr>
      <w:r>
        <w:t xml:space="preserve">The Court of Chancery found that the case presented a "novel question of law," specifically, "what standard of review should apply to</w:t>
      </w:r>
      <w:r>
        <w:t xml:space="preserve"> </w:t>
      </w:r>
      <w:r>
        <w:t xml:space="preserve">a going private merger</w:t>
      </w:r>
      <w:r>
        <w:rPr>
          <w:rStyle w:val="FootnoteReference"/>
        </w:rPr>
        <w:footnoteReference w:customMarkFollows="1" w:id="7"/>
        <w:t xml:space="preserve">*</w:t>
      </w:r>
      <w:r>
        <w:t xml:space="preserve"> </w:t>
      </w:r>
      <w:r>
        <w:t xml:space="preserve">conditioned upfront by the controlling stockholder on approval by both a properly empowered, independent committee and an informed, uncoerced majority-of-the-minority vote." The Court of Chancery held that business judgment review, rather than entire fairness, should be applied to a very limited category of controller mergers. That category consisted of mergers where the controller voluntarily relinquishes its control — such that the negotiation and approval process replicate those that characterize a third-party merger.</w:t>
      </w:r>
    </w:p>
    <w:p>
      <w:pPr>
        <w:pStyle w:val="BodyText"/>
      </w:pPr>
      <w:r>
        <w:t xml:space="preserve">The Court of Chancery held that, rather than entire fairness, the business judgment standard of review should apply "if,</w:t>
      </w:r>
      <w:r>
        <w:t xml:space="preserve"> </w:t>
      </w:r>
      <w:r>
        <w:rPr>
          <w:iCs/>
          <w:i/>
        </w:rPr>
        <w:t xml:space="preserve">but only if:</w:t>
      </w:r>
      <w:r>
        <w:t xml:space="preserve"> </w:t>
      </w:r>
      <w:r>
        <w:t xml:space="preserve">(i) the controller conditions the transaction on the approval of both a Special Committee and a majority of the minority stockholders; (ii) the Special Committee is independent; (iii) the Special Committee is empowered to freely select its own advisors and to say no definitively; (iv) the Special Committee acts with care; (v) the minority vote is informed; and (vi) there is no coercion of the minority."</w:t>
      </w:r>
      <w:hyperlink w:anchor="Xfb4aa4dc239b80a89877654d42a79a29f1b10a6">
        <w:r>
          <w:rPr>
            <w:rStyle w:val="Hyperlink"/>
            <w:vertAlign w:val="superscript"/>
          </w:rPr>
          <w:t xml:space="preserve">[2]</w:t>
        </w:r>
      </w:hyperlink>
    </w:p>
    <w:p>
      <w:pPr>
        <w:pStyle w:val="BodyText"/>
      </w:pPr>
      <w:r>
        <w:t xml:space="preserve">The Court of Chancery found that those prerequisites were satisfied and that the Appellants had failed to raise any genuine issue of material fact indicating the contrary. The court then reviewed the Merger under the business judgment standard and granted summary judgment for the Defendants.</w:t>
      </w:r>
    </w:p>
    <w:bookmarkEnd w:id="338"/>
    <w:bookmarkStart w:id="339" w:name="appellants-arguments"/>
    <w:p>
      <w:pPr>
        <w:pStyle w:val="Heading2"/>
      </w:pPr>
      <w:r>
        <w:rPr>
          <w:iCs/>
          <w:i/>
        </w:rPr>
        <w:t xml:space="preserve">Appellants' Arguments</w:t>
      </w:r>
    </w:p>
    <w:p>
      <w:pPr>
        <w:pStyle w:val="FirstParagraph"/>
      </w:pPr>
      <w:r>
        <w:t xml:space="preserve">The Appellants raise two main arguments on this appeal. First, they contend that the Court of Chancery erred in concluding that no material disputed facts existed regarding the conditions precedent to business judgment review. The Appellants submit that the record contains evidence showing that the Special Committee was not disinterested and independent, was not fully empowered, and was not effective. The Appellants also contend, as a legal matter, that the majority-of-the-minority provision did not afford MFW stockholders protection sufficient to displace entire fairness review.</w:t>
      </w:r>
    </w:p>
    <w:p>
      <w:pPr>
        <w:pStyle w:val="BodyText"/>
      </w:pPr>
      <w:r>
        <w:t xml:space="preserve">Second, the Appellants submit that the Court of Chancery erred, as a matter of law, in holding that the business judgment standard applies to controller freeze-out mergers where the controller's proposal is conditioned on both Special Committee approval and a favorable majority-of-the-minority vote. Even if both procedural protections are adopted, the Appellants argue, entire fairness should be retained as the applicable standard of review.</w:t>
      </w:r>
    </w:p>
    <w:bookmarkEnd w:id="339"/>
    <w:bookmarkStart w:id="340" w:name="defendants-arguments"/>
    <w:p>
      <w:pPr>
        <w:pStyle w:val="Heading2"/>
      </w:pPr>
      <w:r>
        <w:rPr>
          <w:iCs/>
          <w:i/>
        </w:rPr>
        <w:t xml:space="preserve">Defendants' Arguments</w:t>
      </w:r>
    </w:p>
    <w:p>
      <w:pPr>
        <w:pStyle w:val="FirstParagraph"/>
      </w:pPr>
      <w:r>
        <w:t xml:space="preserve">The Defendants argue that the judicial standard of review should be the business judgment rule, because the Merger was conditioned</w:t>
      </w:r>
      <w:r>
        <w:t xml:space="preserve"> </w:t>
      </w:r>
      <w:r>
        <w:rPr>
          <w:iCs/>
          <w:i/>
        </w:rPr>
        <w:t xml:space="preserve">ab initio</w:t>
      </w:r>
      <w:r>
        <w:t xml:space="preserve"> </w:t>
      </w:r>
      <w:r>
        <w:t xml:space="preserve">on two procedural protections that together operated to replicate an arm's-length merger: the employment of an active, unconflicted negotiating agent free to turn down the transaction; and a requirement that any transaction negotiated by that agent be approved by a majority of the disinterested stockholders. The Defendants argue that using and</w:t>
      </w:r>
      <w:r>
        <w:t xml:space="preserve"> </w:t>
      </w:r>
      <w:r>
        <w:rPr>
          <w:iCs/>
          <w:i/>
        </w:rPr>
        <w:t xml:space="preserve">establishing</w:t>
      </w:r>
      <w:r>
        <w:t xml:space="preserve"> </w:t>
      </w:r>
      <w:r>
        <w:t xml:space="preserve">pretrial that both protective conditions were extant renders a going private transaction analogous to that of a third-party arm's-length merger under [640] Section 251 of the Delaware General Corporation Law. That is, the Defendants submit that a Special Committee approval in a going private transaction is a proxy for board approval in a third-party transaction, and that the approval of the unaffiliated, noncontrolling stockholders replicates the approval of all the (potentially) adversely affected stockholders.</w:t>
      </w:r>
    </w:p>
    <w:bookmarkEnd w:id="340"/>
    <w:bookmarkStart w:id="341" w:name="facts-1"/>
    <w:p>
      <w:pPr>
        <w:pStyle w:val="Heading2"/>
      </w:pPr>
      <w:r>
        <w:rPr>
          <w:iCs/>
          <w:i/>
        </w:rPr>
        <w:t xml:space="preserve">FACTS</w:t>
      </w:r>
    </w:p>
    <w:bookmarkEnd w:id="341"/>
    <w:bookmarkStart w:id="342" w:name="mfw-and-m-f"/>
    <w:p>
      <w:pPr>
        <w:pStyle w:val="Heading2"/>
      </w:pPr>
      <w:r>
        <w:rPr>
          <w:iCs/>
          <w:i/>
        </w:rPr>
        <w:t xml:space="preserve">MFW and M &amp; F</w:t>
      </w:r>
    </w:p>
    <w:p>
      <w:pPr>
        <w:pStyle w:val="FirstParagraph"/>
      </w:pPr>
      <w:r>
        <w:t xml:space="preserve">MFW is a holding company incorporated in Delaware. Before the Merger that is the subject of this dispute, MFW was 43.4% owned by MacAndrews &amp; Forbes, which in turn is entirely owned by Ronald O. Perelman. MFW had four business segments. Three were owned through a holding company, Harland Clarke Holding Corporation ("HCHC"). They were the Harland Clarke Corporation ("Harland"), which printed bank checks; Harland Clarke Financial Solutions, which provided technology products and services to financial services companies; and Scantron Corporation, which manufactured scanning equipment used for educational and other purposes. The fourth segment, which was not part of HCHC, was Mafco Worldwide Corporation, a manufacturer of licorice flavorings.</w:t>
      </w:r>
    </w:p>
    <w:p>
      <w:pPr>
        <w:pStyle w:val="BodyText"/>
      </w:pPr>
      <w:r>
        <w:t xml:space="preserve">The MFW board had thirteen members. They were: Ronald Perelman, Barry Schwartz, William Bevins, Bruce Slovin, Charles Dawson, Stephen Taub, John Keane, Theo Folz, Philip Beekman, Martha Byorum, Viet Dinh, Paul Meister, and Carl Webb. Perelman, Schwartz, and Bevins were officers of both MFW and MacAndrews &amp; Forbes. Perelman was the Chairman of MFW and the Chairman and CEO of MacAndrews &amp; Forbes; Schwartz was the President and CEO of MFW and the Vice Chairman and Chief Administrative Officer of MacAndrews &amp; Forbes; and Bevins was a Vice President at MacAndrews &amp; Forbes.</w:t>
      </w:r>
    </w:p>
    <w:bookmarkEnd w:id="342"/>
    <w:bookmarkStart w:id="343" w:name="the-taking-mfw-private-proposal"/>
    <w:p>
      <w:pPr>
        <w:pStyle w:val="Heading2"/>
      </w:pPr>
      <w:r>
        <w:rPr>
          <w:iCs/>
          <w:i/>
        </w:rPr>
        <w:t xml:space="preserve">The Taking MFW Private Proposal</w:t>
      </w:r>
    </w:p>
    <w:p>
      <w:pPr>
        <w:pStyle w:val="FirstParagraph"/>
      </w:pPr>
      <w:r>
        <w:t xml:space="preserve">In May 2011, Perelman began to explore the possibility of taking MFW private. At that time, MFW's stock price traded in the $20 to $24 per share range. MacAndrews &amp; Forbes engaged a bank, Moelis &amp; Company, to advise it. After preparing valuations based on projections that had been supplied to lenders by MFW in April and May 2011, Moelis valued MFW at between $10 and $32 a share.</w:t>
      </w:r>
    </w:p>
    <w:p>
      <w:pPr>
        <w:pStyle w:val="BodyText"/>
      </w:pPr>
      <w:r>
        <w:t xml:space="preserve">On June 10, 2011, MFW's shares closed on the New York Stock Exchange at $16.96. The next business day, June 13, 2011, Schwartz sent a letter proposal ("Proposal") to the MFW board to buy the remaining MFW shares for $24 in cash. The Proposal stated, in relevant part:</w:t>
      </w:r>
    </w:p>
    <w:p>
      <w:pPr>
        <w:pStyle w:val="BlockText"/>
      </w:pPr>
      <w:r>
        <w:t xml:space="preserve">The proposed transaction would be subject to the approval of the Board of Directors of the Company [</w:t>
      </w:r>
      <w:r>
        <w:rPr>
          <w:iCs/>
          <w:i/>
        </w:rPr>
        <w:t xml:space="preserve">i.e.,</w:t>
      </w:r>
      <w:r>
        <w:t xml:space="preserve"> </w:t>
      </w:r>
      <w:r>
        <w:t xml:space="preserve">MFW] and the negotiation and execution of mutually acceptable definitive transaction documents. It is our expectation that the Board of Directors will appoint a special committee of independent directors to consider our proposal and make a recommendation to the Board of Directors.</w:t>
      </w:r>
      <w:r>
        <w:t xml:space="preserve"> </w:t>
      </w:r>
      <w:r>
        <w:rPr>
          <w:iCs/>
          <w:i/>
        </w:rPr>
        <w:t xml:space="preserve">We will not move forward with the transaction unless it is approved by such a special committee. In addition, the transaction will be subject to a non-waivable condition requiring the approval of a majority of the shares of the Company not owned by M &amp; F or its affiliates</w:t>
      </w:r>
      <w:r>
        <w:t xml:space="preserve"> </w:t>
      </w:r>
      <w:r>
        <w:t xml:space="preserve">....</w:t>
      </w:r>
      <w:hyperlink w:anchor="Xe92020875a3b5276e9248f85228ab200a4fb5ec">
        <w:r>
          <w:rPr>
            <w:rStyle w:val="Hyperlink"/>
            <w:vertAlign w:val="superscript"/>
          </w:rPr>
          <w:t xml:space="preserve">[3]</w:t>
        </w:r>
      </w:hyperlink>
    </w:p>
    <w:p>
      <w:pPr>
        <w:pStyle w:val="BlockText"/>
      </w:pPr>
      <w:r>
        <w:t xml:space="preserve">... In considering this proposal, you should know that in our capacity as a stockholder of the Company we are interested [641] only in acquiring the shares of the Company not already owned by us and that in such capacity we have no interest in selling any of the shares owned by us in the Company nor would we expect, in our capacity as a stockholder, to vote in favor of any alternative sale, merger or similar transaction involving the Company. If the special committee does not recommend or the public stockholders of the Company do not approve the proposed transaction, such determination would not adversely affect our future relationship with the Company and we would intend to remain as a long-term stockholder.</w:t>
      </w:r>
    </w:p>
    <w:p>
      <w:pPr>
        <w:pStyle w:val="BlockText"/>
      </w:pPr>
      <w:r>
        <w:t xml:space="preserve">. . . .</w:t>
      </w:r>
    </w:p>
    <w:p>
      <w:pPr>
        <w:pStyle w:val="BlockText"/>
      </w:pPr>
      <w:r>
        <w:t xml:space="preserve">In connection with this proposal, we have engaged Moelis &amp; Company as our financial advisor and Skadden, Arps, Slate, Meagher &amp; Flom LLP as our legal advisor, and we encourage the special committee to retain its own legal and financial advisors to assist it in its review.</w:t>
      </w:r>
    </w:p>
    <w:p>
      <w:pPr>
        <w:pStyle w:val="FirstParagraph"/>
      </w:pPr>
      <w:r>
        <w:t xml:space="preserve">MacAndrews &amp; Forbes filed this letter with the U.S. Securities and Exchange Commission ("SEC") and issued a press release disclosing substantially the same information.</w:t>
      </w:r>
    </w:p>
    <w:bookmarkEnd w:id="343"/>
    <w:bookmarkStart w:id="344" w:name="the-special-committee-is-formed"/>
    <w:p>
      <w:pPr>
        <w:pStyle w:val="Heading2"/>
      </w:pPr>
      <w:r>
        <w:rPr>
          <w:iCs/>
          <w:i/>
        </w:rPr>
        <w:t xml:space="preserve">The Special Committee Is Formed</w:t>
      </w:r>
    </w:p>
    <w:p>
      <w:pPr>
        <w:pStyle w:val="FirstParagraph"/>
      </w:pPr>
      <w:r>
        <w:t xml:space="preserve">The MFW board met the following day to consider the Proposal. At the meeting, Schwartz presented the offer on behalf of MacAndrews &amp; Forbes. Subsequently, Schwartz and Bevins, as the two directors present who were also directors of MacAndrews &amp; Forbes, recused themselves from the meeting, as did Dawson, the CEO of HCHC, who had previously expressed support for the proposed offer.</w:t>
      </w:r>
    </w:p>
    <w:p>
      <w:pPr>
        <w:pStyle w:val="BodyText"/>
      </w:pPr>
      <w:r>
        <w:t xml:space="preserve">The independent directors then invited counsel from Willkie Farr &amp; Gallagher — a law firm that had recently represented a Special Committee of MFW's independent directors in a potential acquisition of a subsidiary of MacAndrews &amp; Forbes — to join the meeting. The independent directors decided to form the Special Committee, and resolved further that:</w:t>
      </w:r>
    </w:p>
    <w:p>
      <w:pPr>
        <w:pStyle w:val="BlockText"/>
      </w:pPr>
      <w:r>
        <w:t xml:space="preserve">[T]he Special Committee is empowered to: (i) make such investigation of the Proposal as the Special Committee deems appropriate; (ii) evaluate the terms of the Proposal; (iii) negotiate with Holdings [</w:t>
      </w:r>
      <w:r>
        <w:rPr>
          <w:iCs/>
          <w:i/>
        </w:rPr>
        <w:t xml:space="preserve">i.e.,</w:t>
      </w:r>
      <w:r>
        <w:t xml:space="preserve"> </w:t>
      </w:r>
      <w:r>
        <w:t xml:space="preserve">MacAndrews &amp; Forbes] and its representatives any element of the Proposal; (iv) negotiate the terms of any definitive agreement with respect to the Proposal (it being understood that the execution thereof shall be subject to the approval of the Board); (v) report to the Board its recommendations and conclusions with respect to the Proposal, including a determination and</w:t>
      </w:r>
      <w:r>
        <w:t xml:space="preserve"> </w:t>
      </w:r>
      <w:r>
        <w:rPr>
          <w:iCs/>
          <w:i/>
        </w:rPr>
        <w:t xml:space="preserve">recommendation as to whether the Proposal is fair and in the best interests of the stockholders of the Company other than Holdings</w:t>
      </w:r>
      <w:r>
        <w:t xml:space="preserve"> </w:t>
      </w:r>
      <w:r>
        <w:t xml:space="preserve">and its affiliates and should be approved by the Board; and (vi) determine to elect not to pursue the Proposal....</w:t>
      </w:r>
      <w:hyperlink w:anchor="X17aeafb8b15b4628e17df9f87fd48ffdd6e1492">
        <w:r>
          <w:rPr>
            <w:rStyle w:val="Hyperlink"/>
            <w:vertAlign w:val="superscript"/>
          </w:rPr>
          <w:t xml:space="preserve">[4]</w:t>
        </w:r>
      </w:hyperlink>
    </w:p>
    <w:p>
      <w:pPr>
        <w:pStyle w:val="BlockText"/>
      </w:pPr>
      <w:r>
        <w:t xml:space="preserve">. . . .</w:t>
      </w:r>
    </w:p>
    <w:p>
      <w:pPr>
        <w:pStyle w:val="BlockText"/>
      </w:pPr>
      <w:r>
        <w:t xml:space="preserve">... [T]he Board shall not approve the Proposal without a prior favorable recommendation of the Special Committee....</w:t>
      </w:r>
    </w:p>
    <w:p>
      <w:pPr>
        <w:pStyle w:val="BlockText"/>
      </w:pPr>
      <w:r>
        <w:t xml:space="preserve">... [T]he Special Committee [is] empowered to retain and employ legal counsel, a financial advisor, and such other agents as the Special Committee shall deem necessary or desirable in connection with these matters....</w:t>
      </w:r>
    </w:p>
    <w:p>
      <w:pPr>
        <w:pStyle w:val="FirstParagraph"/>
      </w:pPr>
      <w:r>
        <w:t xml:space="preserve">The Special Committee consisted of Byorum, Dinh, Meister (the chair), Slovin, and Webb. The following day, Slovin recused himself because, although the MFW [642] board had determined that he qualified as an independent director under the rules of the New York Stock Exchange, he had "some current relationships that could raise questions about his independence for purposes of serving on the Special Committee."</w:t>
      </w:r>
    </w:p>
    <w:bookmarkEnd w:id="344"/>
    <w:bookmarkStart w:id="345" w:name="analysis"/>
    <w:p>
      <w:pPr>
        <w:pStyle w:val="Heading2"/>
      </w:pPr>
      <w:r>
        <w:rPr>
          <w:iCs/>
          <w:i/>
        </w:rPr>
        <w:t xml:space="preserve">ANALYSIS</w:t>
      </w:r>
    </w:p>
    <w:bookmarkEnd w:id="345"/>
    <w:bookmarkStart w:id="346" w:name="what-should-be-the-review-standard"/>
    <w:p>
      <w:pPr>
        <w:pStyle w:val="Heading2"/>
      </w:pPr>
      <w:r>
        <w:rPr>
          <w:iCs/>
          <w:i/>
        </w:rPr>
        <w:t xml:space="preserve">What Should Be The Review Standard?</w:t>
      </w:r>
    </w:p>
    <w:p>
      <w:pPr>
        <w:pStyle w:val="FirstParagraph"/>
      </w:pPr>
      <w:r>
        <w:t xml:space="preserve">Where a transaction involving self-dealing by a controlling stockholder is challenged, the applicable standard of judicial review is "entire fairness," with the defendants having the burden of persuasion.</w:t>
      </w:r>
      <w:hyperlink w:anchor="X1447d6a82c5c0359b79fac75e2c38ef13b06410">
        <w:r>
          <w:rPr>
            <w:rStyle w:val="Hyperlink"/>
            <w:vertAlign w:val="superscript"/>
          </w:rPr>
          <w:t xml:space="preserve">[5]</w:t>
        </w:r>
      </w:hyperlink>
      <w:r>
        <w:t xml:space="preserve"> </w:t>
      </w:r>
      <w:r>
        <w:t xml:space="preserve">In other words, the defendants bear the ultimate burden of proving that the transaction with the controlling stockholder was entirely fair to the minority stockholders. In</w:t>
      </w:r>
      <w:r>
        <w:t xml:space="preserve"> </w:t>
      </w:r>
      <w:r>
        <w:rPr>
          <w:iCs/>
          <w:i/>
        </w:rPr>
        <w:t xml:space="preserve">Kahn v. Lynch</w:t>
      </w:r>
      <w:r>
        <w:t xml:space="preserve"> </w:t>
      </w:r>
      <w:r>
        <w:rPr>
          <w:iCs/>
          <w:i/>
        </w:rPr>
        <w:t xml:space="preserve">Communication Systems, Inc.,</w:t>
      </w:r>
      <w:hyperlink w:anchor="X7e2611e166a0501ab88949dea1cc3570e75779b">
        <w:r>
          <w:rPr>
            <w:rStyle w:val="Hyperlink"/>
            <w:vertAlign w:val="superscript"/>
          </w:rPr>
          <w:t xml:space="preserve">[6]</w:t>
        </w:r>
      </w:hyperlink>
      <w:r>
        <w:t xml:space="preserve"> </w:t>
      </w:r>
      <w:r>
        <w:t xml:space="preserve">however, this Court held that in "entire fairness" cases, the defendants may shift the burden of persuasion to the plaintiff if either (1) they show that the transaction was approved by a well-functioning committee of independent directors; or (2) they show that the transaction was approved by an informed vote of a majority of the minority stockholders.</w:t>
      </w:r>
      <w:hyperlink w:anchor="Xc2fec4b95284ee3a17de0a9d998316ad341fcbd">
        <w:r>
          <w:rPr>
            <w:rStyle w:val="Hyperlink"/>
            <w:vertAlign w:val="superscript"/>
          </w:rPr>
          <w:t xml:space="preserve">[7]</w:t>
        </w:r>
      </w:hyperlink>
    </w:p>
    <w:p>
      <w:pPr>
        <w:pStyle w:val="BodyText"/>
      </w:pPr>
      <w:r>
        <w:t xml:space="preserve">This appeal presents a question of first impression: what should be the standard of review for a merger between a controlling stockholder and its subsidiary, where the merger is conditioned</w:t>
      </w:r>
      <w:r>
        <w:t xml:space="preserve"> </w:t>
      </w:r>
      <w:r>
        <w:rPr>
          <w:iCs/>
          <w:i/>
        </w:rPr>
        <w:t xml:space="preserve">ab initio</w:t>
      </w:r>
      <w:r>
        <w:t xml:space="preserve"> </w:t>
      </w:r>
      <w:r>
        <w:t xml:space="preserve">upon the approval of both an independent, adequately-empowered Special Committee that fulfills its duty of care, and the uncoerced, informed vote of a majority of the minority stockholders. The question has never been put directly to this Court.</w:t>
      </w:r>
    </w:p>
    <w:p>
      <w:pPr>
        <w:pStyle w:val="BodyText"/>
      </w:pPr>
      <w:r>
        <w:t xml:space="preserve">Almost two decades ago, in</w:t>
      </w:r>
      <w:r>
        <w:t xml:space="preserve"> </w:t>
      </w:r>
      <w:r>
        <w:rPr>
          <w:iCs/>
          <w:i/>
        </w:rPr>
        <w:t xml:space="preserve">Kahn v. Lynch,</w:t>
      </w:r>
      <w:r>
        <w:t xml:space="preserve"> </w:t>
      </w:r>
      <w:r>
        <w:t xml:space="preserve">we held that the approval by</w:t>
      </w:r>
      <w:r>
        <w:t xml:space="preserve"> </w:t>
      </w:r>
      <w:r>
        <w:rPr>
          <w:iCs/>
          <w:i/>
        </w:rPr>
        <w:t xml:space="preserve">either</w:t>
      </w:r>
      <w:r>
        <w:t xml:space="preserve"> </w:t>
      </w:r>
      <w:r>
        <w:t xml:space="preserve">a Special Committee</w:t>
      </w:r>
      <w:r>
        <w:t xml:space="preserve"> </w:t>
      </w:r>
      <w:r>
        <w:rPr>
          <w:iCs/>
          <w:i/>
        </w:rPr>
        <w:t xml:space="preserve">or</w:t>
      </w:r>
      <w:r>
        <w:t xml:space="preserve"> </w:t>
      </w:r>
      <w:r>
        <w:t xml:space="preserve">the majority of the noncontrolling stockholders of a merger with a buying controlling stockholder would shift the burden of proof under the entire fairness standard from the defendant to the plaintiff.</w:t>
      </w:r>
      <w:hyperlink w:anchor="Xad5a410410e693a35644d853fda25b3ab35e87d">
        <w:r>
          <w:rPr>
            <w:rStyle w:val="Hyperlink"/>
            <w:vertAlign w:val="superscript"/>
          </w:rPr>
          <w:t xml:space="preserve">[8]</w:t>
        </w:r>
      </w:hyperlink>
      <w:r>
        <w:rPr>
          <w:iCs/>
          <w:i/>
        </w:rPr>
        <w:t xml:space="preserve">Lynch</w:t>
      </w:r>
      <w:r>
        <w:t xml:space="preserve"> </w:t>
      </w:r>
      <w:r>
        <w:t xml:space="preserve">did not involve a merger conditioned by the controlling stockholder on both procedural protections. The Appellants submit, nonetheless, that statements in</w:t>
      </w:r>
      <w:r>
        <w:t xml:space="preserve"> </w:t>
      </w:r>
      <w:r>
        <w:rPr>
          <w:iCs/>
          <w:i/>
        </w:rPr>
        <w:t xml:space="preserve">Lynch</w:t>
      </w:r>
      <w:r>
        <w:t xml:space="preserve"> </w:t>
      </w:r>
      <w:r>
        <w:t xml:space="preserve">and its progeny could be (and were) read to suggest that even if both procedural protections were used, the standard of review would remain entire fairness. However, in</w:t>
      </w:r>
      <w:r>
        <w:t xml:space="preserve"> </w:t>
      </w:r>
      <w:r>
        <w:rPr>
          <w:iCs/>
          <w:i/>
        </w:rPr>
        <w:t xml:space="preserve">Lynch</w:t>
      </w:r>
      <w:r>
        <w:t xml:space="preserve"> </w:t>
      </w:r>
      <w:r>
        <w:t xml:space="preserve">and the other cases that Appellants cited,</w:t>
      </w:r>
      <w:r>
        <w:t xml:space="preserve"> </w:t>
      </w:r>
      <w:r>
        <w:rPr>
          <w:iCs/>
          <w:i/>
        </w:rPr>
        <w:t xml:space="preserve">Southern Peru</w:t>
      </w:r>
      <w:r>
        <w:t xml:space="preserve"> </w:t>
      </w:r>
      <w:r>
        <w:t xml:space="preserve">and</w:t>
      </w:r>
      <w:r>
        <w:t xml:space="preserve"> </w:t>
      </w:r>
      <w:r>
        <w:rPr>
          <w:iCs/>
          <w:i/>
        </w:rPr>
        <w:t xml:space="preserve">Kahn v. Tremont,</w:t>
      </w:r>
      <w:r>
        <w:t xml:space="preserve"> </w:t>
      </w:r>
      <w:r>
        <w:t xml:space="preserve">the controller did not give up its voting power by agreeing to a non-waivable majority-of-the-minority condition.</w:t>
      </w:r>
      <w:hyperlink w:anchor="X50a4a9d6dd7226262724100ca1ee071d36ec2b7">
        <w:r>
          <w:rPr>
            <w:rStyle w:val="Hyperlink"/>
            <w:vertAlign w:val="superscript"/>
          </w:rPr>
          <w:t xml:space="preserve">[9]</w:t>
        </w:r>
      </w:hyperlink>
      <w:r>
        <w:t xml:space="preserve"> </w:t>
      </w:r>
      <w:r>
        <w:t xml:space="preserve">That is the vital distinction between those cases and this one. The question is what the legal consequence of that distinction should be in these circumstances.</w:t>
      </w:r>
    </w:p>
    <w:p>
      <w:pPr>
        <w:pStyle w:val="BodyText"/>
      </w:pPr>
      <w:r>
        <w:t xml:space="preserve">The Court of Chancery held that the consequence should be that the business judgment standard of review will govern going private mergers with a controlling stockholder that are conditioned</w:t>
      </w:r>
      <w:r>
        <w:t xml:space="preserve"> </w:t>
      </w:r>
      <w:r>
        <w:rPr>
          <w:iCs/>
          <w:i/>
        </w:rPr>
        <w:t xml:space="preserve">ab initio</w:t>
      </w:r>
      <w:r>
        <w:t xml:space="preserve"> </w:t>
      </w:r>
      <w:r>
        <w:t xml:space="preserve">upon (1) the approval of an independent and fully-empowered Special Committee that fulfills its duty of care and (2) the uncoerced, informed vote of the majority of the minority stockholders.</w:t>
      </w:r>
    </w:p>
    <w:p>
      <w:pPr>
        <w:pStyle w:val="BodyText"/>
      </w:pPr>
      <w:r>
        <w:t xml:space="preserve">[643] The Court of Chancery rested its holding upon the premise that the common law equitable rule that best protects minority investors is one that encourages controlling stockholders to accord the minority both procedural protections. A transactional structure subject to both conditions differs fundamentally from a merger having only one of those protections, in that:</w:t>
      </w:r>
    </w:p>
    <w:p>
      <w:pPr>
        <w:pStyle w:val="BlockText"/>
      </w:pPr>
      <w:r>
        <w:t xml:space="preserve">By giving controlling stockholders the opportunity to have a going private transaction reviewed under the business judgment rule, a strong incentive is created to give minority stockholders much broader access to the transactional structure that is most likely to effectively protect their interests.... That structure, it is important to note, is critically different than a structure that uses only</w:t>
      </w:r>
      <w:r>
        <w:t xml:space="preserve"> </w:t>
      </w:r>
      <w:r>
        <w:rPr>
          <w:iCs/>
          <w:i/>
        </w:rPr>
        <w:t xml:space="preserve">one</w:t>
      </w:r>
      <w:r>
        <w:t xml:space="preserve"> </w:t>
      </w:r>
      <w:r>
        <w:t xml:space="preserve">of the procedural protections. The "or" structure does not replicate the protections of a third-party merger under the DGCL approval process, because it only requires that one, and not both, of the statutory requirements of director and stockholder approval be accomplished by impartial decisionmakers. The "both" structure, by contrast, replicates the arm's-length merger steps of the DGCL by "requir[ing] two independent approvals, which it is fair to say serve independent integrity-enforcing functions."</w:t>
      </w:r>
      <w:hyperlink w:anchor="X713a1098a49372e738a1c703e0f415804242149">
        <w:r>
          <w:rPr>
            <w:rStyle w:val="Hyperlink"/>
            <w:vertAlign w:val="superscript"/>
          </w:rPr>
          <w:t xml:space="preserve">[10]</w:t>
        </w:r>
      </w:hyperlink>
    </w:p>
    <w:p>
      <w:pPr>
        <w:pStyle w:val="FirstParagraph"/>
      </w:pPr>
      <w:r>
        <w:t xml:space="preserve">Before the Court of Chancery, the Appellants acknowledged that "this transactional structure is the optimal one for minority shareholders." Before us, however, they argue that neither procedural protection is adequate to protect minority stockholders, because "possible ineptitude and timidity of directors" may undermine the special committee protection, and because majority-of-the-minority votes may be unduly influenced by arbitrageurs that have an institutional bias to approve virtually any transaction that offers a market premium, however insubstantial it may be. Therefore, the Appellants claim, these protections, even when combined, are not sufficient to justify "abandon[ing]" the entire fairness standard of review.</w:t>
      </w:r>
    </w:p>
    <w:p>
      <w:pPr>
        <w:pStyle w:val="BodyText"/>
      </w:pPr>
      <w:r>
        <w:t xml:space="preserve">With regard to the Special Committee procedural protection, the Appellants' assertions regarding the MFW directors' inability to discharge their duties are not supported either by the record or by well-established principles of Delaware law. As the Court of Chancery correctly observed:</w:t>
      </w:r>
    </w:p>
    <w:p>
      <w:pPr>
        <w:pStyle w:val="BlockText"/>
      </w:pPr>
      <w:r>
        <w:t xml:space="preserve">Although it is possible that there are independent directors who have little regard for their duties or for being perceived by their company's stockholders (and the larger network of institutional investors) as being effective at protecting public stockholders, the court thinks they are likely to be exceptional, and certainly our Supreme Court's jurisprudence does not embrace such a skeptical view.</w:t>
      </w:r>
    </w:p>
    <w:p>
      <w:pPr>
        <w:pStyle w:val="FirstParagraph"/>
      </w:pPr>
      <w:r>
        <w:t xml:space="preserve">Regarding the majority-of-the-minority vote procedural protection, as the Court of Chancery noted, "plaintiffs themselves do not argue that minority stockholders will vote against a going private transaction because of fear of retribution." Instead, as the Court of Chancery summarized, the Appellants' argued as follows:</w:t>
      </w:r>
    </w:p>
    <w:p>
      <w:pPr>
        <w:pStyle w:val="BlockText"/>
      </w:pPr>
      <w:r>
        <w:t xml:space="preserve">[Plaintiffs] just believe that most investors like a premium and will tend to vote for a deal that delivers one and that many long-term investors will sell out when they can obtain most of the premium without waiting for the ultimate vote. But that argument is not one that suggests that the voting decision is not voluntary, it is simply an editorial about [644] the motives of investors and does not contradict the premise that a majority-of-the-minority condition gives minority investors a free and voluntary opportunity to decide what is fair for themselves.</w:t>
      </w:r>
    </w:p>
    <w:bookmarkEnd w:id="346"/>
    <w:bookmarkStart w:id="347" w:name="X1df8b02ad7ba3d351677cf6b08495104975fd9c"/>
    <w:p>
      <w:pPr>
        <w:pStyle w:val="Heading2"/>
      </w:pPr>
      <w:r>
        <w:rPr>
          <w:iCs/>
          <w:i/>
        </w:rPr>
        <w:t xml:space="preserve">Business Judgment Review Standard Adopted</w:t>
      </w:r>
    </w:p>
    <w:p>
      <w:pPr>
        <w:pStyle w:val="FirstParagraph"/>
      </w:pPr>
      <w:r>
        <w:t xml:space="preserve">We hold that business judgment is the standard of review that should govern mergers between a controlling stockholder and its corporate subsidiary, where the merger is conditioned</w:t>
      </w:r>
      <w:r>
        <w:t xml:space="preserve"> </w:t>
      </w:r>
      <w:r>
        <w:rPr>
          <w:iCs/>
          <w:i/>
        </w:rPr>
        <w:t xml:space="preserve">ab initio</w:t>
      </w:r>
      <w:r>
        <w:t xml:space="preserve"> </w:t>
      </w:r>
      <w:r>
        <w:t xml:space="preserve">upon both the approval of an independent, adequately-empowered Special Committee that fulfills its duty of care; and the uncoerced, informed vote of a majority of the minority stockholders. We so conclude for several reasons.</w:t>
      </w:r>
    </w:p>
    <w:p>
      <w:pPr>
        <w:pStyle w:val="BodyText"/>
      </w:pPr>
      <w:r>
        <w:t xml:space="preserve">First, entire fairness is the highest standard of review in corporate law. It is applied in the controller merger context as a substitute for the dual statutory protections of disinterested board and stockholder approval, because both protections are potentially undermined by the influence of the controller. However, as this case establishes, that undermining influence does not exist in every controlled merger setting, regardless of the circumstances. The simultaneous deployment of the procedural protections employed here create a countervailing, offsetting influence of equal — if not greater — force. That is, where the controller irrevocably and publicly disables itself from using its control to dictate the outcome of the negotiations and the shareholder vote, the controlled merger then acquires the shareholder-protective characteristics of third-party, arm's-length mergers, which are reviewed under the business judgment standard.</w:t>
      </w:r>
    </w:p>
    <w:p>
      <w:pPr>
        <w:pStyle w:val="BodyText"/>
      </w:pPr>
      <w:r>
        <w:t xml:space="preserve">Second, the dual procedural protection merger structure optimally protects the minority stockholders in controller buyouts. As the Court of Chancery explained:</w:t>
      </w:r>
    </w:p>
    <w:p>
      <w:pPr>
        <w:pStyle w:val="BlockText"/>
      </w:pPr>
      <w:r>
        <w:t xml:space="preserve">[W]hen these two protections are established up-front, a potent tool to extract good value for the minority is established. From inception, the controlling stockholder knows that it cannot bypass the special committee's ability to say no. And, the controlling stockholder knows it cannot dangle a majority-of-the-minority vote before the special committee late in the process as a deal-closer rather than having to make a price move.</w:t>
      </w:r>
    </w:p>
    <w:p>
      <w:pPr>
        <w:pStyle w:val="FirstParagraph"/>
      </w:pPr>
      <w:r>
        <w:t xml:space="preserve">Third, and as the Court of Chancery reasoned, applying the business judgment standard to the dual protection merger structure:</w:t>
      </w:r>
    </w:p>
    <w:p>
      <w:pPr>
        <w:pStyle w:val="BlockText"/>
      </w:pPr>
      <w:r>
        <w:t xml:space="preserve">... is consistent with the central tradition of Delaware law, which defers to the informed decisions of impartial directors, especially when those decisions have been approved by the disinterested stockholders on full information and without coercion. Not only that, the adoption of this rule will be of benefit to minority stockholders because it will provide a strong incentive for controlling stockholders to accord minority investors the transactional structure that respected scholars believe will provide them the best protection, a structure where stockholders get the benefits of independent, empowered negotiating agents to bargain for the best price and say no if the agents believe the deal is not advisable for any proper reason, plus the critical ability to determine for themselves whether to accept any deal that their negotiating agents recommend to them. A transactional structure with both these protections is fundamentally different from one with only one protection.</w:t>
      </w:r>
      <w:hyperlink w:anchor="X8c55ed82e09bcd150f83a3aa161bf777cf37f96">
        <w:r>
          <w:rPr>
            <w:rStyle w:val="Hyperlink"/>
            <w:vertAlign w:val="superscript"/>
          </w:rPr>
          <w:t xml:space="preserve">[11]</w:t>
        </w:r>
      </w:hyperlink>
    </w:p>
    <w:p>
      <w:pPr>
        <w:pStyle w:val="FirstParagraph"/>
      </w:pPr>
      <w:r>
        <w:t xml:space="preserve">Fourth, the underlying purposes of the dual protection merger structure utilized [645] here and the entire fairness standard of review both converge and are fulfilled at the same critical point: price. Following</w:t>
      </w:r>
      <w:r>
        <w:t xml:space="preserve"> </w:t>
      </w:r>
      <w:r>
        <w:rPr>
          <w:iCs/>
          <w:i/>
        </w:rPr>
        <w:t xml:space="preserve">Weinberger v. UOP, Inc.,</w:t>
      </w:r>
      <w:r>
        <w:t xml:space="preserve"> </w:t>
      </w:r>
      <w:r>
        <w:t xml:space="preserve">this Court has consistently held that, although entire fairness review comprises the dual components of fair dealing and fair price, in a non-fraudulent transaction "price may be the preponderant consideration outweighing other features of the merger."</w:t>
      </w:r>
      <w:hyperlink w:anchor="X1af321a307529cd140e90cfae2a4806cc742d5f">
        <w:r>
          <w:rPr>
            <w:rStyle w:val="Hyperlink"/>
            <w:vertAlign w:val="superscript"/>
          </w:rPr>
          <w:t xml:space="preserve">[12]</w:t>
        </w:r>
      </w:hyperlink>
      <w:r>
        <w:t xml:space="preserve"> </w:t>
      </w:r>
      <w:r>
        <w:t xml:space="preserve">The dual protection merger structure requires two price-related pretrial determinations: first, that a fair price was achieved by an empowered, independent committee that acted with care;</w:t>
      </w:r>
      <w:hyperlink w:anchor="Xf6e8ad867ab2486ed123e6b55cd69329dc50da2">
        <w:r>
          <w:rPr>
            <w:rStyle w:val="Hyperlink"/>
            <w:vertAlign w:val="superscript"/>
          </w:rPr>
          <w:t xml:space="preserve">[13]</w:t>
        </w:r>
      </w:hyperlink>
      <w:r>
        <w:t xml:space="preserve"> </w:t>
      </w:r>
      <w:r>
        <w:t xml:space="preserve">and, second, that a fully-informed, uncoerced majority of the minority stockholders voted in favor of the price that was recommended by the independent committee.</w:t>
      </w:r>
    </w:p>
    <w:bookmarkEnd w:id="347"/>
    <w:bookmarkStart w:id="348" w:name="the-new-standard-summarized"/>
    <w:p>
      <w:pPr>
        <w:pStyle w:val="Heading2"/>
      </w:pPr>
      <w:r>
        <w:rPr>
          <w:iCs/>
          <w:i/>
        </w:rPr>
        <w:t xml:space="preserve">The New Standard Summarized</w:t>
      </w:r>
    </w:p>
    <w:p>
      <w:pPr>
        <w:pStyle w:val="FirstParagraph"/>
      </w:pPr>
      <w:r>
        <w:t xml:space="preserve">To summarize our holding, in controller buyouts, the business judgment standard of review will be applied</w:t>
      </w:r>
      <w:r>
        <w:t xml:space="preserve"> </w:t>
      </w:r>
      <w:r>
        <w:rPr>
          <w:iCs/>
          <w:i/>
        </w:rPr>
        <w:t xml:space="preserve">if and only if:</w:t>
      </w:r>
      <w:r>
        <w:t xml:space="preserve"> </w:t>
      </w:r>
      <w:r>
        <w:t xml:space="preserve">(i) the controller conditions the procession of the transaction on the approval of both a Special Committee and a majority of the minority stockholders; (ii) the Special Committee is independent; (iii) the Special Committee is empowered to freely select its own advisors and to say no definitively; (iv) the Special Committee meets its duty of care in negotiating a fair price; (v) the vote of the minority is informed; and (vi) there is no coercion of the minority.</w:t>
      </w:r>
      <w:hyperlink w:anchor="X3f7fa5dc2fe24a336b5ee65982d77014987b881">
        <w:r>
          <w:rPr>
            <w:rStyle w:val="Hyperlink"/>
            <w:vertAlign w:val="superscript"/>
          </w:rPr>
          <w:t xml:space="preserve">[14]</w:t>
        </w:r>
      </w:hyperlink>
    </w:p>
    <w:p>
      <w:pPr>
        <w:pStyle w:val="BodyText"/>
      </w:pPr>
      <w:r>
        <w:t xml:space="preserve">If a plaintiff that can plead a reasonably conceivable set of facts showing that any or all of those enumerated conditions did not exist, that complaint would state a claim for relief that would entitle the plaintiff to proceed and conduct discovery.</w:t>
      </w:r>
      <w:hyperlink w:anchor="Xbef5016b6db7c5581651c038c666924d6b3886b">
        <w:r>
          <w:rPr>
            <w:rStyle w:val="Hyperlink"/>
            <w:vertAlign w:val="superscript"/>
          </w:rPr>
          <w:t xml:space="preserve">[15]</w:t>
        </w:r>
      </w:hyperlink>
      <w:r>
        <w:t xml:space="preserve"> </w:t>
      </w:r>
      <w:r>
        <w:t xml:space="preserve">If, after discovery, triable issues of fact remain about whether either or both of the dual procedural protections were [646] established, or if established were effective, the case will proceed to a trial in which the court will conduct an entire fairness review.</w:t>
      </w:r>
      <w:hyperlink w:anchor="X59f9012db29f3d84b96645de3d4e3badcb16bd7">
        <w:r>
          <w:rPr>
            <w:rStyle w:val="Hyperlink"/>
            <w:vertAlign w:val="superscript"/>
          </w:rPr>
          <w:t xml:space="preserve">[16]</w:t>
        </w:r>
      </w:hyperlink>
    </w:p>
    <w:p>
      <w:pPr>
        <w:pStyle w:val="BodyText"/>
      </w:pPr>
      <w:r>
        <w:t xml:space="preserve">This approach is consistent with</w:t>
      </w:r>
      <w:r>
        <w:t xml:space="preserve"> </w:t>
      </w:r>
      <w:r>
        <w:rPr>
          <w:iCs/>
          <w:i/>
        </w:rPr>
        <w:t xml:space="preserve">Weinberger, Lynch</w:t>
      </w:r>
      <w:r>
        <w:t xml:space="preserve"> </w:t>
      </w:r>
      <w:r>
        <w:t xml:space="preserve">and their progeny. A controller that employs and/or establishes only one of these dual procedural protections would continue to receive burden-shifting within the entire fairness standard of review framework. Stated differently, unless</w:t>
      </w:r>
      <w:r>
        <w:t xml:space="preserve"> </w:t>
      </w:r>
      <w:r>
        <w:rPr>
          <w:iCs/>
          <w:i/>
        </w:rPr>
        <w:t xml:space="preserve">both</w:t>
      </w:r>
      <w:r>
        <w:t xml:space="preserve"> </w:t>
      </w:r>
      <w:r>
        <w:t xml:space="preserve">procedural protections for the minority stockholders are established</w:t>
      </w:r>
      <w:r>
        <w:t xml:space="preserve"> </w:t>
      </w:r>
      <w:r>
        <w:rPr>
          <w:iCs/>
          <w:i/>
        </w:rPr>
        <w:t xml:space="preserve">prior to trial,</w:t>
      </w:r>
      <w:r>
        <w:t xml:space="preserve"> </w:t>
      </w:r>
      <w:r>
        <w:t xml:space="preserve">the ultimate judicial scrutiny of controller buyouts will continue to be the entire fairness standard of review.</w:t>
      </w:r>
      <w:hyperlink w:anchor="X7a392f4261deead8ff213317c663a90343d6b5b">
        <w:r>
          <w:rPr>
            <w:rStyle w:val="Hyperlink"/>
            <w:vertAlign w:val="superscript"/>
          </w:rPr>
          <w:t xml:space="preserve">[17]</w:t>
        </w:r>
      </w:hyperlink>
    </w:p>
    <w:p>
      <w:pPr>
        <w:pStyle w:val="BodyText"/>
      </w:pPr>
      <w:r>
        <w:t xml:space="preserve">Having articulated the circumstances that will enable a controlled merger to be reviewed under the business judgment standard, we next address whether those circumstances have been established as a matter of undisputed fact and law in this case.</w:t>
      </w:r>
    </w:p>
    <w:bookmarkEnd w:id="348"/>
    <w:bookmarkStart w:id="349" w:name="dual-protection-inquiry"/>
    <w:p>
      <w:pPr>
        <w:pStyle w:val="Heading2"/>
      </w:pPr>
      <w:r>
        <w:rPr>
          <w:iCs/>
          <w:i/>
        </w:rPr>
        <w:t xml:space="preserve">Dual Protection Inquiry</w:t>
      </w:r>
    </w:p>
    <w:p>
      <w:pPr>
        <w:pStyle w:val="FirstParagraph"/>
      </w:pPr>
      <w:r>
        <w:t xml:space="preserve">To reiterate, in this case, the controlling stockholder conditioned its offer upon the MFW Board agreeing,</w:t>
      </w:r>
      <w:r>
        <w:t xml:space="preserve"> </w:t>
      </w:r>
      <w:r>
        <w:rPr>
          <w:iCs/>
          <w:i/>
        </w:rPr>
        <w:t xml:space="preserve">ab initio,</w:t>
      </w:r>
      <w:r>
        <w:t xml:space="preserve"> </w:t>
      </w:r>
      <w:r>
        <w:t xml:space="preserve">to both procedural protections,</w:t>
      </w:r>
      <w:r>
        <w:t xml:space="preserve"> </w:t>
      </w:r>
      <w:r>
        <w:rPr>
          <w:iCs/>
          <w:i/>
        </w:rPr>
        <w:t xml:space="preserve">i.e.,</w:t>
      </w:r>
      <w:r>
        <w:t xml:space="preserve"> </w:t>
      </w:r>
      <w:r>
        <w:t xml:space="preserve">approval by a Special Committee and by a majority of the minority stockholders. For the combination of an effective committee process and majority-of-the-minority vote to qualify (jointly) for business judgment review, each of these protections must be effective singly to warrant a burden shift.</w:t>
      </w:r>
    </w:p>
    <w:p>
      <w:pPr>
        <w:pStyle w:val="BodyText"/>
      </w:pPr>
      <w:r>
        <w:t xml:space="preserve">We begin by reviewing the record relating to the independence, mandate, and process of the Special Committee. In</w:t>
      </w:r>
      <w:r>
        <w:t xml:space="preserve"> </w:t>
      </w:r>
      <w:r>
        <w:rPr>
          <w:iCs/>
          <w:i/>
        </w:rPr>
        <w:t xml:space="preserve">Kahn v. Tremont Corp.,</w:t>
      </w:r>
      <w:r>
        <w:t xml:space="preserve"> </w:t>
      </w:r>
      <w:r>
        <w:t xml:space="preserve">this Court held that "[t]o obtain the benefit of burden shifting, the controlling stockholder must do more than establish a perfunctory special committee of outside directors."</w:t>
      </w:r>
      <w:hyperlink w:anchor="Xc4c70606f264e5e42deaa1db8c8436ecbc5f10c">
        <w:r>
          <w:rPr>
            <w:rStyle w:val="Hyperlink"/>
            <w:vertAlign w:val="superscript"/>
          </w:rPr>
          <w:t xml:space="preserve">[18]</w:t>
        </w:r>
      </w:hyperlink>
    </w:p>
    <w:p>
      <w:pPr>
        <w:pStyle w:val="BodyText"/>
      </w:pPr>
      <w:r>
        <w:t xml:space="preserve">Rather, the special committee must "function in a manner which indicates that the controlling stockholder did not dictate the terms of the transaction and that the committee exercised real bargaining power `at an arms-length.'"</w:t>
      </w:r>
      <w:hyperlink w:anchor="X09d61c9a324399ae2174868116dc2458aa348aa">
        <w:r>
          <w:rPr>
            <w:rStyle w:val="Hyperlink"/>
            <w:vertAlign w:val="superscript"/>
          </w:rPr>
          <w:t xml:space="preserve">[19]</w:t>
        </w:r>
      </w:hyperlink>
      <w:r>
        <w:t xml:space="preserve"> </w:t>
      </w:r>
      <w:r>
        <w:t xml:space="preserve">As we have previously noted, deciding whether an independent committee was effective in negotiating a price is a process so fact-intensive and inextricably intertwined with the merits of an entire fairness review (fair dealing and fair price) that a pretrial determination of burden shifting is often impossible.</w:t>
      </w:r>
      <w:hyperlink w:anchor="X6971808040ac6f737dbdaca3c3b47eb5d705d3f">
        <w:r>
          <w:rPr>
            <w:rStyle w:val="Hyperlink"/>
            <w:vertAlign w:val="superscript"/>
          </w:rPr>
          <w:t xml:space="preserve">[20]</w:t>
        </w:r>
      </w:hyperlink>
      <w:r>
        <w:t xml:space="preserve"> </w:t>
      </w:r>
      <w:r>
        <w:t xml:space="preserve">Here, however, the Defendants have successfully established a record of independent committee effectiveness and process that warranted a grant of summary judgment entitling them to a burden shift prior to trial.</w:t>
      </w:r>
    </w:p>
    <w:p>
      <w:pPr>
        <w:pStyle w:val="BodyText"/>
      </w:pPr>
      <w:r>
        <w:t xml:space="preserve">We next analyze the efficacy of the majority-of-the-minority vote, and we conclude that it was fully informed and not coerced. That is, the Defendants also established a pretrial majority-of-the-minority vote record that constitutes an independent [647] and alternative basis for shifting the burden of persuasion to the Plaintiffs.</w:t>
      </w:r>
    </w:p>
    <w:bookmarkEnd w:id="349"/>
    <w:bookmarkStart w:id="350" w:name="the-special-committee-was-independent"/>
    <w:p>
      <w:pPr>
        <w:pStyle w:val="Heading2"/>
      </w:pPr>
      <w:r>
        <w:rPr>
          <w:iCs/>
          <w:i/>
        </w:rPr>
        <w:t xml:space="preserve">The Special Committee Was Independent</w:t>
      </w:r>
    </w:p>
    <w:p>
      <w:pPr>
        <w:pStyle w:val="FirstParagraph"/>
      </w:pPr>
      <w:r>
        <w:t xml:space="preserve">The Appellants do not challenge the independence of the Special Committee's Chairman, Meister. They claim, however, that the three other Special Committee members — Webb, Dinh, and Byorum — were beholden to Perelman because of their prior business and/or social dealings with Perelman or Perelman-related entities.</w:t>
      </w:r>
    </w:p>
    <w:p>
      <w:pPr>
        <w:pStyle w:val="BodyText"/>
      </w:pPr>
      <w:r>
        <w:t xml:space="preserve">The Appellants first challenge the independence of Webb. They urged that Webb and Perelman shared a "longstanding and lucrative business partnership" between 1983 and 2002 which included acquisitions of thrifts and financial institutions, and which led to a 2002 asset sale to Citibank in which Webb made "a significant amount of money." The Court of Chancery concluded, however, that the fact of Webb having engaged in business dealings with Perelman nine years earlier did not raise a triable fact issue regarding his ability to evaluate the Merger impartially.</w:t>
      </w:r>
      <w:hyperlink w:anchor="X59a977ec61e2dff000b4b062e7e6523c4653500">
        <w:r>
          <w:rPr>
            <w:rStyle w:val="Hyperlink"/>
            <w:vertAlign w:val="superscript"/>
          </w:rPr>
          <w:t xml:space="preserve">[21]</w:t>
        </w:r>
      </w:hyperlink>
      <w:r>
        <w:t xml:space="preserve"> </w:t>
      </w:r>
      <w:r>
        <w:t xml:space="preserve">We agree.</w:t>
      </w:r>
    </w:p>
    <w:p>
      <w:pPr>
        <w:pStyle w:val="BodyText"/>
      </w:pPr>
      <w:r>
        <w:t xml:space="preserve">Second, the Appellants argued that there were triable issues of fact regarding Dinh's independence. The Appellants demonstrated that between 2009 and 2011, Dinh's law firm, Bancroft PLLC, advised M &amp; F and Scientific Games (in which M &amp; F owned a 37.6% stake), during which time the Bancroft firm earned $200,000 in fees. The record reflects that Bancroft's limited prior engagements, which were inactive by the time the Merger proposal was announced, were fully disclosed to the Special Committee soon after it was formed. The Court of Chancery found that the Appellants failed to proffer any evidence to show that compensation received by Dinh's law firm was material to Dinh, in the sense that it would have influenced his decisionmaking with respect to the M &amp; F proposal.</w:t>
      </w:r>
      <w:hyperlink w:anchor="Xcd6bda81d5a2c6d3128b8e0a4bfda8b2d75ce67">
        <w:r>
          <w:rPr>
            <w:rStyle w:val="Hyperlink"/>
            <w:vertAlign w:val="superscript"/>
          </w:rPr>
          <w:t xml:space="preserve">[22]</w:t>
        </w:r>
      </w:hyperlink>
      <w:r>
        <w:t xml:space="preserve"> </w:t>
      </w:r>
      <w:r>
        <w:t xml:space="preserve">The only evidence of record, the Court of Chancery concluded, was that these fees were "</w:t>
      </w:r>
      <w:r>
        <w:rPr>
          <w:iCs/>
          <w:i/>
        </w:rPr>
        <w:t xml:space="preserve">de minimis</w:t>
      </w:r>
      <w:r>
        <w:t xml:space="preserve">" and that the Appellants had offered no contrary evidence that would create a genuine issue of material fact.</w:t>
      </w:r>
      <w:hyperlink w:anchor="X05c974df2e74534453487beb630952834e0d080">
        <w:r>
          <w:rPr>
            <w:rStyle w:val="Hyperlink"/>
            <w:vertAlign w:val="superscript"/>
          </w:rPr>
          <w:t xml:space="preserve">[23]</w:t>
        </w:r>
      </w:hyperlink>
    </w:p>
    <w:p>
      <w:pPr>
        <w:pStyle w:val="BodyText"/>
      </w:pPr>
      <w:r>
        <w:t xml:space="preserve">The Court of Chancery also found that the relationship between Dinh, a Georgetown University Law Center professor, and M &amp; F's Barry Schwartz, who sits on the Georgetown Board of Visitors, did not create a triable issue of fact as to Dinh's independence. No record evidence suggested that Schwartz could exert influence on Dinh's position at Georgetown based on his recommendation regarding the Merger. Indeed, Dinh had earned tenure as a professor at Georgetown before he ever knew Schwartz.</w:t>
      </w:r>
    </w:p>
    <w:p>
      <w:pPr>
        <w:pStyle w:val="BodyText"/>
      </w:pPr>
      <w:r>
        <w:t xml:space="preserve">The Appellants also argue that Schwartz's later invitation to Dinh to join [648] the board of directors of Revlon, Inc. "illustrates the ongoing personal relationship between Schwartz and Dinh." There is no record evidence that Dinh expected to be asked to join Revlon's board at the time he served on the Special Committee. Moreover, the Court of Chancery noted, Schwartz's invitation for Dinh to join the Revlon board of directors occurred months after the Merger was approved and did not raise a triable fact issue concerning Dinh's independence from Perelman. We uphold the Court of Chancery's findings relating to Dinh.</w:t>
      </w:r>
    </w:p>
    <w:p>
      <w:pPr>
        <w:pStyle w:val="BodyText"/>
      </w:pPr>
      <w:r>
        <w:t xml:space="preserve">Third, the Appellants urge that issues of material fact permeate Byorum's independence and, specifically, that Byorum "had a business relationship with Perelman from 1991 to 1996 through her executive position at Citibank." The Court of Chancery concluded, however, the Appellants presented no evidence of the nature of Byorum's interactions with Perelman while she was at Citibank. Nor was there evidence that after 1996 Byorum had an ongoing economic relationship with Perelman that was material to her in any way. Byorum testified that any interactions she had with Perelman while she was at Citibank resulted from her role as a senior executive, because Perelman was a client of the bank at the time. Byorum also testified that she had no business relationship with Perelman between 1996 and 2007, when she joined the MFW Board.</w:t>
      </w:r>
    </w:p>
    <w:p>
      <w:pPr>
        <w:pStyle w:val="BodyText"/>
      </w:pPr>
      <w:r>
        <w:t xml:space="preserve">The Appellants also contend that Byorum performed advisory work for Scientific Games in 2007 and 2008 as a senior managing director of Stephens Cori Capital Advisors ("Stephens Cori"). The Court of Chancery found, however, that the Appellants had adduced no evidence tending to establish that the $100,000 fee Stephens Cori received for that work was material to either Stephens Cori or to Byorum personally.</w:t>
      </w:r>
      <w:hyperlink w:anchor="X0fa059c93cff417ce44b33663b5a6bc1747c995">
        <w:r>
          <w:rPr>
            <w:rStyle w:val="Hyperlink"/>
            <w:vertAlign w:val="superscript"/>
          </w:rPr>
          <w:t xml:space="preserve">[24]</w:t>
        </w:r>
      </w:hyperlink>
      <w:r>
        <w:t xml:space="preserve"> </w:t>
      </w:r>
      <w:r>
        <w:t xml:space="preserve">Stephens Cori's engagement for Scientific Games, which occurred years before the Merger was announced and the Special Committee was convened, was fully disclosed to the Special Committee, which concluded that "it was not material, and it would not represent a conflict."</w:t>
      </w:r>
      <w:hyperlink w:anchor="X5f321d57d9d095c2522506c71dbd3479fb59294">
        <w:r>
          <w:rPr>
            <w:rStyle w:val="Hyperlink"/>
            <w:vertAlign w:val="superscript"/>
          </w:rPr>
          <w:t xml:space="preserve">[25]</w:t>
        </w:r>
      </w:hyperlink>
      <w:r>
        <w:t xml:space="preserve"> </w:t>
      </w:r>
      <w:r>
        <w:t xml:space="preserve">We uphold the Court of Chancery's findings relating to Byorum as well.</w:t>
      </w:r>
    </w:p>
    <w:p>
      <w:pPr>
        <w:pStyle w:val="BodyText"/>
      </w:pPr>
      <w:r>
        <w:t xml:space="preserve">To evaluate the parties' competing positions on the issue of director independence, the Court of Chancery applied well-established Delaware legal principles.</w:t>
      </w:r>
      <w:hyperlink w:anchor="X93924bba7fe83fde0a2538380cdd6cd72d2822c">
        <w:r>
          <w:rPr>
            <w:rStyle w:val="Hyperlink"/>
            <w:vertAlign w:val="superscript"/>
          </w:rPr>
          <w:t xml:space="preserve">[26]</w:t>
        </w:r>
      </w:hyperlink>
      <w:r>
        <w:t xml:space="preserve"> </w:t>
      </w:r>
      <w:r>
        <w:t xml:space="preserve">To show that a director is not independent, a plaintiff must demonstrate that the director is "beholden" to the controlling party [649] "or so under [the controller's] influence that [the director's] discretion would be sterilized."</w:t>
      </w:r>
      <w:hyperlink w:anchor="X62d2a2f424171ec754de7a568655d8c7f34f37f">
        <w:r>
          <w:rPr>
            <w:rStyle w:val="Hyperlink"/>
            <w:vertAlign w:val="superscript"/>
          </w:rPr>
          <w:t xml:space="preserve">[27]</w:t>
        </w:r>
      </w:hyperlink>
      <w:r>
        <w:t xml:space="preserve"> </w:t>
      </w:r>
      <w:r>
        <w:t xml:space="preserve">Bare allegations that directors are friendly with, travel in the same social circles as, or have past business relationships with the proponent of a transaction or the person they are investigating are not enough to rebut the presumption of independence.</w:t>
      </w:r>
      <w:hyperlink w:anchor="Xe94fef6dc9a697c1a9cfd94abcbfabcff37c124">
        <w:r>
          <w:rPr>
            <w:rStyle w:val="Hyperlink"/>
            <w:vertAlign w:val="superscript"/>
          </w:rPr>
          <w:t xml:space="preserve">[28]</w:t>
        </w:r>
      </w:hyperlink>
    </w:p>
    <w:p>
      <w:pPr>
        <w:pStyle w:val="BodyText"/>
      </w:pPr>
      <w:r>
        <w:t xml:space="preserve">A plaintiff seeking to show that a director was not independent must satisfy a materiality standard. The court must conclude that the director in question had ties to the person whose proposal or actions he or she is evaluating that are sufficiently substantial that he or she could not objectively discharge his or her fiduciary duties.</w:t>
      </w:r>
      <w:hyperlink w:anchor="X8525a80f0c32bf67dea17e94c35006b6bb5699d">
        <w:r>
          <w:rPr>
            <w:rStyle w:val="Hyperlink"/>
            <w:vertAlign w:val="superscript"/>
          </w:rPr>
          <w:t xml:space="preserve">[29]</w:t>
        </w:r>
      </w:hyperlink>
      <w:r>
        <w:t xml:space="preserve"> </w:t>
      </w:r>
      <w:r>
        <w:t xml:space="preserve">Consistent with that predicate materiality requirement, the existence of some financial ties between the interested party and the director, without more, is not disqualifying. The inquiry must be whether, applying a subjective standard, those ties were</w:t>
      </w:r>
      <w:r>
        <w:t xml:space="preserve"> </w:t>
      </w:r>
      <w:r>
        <w:rPr>
          <w:iCs/>
          <w:i/>
        </w:rPr>
        <w:t xml:space="preserve">material,</w:t>
      </w:r>
      <w:r>
        <w:t xml:space="preserve"> </w:t>
      </w:r>
      <w:r>
        <w:t xml:space="preserve">in the sense that the alleged ties could have affected the impartiality of the individual director.</w:t>
      </w:r>
      <w:hyperlink w:anchor="Xa5a9229015e8feb49977c9a61fbad61147a82ac">
        <w:r>
          <w:rPr>
            <w:rStyle w:val="Hyperlink"/>
            <w:vertAlign w:val="superscript"/>
          </w:rPr>
          <w:t xml:space="preserve">[30]</w:t>
        </w:r>
      </w:hyperlink>
    </w:p>
    <w:p>
      <w:pPr>
        <w:pStyle w:val="BodyText"/>
      </w:pPr>
      <w:r>
        <w:t xml:space="preserve">The Appellants assert that the materiality of any economic relationships the Special Committee members may have had with Mr. Perelman "should not be decided on summary judgment." But Delaware courts have often decided director independence as a matter of law at the summary judgment stage.</w:t>
      </w:r>
      <w:hyperlink w:anchor="X7f91052c49ead5b6492e9aa047dd52a5aac9a3c">
        <w:r>
          <w:rPr>
            <w:rStyle w:val="Hyperlink"/>
            <w:vertAlign w:val="superscript"/>
          </w:rPr>
          <w:t xml:space="preserve">[31]</w:t>
        </w:r>
      </w:hyperlink>
      <w:r>
        <w:t xml:space="preserve"> </w:t>
      </w:r>
      <w:r>
        <w:t xml:space="preserve">In this case, the Court of Chancery noted, that despite receiving extensive discovery, the Appellants did "nothing ... to compare the actual circumstances of the [challenged directors] to the ties [they] contend affect their impartiality" and "fail[ed] to proffer any real evidence of their economic circumstances."</w:t>
      </w:r>
    </w:p>
    <w:p>
      <w:pPr>
        <w:pStyle w:val="BodyText"/>
      </w:pPr>
      <w:r>
        <w:t xml:space="preserve">The Appellants could have, but elected not to, submit any Rule 56 affidavits, either factual or expert, in response to the Defendants' summary judgment motion. The Appellants argue that they were entitled to wait until trial to proffer evidence compromising the Special Committee's independence. That argument misapprehends how Rule 56 operates.</w:t>
      </w:r>
      <w:hyperlink w:anchor="X03a526a0d3c3fd8a0cd2f4a9c3c3e60d7f6b6de">
        <w:r>
          <w:rPr>
            <w:rStyle w:val="Hyperlink"/>
            <w:vertAlign w:val="superscript"/>
          </w:rPr>
          <w:t xml:space="preserve">[32]</w:t>
        </w:r>
      </w:hyperlink>
      <w:r>
        <w:t xml:space="preserve"> </w:t>
      </w:r>
      <w:r>
        <w:t xml:space="preserve">Court of Chancery Rule 56 states that "the adverse [non-moving] party's response, by affidavits or as otherwise provided in this rule, [650] must set forth specific facts showing that there is a genuine issue for trial."</w:t>
      </w:r>
      <w:hyperlink w:anchor="X55ef18b979699f51d811f30e6b3d90ba31e07be">
        <w:r>
          <w:rPr>
            <w:rStyle w:val="Hyperlink"/>
            <w:vertAlign w:val="superscript"/>
          </w:rPr>
          <w:t xml:space="preserve">[33]</w:t>
        </w:r>
      </w:hyperlink>
    </w:p>
    <w:p>
      <w:pPr>
        <w:pStyle w:val="BodyText"/>
      </w:pPr>
      <w:r>
        <w:t xml:space="preserve">The Court of Chancery found that to the extent the Appellants claimed the Special Committee members, Webb, Dinh, and Byorum, were beholden to Perelman based on prior economic relationships with him, the Appellants never developed or proffered evidence showing the materiality of those relationships:</w:t>
      </w:r>
    </w:p>
    <w:p>
      <w:pPr>
        <w:pStyle w:val="BlockText"/>
      </w:pPr>
      <w:r>
        <w:t xml:space="preserve">Despite receiving the chance for extensive discovery, the plaintiffs have done nothing ... to compare the actual economic circumstances of the directors they challenge to the ties the plaintiffs contend affect their impartiality. In other words, the plaintiffs have ignored a key teaching of our Supreme Court, requiring a showing that a specific director's independence is compromised by factors material to her. As to each of the specific directors the plaintiffs challenge, the plaintiffs fail to proffer any real evidence of their economic circumstances.</w:t>
      </w:r>
    </w:p>
    <w:p>
      <w:pPr>
        <w:pStyle w:val="FirstParagraph"/>
      </w:pPr>
      <w:r>
        <w:t xml:space="preserve">The record supports the Court of Chancery's holding that none of the Appellants' claims relating to Webb, Dinh or Byorum raised a triable issue of material fact concerning their individual independence or the Special Committee's collective independence.</w:t>
      </w:r>
      <w:hyperlink w:anchor="X219e75d9fb4ffd5fc1d1dc02a262f53a0148c76">
        <w:r>
          <w:rPr>
            <w:rStyle w:val="Hyperlink"/>
            <w:vertAlign w:val="superscript"/>
          </w:rPr>
          <w:t xml:space="preserve">[34]</w:t>
        </w:r>
      </w:hyperlink>
    </w:p>
    <w:bookmarkEnd w:id="350"/>
    <w:bookmarkStart w:id="351" w:name="the-special-committee-was-empowered"/>
    <w:p>
      <w:pPr>
        <w:pStyle w:val="Heading2"/>
      </w:pPr>
      <w:r>
        <w:rPr>
          <w:iCs/>
          <w:i/>
        </w:rPr>
        <w:t xml:space="preserve">The Special Committee Was Empowered</w:t>
      </w:r>
    </w:p>
    <w:p>
      <w:pPr>
        <w:pStyle w:val="FirstParagraph"/>
      </w:pPr>
      <w:r>
        <w:t xml:space="preserve">It is undisputed that the Special Committee was empowered to hire its own legal and financial advisors, and it retained Willkie Farr &amp; Gallagher LLP as its legal advisor. After interviewing four potential financial advisors, the Special Committee engaged Evercore Partners ("Evercore"). The qualifications and independence of Evercore and Willkie Farr &amp; Gallagher LLP are not contested.</w:t>
      </w:r>
    </w:p>
    <w:p>
      <w:pPr>
        <w:pStyle w:val="BodyText"/>
      </w:pPr>
      <w:r>
        <w:t xml:space="preserve">Among the powers given the Special Committee in the board resolution was the authority to "report to the Board its recommendations and conclusions with respect to the [Merger], including a determination and recommendation as to whether the Proposal is fair and in the best interests of the stockholders...." The Court of Chancery also found that it was "undisputed that the [S]pecial [C]ommittee was empowered not simply to `evaluate' the offer, like some special committees with weak mandates, but to negotiate with [M &amp; F] over the terms of its offer to buy out the noncontrolling stockholders.</w:t>
      </w:r>
      <w:hyperlink w:anchor="X7f192649ffaaf274b5974b206f12c72e8ef1f14">
        <w:r>
          <w:rPr>
            <w:rStyle w:val="Hyperlink"/>
            <w:vertAlign w:val="superscript"/>
          </w:rPr>
          <w:t xml:space="preserve">[35]</w:t>
        </w:r>
      </w:hyperlink>
      <w:r>
        <w:t xml:space="preserve"> </w:t>
      </w:r>
      <w:r>
        <w:t xml:space="preserve">This negotiating power was accompanied by the clear authority to say no definitively to [M &amp; F]" and to "make that decision stick." MacAndrews &amp; Forbes promised that it would not proceed with any going private proposal that did not have the support of the Special Committee. Therefore, the Court of Chancery concluded, "the MFW committee did not have to fear that if it bargained too hard, MacAndrews &amp; Forbes could bypass the committee and make a tender offer directly to the minority stockholders."</w:t>
      </w:r>
    </w:p>
    <w:p>
      <w:pPr>
        <w:pStyle w:val="BodyText"/>
      </w:pPr>
      <w:r>
        <w:t xml:space="preserve">[651] The Court of Chancery acknowledged that even though the Special Committee had the authority to negotiate and "say no," it did not have the authority, as a practical matter, to sell MFW to other buyers. MacAndrews &amp; Forbes stated in its announcement that it was not interested in selling its 43% stake. Moreover, under Delaware law, MacAndrews &amp; Forbes had no duty to sell its block, which was large enough, again as a practical matter, to preclude any other buyer from succeeding unless MacAndrews &amp; Forbes decided to become a seller. Absent such a decision, it was unlikely that any potentially interested party would incur the costs and risks of exploring a purchase of MFW.</w:t>
      </w:r>
    </w:p>
    <w:p>
      <w:pPr>
        <w:pStyle w:val="BodyText"/>
      </w:pPr>
      <w:r>
        <w:t xml:space="preserve">Nevertheless, the Court of Chancery found, "this did not mean that the MFW Special Committee did not have the leeway to get advice from its financial advisor about the strategic options available to MFW, including the potential interest that other buyers might have</w:t>
      </w:r>
      <w:r>
        <w:t xml:space="preserve"> </w:t>
      </w:r>
      <w:r>
        <w:rPr>
          <w:iCs/>
          <w:i/>
        </w:rPr>
        <w:t xml:space="preserve">if MacAndrews &amp; Forbes was willing to sell.</w:t>
      </w:r>
      <w:r>
        <w:t xml:space="preserve">"</w:t>
      </w:r>
      <w:hyperlink w:anchor="Xa84f686ed2d8ff08f0b6e9e632a00c51a3dd4b1">
        <w:r>
          <w:rPr>
            <w:rStyle w:val="Hyperlink"/>
            <w:vertAlign w:val="superscript"/>
          </w:rPr>
          <w:t xml:space="preserve">[36]</w:t>
        </w:r>
      </w:hyperlink>
      <w:r>
        <w:t xml:space="preserve"> </w:t>
      </w:r>
      <w:r>
        <w:t xml:space="preserve">The undisputed record shows that the Special Committee, with the help of its financial advisor, did consider whether there were other buyers who might be interested in purchasing MFW, and whether there were other strategic options, such as asset divestitures, that might generate more value for minority stockholders than a sale of their stock to MacAndrews &amp; Forbes.</w:t>
      </w:r>
    </w:p>
    <w:bookmarkEnd w:id="351"/>
    <w:bookmarkStart w:id="352" w:name="the-special-committee-exercised-due-care"/>
    <w:p>
      <w:pPr>
        <w:pStyle w:val="Heading2"/>
      </w:pPr>
      <w:r>
        <w:rPr>
          <w:iCs/>
          <w:i/>
        </w:rPr>
        <w:t xml:space="preserve">The Special Committee Exercised Due Care</w:t>
      </w:r>
    </w:p>
    <w:p>
      <w:pPr>
        <w:pStyle w:val="FirstParagraph"/>
      </w:pPr>
      <w:r>
        <w:t xml:space="preserve">The Special Committee insisted from the outset that MacAndrews (including any "dual" employees who worked for both MFW and MacAndrews) be screened off from the Special Committee's process, to ensure that the process replicated arm's-length negotiations with a third party. In order to carefully evaluate M &amp; F's offer, the Special Committee held a total of eight meetings during the summer of 2011.</w:t>
      </w:r>
    </w:p>
    <w:p>
      <w:pPr>
        <w:pStyle w:val="BodyText"/>
      </w:pPr>
      <w:r>
        <w:t xml:space="preserve">From the outset of their work, the Special Committee and Evercore had projections that had been prepared by MFW's business segments in April and May 2011. Early in the process, Evercore and the Special Committee asked MFW management to produce new projections that reflected management's most up-to-date, and presumably most accurate, thinking. Consistent with the Special Committee's determination to conduct its analysis free of any MacAndrews influence, MacAndrews — including "dual" MFW/MacAndrews executives who normally vetted MFW projections — were excluded from the process of preparing the updated financial projections. Mafco, the licorice business, advised Evercore that all of its projections would remain the same. Harland Clarke updated its projections. On July 22, 2011, Evercore received new projections from HCHC, which incorporated the updated projections from Harland Clarke. Evercore then constructed a valuation model based upon all of these updated projections.</w:t>
      </w:r>
    </w:p>
    <w:p>
      <w:pPr>
        <w:pStyle w:val="BodyText"/>
      </w:pPr>
      <w:r>
        <w:t xml:space="preserve">The updated projections, which formed the basis for Evercore's valuation analyses, reflected MFW's deteriorating results, especially in Harland's check-printing business. Those projections forecast EBITDA for MFW of $491 million in 2015, as opposed to $535 million under the original projections.</w:t>
      </w:r>
    </w:p>
    <w:p>
      <w:pPr>
        <w:pStyle w:val="BodyText"/>
      </w:pPr>
      <w:r>
        <w:t xml:space="preserve">On August 10, Evercore produced a range of valuations for MFW, based on the updated projections, of $15 to $45 per share. Evercore valued MFW using a variety of accepted methods, including a discounted cash flow ("DCF") model. Those valuations generated a range of fair value of $22 to $38 per share, and a premiums [652] paid analysis resulted in a value range of $22 to $45. MacAndrews &amp; Forbes's $24 offer fell within the range of values produced by each of Evercore's valuation techniques.</w:t>
      </w:r>
    </w:p>
    <w:p>
      <w:pPr>
        <w:pStyle w:val="BodyText"/>
      </w:pPr>
      <w:r>
        <w:t xml:space="preserve">Although the $24 Proposal fell within the range of Evercore's fair values, the Special Committee directed Evercore to conduct additional analyses and explore strategic alternatives that might generate more value for MFW's stockholders than might a sale to MacAndrews. The Special Committee also investigated the possibility of other buyers,</w:t>
      </w:r>
      <w:r>
        <w:t xml:space="preserve"> </w:t>
      </w:r>
      <w:r>
        <w:rPr>
          <w:iCs/>
          <w:i/>
        </w:rPr>
        <w:t xml:space="preserve">e.g.,</w:t>
      </w:r>
      <w:r>
        <w:t xml:space="preserve"> </w:t>
      </w:r>
      <w:r>
        <w:t xml:space="preserve">private equity buyers, that might be interested in purchasing MFW. In addition, the Special Committee considered whether other strategic options, such as asset divestitures, could achieve superior value for MFW's stockholders. Mr. Meister testified, "The Committee made it very clear to Evercore that we were interested in any and all possible avenues of increasing value to the stockholders, including meaningful expressions of interest for meaningful pieces of the business."</w:t>
      </w:r>
    </w:p>
    <w:p>
      <w:pPr>
        <w:pStyle w:val="BodyText"/>
      </w:pPr>
      <w:r>
        <w:t xml:space="preserve">The Appellants insist that the Special Committee had "no right to solicit alternative bids, conduct any sort of market check, or even consider alternative transactions." But the Special Committee did just that, even though MacAndrews' stated unwillingness to sell its MFW stake meant that the Special Committee did not have the practical ability to market MFW to other buyers. The Court of Chancery properly concluded that despite the Special Committee's inability to solicit alternative bids, it</w:t>
      </w:r>
      <w:r>
        <w:t xml:space="preserve"> </w:t>
      </w:r>
      <w:r>
        <w:rPr>
          <w:iCs/>
          <w:i/>
        </w:rPr>
        <w:t xml:space="preserve">could</w:t>
      </w:r>
      <w:r>
        <w:t xml:space="preserve"> </w:t>
      </w:r>
      <w:r>
        <w:t xml:space="preserve">seek Evercore's advice about strategic alternatives, including</w:t>
      </w:r>
      <w:r>
        <w:t xml:space="preserve"> </w:t>
      </w:r>
      <w:r>
        <w:rPr>
          <w:iCs/>
          <w:i/>
        </w:rPr>
        <w:t xml:space="preserve">values that might be available if MacAndrews was willing to sell.</w:t>
      </w:r>
    </w:p>
    <w:p>
      <w:pPr>
        <w:pStyle w:val="BodyText"/>
      </w:pPr>
      <w:r>
        <w:t xml:space="preserve">Although the MFW Special Committee considered options besides the M &amp; F Proposal, the Committee's analysis of those alternatives proved they were unlikely to achieve added value for MFW's stockholders. The Court of Chancery summarized the performance of the Special Committee as follows:</w:t>
      </w:r>
    </w:p>
    <w:p>
      <w:pPr>
        <w:pStyle w:val="BlockText"/>
      </w:pPr>
      <w:r>
        <w:t xml:space="preserve">[t]he special committee did consider, with the help of its financial advisor, whether there were other buyers who might be interested in purchasing MFW, and whether there were other strategic options, such as asset divestitures, that might generate more value for minority stockholders than a sale of their stock to MacAndrews &amp; Forbes.</w:t>
      </w:r>
    </w:p>
    <w:p>
      <w:pPr>
        <w:pStyle w:val="FirstParagraph"/>
      </w:pPr>
      <w:r>
        <w:t xml:space="preserve">On August 18, 2011, the Special Committee rejected the $24 a share Proposal, and countered at $30 per share. The Special Committee characterized the $30 counteroffer as a negotiating position. The Special Committee recognized that $30 per share was a very aggressive counteroffer and, not surprisingly, was prepared to accept less.</w:t>
      </w:r>
    </w:p>
    <w:p>
      <w:pPr>
        <w:pStyle w:val="BodyText"/>
      </w:pPr>
      <w:r>
        <w:t xml:space="preserve">On September 9, 2011, MacAndrews &amp; Forbes rejected the $30 per share counteroffer. Its representative, Barry Schwartz, told the Special Committee Chair, Paul Meister, that the $24 per share Proposal was now far less favorable to MacAndrews &amp; Forbes — but more attractive to the minority — than when it was first made, because of continued declines in MFW's businesses. Nonetheless, MacAndrews &amp; Forbes would stand behind its $24 offer. Meister responded that he would not recommend the $24 per share Proposal to the Special Committee. Later, after having discussions with Perelman, Schwartz conveyed MacAndrews's "best and final" offer of $25 a share.</w:t>
      </w:r>
    </w:p>
    <w:p>
      <w:pPr>
        <w:pStyle w:val="BodyText"/>
      </w:pPr>
      <w:r>
        <w:t xml:space="preserve">At a Special Committee meeting the next day, Evercore opined that the $25 per share</w:t>
      </w:r>
      <w:r>
        <w:t xml:space="preserve"> </w:t>
      </w:r>
      <w:r>
        <w:rPr>
          <w:iCs/>
          <w:i/>
        </w:rPr>
        <w:t xml:space="preserve">price was fair</w:t>
      </w:r>
      <w:r>
        <w:t xml:space="preserve"> </w:t>
      </w:r>
      <w:r>
        <w:t xml:space="preserve">based on generally accepted valuation methodologies, including DCF and comparable companies analyses. At its eighth and final meeting on [653] September 10, 2011, the Special Committee, although empowered to say "no," instead unanimously approved and agreed to recommend the Merger at a price of $25 per share.</w:t>
      </w:r>
    </w:p>
    <w:p>
      <w:pPr>
        <w:pStyle w:val="BodyText"/>
      </w:pPr>
      <w:r>
        <w:t xml:space="preserve">Influencing the Special Committee's assessment and acceptance of M &amp; F's $25 a share price were developments in both MFW's business and the broader United States economy during the summer of 2011. For example, during the negotiation process, the Special Committee learned of the underperformance of MFW's Global Scholar business unit. The Committee also considered macroeconomic events, including the downgrade of the United States' bond credit rating, and the ongoing turmoil in the financial markets, all of which created financing uncertainties.</w:t>
      </w:r>
    </w:p>
    <w:p>
      <w:pPr>
        <w:pStyle w:val="BodyText"/>
      </w:pPr>
      <w:r>
        <w:t xml:space="preserve">In scrutinizing the Special Committee's execution of its broad mandate, the Court of Chancery determined there was no "evidence indicating that the independent members of the special committee did not meet their duty of care...." To the contrary, the Court of Chancery found, the Special Committee "met frequently and was presented with a rich body of financial information relevant to whether and at what</w:t>
      </w:r>
      <w:r>
        <w:t xml:space="preserve"> </w:t>
      </w:r>
      <w:r>
        <w:rPr>
          <w:iCs/>
          <w:i/>
        </w:rPr>
        <w:t xml:space="preserve">price</w:t>
      </w:r>
      <w:r>
        <w:t xml:space="preserve"> </w:t>
      </w:r>
      <w:r>
        <w:t xml:space="preserve">a going private transaction was advisable." The Court of Chancery ruled that "the plaintiffs d[id] not make any attempt to show that the MFW Special Committee failed to meet its duty of care...." Based on the undisputed record, the Court of Chancery held that, "there is no triable issue of fact regarding whether the [S]pecial [C]ommittee fulfilled its duty of care." In the context of a controlling stockholder merger, a pretrial determination that the</w:t>
      </w:r>
      <w:r>
        <w:t xml:space="preserve"> </w:t>
      </w:r>
      <w:r>
        <w:rPr>
          <w:iCs/>
          <w:i/>
        </w:rPr>
        <w:t xml:space="preserve">price</w:t>
      </w:r>
      <w:r>
        <w:t xml:space="preserve"> </w:t>
      </w:r>
      <w:r>
        <w:t xml:space="preserve">was negotiated by an empowered independent committee that acted with care would shift the burden of persuasion to the plaintiffs under the entire fairness standard of review.</w:t>
      </w:r>
      <w:hyperlink w:anchor="X4ec20b52e4d74b7b7a026f4ec04506629a813c1">
        <w:r>
          <w:rPr>
            <w:rStyle w:val="Hyperlink"/>
            <w:vertAlign w:val="superscript"/>
          </w:rPr>
          <w:t xml:space="preserve">[37]</w:t>
        </w:r>
      </w:hyperlink>
    </w:p>
    <w:bookmarkEnd w:id="352"/>
    <w:bookmarkStart w:id="353" w:name="majority-of-minority-stockholder-vote"/>
    <w:p>
      <w:pPr>
        <w:pStyle w:val="Heading2"/>
      </w:pPr>
      <w:r>
        <w:rPr>
          <w:iCs/>
          <w:i/>
        </w:rPr>
        <w:t xml:space="preserve">Majority of Minority Stockholder Vote</w:t>
      </w:r>
    </w:p>
    <w:p>
      <w:pPr>
        <w:pStyle w:val="FirstParagraph"/>
      </w:pPr>
      <w:r>
        <w:t xml:space="preserve">We now consider the second procedural protection invoked by M &amp; F — the majority-of-the-minority stockholder vote.</w:t>
      </w:r>
      <w:hyperlink w:anchor="X52e3a77b7f230c64e7a2525869c035833eaa4b3">
        <w:r>
          <w:rPr>
            <w:rStyle w:val="Hyperlink"/>
            <w:vertAlign w:val="superscript"/>
          </w:rPr>
          <w:t xml:space="preserve">[38]</w:t>
        </w:r>
      </w:hyperlink>
      <w:r>
        <w:t xml:space="preserve"> </w:t>
      </w:r>
      <w:r>
        <w:t xml:space="preserve">Consistent with the second condition imposed by M &amp; F at the outset, the Merger was then put before MFW's stockholders for a vote. On November 18, 2011, the stockholders were provided with a proxy statement, which contained the history of the Special Committee's work and recommended that they vote in favor of the transaction at a price of $25 per share.</w:t>
      </w:r>
    </w:p>
    <w:p>
      <w:pPr>
        <w:pStyle w:val="BodyText"/>
      </w:pPr>
      <w:r>
        <w:t xml:space="preserve">The proxy statement disclosed, among other things, that the Special Committee had countered M &amp; F's initial $24 per share offer at $30 per share, but only was able to achieve a final offer of $25 per share. The proxy statement disclosed that the MFW business divisions had discussed with Evercore whether the initial projections Evercore received reflected management's latest thinking. It also disclosed that the updated projections were lower. The proxy statement also included the five separate price ranges for the value of MFW's stock that Evercore had generated with its different valuation analyses.</w:t>
      </w:r>
    </w:p>
    <w:p>
      <w:pPr>
        <w:pStyle w:val="BodyText"/>
      </w:pPr>
      <w:r>
        <w:t xml:space="preserve">Knowing the proxy statement's disclosures of the background of the Special Committee's work, of Evercore's valuation ranges, and of the analyses supporting [654] Evercore's</w:t>
      </w:r>
      <w:r>
        <w:t xml:space="preserve"> </w:t>
      </w:r>
      <w:r>
        <w:rPr>
          <w:iCs/>
          <w:i/>
        </w:rPr>
        <w:t xml:space="preserve">fairness opinion,</w:t>
      </w:r>
      <w:r>
        <w:t xml:space="preserve"> </w:t>
      </w:r>
      <w:r>
        <w:t xml:space="preserve">MFW's stockholders — representing more than 65% of the minority shares — approved the Merger. In the controlling stockholder merger context, it is settled Delaware law that an uncoerced, informed majority-of-the-minority vote, without any other procedural protection, is itself sufficient to shift the burden of persuasion to the plaintiff under the entire fairness standard of review.</w:t>
      </w:r>
      <w:hyperlink w:anchor="Xc4cbbbcb84bd3e2ff57e0f962eda4626fab446d">
        <w:r>
          <w:rPr>
            <w:rStyle w:val="Hyperlink"/>
            <w:vertAlign w:val="superscript"/>
          </w:rPr>
          <w:t xml:space="preserve">[39]</w:t>
        </w:r>
      </w:hyperlink>
      <w:r>
        <w:t xml:space="preserve"> </w:t>
      </w:r>
      <w:r>
        <w:t xml:space="preserve">The Court of Chancery found that "the plaintiffs themselves do not dispute that the majority-of-the-minority vote was fully informed and uncoerced, because they fail to allege any failure of disclosure or any act of coercion."</w:t>
      </w:r>
    </w:p>
    <w:bookmarkEnd w:id="353"/>
    <w:bookmarkStart w:id="354" w:name="both-procedural-protections-established"/>
    <w:p>
      <w:pPr>
        <w:pStyle w:val="Heading2"/>
      </w:pPr>
      <w:r>
        <w:rPr>
          <w:iCs/>
          <w:i/>
        </w:rPr>
        <w:t xml:space="preserve">Both Procedural Protections Established</w:t>
      </w:r>
    </w:p>
    <w:p>
      <w:pPr>
        <w:pStyle w:val="FirstParagraph"/>
      </w:pPr>
      <w:r>
        <w:t xml:space="preserve">Based on a highly extensive record,</w:t>
      </w:r>
      <w:hyperlink w:anchor="Xfe558da6298a3cebc917caa421f6344f8fbb10a">
        <w:r>
          <w:rPr>
            <w:rStyle w:val="Hyperlink"/>
            <w:vertAlign w:val="superscript"/>
          </w:rPr>
          <w:t xml:space="preserve">[40]</w:t>
        </w:r>
      </w:hyperlink>
      <w:r>
        <w:t xml:space="preserve"> </w:t>
      </w:r>
      <w:r>
        <w:t xml:space="preserve">the Court of Chancery concluded that the procedural protections upon which the Merger was conditioned — approval by an independent and empowered Special Committee and by a uncoerced informed majority of MFW's minority stockholders — had</w:t>
      </w:r>
      <w:r>
        <w:t xml:space="preserve"> </w:t>
      </w:r>
      <w:r>
        <w:rPr>
          <w:iCs/>
          <w:i/>
        </w:rPr>
        <w:t xml:space="preserve">both</w:t>
      </w:r>
      <w:r>
        <w:t xml:space="preserve"> </w:t>
      </w:r>
      <w:r>
        <w:t xml:space="preserve">been undisputedly established</w:t>
      </w:r>
      <w:r>
        <w:t xml:space="preserve"> </w:t>
      </w:r>
      <w:r>
        <w:rPr>
          <w:iCs/>
          <w:i/>
        </w:rPr>
        <w:t xml:space="preserve">prior to trial.</w:t>
      </w:r>
      <w:r>
        <w:t xml:space="preserve"> </w:t>
      </w:r>
      <w:r>
        <w:t xml:space="preserve">We agree and conclude the Defendants' motion for summary judgment was properly granted on all of those issues.</w:t>
      </w:r>
    </w:p>
    <w:bookmarkEnd w:id="354"/>
    <w:bookmarkStart w:id="355" w:name="X871e6af1c471a0cae7ff8ec58d52bba4d4fa943"/>
    <w:p>
      <w:pPr>
        <w:pStyle w:val="Heading2"/>
      </w:pPr>
      <w:r>
        <w:rPr>
          <w:iCs/>
          <w:i/>
        </w:rPr>
        <w:t xml:space="preserve">Business Judgment Review Properly Applied</w:t>
      </w:r>
    </w:p>
    <w:p>
      <w:pPr>
        <w:pStyle w:val="FirstParagraph"/>
      </w:pPr>
      <w:r>
        <w:t xml:space="preserve">We have determined that the business judgment rule standard of review applies to this controlling stockholder buyout. Under that standard, the claims against the Defendants must be dismissed unless no rational person could have believed that the merger was favorable to MFW's minority stockholders.</w:t>
      </w:r>
      <w:hyperlink w:anchor="Xdefef8074a47067a7db6f16eea3250dade55b47">
        <w:r>
          <w:rPr>
            <w:rStyle w:val="Hyperlink"/>
            <w:vertAlign w:val="superscript"/>
          </w:rPr>
          <w:t xml:space="preserve">[41]</w:t>
        </w:r>
      </w:hyperlink>
      <w:r>
        <w:t xml:space="preserve"> </w:t>
      </w:r>
      <w:r>
        <w:t xml:space="preserve">In this case, it cannot be credibly argued (let alone concluded) that no rational person would find the Merger favorable to MFW's minority stockholders.</w:t>
      </w:r>
    </w:p>
    <w:bookmarkEnd w:id="355"/>
    <w:bookmarkStart w:id="356" w:name="conclusion-4"/>
    <w:p>
      <w:pPr>
        <w:pStyle w:val="Heading2"/>
      </w:pPr>
      <w:r>
        <w:rPr>
          <w:iCs/>
          <w:i/>
        </w:rPr>
        <w:t xml:space="preserve">Conclusion</w:t>
      </w:r>
    </w:p>
    <w:p>
      <w:pPr>
        <w:pStyle w:val="FirstParagraph"/>
      </w:pPr>
      <w:r>
        <w:t xml:space="preserve">For the above-stated reasons, the judgment of the Court of Chancery is affirmed.</w:t>
      </w:r>
    </w:p>
    <w:p>
      <w:pPr>
        <w:pStyle w:val="BodyText"/>
      </w:pPr>
      <w:hyperlink w:anchor="X827f23199a6cf90e58a676e20123ab8a3932aff">
        <w:r>
          <w:rPr>
            <w:rStyle w:val="Hyperlink"/>
          </w:rPr>
          <w:t xml:space="preserve">[1]</w:t>
        </w:r>
      </w:hyperlink>
      <w:r>
        <w:t xml:space="preserve"> </w:t>
      </w:r>
      <w:r>
        <w:t xml:space="preserve">Sitting by designation pursuant to Del. Const. art. IV, § 12 and Supr. Ct. R. 2 and 4.</w:t>
      </w:r>
    </w:p>
    <w:p>
      <w:pPr>
        <w:pStyle w:val="BodyText"/>
      </w:pPr>
      <w:hyperlink w:anchor="Xe1975ce30e8af4a8da96f5b529679a94205c833">
        <w:r>
          <w:rPr>
            <w:rStyle w:val="Hyperlink"/>
          </w:rPr>
          <w:t xml:space="preserve">[2]</w:t>
        </w:r>
      </w:hyperlink>
      <w:r>
        <w:t xml:space="preserve"> </w:t>
      </w:r>
      <w:r>
        <w:t xml:space="preserve">Emphasis by the Court of Chancery.</w:t>
      </w:r>
    </w:p>
    <w:p>
      <w:pPr>
        <w:pStyle w:val="BodyText"/>
      </w:pPr>
      <w:hyperlink w:anchor="X3d73bbef41a86d7535ea3e0e0d4fd4c207a03c5">
        <w:r>
          <w:rPr>
            <w:rStyle w:val="Hyperlink"/>
          </w:rPr>
          <w:t xml:space="preserve">[3]</w:t>
        </w:r>
      </w:hyperlink>
      <w:r>
        <w:t xml:space="preserve"> </w:t>
      </w:r>
      <w:r>
        <w:t xml:space="preserve">Emphasis added.</w:t>
      </w:r>
    </w:p>
    <w:p>
      <w:pPr>
        <w:pStyle w:val="BodyText"/>
      </w:pPr>
      <w:hyperlink w:anchor="Xd727e440d5cef2c7f777ceb95d938ae88a6ffcd">
        <w:r>
          <w:rPr>
            <w:rStyle w:val="Hyperlink"/>
          </w:rPr>
          <w:t xml:space="preserve">[4]</w:t>
        </w:r>
      </w:hyperlink>
      <w:r>
        <w:t xml:space="preserve"> </w:t>
      </w:r>
      <w:r>
        <w:t xml:space="preserve">Emphasis added.</w:t>
      </w:r>
    </w:p>
    <w:p>
      <w:pPr>
        <w:pStyle w:val="BodyText"/>
      </w:pPr>
      <w:hyperlink w:anchor="X8f25eb1211e9b41e111d8b321223f645e95d6dc">
        <w:r>
          <w:rPr>
            <w:rStyle w:val="Hyperlink"/>
          </w:rPr>
          <w:t xml:space="preserve">[5]</w:t>
        </w:r>
      </w:hyperlink>
      <w:r>
        <w:t xml:space="preserve"> </w:t>
      </w:r>
      <w:r>
        <w:rPr>
          <w:iCs/>
          <w:i/>
        </w:rPr>
        <w:t xml:space="preserve">Kahn v. Tremont Corp.,</w:t>
      </w:r>
      <w:r>
        <w:t xml:space="preserve"> </w:t>
      </w:r>
      <w:r>
        <w:t xml:space="preserve">694 A.2d 422, 428 (Del. 1997);</w:t>
      </w:r>
      <w:r>
        <w:t xml:space="preserve"> </w:t>
      </w:r>
      <w:r>
        <w:rPr>
          <w:iCs/>
          <w:i/>
        </w:rPr>
        <w:t xml:space="preserve">Weinberger v. UOP, Inc.,</w:t>
      </w:r>
      <w:r>
        <w:t xml:space="preserve"> </w:t>
      </w:r>
      <w:r>
        <w:t xml:space="preserve">457 A.2d 701, 710 (Del.1983);</w:t>
      </w:r>
      <w:r>
        <w:t xml:space="preserve"> </w:t>
      </w:r>
      <w:r>
        <w:rPr>
          <w:iCs/>
          <w:i/>
        </w:rPr>
        <w:t xml:space="preserve">see also</w:t>
      </w:r>
      <w:r>
        <w:t xml:space="preserve"> </w:t>
      </w:r>
      <w:r>
        <w:rPr>
          <w:iCs/>
          <w:i/>
        </w:rPr>
        <w:t xml:space="preserve">Rosenblatt v. Getty Oil Co.,</w:t>
      </w:r>
      <w:r>
        <w:t xml:space="preserve"> </w:t>
      </w:r>
      <w:r>
        <w:t xml:space="preserve">493 A.2d 929, 937 (Del. 1985).</w:t>
      </w:r>
    </w:p>
    <w:p>
      <w:pPr>
        <w:pStyle w:val="BodyText"/>
      </w:pPr>
      <w:hyperlink w:anchor="X94cd23016405ae57b94a60fb891d14ddbd49d5d">
        <w:r>
          <w:rPr>
            <w:rStyle w:val="Hyperlink"/>
          </w:rPr>
          <w:t xml:space="preserve">[6]</w:t>
        </w:r>
      </w:hyperlink>
      <w:r>
        <w:t xml:space="preserve"> </w:t>
      </w:r>
      <w:r>
        <w:rPr>
          <w:iCs/>
          <w:i/>
        </w:rPr>
        <w:t xml:space="preserve">Kahn v. Lynch Comc'n Sys., Inc.,</w:t>
      </w:r>
      <w:r>
        <w:t xml:space="preserve"> </w:t>
      </w:r>
      <w:r>
        <w:t xml:space="preserve">638 A.2d 1110 (Del. 1994).</w:t>
      </w:r>
    </w:p>
    <w:p>
      <w:pPr>
        <w:pStyle w:val="BodyText"/>
      </w:pPr>
      <w:hyperlink w:anchor="X41ee3a2aea350225268af7d7eafa76ab86f9c6a">
        <w:r>
          <w:rPr>
            <w:rStyle w:val="Hyperlink"/>
          </w:rPr>
          <w:t xml:space="preserve">[7]</w:t>
        </w:r>
      </w:hyperlink>
      <w:r>
        <w:t xml:space="preserve"> </w:t>
      </w:r>
      <w:r>
        <w:rPr>
          <w:iCs/>
          <w:i/>
        </w:rPr>
        <w:t xml:space="preserve">See id.</w:t>
      </w:r>
      <w:r>
        <w:t xml:space="preserve"> </w:t>
      </w:r>
      <w:r>
        <w:t xml:space="preserve">at 1117 (citation omitted).</w:t>
      </w:r>
    </w:p>
    <w:p>
      <w:pPr>
        <w:pStyle w:val="BodyText"/>
      </w:pPr>
      <w:hyperlink w:anchor="Xdcaee5c9bdfb79b92952b5823b2054f385a61cf">
        <w:r>
          <w:rPr>
            <w:rStyle w:val="Hyperlink"/>
          </w:rPr>
          <w:t xml:space="preserve">[8]</w:t>
        </w:r>
      </w:hyperlink>
      <w:r>
        <w:t xml:space="preserve"> </w:t>
      </w:r>
      <w:r>
        <w:rPr>
          <w:iCs/>
          <w:i/>
        </w:rPr>
        <w:t xml:space="preserve">Kahn v. Lynch Commc'n Sys. (Lynch I),</w:t>
      </w:r>
      <w:r>
        <w:t xml:space="preserve"> </w:t>
      </w:r>
      <w:r>
        <w:t xml:space="preserve">638 A.2d 1110, 1117 (Del.1994).</w:t>
      </w:r>
    </w:p>
    <w:p>
      <w:pPr>
        <w:pStyle w:val="BodyText"/>
      </w:pPr>
      <w:hyperlink w:anchor="X565e1c32d16dd960d36276588ee3484f210b8e5">
        <w:r>
          <w:rPr>
            <w:rStyle w:val="Hyperlink"/>
          </w:rPr>
          <w:t xml:space="preserve">[9]</w:t>
        </w:r>
      </w:hyperlink>
      <w:r>
        <w:t xml:space="preserve"> </w:t>
      </w:r>
      <w:r>
        <w:rPr>
          <w:iCs/>
          <w:i/>
        </w:rPr>
        <w:t xml:space="preserve">Id.;</w:t>
      </w:r>
      <w:r>
        <w:t xml:space="preserve"> </w:t>
      </w:r>
      <w:r>
        <w:rPr>
          <w:iCs/>
          <w:i/>
        </w:rPr>
        <w:t xml:space="preserve">Ams. Mining Corp. v. Theriault,</w:t>
      </w:r>
      <w:r>
        <w:t xml:space="preserve"> </w:t>
      </w:r>
      <w:r>
        <w:t xml:space="preserve">51 A.3d 1213, 1234 (Del.2012);</w:t>
      </w:r>
      <w:r>
        <w:t xml:space="preserve"> </w:t>
      </w:r>
      <w:r>
        <w:rPr>
          <w:iCs/>
          <w:i/>
        </w:rPr>
        <w:t xml:space="preserve">Kahn v. Tremont Corp.,</w:t>
      </w:r>
      <w:r>
        <w:t xml:space="preserve"> </w:t>
      </w:r>
      <w:r>
        <w:t xml:space="preserve">694 A.2d 422, 428 (Del. 1997).</w:t>
      </w:r>
    </w:p>
    <w:p>
      <w:pPr>
        <w:pStyle w:val="BodyText"/>
      </w:pPr>
      <w:hyperlink w:anchor="Xf6b4a1e1dd9879cadfce7fd056bab2aa1718081">
        <w:r>
          <w:rPr>
            <w:rStyle w:val="Hyperlink"/>
          </w:rPr>
          <w:t xml:space="preserve">[10]</w:t>
        </w:r>
      </w:hyperlink>
      <w:r>
        <w:t xml:space="preserve"> </w:t>
      </w:r>
      <w:r>
        <w:rPr>
          <w:iCs/>
          <w:i/>
        </w:rPr>
        <w:t xml:space="preserve">In re MFW Shareholders Litigation,</w:t>
      </w:r>
      <w:r>
        <w:t xml:space="preserve"> </w:t>
      </w:r>
      <w:r>
        <w:t xml:space="preserve">67 A.3d 496, 528 (Del.Ch.2013) (citing</w:t>
      </w:r>
      <w:r>
        <w:t xml:space="preserve"> </w:t>
      </w:r>
      <w:r>
        <w:rPr>
          <w:iCs/>
          <w:i/>
        </w:rPr>
        <w:t xml:space="preserve">In re Cox Commc'ns, Inc. S'holders Litig.,</w:t>
      </w:r>
      <w:r>
        <w:t xml:space="preserve"> </w:t>
      </w:r>
      <w:r>
        <w:t xml:space="preserve">879 A.2d 604, 618 (Del.Ch.2005)).</w:t>
      </w:r>
    </w:p>
    <w:p>
      <w:pPr>
        <w:pStyle w:val="BodyText"/>
      </w:pPr>
      <w:hyperlink w:anchor="Xd10acee66007efae7052db1fa7c4c178877a49e">
        <w:r>
          <w:rPr>
            <w:rStyle w:val="Hyperlink"/>
          </w:rPr>
          <w:t xml:space="preserve">[11]</w:t>
        </w:r>
      </w:hyperlink>
      <w:r>
        <w:t xml:space="preserve"> </w:t>
      </w:r>
      <w:r>
        <w:t xml:space="preserve">Emphasis added.</w:t>
      </w:r>
    </w:p>
    <w:p>
      <w:pPr>
        <w:pStyle w:val="BodyText"/>
      </w:pPr>
      <w:hyperlink w:anchor="X4df03a469c9db03a17916c50408f887c9b9e1a8">
        <w:r>
          <w:rPr>
            <w:rStyle w:val="Hyperlink"/>
          </w:rPr>
          <w:t xml:space="preserve">[12]</w:t>
        </w:r>
      </w:hyperlink>
      <w:r>
        <w:t xml:space="preserve"> </w:t>
      </w:r>
      <w:r>
        <w:rPr>
          <w:iCs/>
          <w:i/>
        </w:rPr>
        <w:t xml:space="preserve">Weinberger v. UOP, Inc.,</w:t>
      </w:r>
      <w:r>
        <w:t xml:space="preserve"> </w:t>
      </w:r>
      <w:r>
        <w:t xml:space="preserve">457 A.2d 701, 711 (Del. 1983).</w:t>
      </w:r>
    </w:p>
    <w:p>
      <w:pPr>
        <w:pStyle w:val="BodyText"/>
      </w:pPr>
      <w:hyperlink w:anchor="X94aa6bb8457933a3d67794c799b1db587817f9d">
        <w:r>
          <w:rPr>
            <w:rStyle w:val="Hyperlink"/>
          </w:rPr>
          <w:t xml:space="preserve">[13]</w:t>
        </w:r>
      </w:hyperlink>
      <w:r>
        <w:t xml:space="preserve"> </w:t>
      </w:r>
      <w:r>
        <w:t xml:space="preserve">In</w:t>
      </w:r>
      <w:r>
        <w:t xml:space="preserve"> </w:t>
      </w:r>
      <w:r>
        <w:rPr>
          <w:iCs/>
          <w:i/>
        </w:rPr>
        <w:t xml:space="preserve">Americas Mining,</w:t>
      </w:r>
      <w:r>
        <w:t xml:space="preserve"> </w:t>
      </w:r>
      <w:r>
        <w:t xml:space="preserve">for example, it was not possible to make a pretrial determination that the independent committee had negotiated a fair price. After an entire fairness trial, the Court of Chancery held that the price was not fair.</w:t>
      </w:r>
      <w:r>
        <w:t xml:space="preserve"> </w:t>
      </w:r>
      <w:r>
        <w:rPr>
          <w:iCs/>
          <w:i/>
        </w:rPr>
        <w:t xml:space="preserve">See</w:t>
      </w:r>
      <w:r>
        <w:t xml:space="preserve"> </w:t>
      </w:r>
      <w:r>
        <w:rPr>
          <w:iCs/>
          <w:i/>
        </w:rPr>
        <w:t xml:space="preserve">Ams. Mining. Corp. v. Theriault,</w:t>
      </w:r>
      <w:r>
        <w:t xml:space="preserve"> </w:t>
      </w:r>
      <w:r>
        <w:t xml:space="preserve">51 A.3d 1213, 1241-44 (Del.2012).</w:t>
      </w:r>
    </w:p>
    <w:p>
      <w:pPr>
        <w:pStyle w:val="BodyText"/>
      </w:pPr>
      <w:hyperlink w:anchor="X01915d851cfd088389c0c1c5fa454a040680de8">
        <w:r>
          <w:rPr>
            <w:rStyle w:val="Hyperlink"/>
          </w:rPr>
          <w:t xml:space="preserve">[14]</w:t>
        </w:r>
      </w:hyperlink>
      <w:r>
        <w:t xml:space="preserve"> </w:t>
      </w:r>
      <w:r>
        <w:t xml:space="preserve">The Verified Consolidated Class Action Complaint would have survived a motion to dismiss under this new standard. First, the complaint alleged that Perelman's offer "value[d] the company at just four times" MFW's profits per share and "five times 2010 pre-tax cash flow," and that these ratios were "well below" those calculated for recent similar transactions. Second, the complaint alleged that the final Merger price was two dollars per share</w:t>
      </w:r>
      <w:r>
        <w:t xml:space="preserve"> </w:t>
      </w:r>
      <w:r>
        <w:rPr>
          <w:iCs/>
          <w:i/>
        </w:rPr>
        <w:t xml:space="preserve">lower</w:t>
      </w:r>
      <w:r>
        <w:t xml:space="preserve"> </w:t>
      </w:r>
      <w:r>
        <w:t xml:space="preserve">than the trading price only about two months earlier. Third, the complaint alleged particularized facts indicating that MWF's share price was depressed at the times of Perelman's offer and the Merger announcement due to short-term factors such as MFW's acquisition of other entities and Standard &amp; Poor's downgrading of the United States' creditworthiness. Fourth, the complaint alleged that commentators viewed both Perelman's initial $24 per share offer and the final $25 per share Merger price as being surprisingly low. These allegations about the sufficiency of the price call into question the adequacy of the Special Committee's negotiations, thereby necessitating discovery on all of the new prerequisites to the application of the business judgment rule.</w:t>
      </w:r>
    </w:p>
    <w:p>
      <w:pPr>
        <w:pStyle w:val="BodyText"/>
      </w:pPr>
      <w:hyperlink w:anchor="Xfb8bd97b511dc8e51ef1997a6a307a80a361c7c">
        <w:r>
          <w:rPr>
            <w:rStyle w:val="Hyperlink"/>
          </w:rPr>
          <w:t xml:space="preserve">[15]</w:t>
        </w:r>
      </w:hyperlink>
      <w:r>
        <w:t xml:space="preserve"> </w:t>
      </w:r>
      <w:r>
        <w:rPr>
          <w:iCs/>
          <w:i/>
        </w:rPr>
        <w:t xml:space="preserve">Cent. Mortg. Co. v. Morgan Stanley Mortg. Capital Holdings LLC,</w:t>
      </w:r>
      <w:r>
        <w:t xml:space="preserve"> </w:t>
      </w:r>
      <w:r>
        <w:t xml:space="preserve">27 A.3d 531, 536-37 (Del.2011).</w:t>
      </w:r>
      <w:r>
        <w:t xml:space="preserve"> </w:t>
      </w:r>
      <w:r>
        <w:rPr>
          <w:iCs/>
          <w:i/>
        </w:rPr>
        <w:t xml:space="preserve">See also</w:t>
      </w:r>
      <w:r>
        <w:t xml:space="preserve"> </w:t>
      </w:r>
      <w:r>
        <w:rPr>
          <w:iCs/>
          <w:i/>
        </w:rPr>
        <w:t xml:space="preserve">Winshall v. Viacom Int'l, Inc.,</w:t>
      </w:r>
      <w:r>
        <w:t xml:space="preserve"> </w:t>
      </w:r>
      <w:r>
        <w:t xml:space="preserve">76 A.3d 808 (Del.2013);</w:t>
      </w:r>
      <w:r>
        <w:t xml:space="preserve"> </w:t>
      </w:r>
      <w:r>
        <w:rPr>
          <w:iCs/>
          <w:i/>
        </w:rPr>
        <w:t xml:space="preserve">White v. Panic,</w:t>
      </w:r>
      <w:r>
        <w:t xml:space="preserve"> </w:t>
      </w:r>
      <w:r>
        <w:t xml:space="preserve">783 A.2d 543, 549 n. 15 (Del.2001) (We have emphasized on several occasions that stockholder "[p]laintiffs may well have the `tools at hand' to develop the necessary facts for pleading purposes," including the inspection of the corporation's books and records under Del. Code Ann. tit. 8, § 220. There is also a variety of public sources from which the details of corporate act actions may be discovered, including governmental agencies such as the U.S. Securities and Exchange Commission.).</w:t>
      </w:r>
    </w:p>
    <w:p>
      <w:pPr>
        <w:pStyle w:val="BodyText"/>
      </w:pPr>
      <w:hyperlink w:anchor="X210058a3c9d30ce1fd08638e7aba73c3dba976d">
        <w:r>
          <w:rPr>
            <w:rStyle w:val="Hyperlink"/>
          </w:rPr>
          <w:t xml:space="preserve">[16]</w:t>
        </w:r>
      </w:hyperlink>
      <w:r>
        <w:t xml:space="preserve"> </w:t>
      </w:r>
      <w:r>
        <w:rPr>
          <w:iCs/>
          <w:i/>
        </w:rPr>
        <w:t xml:space="preserve">Ams. Mining Corp. v. Theriault,</w:t>
      </w:r>
      <w:r>
        <w:t xml:space="preserve"> </w:t>
      </w:r>
      <w:r>
        <w:t xml:space="preserve">51 A.3d 1213, 1240-41 (Del.2012).</w:t>
      </w:r>
    </w:p>
    <w:p>
      <w:pPr>
        <w:pStyle w:val="BodyText"/>
      </w:pPr>
      <w:hyperlink w:anchor="Xd8bd0cce7d4ba9619ffc7ee4d80596260f39e7a">
        <w:r>
          <w:rPr>
            <w:rStyle w:val="Hyperlink"/>
          </w:rPr>
          <w:t xml:space="preserve">[17]</w:t>
        </w:r>
      </w:hyperlink>
      <w:r>
        <w:t xml:space="preserve"> </w:t>
      </w:r>
      <w:r>
        <w:rPr>
          <w:iCs/>
          <w:i/>
        </w:rPr>
        <w:t xml:space="preserve">Id.</w:t>
      </w:r>
      <w:r>
        <w:t xml:space="preserve"> </w:t>
      </w:r>
      <w:r>
        <w:t xml:space="preserve">at 1241.</w:t>
      </w:r>
    </w:p>
    <w:p>
      <w:pPr>
        <w:pStyle w:val="BodyText"/>
      </w:pPr>
      <w:hyperlink w:anchor="Xe7b0eefc39406031256e123758542d53a33064a">
        <w:r>
          <w:rPr>
            <w:rStyle w:val="Hyperlink"/>
          </w:rPr>
          <w:t xml:space="preserve">[18]</w:t>
        </w:r>
      </w:hyperlink>
      <w:r>
        <w:t xml:space="preserve"> </w:t>
      </w:r>
      <w:r>
        <w:rPr>
          <w:iCs/>
          <w:i/>
        </w:rPr>
        <w:t xml:space="preserve">Kahn v. Tremont Corp.,</w:t>
      </w:r>
      <w:r>
        <w:t xml:space="preserve"> </w:t>
      </w:r>
      <w:r>
        <w:t xml:space="preserve">694 A.2d 422, 429 (Del. 1997) (citation omitted).</w:t>
      </w:r>
      <w:r>
        <w:t xml:space="preserve"> </w:t>
      </w:r>
      <w:r>
        <w:rPr>
          <w:iCs/>
          <w:i/>
        </w:rPr>
        <w:t xml:space="preserve">See</w:t>
      </w:r>
      <w:r>
        <w:t xml:space="preserve"> </w:t>
      </w:r>
      <w:r>
        <w:rPr>
          <w:iCs/>
          <w:i/>
        </w:rPr>
        <w:t xml:space="preserve">Emerald Partners v. Berlin,</w:t>
      </w:r>
      <w:r>
        <w:t xml:space="preserve"> </w:t>
      </w:r>
      <w:r>
        <w:t xml:space="preserve">726 A.2d 1215, 1222-23 (Del. 1999) (describing that the special committee must exert "real bargaining power" in order for defendants to obtain a burden shift);</w:t>
      </w:r>
      <w:r>
        <w:t xml:space="preserve"> </w:t>
      </w:r>
      <w:r>
        <w:rPr>
          <w:iCs/>
          <w:i/>
        </w:rPr>
        <w:t xml:space="preserve">see also</w:t>
      </w:r>
      <w:r>
        <w:t xml:space="preserve"> </w:t>
      </w:r>
      <w:r>
        <w:rPr>
          <w:iCs/>
          <w:i/>
        </w:rPr>
        <w:t xml:space="preserve">Beam v. Stewart,</w:t>
      </w:r>
      <w:r>
        <w:t xml:space="preserve"> </w:t>
      </w:r>
      <w:r>
        <w:t xml:space="preserve">845 A.2d 1040, 1055 n. 45 (Del.2004) (citing</w:t>
      </w:r>
      <w:r>
        <w:t xml:space="preserve"> </w:t>
      </w:r>
      <w:r>
        <w:rPr>
          <w:iCs/>
          <w:i/>
        </w:rPr>
        <w:t xml:space="preserve">Kahn v. Tremont Corp.,</w:t>
      </w:r>
      <w:r>
        <w:t xml:space="preserve"> </w:t>
      </w:r>
      <w:r>
        <w:t xml:space="preserve">694 A.2d 422, 429-30 (Del. 1997)) (noting that the test articulated in</w:t>
      </w:r>
      <w:r>
        <w:t xml:space="preserve"> </w:t>
      </w:r>
      <w:r>
        <w:rPr>
          <w:iCs/>
          <w:i/>
        </w:rPr>
        <w:t xml:space="preserve">Tremont</w:t>
      </w:r>
      <w:r>
        <w:t xml:space="preserve"> </w:t>
      </w:r>
      <w:r>
        <w:t xml:space="preserve">requires a determination as to whether the committee members "</w:t>
      </w:r>
      <w:r>
        <w:rPr>
          <w:iCs/>
          <w:i/>
        </w:rPr>
        <w:t xml:space="preserve">in fact</w:t>
      </w:r>
      <w:r>
        <w:t xml:space="preserve">" functioned independently).</w:t>
      </w:r>
    </w:p>
    <w:p>
      <w:pPr>
        <w:pStyle w:val="BodyText"/>
      </w:pPr>
      <w:hyperlink w:anchor="X13140529606e1e16672711d01288c2c67e7ca2f">
        <w:r>
          <w:rPr>
            <w:rStyle w:val="Hyperlink"/>
          </w:rPr>
          <w:t xml:space="preserve">[19]</w:t>
        </w:r>
      </w:hyperlink>
      <w:r>
        <w:t xml:space="preserve"> </w:t>
      </w:r>
      <w:r>
        <w:rPr>
          <w:iCs/>
          <w:i/>
        </w:rPr>
        <w:t xml:space="preserve">Kahn v. Tremont Corp.,</w:t>
      </w:r>
      <w:r>
        <w:t xml:space="preserve"> </w:t>
      </w:r>
      <w:r>
        <w:t xml:space="preserve">694 A.2d at 429 (citation omitted).</w:t>
      </w:r>
    </w:p>
    <w:p>
      <w:pPr>
        <w:pStyle w:val="BodyText"/>
      </w:pPr>
      <w:hyperlink w:anchor="X3b2e5b36fba1df6733348bb2a62e7e4c7b9636e">
        <w:r>
          <w:rPr>
            <w:rStyle w:val="Hyperlink"/>
          </w:rPr>
          <w:t xml:space="preserve">[20]</w:t>
        </w:r>
      </w:hyperlink>
      <w:r>
        <w:t xml:space="preserve"> </w:t>
      </w:r>
      <w:r>
        <w:rPr>
          <w:iCs/>
          <w:i/>
        </w:rPr>
        <w:t xml:space="preserve">Ams. Mining Corp. v. Theriault,</w:t>
      </w:r>
      <w:r>
        <w:t xml:space="preserve"> </w:t>
      </w:r>
      <w:r>
        <w:t xml:space="preserve">51 A.3d 1213 (Del.2012).</w:t>
      </w:r>
    </w:p>
    <w:p>
      <w:pPr>
        <w:pStyle w:val="BodyText"/>
      </w:pPr>
      <w:hyperlink w:anchor="X6f4c92d1c1f12243aa8c29f793fa4c594d9dfbf">
        <w:r>
          <w:rPr>
            <w:rStyle w:val="Hyperlink"/>
          </w:rPr>
          <w:t xml:space="preserve">[21]</w:t>
        </w:r>
      </w:hyperlink>
      <w:r>
        <w:t xml:space="preserve"> </w:t>
      </w:r>
      <w:r>
        <w:rPr>
          <w:iCs/>
          <w:i/>
        </w:rPr>
        <w:t xml:space="preserve">Beam ex rel. Martha Stewart Living Omnimedia, Inc. v. Stewart,</w:t>
      </w:r>
      <w:r>
        <w:t xml:space="preserve"> </w:t>
      </w:r>
      <w:r>
        <w:t xml:space="preserve">845 A.2d 1040, 1051 (Del.2004) ("Allegations that [the controller] and the other directors ... developed business relationships before joining the board... are insufficient, without more, to rebut the presumption of independence.").</w:t>
      </w:r>
    </w:p>
    <w:p>
      <w:pPr>
        <w:pStyle w:val="BodyText"/>
      </w:pPr>
      <w:hyperlink w:anchor="Xcb88a613a0e9bbdfcca7250c5d056690c8113ad">
        <w:r>
          <w:rPr>
            <w:rStyle w:val="Hyperlink"/>
          </w:rPr>
          <w:t xml:space="preserve">[22]</w:t>
        </w:r>
      </w:hyperlink>
      <w:r>
        <w:t xml:space="preserve"> </w:t>
      </w:r>
      <w:r>
        <w:rPr>
          <w:iCs/>
          <w:i/>
        </w:rPr>
        <w:t xml:space="preserve">See</w:t>
      </w:r>
      <w:r>
        <w:t xml:space="preserve"> </w:t>
      </w:r>
      <w:r>
        <w:rPr>
          <w:iCs/>
          <w:i/>
        </w:rPr>
        <w:t xml:space="preserve">In re Gaylord Container Corp. S'holder Litig.,</w:t>
      </w:r>
      <w:r>
        <w:t xml:space="preserve"> </w:t>
      </w:r>
      <w:r>
        <w:t xml:space="preserve">753 A.2d 462, 465 n. 3 (Del.Ch.2000) (no issue of fact concerning director's independence where director's law firm "has, over the years, done some work" for the company because plaintiffs did not provide evidence showing that the director "had a material financial interest" in the representation).</w:t>
      </w:r>
    </w:p>
    <w:p>
      <w:pPr>
        <w:pStyle w:val="BodyText"/>
      </w:pPr>
      <w:hyperlink w:anchor="X85e8dd03045c90187a6316b2df3f97f5d7b5205">
        <w:r>
          <w:rPr>
            <w:rStyle w:val="Hyperlink"/>
          </w:rPr>
          <w:t xml:space="preserve">[23]</w:t>
        </w:r>
      </w:hyperlink>
      <w:r>
        <w:t xml:space="preserve"> </w:t>
      </w:r>
      <w:r>
        <w:rPr>
          <w:iCs/>
          <w:i/>
        </w:rPr>
        <w:t xml:space="preserve">See</w:t>
      </w:r>
      <w:r>
        <w:t xml:space="preserve"> </w:t>
      </w:r>
      <w:r>
        <w:t xml:space="preserve">Ct. Ch. R. 56(e) ("An adverse party may not rest upon the mere allegations or denials in the adverse party's pleading, but the adverse party's response, by affidavits or otherwise provided in this rule, must set forth specific facts showing that there is a genuine issue for trial.").</w:t>
      </w:r>
    </w:p>
    <w:p>
      <w:pPr>
        <w:pStyle w:val="BodyText"/>
      </w:pPr>
      <w:hyperlink w:anchor="X11678fb5f37e0f0c854f60c4fb6bb537a2581af">
        <w:r>
          <w:rPr>
            <w:rStyle w:val="Hyperlink"/>
          </w:rPr>
          <w:t xml:space="preserve">[24]</w:t>
        </w:r>
      </w:hyperlink>
      <w:r>
        <w:t xml:space="preserve"> </w:t>
      </w:r>
      <w:r>
        <w:t xml:space="preserve">The Court of Chancery observed that Stephens Cori's fee from the Scientific Games engagement was "only one tenth of the $1 million that Stephens Cori would have had to have received for Byroum not to be considered independent under NYSE rules."</w:t>
      </w:r>
    </w:p>
    <w:p>
      <w:pPr>
        <w:pStyle w:val="BodyText"/>
      </w:pPr>
      <w:hyperlink w:anchor="Xc8a3c967d048becf1fb38f16d0349d1fd25a5b6">
        <w:r>
          <w:rPr>
            <w:rStyle w:val="Hyperlink"/>
          </w:rPr>
          <w:t xml:space="preserve">[25]</w:t>
        </w:r>
      </w:hyperlink>
      <w:r>
        <w:t xml:space="preserve"> </w:t>
      </w:r>
      <w:r>
        <w:t xml:space="preserve">Although the Appellants note that Stephens Cori did some follow-up work for Scientific Games in 2011, it is undisputed that work was also fully disclosed to the Special Committee, and that Stephens Cori did not receive any additional compensation as a result.</w:t>
      </w:r>
    </w:p>
    <w:p>
      <w:pPr>
        <w:pStyle w:val="BodyText"/>
      </w:pPr>
      <w:hyperlink w:anchor="X5212246f8a4d8ff47f633320571680bfe549bc9">
        <w:r>
          <w:rPr>
            <w:rStyle w:val="Hyperlink"/>
          </w:rPr>
          <w:t xml:space="preserve">[26]</w:t>
        </w:r>
      </w:hyperlink>
      <w:r>
        <w:t xml:space="preserve"> </w:t>
      </w:r>
      <w:r>
        <w:t xml:space="preserve">The record does not support the Appellants' contention that that the Court of Chancery "relied heavily" on New York Stock Exchange ("NYSE") rules in assessing the independence of the Special Committee, and that the application of such rules "goes against longstanding Delaware precedent." The Court of Chancery explicitly acknowledged that directors' compliance with NYSE independence standards "does not mean that they are necessarily independent under [Delaware] law in particular circumstances." The record reflects that the Court of Chancery discussed NYSE standards on director independence for illustrative purposes.</w:t>
      </w:r>
      <w:r>
        <w:t xml:space="preserve"> </w:t>
      </w:r>
      <w:r>
        <w:rPr>
          <w:iCs/>
          <w:i/>
        </w:rPr>
        <w:t xml:space="preserve">See, e.g.,</w:t>
      </w:r>
      <w:r>
        <w:t xml:space="preserve"> </w:t>
      </w:r>
      <w:r>
        <w:rPr>
          <w:iCs/>
          <w:i/>
        </w:rPr>
        <w:t xml:space="preserve">In re J.P. Morgan Chase &amp; Co. S'holder Litig.,</w:t>
      </w:r>
      <w:r>
        <w:t xml:space="preserve"> </w:t>
      </w:r>
      <w:r>
        <w:t xml:space="preserve">906 A.2d 808, 823-24 (Del.Ch.2005). However, the Court of Chancery's factual and legal determinations regarding the Special Committee's independence were premised on settled Delaware law.</w:t>
      </w:r>
      <w:r>
        <w:t xml:space="preserve"> </w:t>
      </w:r>
      <w:r>
        <w:rPr>
          <w:iCs/>
          <w:i/>
        </w:rPr>
        <w:t xml:space="preserve">Id.</w:t>
      </w:r>
      <w:r>
        <w:t xml:space="preserve"> </w:t>
      </w:r>
      <w:r>
        <w:t xml:space="preserve">at 824.</w:t>
      </w:r>
    </w:p>
    <w:p>
      <w:pPr>
        <w:pStyle w:val="BodyText"/>
      </w:pPr>
      <w:hyperlink w:anchor="Xff326727a1e5908d70e8b25fd6862b0fe1be550">
        <w:r>
          <w:rPr>
            <w:rStyle w:val="Hyperlink"/>
          </w:rPr>
          <w:t xml:space="preserve">[27]</w:t>
        </w:r>
      </w:hyperlink>
      <w:r>
        <w:t xml:space="preserve"> </w:t>
      </w:r>
      <w:r>
        <w:rPr>
          <w:iCs/>
          <w:i/>
        </w:rPr>
        <w:t xml:space="preserve">Rales v. Blasband,</w:t>
      </w:r>
      <w:r>
        <w:t xml:space="preserve"> </w:t>
      </w:r>
      <w:r>
        <w:t xml:space="preserve">634 A.2d 927, 936 (Del. 1993) (citing</w:t>
      </w:r>
      <w:r>
        <w:t xml:space="preserve"> </w:t>
      </w:r>
      <w:r>
        <w:rPr>
          <w:iCs/>
          <w:i/>
        </w:rPr>
        <w:t xml:space="preserve">Aronson v. Lewis,</w:t>
      </w:r>
      <w:r>
        <w:t xml:space="preserve"> </w:t>
      </w:r>
      <w:r>
        <w:t xml:space="preserve">473 A.2d 805, 815 (Del.1984)).</w:t>
      </w:r>
    </w:p>
    <w:p>
      <w:pPr>
        <w:pStyle w:val="BodyText"/>
      </w:pPr>
      <w:hyperlink w:anchor="X90788deace8fdbe9bfa155b98f394adbda6c0b4">
        <w:r>
          <w:rPr>
            <w:rStyle w:val="Hyperlink"/>
          </w:rPr>
          <w:t xml:space="preserve">[28]</w:t>
        </w:r>
      </w:hyperlink>
      <w:r>
        <w:t xml:space="preserve"> </w:t>
      </w:r>
      <w:r>
        <w:rPr>
          <w:iCs/>
          <w:i/>
        </w:rPr>
        <w:t xml:space="preserve">Beam ex rel. Martha Stewart Living Omnimedia v. Stewart,</w:t>
      </w:r>
      <w:r>
        <w:t xml:space="preserve"> </w:t>
      </w:r>
      <w:r>
        <w:t xml:space="preserve">845 A.2d 1040, 1051-52 (Del.2004).</w:t>
      </w:r>
    </w:p>
    <w:p>
      <w:pPr>
        <w:pStyle w:val="BodyText"/>
      </w:pPr>
      <w:hyperlink w:anchor="X2d61bda0c92854f5b6a6d0fdac6676fcea4d035">
        <w:r>
          <w:rPr>
            <w:rStyle w:val="Hyperlink"/>
          </w:rPr>
          <w:t xml:space="preserve">[29]</w:t>
        </w:r>
      </w:hyperlink>
      <w:r>
        <w:t xml:space="preserve"> </w:t>
      </w:r>
      <w:r>
        <w:rPr>
          <w:iCs/>
          <w:i/>
        </w:rPr>
        <w:t xml:space="preserve">Cinerama, Inc. v. Technicolor, Inc.,</w:t>
      </w:r>
      <w:r>
        <w:t xml:space="preserve"> </w:t>
      </w:r>
      <w:r>
        <w:t xml:space="preserve">663 A.2d 1156, 1167 (Del.1995) ("[A] shareholder plaintiff [must] show the materiality of a director's self-interest to the ... director's independence....") (citation omitted);</w:t>
      </w:r>
      <w:r>
        <w:t xml:space="preserve"> </w:t>
      </w:r>
      <w:r>
        <w:rPr>
          <w:iCs/>
          <w:i/>
        </w:rPr>
        <w:t xml:space="preserve">see</w:t>
      </w:r>
      <w:r>
        <w:t xml:space="preserve"> </w:t>
      </w:r>
      <w:r>
        <w:rPr>
          <w:iCs/>
          <w:i/>
        </w:rPr>
        <w:t xml:space="preserve">Brehm v. Eisner,</w:t>
      </w:r>
      <w:r>
        <w:t xml:space="preserve"> </w:t>
      </w:r>
      <w:r>
        <w:t xml:space="preserve">746 A.2d 244, 259 n. 49 (Del.2000) ("The term `material' is used in this context to mean relevant and of a magnitude to be important to directors in carrying out their fiduciary duty of care in decisionmaking.").</w:t>
      </w:r>
    </w:p>
    <w:p>
      <w:pPr>
        <w:pStyle w:val="BodyText"/>
      </w:pPr>
      <w:hyperlink w:anchor="X2a2e50ceed140f90a81c3db5fcf75f2a920eae8">
        <w:r>
          <w:rPr>
            <w:rStyle w:val="Hyperlink"/>
          </w:rPr>
          <w:t xml:space="preserve">[30]</w:t>
        </w:r>
      </w:hyperlink>
      <w:r>
        <w:t xml:space="preserve"> </w:t>
      </w:r>
      <w:r>
        <w:rPr>
          <w:iCs/>
          <w:i/>
        </w:rPr>
        <w:t xml:space="preserve">See</w:t>
      </w:r>
      <w:r>
        <w:t xml:space="preserve"> </w:t>
      </w:r>
      <w:r>
        <w:rPr>
          <w:iCs/>
          <w:i/>
        </w:rPr>
        <w:t xml:space="preserve">Cinerama, Inc. v. Technicolor, Inc.,</w:t>
      </w:r>
      <w:r>
        <w:t xml:space="preserve"> </w:t>
      </w:r>
      <w:r>
        <w:t xml:space="preserve">663 A.2d 1156 (Del.1995) (adopting a subjective standard for determining an individual director's financial self-interest).</w:t>
      </w:r>
      <w:r>
        <w:t xml:space="preserve"> </w:t>
      </w:r>
      <w:r>
        <w:rPr>
          <w:iCs/>
          <w:i/>
        </w:rPr>
        <w:t xml:space="preserve">See also,</w:t>
      </w:r>
      <w:r>
        <w:t xml:space="preserve"> </w:t>
      </w:r>
      <w:r>
        <w:rPr>
          <w:iCs/>
          <w:i/>
        </w:rPr>
        <w:t xml:space="preserve">Cede &amp; Co. v. Technicolor, Inc.,</w:t>
      </w:r>
      <w:r>
        <w:t xml:space="preserve"> </w:t>
      </w:r>
      <w:r>
        <w:t xml:space="preserve">634 A.2d 345, 363 (Del.1993) (affirming Court of Chancery's requirement that "a shareholder show ... the materiality of a director's self-interest to the given director's independence" as a "restatement of established Delaware law");</w:t>
      </w:r>
      <w:r>
        <w:t xml:space="preserve"> </w:t>
      </w:r>
      <w:r>
        <w:rPr>
          <w:iCs/>
          <w:i/>
        </w:rPr>
        <w:t xml:space="preserve">see also, e.g.,</w:t>
      </w:r>
      <w:r>
        <w:t xml:space="preserve"> </w:t>
      </w:r>
      <w:r>
        <w:rPr>
          <w:iCs/>
          <w:i/>
        </w:rPr>
        <w:t xml:space="preserve">Grimes v. Donald,</w:t>
      </w:r>
      <w:r>
        <w:t xml:space="preserve"> </w:t>
      </w:r>
      <w:r>
        <w:t xml:space="preserve">673 A.2d 1207, 1216 (Del. 1996) (stating, in the context of demand futility, that a stockholder must show that "a majority of the board has a</w:t>
      </w:r>
      <w:r>
        <w:t xml:space="preserve"> </w:t>
      </w:r>
      <w:r>
        <w:rPr>
          <w:iCs/>
          <w:i/>
        </w:rPr>
        <w:t xml:space="preserve">material</w:t>
      </w:r>
      <w:r>
        <w:t xml:space="preserve"> </w:t>
      </w:r>
      <w:r>
        <w:t xml:space="preserve">financial or familial interest" (emphasis added and citation omitted)).</w:t>
      </w:r>
    </w:p>
    <w:p>
      <w:pPr>
        <w:pStyle w:val="BodyText"/>
      </w:pPr>
      <w:hyperlink w:anchor="Xd55ef9c6f7210d34bf1f4c4fa9137a2df797b6f">
        <w:r>
          <w:rPr>
            <w:rStyle w:val="Hyperlink"/>
          </w:rPr>
          <w:t xml:space="preserve">[31]</w:t>
        </w:r>
      </w:hyperlink>
      <w:r>
        <w:t xml:space="preserve"> </w:t>
      </w:r>
      <w:r>
        <w:rPr>
          <w:iCs/>
          <w:i/>
        </w:rPr>
        <w:t xml:space="preserve">See, e.g.,</w:t>
      </w:r>
      <w:r>
        <w:t xml:space="preserve"> </w:t>
      </w:r>
      <w:r>
        <w:rPr>
          <w:iCs/>
          <w:i/>
        </w:rPr>
        <w:t xml:space="preserve">In re Transkaryotic Therapies, Inc.,</w:t>
      </w:r>
      <w:r>
        <w:t xml:space="preserve"> </w:t>
      </w:r>
      <w:r>
        <w:t xml:space="preserve">954 A.2d 346, 369-70 (Del.Ch.2008) (no issue of material fact concerning directors' alleged conflict of loyalty);</w:t>
      </w:r>
      <w:r>
        <w:t xml:space="preserve"> </w:t>
      </w:r>
      <w:r>
        <w:rPr>
          <w:iCs/>
          <w:i/>
        </w:rPr>
        <w:t xml:space="preserve">In re Gaylord Container Corp. S'holder Litig.,</w:t>
      </w:r>
      <w:r>
        <w:t xml:space="preserve"> </w:t>
      </w:r>
      <w:r>
        <w:t xml:space="preserve">753 A.2d 462, 465 (Del. Ch.2000) (concluding that directors were independent on a motion for summary judgment).</w:t>
      </w:r>
    </w:p>
    <w:p>
      <w:pPr>
        <w:pStyle w:val="BodyText"/>
      </w:pPr>
      <w:hyperlink w:anchor="Xbef7175ffa84b58f168454dfac0818e0e2fb6f7">
        <w:r>
          <w:rPr>
            <w:rStyle w:val="Hyperlink"/>
          </w:rPr>
          <w:t xml:space="preserve">[32]</w:t>
        </w:r>
      </w:hyperlink>
      <w:r>
        <w:t xml:space="preserve"> </w:t>
      </w:r>
      <w:r>
        <w:rPr>
          <w:iCs/>
          <w:i/>
        </w:rPr>
        <w:t xml:space="preserve">In re Gaylord Container Corp. S'holder Litig.,</w:t>
      </w:r>
      <w:r>
        <w:t xml:space="preserve"> </w:t>
      </w:r>
      <w:r>
        <w:t xml:space="preserve">753 A.2d at 465 n. 3.</w:t>
      </w:r>
    </w:p>
    <w:p>
      <w:pPr>
        <w:pStyle w:val="BodyText"/>
      </w:pPr>
      <w:hyperlink w:anchor="X5049d031527514f7101cda1e2416b185eddb378">
        <w:r>
          <w:rPr>
            <w:rStyle w:val="Hyperlink"/>
          </w:rPr>
          <w:t xml:space="preserve">[33]</w:t>
        </w:r>
      </w:hyperlink>
      <w:r>
        <w:t xml:space="preserve"> </w:t>
      </w:r>
      <w:r>
        <w:rPr>
          <w:iCs/>
          <w:i/>
        </w:rPr>
        <w:t xml:space="preserve">See also</w:t>
      </w:r>
      <w:r>
        <w:t xml:space="preserve"> </w:t>
      </w:r>
      <w:r>
        <w:rPr>
          <w:iCs/>
          <w:i/>
        </w:rPr>
        <w:t xml:space="preserve">Burkhart v. Davies,</w:t>
      </w:r>
      <w:r>
        <w:t xml:space="preserve"> </w:t>
      </w:r>
      <w:r>
        <w:t xml:space="preserve">602 A.2d 56, 59 (Del. 1991) (citing</w:t>
      </w:r>
      <w:r>
        <w:t xml:space="preserve"> </w:t>
      </w:r>
      <w:r>
        <w:rPr>
          <w:iCs/>
          <w:i/>
        </w:rPr>
        <w:t xml:space="preserve">Celotex Corp. v. Catrett,</w:t>
      </w:r>
      <w:r>
        <w:t xml:space="preserve"> </w:t>
      </w:r>
      <w:r>
        <w:t xml:space="preserve">477 U.S. 317, 322-23, 106 S.Ct. 2548, 91 L.Ed.2d 265 (1986)).</w:t>
      </w:r>
    </w:p>
    <w:p>
      <w:pPr>
        <w:pStyle w:val="BodyText"/>
      </w:pPr>
      <w:hyperlink w:anchor="X70a7adf1486a05876b29f718406117be056b424">
        <w:r>
          <w:rPr>
            <w:rStyle w:val="Hyperlink"/>
          </w:rPr>
          <w:t xml:space="preserve">[34]</w:t>
        </w:r>
      </w:hyperlink>
      <w:r>
        <w:t xml:space="preserve"> </w:t>
      </w:r>
      <w:r>
        <w:rPr>
          <w:iCs/>
          <w:i/>
        </w:rPr>
        <w:t xml:space="preserve">See</w:t>
      </w:r>
      <w:r>
        <w:t xml:space="preserve"> </w:t>
      </w:r>
      <w:r>
        <w:rPr>
          <w:iCs/>
          <w:i/>
        </w:rPr>
        <w:t xml:space="preserve">In re W. Nat'l Corp. S'holders Litig.,</w:t>
      </w:r>
      <w:r>
        <w:t xml:space="preserve"> </w:t>
      </w:r>
      <w:r>
        <w:t xml:space="preserve">2000 WL 710192, at *6 (Del.Ch. May 22, 2000) (to survive summary judgment, nonmoving party "must affirmatively state facts — not guesses, innuendo, or unreasonable inferences....").</w:t>
      </w:r>
    </w:p>
    <w:p>
      <w:pPr>
        <w:pStyle w:val="BodyText"/>
      </w:pPr>
      <w:hyperlink w:anchor="X99fc8a71867c0729a13e200e395fe9faa0284c4">
        <w:r>
          <w:rPr>
            <w:rStyle w:val="Hyperlink"/>
          </w:rPr>
          <w:t xml:space="preserve">[35]</w:t>
        </w:r>
      </w:hyperlink>
      <w:r>
        <w:t xml:space="preserve"> </w:t>
      </w:r>
      <w:r>
        <w:rPr>
          <w:iCs/>
          <w:i/>
        </w:rPr>
        <w:t xml:space="preserve">See, e.g.,</w:t>
      </w:r>
      <w:r>
        <w:t xml:space="preserve"> </w:t>
      </w:r>
      <w:r>
        <w:rPr>
          <w:iCs/>
          <w:i/>
        </w:rPr>
        <w:t xml:space="preserve">Ams. Mining Corp. v. Theriault,</w:t>
      </w:r>
      <w:r>
        <w:t xml:space="preserve"> </w:t>
      </w:r>
      <w:r>
        <w:t xml:space="preserve">51 A.3d 1213, 1244-46 (Del.2012) (noting that a special committee that could only "evaluate" an offer had a "narrow mandate");</w:t>
      </w:r>
      <w:r>
        <w:t xml:space="preserve"> </w:t>
      </w:r>
      <w:r>
        <w:rPr>
          <w:iCs/>
          <w:i/>
        </w:rPr>
        <w:t xml:space="preserve">Brinckerhoff v. Tex. E. Prods. Pipeline Co., LLC,</w:t>
      </w:r>
      <w:r>
        <w:t xml:space="preserve"> </w:t>
      </w:r>
      <w:r>
        <w:t xml:space="preserve">986 A.2d 370, 381 (Del.Ch.2010) (observing that a special committee should have the mandate to "review, evaluate, negotiate, and to recommend, or reject, a proposed merger").</w:t>
      </w:r>
    </w:p>
    <w:p>
      <w:pPr>
        <w:pStyle w:val="BodyText"/>
      </w:pPr>
      <w:hyperlink w:anchor="Xaeb0899dc2c66a2c6d458636ea92fbb5c2dd997">
        <w:r>
          <w:rPr>
            <w:rStyle w:val="Hyperlink"/>
          </w:rPr>
          <w:t xml:space="preserve">[36]</w:t>
        </w:r>
      </w:hyperlink>
      <w:r>
        <w:t xml:space="preserve"> </w:t>
      </w:r>
      <w:r>
        <w:t xml:space="preserve">Emphasis added.</w:t>
      </w:r>
    </w:p>
    <w:p>
      <w:pPr>
        <w:pStyle w:val="BodyText"/>
      </w:pPr>
      <w:hyperlink w:anchor="X2ddf34fd61aca5de68f27c3c9e7d4d165c8467c">
        <w:r>
          <w:rPr>
            <w:rStyle w:val="Hyperlink"/>
          </w:rPr>
          <w:t xml:space="preserve">[37]</w:t>
        </w:r>
      </w:hyperlink>
      <w:r>
        <w:t xml:space="preserve"> </w:t>
      </w:r>
      <w:r>
        <w:rPr>
          <w:iCs/>
          <w:i/>
        </w:rPr>
        <w:t xml:space="preserve">Kahn v. Lynch Commc'n Sys. (Lynch I),</w:t>
      </w:r>
      <w:r>
        <w:t xml:space="preserve"> </w:t>
      </w:r>
      <w:r>
        <w:t xml:space="preserve">638 A.2d 1110, 1117 (Del.1994).</w:t>
      </w:r>
    </w:p>
    <w:p>
      <w:pPr>
        <w:pStyle w:val="BodyText"/>
      </w:pPr>
      <w:hyperlink w:anchor="X6ffac6ef47e0e6ecc2759a5288f2393a9d63c5a">
        <w:r>
          <w:rPr>
            <w:rStyle w:val="Hyperlink"/>
          </w:rPr>
          <w:t xml:space="preserve">[38]</w:t>
        </w:r>
      </w:hyperlink>
      <w:r>
        <w:t xml:space="preserve"> </w:t>
      </w:r>
      <w:r>
        <w:t xml:space="preserve">The MFW board discussed the Special Committee's recommendation to accept the $25 a share offer. The three directors affiliated with MacAndrews &amp; Forbes, Perelman, Schwartz, and Bevins, and the CEOs of HCHC and Mafco, Dawson and Taub, recused themselves from the discussions. The remaining eight directors voted unanimously to recommend the $25 a share offer to the stockholders.</w:t>
      </w:r>
    </w:p>
    <w:p>
      <w:pPr>
        <w:pStyle w:val="BodyText"/>
      </w:pPr>
      <w:hyperlink w:anchor="Xb0e31750850dffa6eb7c4688349329fbe97b72b">
        <w:r>
          <w:rPr>
            <w:rStyle w:val="Hyperlink"/>
          </w:rPr>
          <w:t xml:space="preserve">[39]</w:t>
        </w:r>
      </w:hyperlink>
      <w:r>
        <w:t xml:space="preserve"> </w:t>
      </w:r>
      <w:r>
        <w:rPr>
          <w:iCs/>
          <w:i/>
        </w:rPr>
        <w:t xml:space="preserve">Rosenblatt v. Getty Oil Co.,</w:t>
      </w:r>
      <w:r>
        <w:t xml:space="preserve"> </w:t>
      </w:r>
      <w:r>
        <w:t xml:space="preserve">493 A.2d 929, 937 (Del.1985).</w:t>
      </w:r>
    </w:p>
    <w:p>
      <w:pPr>
        <w:pStyle w:val="BodyText"/>
      </w:pPr>
      <w:hyperlink w:anchor="X6a25135b4fc1c84873fd19eb97af93b978bed28">
        <w:r>
          <w:rPr>
            <w:rStyle w:val="Hyperlink"/>
          </w:rPr>
          <w:t xml:space="preserve">[40]</w:t>
        </w:r>
      </w:hyperlink>
      <w:r>
        <w:t xml:space="preserve"> </w:t>
      </w:r>
      <w:r>
        <w:t xml:space="preserve">The Appellants received more than 100,000 pages of documents, and deposed all four Special Committee members, their financial advisors, and senior executives of MacAndrews and MFW. After eighteen months of discovery, the Court of Chancery found that the Appellants offered no evidence to create a triable issue of fact with regard to: (1) the Special Committee's independence; (2) the Special Committee's power to retain independent advisors and to say no definitively; (3) the Special Committee's due care in approving the Merger; (4) whether the majority-of-the-minority vote was fully informed; and (5) whether the minority vote was uncoerced.</w:t>
      </w:r>
    </w:p>
    <w:p>
      <w:pPr>
        <w:pStyle w:val="BodyText"/>
      </w:pPr>
      <w:hyperlink w:anchor="Xa9864b44adb90505f213f2eac17f3a16692cf12">
        <w:r>
          <w:rPr>
            <w:rStyle w:val="Hyperlink"/>
          </w:rPr>
          <w:t xml:space="preserve">[41]</w:t>
        </w:r>
      </w:hyperlink>
      <w:r>
        <w:t xml:space="preserve"> </w:t>
      </w:r>
      <w:r>
        <w:rPr>
          <w:iCs/>
          <w:i/>
        </w:rPr>
        <w:t xml:space="preserve">E.g.,</w:t>
      </w:r>
      <w:r>
        <w:t xml:space="preserve"> </w:t>
      </w:r>
      <w:r>
        <w:rPr>
          <w:iCs/>
          <w:i/>
        </w:rPr>
        <w:t xml:space="preserve">In re Walt Disney Co. Deriv. Litig.,</w:t>
      </w:r>
      <w:r>
        <w:t xml:space="preserve"> </w:t>
      </w:r>
      <w:r>
        <w:t xml:space="preserve">906 A.2d 27, 74 (Del.2006) ("[W]here business judgment presumptions are applicable, the board's decision will be upheld unless it cannot be `attributed to any rational business purpose.'" (quoting</w:t>
      </w:r>
      <w:r>
        <w:t xml:space="preserve"> </w:t>
      </w:r>
      <w:r>
        <w:rPr>
          <w:iCs/>
          <w:i/>
        </w:rPr>
        <w:t xml:space="preserve">Sinclair Oil Corp. v. Levien,</w:t>
      </w:r>
      <w:r>
        <w:t xml:space="preserve"> </w:t>
      </w:r>
      <w:r>
        <w:t xml:space="preserve">280 A.2d 717, 720 (Del.1971))).</w:t>
      </w:r>
    </w:p>
    <w:bookmarkEnd w:id="356"/>
    <w:p>
      <w:pPr>
        <w:pStyle w:val="NodeEnd"/>
      </w:pPr>
      <w:r>
        <w:t xml:space="preserve"> </w:t>
      </w:r>
    </w:p>
    <w:p>
      <w:pPr>
        <w:pStyle w:val="NodeStart"/>
      </w:pPr>
      <w:r>
        <w:t xml:space="preserve"> </w:t>
      </w:r>
    </w:p>
    <w:p>
      <w:pPr>
        <w:pStyle w:val="HeadSeparator"/>
      </w:pPr>
      <w:r>
        <w:t xml:space="preserve"> </w:t>
      </w:r>
    </w:p>
    <w:bookmarkStart w:id="147" w:name="_auto_toc_147"/>
    <w:bookmarkEnd w:id="147"/>
    <w:p>
      <w:pPr>
        <w:pStyle w:val="ResourceNumber"/>
      </w:pPr>
      <w:r>
        <w:t xml:space="preserve">11.3.3</w:t>
      </w:r>
    </w:p>
    <w:p>
      <w:pPr>
        <w:pStyle w:val="ResourceTitle"/>
      </w:pPr>
      <w:r>
        <w:t xml:space="preserve">In re Southern Peru Copper Corp. Shareholder Derivative Litigation</w:t>
      </w:r>
    </w:p>
    <w:p>
      <w:pPr>
        <w:pStyle w:val="HeadEnd"/>
      </w:pPr>
      <w:r>
        <w:t xml:space="preserve"> </w:t>
      </w:r>
    </w:p>
    <w:p>
      <w:pPr>
        <w:pStyle w:val="CaseHeader"/>
      </w:pPr>
      <w:r>
        <w:t xml:space="preserve">Delaware Court of Chancery</w:t>
      </w:r>
    </w:p>
    <w:p>
      <w:pPr>
        <w:pStyle w:val="CaseHeader"/>
      </w:pPr>
      <w:r>
        <w:t xml:space="preserve">30 A.3d 60</w:t>
      </w:r>
    </w:p>
    <w:p>
      <w:pPr>
        <w:pStyle w:val="CaseHeader"/>
      </w:pPr>
      <w:r>
        <w:t xml:space="preserve">C.A. No. 961-CS</w:t>
      </w:r>
    </w:p>
    <w:p>
      <w:pPr>
        <w:pStyle w:val="CaseHeader"/>
      </w:pPr>
      <w:r>
        <w:t xml:space="preserve">2011-10-14</w:t>
      </w:r>
    </w:p>
    <w:p>
      <w:pPr>
        <w:pStyle w:val="CaseBody"/>
      </w:pPr>
      <w:r>
        <w:t xml:space="preserve">Submitted: July 15, 2011.</w:t>
      </w:r>
    </w:p>
    <w:p>
      <w:pPr>
        <w:pStyle w:val="CaseBody"/>
      </w:pPr>
      <w:r>
        <w:t xml:space="preserve">Date Revised: Dec. 20, 2011.</w:t>
      </w:r>
    </w:p>
    <w:p>
      <w:pPr>
        <w:pStyle w:val="CaseBody"/>
      </w:pPr>
      <w:r>
        <w:t xml:space="preserve">Ronald A. Brown, Jr., Esquire, Marcus E. Montejo, Esquire, Prickett, Jones</w:t>
      </w:r>
      <w:r>
        <w:t xml:space="preserve"> </w:t>
      </w:r>
      <w:r>
        <w:rPr>
          <w:iCs/>
          <w:i/>
        </w:rPr>
        <w:t xml:space="preserve">&amp;</w:t>
      </w:r>
      <w:r>
        <w:t xml:space="preserve"> </w:t>
      </w:r>
      <w:r>
        <w:t xml:space="preserve">Elliott, P.A., Wilmington, Delaware; Lee D. Rudy, Esquire, Eric L. Zagar, Esquire, James H. Miller, Esquire, Kessler Topaz Meltzer &amp; Check, LLP, Radnor, Pennsylvania, Attorneys for Plaintiff.</w:t>
      </w:r>
    </w:p>
    <w:p>
      <w:pPr>
        <w:pStyle w:val="CaseBody"/>
      </w:pPr>
      <w:r>
        <w:t xml:space="preserve">S. Mark Hurd, Esquire, Kevin M. Coen, Esquire, Morris, Nichols, Arsht &amp; Tunnell LLP, Wilmington, Delaware; Alan J. Stone, Esquire, Douglas W. Henkin, Esquire, Mia C. Korot, Esquire, Milbank, Tweed, Hadley &amp; McCloy LLP, New York, New York, Attorneys for Defendants.</w:t>
      </w:r>
    </w:p>
    <w:p>
      <w:pPr>
        <w:pStyle w:val="CaseBody"/>
      </w:pPr>
      <w:r>
        <w:t xml:space="preserve">OPINION</w:t>
      </w:r>
    </w:p>
    <w:p>
      <w:pPr>
        <w:pStyle w:val="CaseBody"/>
      </w:pPr>
      <w:r>
        <w:t xml:space="preserve">STRINE, Chancellor:</w:t>
      </w:r>
    </w:p>
    <w:p>
      <w:pPr>
        <w:pStyle w:val="CaseBody"/>
      </w:pPr>
      <w:r>
        <w:t xml:space="preserve">I.</w:t>
      </w:r>
      <w:r>
        <w:t xml:space="preserve"> </w:t>
      </w:r>
      <w:r>
        <w:rPr>
          <w:iCs/>
          <w:i/>
        </w:rPr>
        <w:t xml:space="preserve">Introduction</w:t>
      </w:r>
    </w:p>
    <w:p>
      <w:pPr>
        <w:pStyle w:val="CaseBody"/>
      </w:pPr>
      <w:r>
        <w:t xml:space="preserve">This is the post-trial decision in an entire fairness case. The controlling stockholder of an NYSE-listed mining company came to the corporation’s independent directors with a proposition. How about you buy my non-publicly traded Mexican mining company for approximately $8.1 billion of your NYSE-listed stock? A special committee was set up to “evaluate” this proposal and it retained well-respected legal and financial advisors.</w:t>
      </w:r>
    </w:p>
    <w:p>
      <w:pPr>
        <w:pStyle w:val="CaseBody"/>
      </w:pPr>
      <w:r>
        <w:t xml:space="preserve">The financial advisor did a great deal of preliminary due diligence, and generated valuations showing that the Mexican mining company, when valued under a discounted cash flow and other measures, was not worth anything close to $3.1 billion. The $8.1 billion was a real number in the crucial business sense that everyone believed that the NYSE-listed company could in fact get cash equivalent to its stock market price for its shares. That is, the cash value of the “give” was known. And the financial advisor told the special committee that the value of the “get” was more than $1 billion less.</w:t>
      </w:r>
    </w:p>
    <w:p>
      <w:pPr>
        <w:pStyle w:val="CaseBody"/>
      </w:pPr>
      <w:r>
        <w:t xml:space="preserve">Rather than tell the controller to go mine himself, the special committee and its advisors instead did something that is indicative of the mindset that too often afflicts even good faith fiduciaries trying to address a controller. Having been empowered only to evaluate what the controller put on the table and perceiving that other options were off the menu because of the controller’s own objectives, the special committee put itself in a world where there was only one strategic option to consider, the one proposed by the controller, and thus entered a dynamic where at best it had two options, either figure out a way to do the deal the controller wanted or say no. Abandoning a focus on whether the NYSE-listed mining company would get $3.1 billion in value in the exchange, the special committee embarked on a “relative valuation” approach. Apparently perceiving that its own company was overvalued and had a fundamental value less than its stock market trading price, the special committee assured itself that a deal could be fair so long as the “relative value” of the two companies was measured on the same metrics. Thus, its financial advisor generated complicated scenarios pegging the relative value of the companies and obscuring the fundamental fact that the NYSE-listed company had a proven cash value. These scenarios all suggest that the special committee believed that the standalone value of the Mexican company (the “get”) was worth far less than the controller’s consistent demand for $3.1 billion (the “give”). Rather than reacting to these realities by suggesting that the controller make an offer for the NYSE-listed company at a premium to what the special committee apparently viewed as a plush market price, or making the controller do a deal based on the Mexican company’s standalone value, the special committee and its financial advisor instead took strenuous efforts to justify a transaction at the level originally demanded by the controller.</w:t>
      </w:r>
    </w:p>
    <w:p>
      <w:pPr>
        <w:pStyle w:val="CaseBody"/>
      </w:pPr>
      <w:r>
        <w:t xml:space="preserve">Even on that artificial basis, the special committee had trouble justifying a deal and thus other measures were taken. The cash flows of the Mexican company, but not the NYSE-listed company, were “optimized.” The facts that the Mexican company was having trouble paying its bills, that it could not optimize its cash flows with its current capital base, and that, by comparison, the NYSE-listed company was thriving and nearly debt-free, were slighted. The higher multiple of the NYSE-listed company was used as the bottom range of an exercise to value the Mexican company, thus topping up the target’s value by crediting it with the multiple that the acquirer had earned for itself, an act of deal beneficence not characteristic of Jack Welch, and then another dollop of multiple creme fraiche was added to create an even higher top range. When even these measures could not close the divide, the special committee agreed to pay out a special dividend to close the value gap.</w:t>
      </w:r>
    </w:p>
    <w:p>
      <w:pPr>
        <w:pStyle w:val="CaseBody"/>
      </w:pPr>
      <w:r>
        <w:t xml:space="preserve">But what remained in real economic terms was a transaction where, after a bunch of back and forth, the controller got what it originally demanded: $3.1 billion in real value in exchange for something worth much, much less — hundreds of millions of dollars less. Even worse, the special committee, despite perceiving that the NYSE-listed company’s stock price would go up and knowing that the Mexican company was not publicly traded, agreed to a fixed exchange ratio. After falling when the deal was announced and when the preliminary proxy was announced, the NYSE-listed company’s stock price rose on its good performance in a rising market for commodities. Thus, the final value of its stock to be delivered to the controller at the time of the actual vote on the transaction was $3.75 billion, much higher than the controller’s original demand. Despite having the ability to rescind its recommendation and despite the NYSE-listed company having already exceeded the projections the special committee used for the most recent year by 37% and the Mexican company not having done so, the special committee maintained its recommendation and thus the deal was voted through.</w:t>
      </w:r>
    </w:p>
    <w:p>
      <w:pPr>
        <w:pStyle w:val="CaseBody"/>
      </w:pPr>
      <w:r>
        <w:t xml:space="preserve">Although the plaintiff in this case engaged in a pattern of litigation delay that compromised the reliability of the record to some extent and thus I apply a conservative approach to shaping a remedy, I am left with the firm conclusion that this transaction was unfair however one allocates the burden of persuasion under a preponderance of the evidence standard. A focused, aggressive controller extracted a deal that was far better than market, and got real, market-tested value of over $3 billion for something that no member of the special committee, none of its advisors, and no trial expert was willing to say was worth that amount of actual cash. Although directors are free in some situations to act on the belief that the market is wrong, they are not free to believe that they can in fact get $3.1 billion in cash for their own stock but then use that stock to acquire something that they know is worth far less than $3.1 billion in cash or in “fundamental” or “intrinsic” value terms because they believe the market is overvaluing their own stock and that on real “fundamental” or “intrinsic” terms the deal is therefore fair. In plain terms, the special committee turned the “gold” it was holding in trust into “silver” and did an exchange with “silver” on that basis, ignoring that in the real world the gold they held had a much higher market price in cash than silver. That non-adroit act of commercial charity toward the controller resulted in a manifestly unfair transaction.</w:t>
      </w:r>
    </w:p>
    <w:p>
      <w:pPr>
        <w:pStyle w:val="CaseBody"/>
      </w:pPr>
      <w:r>
        <w:t xml:space="preserve">I remedy that unfairness by ordering the controller to return to the NYSE-listed company a number of shares necessary to remedy the harm. I apply a conservative metric because of the plaintiffs delay, which occasioned some evidentiary uncertainties and which subjected the controller to lengthy market risk. The resulting award is still large, but the record could justify a much larger award.</w:t>
      </w:r>
    </w:p>
    <w:p>
      <w:pPr>
        <w:pStyle w:val="CaseBody"/>
      </w:pPr>
      <w:r>
        <w:t xml:space="preserve">II.</w:t>
      </w:r>
      <w:r>
        <w:t xml:space="preserve"> </w:t>
      </w:r>
      <w:r>
        <w:rPr>
          <w:iCs/>
          <w:i/>
        </w:rPr>
        <w:t xml:space="preserve">Factual Background</w:t>
      </w:r>
    </w:p>
    <w:p>
      <w:pPr>
        <w:pStyle w:val="CaseBody"/>
      </w:pPr>
      <w:r>
        <w:t xml:space="preserve">An overview of the facts is perhaps useful.</w:t>
      </w:r>
    </w:p>
    <w:p>
      <w:pPr>
        <w:pStyle w:val="CaseBody"/>
      </w:pPr>
      <w:r>
        <w:t xml:space="preserve">The controlling stockholder in this case is Grupo México, S.A.B. de C.V. The NYSE-listed mining company is Southern Peru Copper Corporation.</w:t>
      </w:r>
      <w:r>
        <w:rPr>
          <w:rStyle w:val="FootnoteReference"/>
        </w:rPr>
        <w:footnoteReference w:customMarkFollows="1" w:id="39"/>
        <w:t xml:space="preserve">1</w:t>
      </w:r>
      <w:r>
        <w:t xml:space="preserve"> </w:t>
      </w:r>
      <w:r>
        <w:t xml:space="preserve">The Mexican mining company is Minera México, S.A. de C.V.</w:t>
      </w:r>
      <w:r>
        <w:rPr>
          <w:rStyle w:val="FootnoteReference"/>
        </w:rPr>
        <w:footnoteReference w:customMarkFollows="1" w:id="68"/>
        <w:t xml:space="preserve">2</w:t>
      </w:r>
    </w:p>
    <w:p>
      <w:pPr>
        <w:pStyle w:val="CaseBody"/>
      </w:pPr>
      <w:r>
        <w:t xml:space="preserve">In February 2004, Grupo Mexico proposed that Southern Peru buy its 99.15% stake in Minera. At the time, Grupo Mexico owned 54.17% of Southern Peru’s outstanding capital stock and could exercise 63.08% of the voting power of Southern Peru, making it Southern Peru’s majority stockholder.</w:t>
      </w:r>
    </w:p>
    <w:p>
      <w:pPr>
        <w:pStyle w:val="CaseBody"/>
      </w:pPr>
      <w:r>
        <w:t xml:space="preserve">Grupo Mexico initially proposed that Southern Peru purchase its equity interest in Minera with 72.3 million shares of newly-issued Southern Peru stock. This “indicative” number assumed that Minera’s equity was worth $3.05 billion, because that is what 72.3 million shares of Southern Pei’u stock were worth then in cash.</w:t>
      </w:r>
      <w:r>
        <w:rPr>
          <w:rStyle w:val="FootnoteReference"/>
        </w:rPr>
        <w:footnoteReference w:customMarkFollows="1" w:id="93"/>
        <w:t xml:space="preserve">3</w:t>
      </w:r>
      <w:r>
        <w:t xml:space="preserve"> </w:t>
      </w:r>
      <w:r>
        <w:t xml:space="preserve">By stark contrast with Southern Peru, Minera was almost wholly owned by Grupo Mexico and therefore had no market-tested value.</w:t>
      </w:r>
    </w:p>
    <w:p>
      <w:pPr>
        <w:pStyle w:val="CaseBody"/>
      </w:pPr>
      <w:r>
        <w:t xml:space="preserve">Because of Grupo Mexico’s self-interest in the merger proposal, Southern Peru formed a “Special Committee” of disinterested directors to “evaluate” the transaction with Grupo Mexico.</w:t>
      </w:r>
      <w:r>
        <w:rPr>
          <w:rStyle w:val="FootnoteReference"/>
        </w:rPr>
        <w:footnoteReference w:customMarkFollows="1" w:id="116"/>
        <w:t xml:space="preserve">4</w:t>
      </w:r>
      <w:r>
        <w:t xml:space="preserve"> </w:t>
      </w:r>
      <w:r>
        <w:t xml:space="preserve">The Special Committee spent eight months in an awkward back and forth with Grupo Mexico over the terms of the deal before approving Southern Peru’s acquisition of 99.15% of Minera’s stock in exchange for 67.2 million newly-issued shares of Southern Peru stock (the “Merger”) on October 21, 2004. That same day, Southern Peru’s board of directors (the “Board”) unanimously approved the Merger and Southern Peru and Grupo Mexico entered into a definitive agreement (the “Merger Agreement”). On October 21, 2004, the market value of 67.2 million shares of Southern Peru stock was $3.1 billion. When the Merger closed on April 1, 2005, the value of 67.2 million shares of Southern Peru had grown to $3.75 billion.</w:t>
      </w:r>
    </w:p>
    <w:p>
      <w:pPr>
        <w:pStyle w:val="CaseBody"/>
      </w:pPr>
      <w:r>
        <w:t xml:space="preserve">This derivative suit was then brought against the Grupo Mexico subsidiary that owned Minera, the Grupo Mexico-affiliated directors of Southern Peru, and the members of the Special Committee, alleging that the Merger was entirely unfair to Southern Peru and its minority stockholders. The parties agree that the appropriate standard of review is entire fairness.</w:t>
      </w:r>
    </w:p>
    <w:p>
      <w:pPr>
        <w:pStyle w:val="CaseBody"/>
      </w:pPr>
      <w:r>
        <w:t xml:space="preserve">The crux of the plaintiffs argument is that Grupo Mexico received something demonstrably worth more than $3 billion (67.2 million shares of Southern Peru stock) in exchange for something that was not worth nearly that much (99.15% of Minera).</w:t>
      </w:r>
      <w:r>
        <w:rPr>
          <w:rStyle w:val="FootnoteReference"/>
        </w:rPr>
        <w:footnoteReference w:customMarkFollows="1" w:id="139"/>
        <w:t xml:space="preserve">5</w:t>
      </w:r>
      <w:r>
        <w:t xml:space="preserve"> </w:t>
      </w:r>
      <w:r>
        <w:t xml:space="preserve">The plaintiff points to the fact that Goldman Sachs, which served as the Special Committee’s financial advisor, never derived a value for Minera that justified paying Grupo Mexico’s asking price, instead relying on a “relative” valuation analysis that involved comparing the discounted cash flow (“DCF”) values of Southern Peru and Minera, and a contribution analysis that improperly applied Southern Peru’s own market EBITDA multiple (and even higher multiples) to Minera’s EBITDA projections, to determine an appropriate exchange ratio to use in the Merger. The plaintiff claims that, because the Special Committee and Goldman abandoned the company’s market price as a measure of the true value of the give, Southern Peru substantially overpaid in the Merger.</w:t>
      </w:r>
    </w:p>
    <w:p>
      <w:pPr>
        <w:pStyle w:val="CaseBody"/>
      </w:pPr>
      <w:r>
        <w:t xml:space="preserve">The defendants remaining in the case are Grupo Mexico and its affiliate directors who were on the Southern Peru Board at the time of the Merger.</w:t>
      </w:r>
      <w:r>
        <w:rPr>
          <w:rStyle w:val="FootnoteReference"/>
        </w:rPr>
        <w:footnoteReference w:customMarkFollows="1" w:id="161"/>
        <w:t xml:space="preserve">6</w:t>
      </w:r>
      <w:r>
        <w:t xml:space="preserve"> </w:t>
      </w:r>
      <w:r>
        <w:t xml:space="preserve">These defendants assert that Southern Peru and Min-era are similar companies and were properly valued on a relative basis. In other words, the defendants argue that the appropriate way to determine the price to be paid by Southern Peru in the Merger was to compare both companies’ values using the same set of assumptions and methodologies, rather than comparing Southern Peru’s market capitalization to Minera’s DCF value. The defendants do not dispute that shares of Southern Peru stock could have been sold for their market price at the time of the Merger, but they contend that Southern Peru’s market price did not reflect the fundamental value of Southern Peru and thus could not appropriately be compared to the DCF value of Minera.</w:t>
      </w:r>
    </w:p>
    <w:p>
      <w:pPr>
        <w:pStyle w:val="CaseBody"/>
      </w:pPr>
      <w:r>
        <w:t xml:space="preserve">With this brief overview of the basic events and the parties’ core arguments in mind, I turn now to a more detailed recitation of the facts as I find them after trial.</w:t>
      </w:r>
      <w:r>
        <w:rPr>
          <w:rStyle w:val="FootnoteReference"/>
        </w:rPr>
        <w:footnoteReference w:customMarkFollows="1" w:id="181"/>
        <w:t xml:space="preserve">7</w:t>
      </w:r>
    </w:p>
    <w:p>
      <w:pPr>
        <w:pStyle w:val="CaseBody"/>
      </w:pPr>
      <w:r>
        <w:t xml:space="preserve">A.</w:t>
      </w:r>
      <w:r>
        <w:t xml:space="preserve"> </w:t>
      </w:r>
      <w:r>
        <w:rPr>
          <w:iCs/>
          <w:i/>
        </w:rPr>
        <w:t xml:space="preserve">The Key Players</w:t>
      </w:r>
    </w:p>
    <w:p>
      <w:pPr>
        <w:pStyle w:val="CaseBody"/>
      </w:pPr>
      <w:r>
        <w:t xml:space="preserve">Southern Peru operates mining, smelting, and refining facilities in Peru, producing copper and molybdenum as well as silver and small amounts of other metals. Before the Merger, Southern Peru had two classes of stock: common shares that were traded on the New York Stock Exchange; and “Founders Shares” that were owned by Grupo Mexico, Cerro Trading Company, Inc., and Phelps Dodge Corporation (the “Founding Stockholders”). Each Founders Share had five votes per share versus one vote per share for ordinary common stock. Grupo Mexico owned 43.3 million Founders Shares, which translated to 54.17% of Southern Peru’s outstanding stock and 63.08% of the voting power. Southern Peru’s certificate of incorporation and a stockholders’ agreement also gave Grupo Mexico the right to nominate a majority of the Southern Peru Board. The Grupo Mexico-affiliated directors who are defendants in this case held seven of the thirteen Board seats at the time of the Merger. Cerro owned 11.4 million Founders Shares (14.2% of the outstanding common stock) and Phelps Dodge owned 11.2 million Founders Shares (13.95% of the outstanding common stock). Among them, therefore, Grupo Mexico, Cerro, and Phelps Dodge owned over 82% of Southern Peru.</w:t>
      </w:r>
    </w:p>
    <w:p>
      <w:pPr>
        <w:pStyle w:val="CaseBody"/>
      </w:pPr>
      <w:r>
        <w:t xml:space="preserve">Grupo Mexico is a Mexican holding company listed on the Mexican stock exchange. Grupo Mexico is controlled by the Larrea family, and at the time of the Merger defendant Germán Larrea was the Chairman and CEO of Grupo Mexico, as well as the Chairman and CEO of Southern Peru. Before the Merger, Grupo Mexico owned 99.15% of Minera’s stock and thus essentially was Minera’s sole owner. Minera is a company engaged in the mining and processing of copper, molybdenum, zinc, silver, gold, and lead through its Mexico-based mines. At the time of the Merger, Minera was emerging from — if not still mired in — a period of financial difficulties,</w:t>
      </w:r>
      <w:r>
        <w:rPr>
          <w:rStyle w:val="FootnoteReference"/>
        </w:rPr>
        <w:footnoteReference w:customMarkFollows="1" w:id="200"/>
        <w:t xml:space="preserve">8</w:t>
      </w:r>
      <w:r>
        <w:t xml:space="preserve"> </w:t>
      </w:r>
      <w:r>
        <w:t xml:space="preserve">and its ability to exploit its assets had been compromised by these financial constraints.</w:t>
      </w:r>
      <w:r>
        <w:rPr>
          <w:rStyle w:val="FootnoteReference"/>
        </w:rPr>
        <w:footnoteReference w:customMarkFollows="1" w:id="219"/>
        <w:t xml:space="preserve">9</w:t>
      </w:r>
      <w:r>
        <w:t xml:space="preserve"> </w:t>
      </w:r>
      <w:r>
        <w:t xml:space="preserve">By contrast, Southern Peru was in good financial condition and virtually debt-free.</w:t>
      </w:r>
    </w:p>
    <w:p>
      <w:pPr>
        <w:pStyle w:val="CaseBody"/>
      </w:pPr>
      <w:r>
        <w:t xml:space="preserve">B.</w:t>
      </w:r>
      <w:r>
        <w:t xml:space="preserve"> </w:t>
      </w:r>
      <w:r>
        <w:rPr>
          <w:iCs/>
          <w:i/>
        </w:rPr>
        <w:t xml:space="preserve">Grupo Mexico Proposes That Southern Peru Acquire Minera</w:t>
      </w:r>
    </w:p>
    <w:p>
      <w:pPr>
        <w:pStyle w:val="CaseBody"/>
      </w:pPr>
      <w:r>
        <w:t xml:space="preserve">In 2003, Grupo Mexico began considering combining its Peruvian mining interests with its Mexican mining interests. In September 2003, Grupo Mexico engaged UBS Investment Bank to provide advice with respect to a potential strategic transaction involving Southern Peru and Min-era.</w:t>
      </w:r>
    </w:p>
    <w:p>
      <w:pPr>
        <w:pStyle w:val="CaseBody"/>
      </w:pPr>
      <w:r>
        <w:t xml:space="preserve">Grupo Mexico and UBS made a formal presentation to Southern Peru’s Board on February 3, 2004, proposing that Southern Peru acquire Grupo Mexico’s interest in Minera from AMC in exchange for newly-issued shares of Southern Peru stock. In that presentation, Grupo Mexico characterized the transaction as “[Southern Peru] to acquire Minera [ ] from AMC in a stock for stock deal financed through the issuance of common shares; initial proposal to issue 72.3 million shares.”</w:t>
      </w:r>
      <w:r>
        <w:t xml:space="preserve"> </w:t>
      </w:r>
      <w:r>
        <w:t xml:space="preserve">A footnote to that presentation explained that the 72.3 million shares was “an indicative number” of Southern Peru shares to be issued, assuming an equity value of Minera of $3.05 billion and a Southern Peru share price of $42.20 as of January 29, 2004.</w:t>
      </w:r>
      <w:r>
        <w:t xml:space="preserve"> </w:t>
      </w:r>
      <w:r>
        <w:t xml:space="preserve">In other words, the consideration of 72.3 million shares was indicative in the sense that Grupo Mexico wanted $3.05 billion in dollar value of Southern Peru stock for its stake in Minera, and the number of shares that Southern Peru would have to issue in exchange for Minera would be determined based on Southern Peru’s market price. As a result of the proposed merger, Min-era would become a virtually wholly-owned subsidiary of Southern Peru. The proposal also contemplated the conversion of all Founders Shares into a single class of common shares.</w:t>
      </w:r>
    </w:p>
    <w:p>
      <w:pPr>
        <w:pStyle w:val="CaseBody"/>
      </w:pPr>
      <w:r>
        <w:t xml:space="preserve">C.</w:t>
      </w:r>
      <w:r>
        <w:t xml:space="preserve"> </w:t>
      </w:r>
      <w:r>
        <w:rPr>
          <w:iCs/>
          <w:i/>
        </w:rPr>
        <w:t xml:space="preserve">Southern Peru Forms A Special Committee</w:t>
      </w:r>
    </w:p>
    <w:p>
      <w:pPr>
        <w:pStyle w:val="CaseBody"/>
      </w:pPr>
      <w:r>
        <w:t xml:space="preserve">In response to Grupo Mexico’s presentation, the Board met on February 12, 2004 and created a Special Committee to evaluate the proposal. The resolution creating the Special Committee provided that the “duty and sole purpose” of the Special Committee was “to evaluate the [Merger] in such manner as the Special Committee deems to be desirable and in the best interests of the stockholders of [Southern Peru],” and authorized the Special Committee to retain legal and financial advisors at Southern Peru’s expense on such terms as the Special Committee deemed appropriate.</w:t>
      </w:r>
      <w:r>
        <w:t xml:space="preserve"> </w:t>
      </w:r>
      <w:r>
        <w:t xml:space="preserve">The resolution did not give the Special Committee express power to negotiate, nor did it authorize the Special Committee to explore other strategic alternatives.</w:t>
      </w:r>
    </w:p>
    <w:p>
      <w:pPr>
        <w:pStyle w:val="CaseBody"/>
      </w:pPr>
      <w:r>
        <w:t xml:space="preserve">For the purposes relevant to this decision, the Special Committee’s makeup as it was finally settled on March 12, 2004 was as follows:</w:t>
      </w:r>
    </w:p>
    <w:p>
      <w:pPr>
        <w:pStyle w:val="BlockText"/>
      </w:pPr>
      <w:r>
        <w:t xml:space="preserve">• Harold S. Handelsman: Handelsman graduated from Columbia Law School and worked at Wachtell, Lipton, Rosen &amp; Katz as an M &amp; A lawyer before becoming an attorney for the Pritzker family interests in 1978. The Pritzker family is a wealthy family based in Chicago that owns, through trusts, a myriad of businesses. Handelsman was appointed to the Board in 2002 by Cerro, which was one of those Pritz-ker-owned businesses.</w:t>
      </w:r>
    </w:p>
    <w:p>
      <w:pPr>
        <w:pStyle w:val="BlockText"/>
      </w:pPr>
      <w:r>
        <w:t xml:space="preserve">• Luis Miguel Palomino Bonilla: Palomino has a Ph.D in finance from the Wharton School at the University of Pennsylvania and worked as an economist, analyst and consultant for various banks and financial institutions. Palomino was nominated to the Board by Grupo Mexico upon the recommendation of certain Peruvian pension funds that held a large portion of Southern Peru’s publicly traded stock.</w:t>
      </w:r>
    </w:p>
    <w:p>
      <w:pPr>
        <w:pStyle w:val="BlockText"/>
      </w:pPr>
      <w:r>
        <w:t xml:space="preserve">• Gilberto Perezalonso Cifuentes: Pere-zalonso has both a law degree and an MBA and has managed multi-billion dollar companies such as Grupo Telev-isa and AeroMexico Airlines. Pereza-lonso was nominated to the Board by Grupo Mexico.</w:t>
      </w:r>
    </w:p>
    <w:p>
      <w:pPr>
        <w:pStyle w:val="BlockText"/>
      </w:pPr>
      <w:r>
        <w:t xml:space="preserve">• Carlos Ruiz Sacristán: Ruiz, who served as the Special Committee’s Chairman, worked as a Mexican government official for 25 years before co-founding an investment bank, where he advises on M &amp; A and financing transactions. Ruiz was nominated to the Board by Grupo Mexico.</w:t>
      </w:r>
    </w:p>
    <w:p>
      <w:pPr>
        <w:pStyle w:val="CaseBody"/>
      </w:pPr>
      <w:r>
        <w:t xml:space="preserve">D.</w:t>
      </w:r>
      <w:r>
        <w:t xml:space="preserve"> </w:t>
      </w:r>
      <w:r>
        <w:rPr>
          <w:iCs/>
          <w:i/>
        </w:rPr>
        <w:t xml:space="preserve">The Special Committee Hires Advisors And Seeks A Definitive Proposal From Grupo Mexico</w:t>
      </w:r>
    </w:p>
    <w:p>
      <w:pPr>
        <w:pStyle w:val="CaseBody"/>
      </w:pPr>
      <w:r>
        <w:t xml:space="preserve">The Special Committee began its work by hiring U.S. counsel and a financial ad-visor. After considering various options, the Special Committee chose Latham &amp; Watkins LLP and Goldman, Sachs &amp; Co. The Special Committee also hired a specialized mining consultant to help Goldman with certain technical aspects of mining valuation. Goldman suggested consultants that the Special Committee might hire to aid in the process; after considering these options, the Special Committee retained Anderson &amp; Schwab (“A &amp; S”).</w:t>
      </w:r>
    </w:p>
    <w:p>
      <w:pPr>
        <w:pStyle w:val="CaseBody"/>
      </w:pPr>
      <w:r>
        <w:t xml:space="preserve">After hiring its advisors, the Special Committee set out to acquire a “proper” term sheet from Grupo Mexico.</w:t>
      </w:r>
      <w:r>
        <w:t xml:space="preserve"> </w:t>
      </w:r>
      <w:r>
        <w:t xml:space="preserve">The Special Committee did not view the most recent term sheet that Grupo Mexico had sent on March 25, 2004 as containing a price term that would allow the Special Committee to properly evaluate the proposal. For some reason the Special Committee did not get the rather clear message that Grupo Mexico thought Minera was worth $3.05 billion.</w:t>
      </w:r>
    </w:p>
    <w:p>
      <w:pPr>
        <w:pStyle w:val="CaseBody"/>
      </w:pPr>
      <w:r>
        <w:t xml:space="preserve">Thus, in response to that term sheet, on April 2, 2004, Ruiz sent a letter to Grupo Mexico on behalf of the Special Committee in which he asked for clarification about, among other things, the pricing of the proposed transaction. On May 7, 2004, Grupo Mexico sent to the Special Committee what the Special Committee considered to be the first “proper” term sheet,</w:t>
      </w:r>
      <w:r>
        <w:t xml:space="preserve"> </w:t>
      </w:r>
      <w:r>
        <w:t xml:space="preserve">making even more potent its ask.</w:t>
      </w:r>
    </w:p>
    <w:p>
      <w:pPr>
        <w:pStyle w:val="CaseBody"/>
      </w:pPr>
      <w:r>
        <w:t xml:space="preserve">E.</w:t>
      </w:r>
      <w:r>
        <w:t xml:space="preserve"> </w:t>
      </w:r>
      <w:r>
        <w:rPr>
          <w:iCs/>
          <w:i/>
        </w:rPr>
        <w:t xml:space="preserve">The May 7 Term Sheet</w:t>
      </w:r>
    </w:p>
    <w:p>
      <w:pPr>
        <w:pStyle w:val="CaseBody"/>
      </w:pPr>
      <w:r>
        <w:t xml:space="preserve">Grupo Mexico’s May 7 term sheet contained more specific details about the proposed consideration to be paid in the Merger. It echoed the original proposal, but increased Grupo Mexico’s ask from $3.05 billion worth of Southern Peru stock to $3.147 billion. Specifically, the term sheet provided that:</w:t>
      </w:r>
    </w:p>
    <w:p>
      <w:pPr>
        <w:pStyle w:val="BlockText"/>
      </w:pPr>
      <w:r>
        <w:t xml:space="preserve">The proposed value of Minera [] is US$4,3 billion, comprised of an equity value of US$3,147 million [sic] and US$1,153 million [sic] of net debt as of April 2004. The number of [Southern Peru] shares to be issued in respect to the acquisition of Minera [] would be calculated by dividing 98.84% of the equity value of Minera [ ] by the 20-day average closing share price of [Southern Peru] beginning 5 days prior to closing of the [Merger].</w:t>
      </w:r>
    </w:p>
    <w:p>
      <w:pPr>
        <w:pStyle w:val="CaseBody"/>
      </w:pPr>
      <w:r>
        <w:t xml:space="preserve">In other words, Grupo Mexico wanted $3.147 billion in market-tested Southern Peru stock in exchange for its stake in Minera. The structure of the proposal, like the previous Grupo Mexico ask, shows that Grupo Mexico was focused on the dollar value of the stock it would receive.</w:t>
      </w:r>
    </w:p>
    <w:p>
      <w:pPr>
        <w:pStyle w:val="CaseBody"/>
      </w:pPr>
      <w:r>
        <w:t xml:space="preserve">Throughout May 2004, the Special Committee’s advisors conducted due diligence to aid their analysis of Grupo Mexico’s proposal. As part of this process, A &amp; S visited Minera’s mines and adjusted the financial projections of Minera management</w:t>
      </w:r>
      <w:r>
        <w:t xml:space="preserve"> </w:t>
      </w:r>
      <w:r>
        <w:rPr>
          <w:iCs/>
          <w:i/>
        </w:rPr>
        <w:t xml:space="preserve">(ie.,</w:t>
      </w:r>
      <w:r>
        <w:t xml:space="preserve"> </w:t>
      </w:r>
      <w:r>
        <w:t xml:space="preserve">of Grupo Mexico) based on the outcome of their due diligence.</w:t>
      </w:r>
    </w:p>
    <w:p>
      <w:pPr>
        <w:pStyle w:val="CaseBody"/>
      </w:pPr>
      <w:r>
        <w:t xml:space="preserve">F.</w:t>
      </w:r>
      <w:r>
        <w:t xml:space="preserve"> </w:t>
      </w:r>
      <w:r>
        <w:rPr>
          <w:iCs/>
          <w:i/>
        </w:rPr>
        <w:t xml:space="preserve">Goldman Begins To Analyze Grupo Mexico’s Proposal</w:t>
      </w:r>
    </w:p>
    <w:p>
      <w:pPr>
        <w:pStyle w:val="CaseBody"/>
      </w:pPr>
      <w:r>
        <w:t xml:space="preserve">On June 11, 2004, Goldman made its first presentation to the Special Committee addressing the May 7 term sheet. Although Goldman noted that due diligence was still ongoing, it had already done a great deal of work and was able to provide preliminary valuation analyses of the standalone equity value of Minera, including a DCF analysis, a contribution analysis, and a look-through analysis.</w:t>
      </w:r>
    </w:p>
    <w:p>
      <w:pPr>
        <w:pStyle w:val="CaseBody"/>
      </w:pPr>
      <w:r>
        <w:t xml:space="preserve">Goldman performed a DCF analysis of Minera based on long-term copper prices ranging from $0.80 to $1.00 per pound and discount rates ranging from 7.5% to 9.5%, utilizing both unadjusted Minera management projections and Minera management projections as adjusted by A &amp; S. The only way that Goldman could derive a value for Minera close to Grupo Mexico’s asking price was by applying its most aggressive assumptions (a modest 7.5% discount rate and its high-end $1.00/lb long-term copper price) to the unadjusted Minera management projections, which yielded an equity value for Minera of $3.05 billion. By applying the same aggressive assumptions to the projections as adjusted by A &amp; S, Goldman’s DCF analysis yielded a lower equity value for Minera of $2.41 billion. Goldman’s mid-range assumptions (an 8.5% discount rate and $0.90/lb long-term copper price) only generated a $1.7 billion equity value for Minera when applied to the A &amp; S-adjusted projections. That is, the mid-range of the Goldman analysis generated a value for Minera (the “get”) a full $1.4 billion less than Grupo Mexico’s ask for the give.</w:t>
      </w:r>
    </w:p>
    <w:p>
      <w:pPr>
        <w:pStyle w:val="CaseBody"/>
      </w:pPr>
      <w:r>
        <w:t xml:space="preserve">It made sense for Goldman to use the $0.90 per pound long term copper price as a mid-range assumption, because this price was being used at the time by both Southern Peru and Minera for purposes of internal planning. The median long-term copper price forecast based on Wall Street research at the time of the Merger was also $0.90 per pound.</w:t>
      </w:r>
    </w:p>
    <w:p>
      <w:pPr>
        <w:pStyle w:val="CaseBody"/>
      </w:pPr>
      <w:r>
        <w:t xml:space="preserve">Goldman’s contribution analysis applied Southern Peru’s market-based sales, EBITDA, and copper sales multiples to Minera. This analysis yielded an equity value for Minera ranging only between $1.1 and $1.7 billion. Goldman’s look-through analysis, which was a sum-of-the-parts analysis of Grupo Mexico’s market capitalization, generated a maximum equity value for Minera of $1.3 billion and a minimum equity value of only $227 million.</w:t>
      </w:r>
    </w:p>
    <w:p>
      <w:pPr>
        <w:pStyle w:val="CaseBody"/>
      </w:pPr>
      <w:r>
        <w:t xml:space="preserve">Goldman summed up the import of these various analyses in an “Illustrative Give/ Get Analysis,” which made patent the stark disparity between Grupo Mexico’s asking price and Goldman’s valuation of Minera: Southern Peru would “give” stock with a market price of $3.1 billion to Grupo Mexico and would “get” in return an asset worth no more than $1.7 billion.</w:t>
      </w:r>
    </w:p>
    <w:p>
      <w:pPr>
        <w:pStyle w:val="CaseBody"/>
      </w:pPr>
      <w:r>
        <w:t xml:space="preserve">The important assumption reflected in Goldman’s June 11 presentation that a bloc of shares of Southern Peru could yield a cash value equal to Southern Peru’s actual stock market price and was thus worth its market value is worth pausing over. At trial, the defendants disclaimed any reli-anee upon a claim that Southern Peru’s stock market price was not a reliable indication of the cash value that a very large bloc of shares — such as the 67.2 million paid to Grupo Mexico — could yield in the market.</w:t>
      </w:r>
      <w:r>
        <w:t xml:space="preserve"> </w:t>
      </w:r>
      <w:r>
        <w:t xml:space="preserve">Thus, the price of the “give” was always easy to discern. The question thus becomes what was the value of the “get.” Unlike Southern Peru, Minera’s value was not the subject of a regular market test. Minera shares were not publicly traded and thus the company was embedded in the overall value of Grupo Mexico.</w:t>
      </w:r>
    </w:p>
    <w:p>
      <w:pPr>
        <w:pStyle w:val="CaseBody"/>
      </w:pPr>
      <w:r>
        <w:t xml:space="preserve">The June 11 presentation clearly demonstrates that Goldman, in its evaluation of the May 7 term sheet, could not get the get anywhere near the give. Notably, that presentation marked the</w:t>
      </w:r>
      <w:r>
        <w:t xml:space="preserve"> </w:t>
      </w:r>
      <w:r>
        <w:rPr>
          <w:iCs/>
          <w:i/>
        </w:rPr>
        <w:t xml:space="preserve">first and last time</w:t>
      </w:r>
      <w:r>
        <w:t xml:space="preserve"> </w:t>
      </w:r>
      <w:r>
        <w:t xml:space="preserve">that a give-get analysis appeared in Goldman’s presentations to the Special Committee.</w:t>
      </w:r>
    </w:p>
    <w:p>
      <w:pPr>
        <w:pStyle w:val="CaseBody"/>
      </w:pPr>
      <w:r>
        <w:t xml:space="preserve">What then happened next is curious. The Special Committee began to</w:t>
      </w:r>
      <w:r>
        <w:t xml:space="preserve"> </w:t>
      </w:r>
      <w:r>
        <w:rPr>
          <w:iCs/>
          <w:i/>
        </w:rPr>
        <w:t xml:space="preserve">devalue</w:t>
      </w:r>
      <w:r>
        <w:t xml:space="preserve"> </w:t>
      </w:r>
      <w:r>
        <w:t xml:space="preserve">the “give” in order to make the “get” look closer in value.</w:t>
      </w:r>
    </w:p>
    <w:p>
      <w:pPr>
        <w:pStyle w:val="CaseBody"/>
      </w:pPr>
      <w:r>
        <w:t xml:space="preserve">The DCF analysis of the value of Minera that Goldman presented initially caused concern. As Handelsman stated at trial, “when [the Special Committee] thought that the value of Southern Peru was its market value and the value of Minera [ ] was its discounted cash flow value ... those were very different numbers.”</w:t>
      </w:r>
      <w:r>
        <w:t xml:space="preserve"> </w:t>
      </w:r>
      <w:r>
        <w:t xml:space="preserve">But, the Special Committee’s view changed when Goldman presented it with a DCF analysis of the value of Southern Peru on June 23, 2004.</w:t>
      </w:r>
    </w:p>
    <w:p>
      <w:pPr>
        <w:pStyle w:val="CaseBody"/>
      </w:pPr>
      <w:r>
        <w:t xml:space="preserve">In this June 23 presentation, Goldman provided the Special Committee with a preliminary DCF analysis for Southern Peru analogous to the one that it had provided for Minera in the June 11 presentation. But, the discount rates that Goldman applied to Southern Peru’s cash flows ranged from 8% to 10% instead of 7.5% to 9.5%. Based on Southern Peru management’s projections, the DCF value generated for Southern Peru using mid-range assumptions (a 9% discount rate and $0.90/lb long-term copper price) was $2.06 billion. This was about $1.1 billion shy of Southern Peru’s market capitalization as of June 21, 2004 ($3.19 billion). Those values “comforted” the Special Committee.</w:t>
      </w:r>
    </w:p>
    <w:p>
      <w:pPr>
        <w:pStyle w:val="CaseBody"/>
      </w:pPr>
      <w:r>
        <w:t xml:space="preserve">Again, one must pause over this. “Comfort” is an odd word in this context. What Goldman was basically telling the Special Committee was that Southern Peru was being overvalued by the stock market. That is, Goldman told the Special Committee that even though Southern Peru’s stock was worth an obtainable amount in cash, it really was not worth that much in fundamental terms. Thus, although Southern Peru had an actual cash value of $3.19 billion, its “real,” “intrinsic,”</w:t>
      </w:r>
      <w:r>
        <w:t xml:space="preserve"> </w:t>
      </w:r>
      <w:r>
        <w:t xml:space="preserve">or “fundamental” value was only $2.06 billion, and giving $2.06 billion in fundamental value for $1.7 billion in fundamental value was something more reasonable to consider.</w:t>
      </w:r>
    </w:p>
    <w:p>
      <w:pPr>
        <w:pStyle w:val="CaseBody"/>
      </w:pPr>
      <w:r>
        <w:t xml:space="preserve">Of course, the more logical reaction of someone not in the confined mindset of directors of a controlled company may have been that it was a good time to capitalize on the market multiple the company was getting and monetize the asset.</w:t>
      </w:r>
    </w:p>
    <w:p>
      <w:pPr>
        <w:pStyle w:val="CaseBody"/>
      </w:pPr>
      <w:r>
        <w:t xml:space="preserve">A third party in the Special Committee’s position might have sold at the top of the market, or returned cash to the Southern Peru stockholders by declaring a special dividend. For example, if it made long-term strategic sense for Grupo Mexico to consolidate Southern Peru and Minera, there was a logical alternative for the Special Committee: ask Grupo Mexico to make a premium to market offer for Southern Peru. Let Grupo Mexico be the buyer, not the seller. If the Special Committee’s distinguished bankers believed that Southern Peru was trading at a premium to fundamental value, why not ask Grupo Mexico to make a bid at a premium to that price? By doing so, the Special Committee would have also probed Grupo Mexico about its own weaknesses, including the fact that Minera seemed to be cash-strapped, having trouble paying its regular bills, and thus unable to move forward with an acquisition of its own. That is, if Grupo Mexico could not buy despite the value it held in Minera, that would bespeak weakness and cast doubt on the credibility of its ask. And if it turned out that Grupo Mexico would buy at a premium, the minority stockholders of Southern Peru would benefit.</w:t>
      </w:r>
    </w:p>
    <w:p>
      <w:pPr>
        <w:pStyle w:val="CaseBody"/>
      </w:pPr>
      <w:r>
        <w:t xml:space="preserve">In other words, by acting like a third-party negotiator with its own money at stake and with the full range of options, the Special Committee would have put Grupo Mexico back on its heels. Doing so would have been consistent with the financial advice it was getting and seemed to accept as correct. The Special Committee could have also looked to use its market-proven stock to buy a company at a good price (a lower multiple to earnings than Southern Peru’s) and then have its value rolled into Southern Peru’s higher market multiple to earnings. That could have included buying Minera at a price equal to its fundamental value using Southern Peru’s market-proven currency.</w:t>
      </w:r>
    </w:p>
    <w:p>
      <w:pPr>
        <w:pStyle w:val="CaseBody"/>
      </w:pPr>
      <w:r>
        <w:t xml:space="preserve">Instead of doing any of these things, the Special Committee was “comforted” by the fact that they could devalue that currency and justify paying</w:t>
      </w:r>
      <w:r>
        <w:t xml:space="preserve"> </w:t>
      </w:r>
      <w:r>
        <w:rPr>
          <w:iCs/>
          <w:i/>
        </w:rPr>
        <w:t xml:space="preserve">more</w:t>
      </w:r>
      <w:r>
        <w:t xml:space="preserve"> </w:t>
      </w:r>
      <w:r>
        <w:t xml:space="preserve">for Minera than they originally thought they should.</w:t>
      </w:r>
    </w:p>
    <w:p>
      <w:pPr>
        <w:pStyle w:val="CaseBody"/>
      </w:pPr>
      <w:r>
        <w:t xml:space="preserve">G.</w:t>
      </w:r>
      <w:r>
        <w:t xml:space="preserve"> </w:t>
      </w:r>
      <w:r>
        <w:rPr>
          <w:iCs/>
          <w:i/>
        </w:rPr>
        <w:t xml:space="preserve">The Special Committee Moves Toward Relative Valuation</w:t>
      </w:r>
    </w:p>
    <w:p>
      <w:pPr>
        <w:pStyle w:val="CaseBody"/>
      </w:pPr>
      <w:r>
        <w:t xml:space="preserve">After the June 23, 2004 presentation, the Special Committee and Goldman began to embrace the idea that the companies should be valued on a relative basis. In a July 8, 2004 presentation to the Special Committee, Goldman included both a revised standalone DCF analysis of Minera and a “Relative Discounted Cash Flow Analysis” in the form of matrices present ing the “indicative number” of Southern Peru shares that should be issued to acquire Minera based on various assumptions.</w:t>
      </w:r>
      <w:r>
        <w:t xml:space="preserve"> </w:t>
      </w:r>
      <w:r>
        <w:t xml:space="preserve">The relative DCF analysis generated a vast range of Southern Peru shares to be issued in the Merger of 28.9 million to 71.3 million. Based on Southern Peru’s July 8, 2004 market value of $40.30 per share, 28.9 million shares of Southern Peru stock had a market value of $1.16 billion, and 71.3 million shares were worth $2.87 billion.</w:t>
      </w:r>
      <w:r>
        <w:rPr>
          <w:rStyle w:val="FootnoteReference"/>
        </w:rPr>
        <w:footnoteReference w:customMarkFollows="1" w:id="443"/>
        <w:t xml:space="preserve">25</w:t>
      </w:r>
      <w:r>
        <w:t xml:space="preserve"> </w:t>
      </w:r>
      <w:r>
        <w:t xml:space="preserve">In other words, even the highest equity value yielded for Minera by this analysis was short of Grupo Mexico’s actual cash value asking price.</w:t>
      </w:r>
    </w:p>
    <w:p>
      <w:pPr>
        <w:pStyle w:val="CaseBody"/>
      </w:pPr>
      <w:r>
        <w:t xml:space="preserve">The revised standalone DCF analysis applied the same discount rate and long-term copper price assumptions that Goldman had used in its June 11 presentation to updated projections. This time, by applying a 7.5% discount rate and $1.00 per pound long-term copper price to Minera management’s projections, Goldman was only able to yield an equity value of $2.8 billion for Minera. Applying the same aggressive assumptions to the projections as adjusted by A &amp; S generated a standalone equity value for Minera of only $2.085 billion. Applying mid-range assumptions (a discount rate of 8.5% and $0.90/lb long-term copper price) to the A &amp; S-adjusted projections yielded an equity value for Minera of only $1.358 billion.</w:t>
      </w:r>
    </w:p>
    <w:p>
      <w:pPr>
        <w:pStyle w:val="CaseBody"/>
      </w:pPr>
      <w:r>
        <w:t xml:space="preserve">H.</w:t>
      </w:r>
      <w:r>
        <w:t xml:space="preserve"> </w:t>
      </w:r>
      <w:r>
        <w:rPr>
          <w:iCs/>
          <w:i/>
        </w:rPr>
        <w:t xml:space="preserve">The Special Committee Makes A Counterproposal And Suggests A Fixed Exchange Ratio</w:t>
      </w:r>
    </w:p>
    <w:p>
      <w:pPr>
        <w:pStyle w:val="CaseBody"/>
      </w:pPr>
      <w:r>
        <w:t xml:space="preserve">After Goldman’s July 8 presentation, the Special Committee made a counterpropo-sal to Grupo Mexico that was (oddly) not mentioned in Southern Peru’s proxy statement describing the Merger (the “Proxy Statement”). In this counterproposal, the Special Committee offered that Southern Peru would acquire Minera by issuing 52 million shares of Southern Peru stock with a then-current market value of $2.095 billion.</w:t>
      </w:r>
      <w:r>
        <w:rPr>
          <w:rStyle w:val="FootnoteReference"/>
        </w:rPr>
        <w:footnoteReference w:customMarkFollows="1" w:id="454"/>
        <w:t xml:space="preserve">26</w:t>
      </w:r>
      <w:r>
        <w:t xml:space="preserve"> </w:t>
      </w:r>
      <w:r>
        <w:t xml:space="preserve">The Special Committee also proposed implementation of a fixed, rather than a floating, exchange ratio that would set the number of Southern Peru shares issued in the Merger.</w:t>
      </w:r>
    </w:p>
    <w:p>
      <w:pPr>
        <w:pStyle w:val="CaseBody"/>
      </w:pPr>
      <w:r>
        <w:t xml:space="preserve">From the inception of the Merger, Gru-po Mexico had contemplated that the dollar value of the price to be paid by Southern Peru would be fixed (at a number that was always north of $3 billion), while the number of Southern Peru shares to be issued as consideration would float up or down based on Southern Peru’s trading price around the time of closing. But, the Special Committee was uncomfortable with having to issue a variable amount of shares in the Merger. Handelsman testified that, in its evaluation of Grupo Mexico’s May 7 term sheet, “it was the consensus of the [Special Committee] that a floating exchange rate was a nonstarter” because “no one could predict the number of shares that [Southern Peru] would have to issue in order to come up with the consideration requested.”</w:t>
      </w:r>
      <w:r>
        <w:t xml:space="preserve"> </w:t>
      </w:r>
      <w:r>
        <w:t xml:space="preserve">The Special Committee wanted a fixed exchange ratio, which would set the number of shares that Southern Peru would issue in the Merger at the time of signing. The dollar value of the Merger consideration at the time of closing would vary with the fluctuations of Southern Peru’s market price. According to the testimony of the Special Committee members, their reasoning was that both Southern Peru’s stock and the copper market had been historically volatile, and a fixed exchange ratio would protect Southern Peru’s stockholders from a situation in which Southern Peru’s stock price went down and Southern Peru would be forced to issue a greater number of shares for Minera in order to meet a fixed dollar value.</w:t>
      </w:r>
      <w:r>
        <w:rPr>
          <w:rStyle w:val="FootnoteReference"/>
        </w:rPr>
        <w:footnoteReference w:customMarkFollows="1" w:id="483"/>
        <w:t xml:space="preserve">29</w:t>
      </w:r>
      <w:r>
        <w:t xml:space="preserve"> </w:t>
      </w:r>
      <w:r>
        <w:t xml:space="preserve">As I will discuss later, that position is hard to square with the Special Committee and Southern Peru’s purported bullishness about the copper market in 2004.</w:t>
      </w:r>
      <w:r>
        <w:rPr>
          <w:rStyle w:val="FootnoteReference"/>
        </w:rPr>
        <w:footnoteReference w:customMarkFollows="1" w:id="491"/>
        <w:t xml:space="preserve">30</w:t>
      </w:r>
    </w:p>
    <w:p>
      <w:pPr>
        <w:pStyle w:val="CaseBody"/>
      </w:pPr>
      <w:r>
        <w:t xml:space="preserve">I.</w:t>
      </w:r>
      <w:r>
        <w:t xml:space="preserve"> </w:t>
      </w:r>
      <w:r>
        <w:rPr>
          <w:iCs/>
          <w:i/>
        </w:rPr>
        <w:t xml:space="preserve">Grupo Mexico Sticks To Its Demand</w:t>
      </w:r>
    </w:p>
    <w:p>
      <w:pPr>
        <w:pStyle w:val="CaseBody"/>
      </w:pPr>
      <w:r>
        <w:t xml:space="preserve">In late July or early August, Grupo Mexico responded to the Special Committee’s counterproposal by suggesting that Southern Peru should issue in excess of 80 million shares of common stock to purchase Minera. It is not clear on the record exactly when Grupo Mexico asked for 80 million shares, but given Southern Peru’s trading history at that time, the market value of that consideration would have been close to $3.1 billion, basically the same place where Grupo Mexico had started.</w:t>
      </w:r>
      <w:r>
        <w:rPr>
          <w:rStyle w:val="FootnoteReference"/>
        </w:rPr>
        <w:footnoteReference w:customMarkFollows="1" w:id="499"/>
        <w:t xml:space="preserve">31</w:t>
      </w:r>
      <w:r>
        <w:t xml:space="preserve"> </w:t>
      </w:r>
      <w:r>
        <w:t xml:space="preserve">The Special Committee viewed Gru-po Mexico’s ask as too high, which is not surprising given that the parties were apparently a full billion dollars in value apart, and negotiations almost broke down.</w:t>
      </w:r>
    </w:p>
    <w:p>
      <w:pPr>
        <w:pStyle w:val="CaseBody"/>
      </w:pPr>
      <w:r>
        <w:t xml:space="preserve">But, on August 21, 2004, after what is described as “an extraordinary effort” in Southern Peru’s Proxy Statement, Grupo Mexico proposed a new asking price of 67 million shares.</w:t>
      </w:r>
      <w:r>
        <w:rPr>
          <w:rStyle w:val="FootnoteReference"/>
        </w:rPr>
        <w:footnoteReference w:customMarkFollows="1" w:id="507"/>
        <w:t xml:space="preserve">32</w:t>
      </w:r>
      <w:r>
        <w:t xml:space="preserve"> </w:t>
      </w:r>
      <w:r>
        <w:t xml:space="preserve">On August 20, 2004, Southern Peru was trading at $41.20 per share, so 67 million shares were worth about $2.76 billion on the market, a drop in Grupo Mexico’s ask.</w:t>
      </w:r>
      <w:r>
        <w:rPr>
          <w:rStyle w:val="FootnoteReference"/>
        </w:rPr>
        <w:footnoteReference w:customMarkFollows="1" w:id="515"/>
        <w:t xml:space="preserve">33</w:t>
      </w:r>
      <w:r>
        <w:t xml:space="preserve"> </w:t>
      </w:r>
      <w:r>
        <w:t xml:space="preserve">Grupo Mexico’s new offer brought the Special Committee back to the negotiating table.</w:t>
      </w:r>
    </w:p>
    <w:p>
      <w:pPr>
        <w:pStyle w:val="CaseBody"/>
      </w:pPr>
      <w:r>
        <w:t xml:space="preserve">After receiving two term sheets from Grupo Mexico that reflected the 67 million share asking price, the second of which was received on September 8, 2004, when 67 million shares had risen to be worth $3.06 billion on the market,</w:t>
      </w:r>
      <w:r>
        <w:rPr>
          <w:rStyle w:val="FootnoteReference"/>
        </w:rPr>
        <w:footnoteReference w:customMarkFollows="1" w:id="523"/>
        <w:t xml:space="preserve">34</w:t>
      </w:r>
      <w:r>
        <w:t xml:space="preserve"> </w:t>
      </w:r>
      <w:r>
        <w:t xml:space="preserve">Goldman made another presentation to the Special Committee on September 15, 2004. In addition to updated relative DCF analyses of Southern Peru and Minera (presented only in terms of the number of shares of Southern Peru stock to be issued in the Merger), this presentation contained a “Multiple Approach at Different EBITDA Scenarios,” which was essentially a comparison of Southern Peru and Minera’s market-based equity values, as derived from multiples of Southern Peru’s 2004 and 2005 estimated (or “E”) EBITDA.</w:t>
      </w:r>
      <w:r>
        <w:rPr>
          <w:rStyle w:val="FootnoteReference"/>
        </w:rPr>
        <w:footnoteReference w:customMarkFollows="1" w:id="531"/>
        <w:t xml:space="preserve">35</w:t>
      </w:r>
      <w:r>
        <w:t xml:space="preserve"> </w:t>
      </w:r>
      <w:r>
        <w:t xml:space="preserve">Goldman also presented these analyses in terms of the number of Southern Peru shares to be issued to Grupo Mexico, rather than generating standalone values for Minera. The range of shares to be issued at the 2004E EBITDA multiple (5.0x) was 44 to 54 million; at the 2005E multiple (6.3x) Goldman’s analyses yielded a range of 61 to 72 million shares of Southern Peru stock.</w:t>
      </w:r>
      <w:r>
        <w:rPr>
          <w:rStyle w:val="FootnoteReference"/>
        </w:rPr>
        <w:footnoteReference w:customMarkFollows="1" w:id="538"/>
        <w:t xml:space="preserve">36</w:t>
      </w:r>
      <w:r>
        <w:t xml:space="preserve"> </w:t>
      </w:r>
      <w:r>
        <w:t xml:space="preserve">Based on Southern Peru’s $45.34 share price as of September 15, 2004, 61 to 72 million shares had a cash value of $2.765 billion to $3.26 billion.</w:t>
      </w:r>
      <w:r>
        <w:rPr>
          <w:rStyle w:val="FootnoteReference"/>
        </w:rPr>
        <w:footnoteReference w:customMarkFollows="1" w:id="545"/>
        <w:t xml:space="preserve">37</w:t>
      </w:r>
    </w:p>
    <w:p>
      <w:pPr>
        <w:pStyle w:val="CaseBody"/>
      </w:pPr>
      <w:r>
        <w:t xml:space="preserve">The Special Committee sent a new proposed term sheet to Grupo Mexico on September 23, 2004. That term sheet provided for a fixed purchase price of 64 million shares of Southern Peru (translating to a $2.95 billion market value based on Southern Peru’s then-current closing price).</w:t>
      </w:r>
      <w:r>
        <w:rPr>
          <w:rStyle w:val="FootnoteReference"/>
        </w:rPr>
        <w:footnoteReference w:customMarkFollows="1" w:id="552"/>
        <w:t xml:space="preserve">38</w:t>
      </w:r>
      <w:r>
        <w:t xml:space="preserve"> </w:t>
      </w:r>
      <w:r>
        <w:t xml:space="preserve">The Special Committee’s proposal contained two terms that would protect the minority stockholders of Southern Peru: (1) a 20% collar around the purchase price, which gave both the Special Committee and Grupo Mexico the right to walk away from the Merger if Southern Peru’s stock price went outside of the collar before the stockholder vote; and (2) a voting provision requiring that a majority of the minority stockholders of Southern Peru vote in favor of the Merger. Additionally, the proposal called for Minera’s net debt, which Southern Peru was going to absorb in the Merger, to be capped at $1.105 billion at closing, and contained various corporate governance provisions.</w:t>
      </w:r>
    </w:p>
    <w:p>
      <w:pPr>
        <w:pStyle w:val="CaseBody"/>
      </w:pPr>
      <w:r>
        <w:t xml:space="preserve">J.</w:t>
      </w:r>
      <w:r>
        <w:t xml:space="preserve"> </w:t>
      </w:r>
      <w:r>
        <w:rPr>
          <w:iCs/>
          <w:i/>
        </w:rPr>
        <w:t xml:space="preserve">Grupo Mexico Rejects Many Of The Special Committee’s Proposed Terms But The Parties Work Out A Deal</w:t>
      </w:r>
    </w:p>
    <w:p>
      <w:pPr>
        <w:pStyle w:val="CaseBody"/>
      </w:pPr>
      <w:r>
        <w:t xml:space="preserve">On September 30, 2004, Grupo Mexico sent a counterproposal to the Special Committee, in which Grupo Mexico rejected the Special Committee’s offer of 64 million shares and held firm to its demand for 67 million shares. Grupo Mexico’s counter-proposal also rejected the collar and the majority of the minority vote provision, proposing instead that the Merger be conditioned on the vote of two-thirds of the outstanding stock. Grupo Mexico noted that conditioning the Merger on a two-thirds shareholder vote obviated the need for the walk-away right requested by the Special Committee, because Grupo Mexico would be prevented from approving the Merger unilaterally in the event the stock price was materially higher at the time of the stockholder vote than at the time of Board approval. Grupo Mexico did accept the Special Committee’s proposed $1.05 billion debt cap at closing, which was not much of a concession in light of the fact that Minera was already contractually obligated to pay down its debt and was in the process of doing so.</w:t>
      </w:r>
      <w:r>
        <w:rPr>
          <w:rStyle w:val="FootnoteReference"/>
        </w:rPr>
        <w:footnoteReference w:customMarkFollows="1" w:id="558"/>
        <w:t xml:space="preserve">39</w:t>
      </w:r>
    </w:p>
    <w:p>
      <w:pPr>
        <w:pStyle w:val="CaseBody"/>
      </w:pPr>
      <w:r>
        <w:t xml:space="preserve">After the Special Committee received Grupo Mexico’s September 30 counterpro-posal, the parties reached agreement on certain corporate governance provisions to be included in the Merger Agreement, some of which were originally suggested by Grupo Mexico and some of which were first suggested by the Special Committee. Without saying these provisions were of no benefit at all to Southern Peru and its outside investors, let me just say that they do not factor more importantly in this decision because they do not provide any benefit above the protections of default law that were economically meaningful enough to close the material dollar value gap that existed.</w:t>
      </w:r>
    </w:p>
    <w:p>
      <w:pPr>
        <w:pStyle w:val="CaseBody"/>
      </w:pPr>
      <w:r>
        <w:t xml:space="preserve">On October 5, 2004, members of the Special Committee met with Grupo Mexico to iron out a final deal. At that meeting, the Special Committee agreed to pay 67 million shares, dropped their demand for the collar, and acceded to most of Grupo Mexico’s demands. The Special Committee justified paying a higher price through a series of economic contortions. The Special Committee was able to “bridge the gap”</w:t>
      </w:r>
      <w:r>
        <w:rPr>
          <w:rStyle w:val="FootnoteReference"/>
        </w:rPr>
        <w:footnoteReference w:customMarkFollows="1" w:id="564"/>
        <w:t xml:space="preserve">40</w:t>
      </w:r>
      <w:r>
        <w:t xml:space="preserve"> </w:t>
      </w:r>
      <w:r>
        <w:t xml:space="preserve">between the 64 million and the 67 million figures by decreasing Minera’s debt cap by another $105 million, and by getting Grupo Mexico to cause Southern Peru to issue a special dividend of $100 million, which had the effect of decreasing the value of Southern Peru’s stock. According to Special Committee member Handelsman, these “bells and whistles”</w:t>
      </w:r>
      <w:r>
        <w:rPr>
          <w:rStyle w:val="FootnoteReference"/>
        </w:rPr>
        <w:footnoteReference w:customMarkFollows="1" w:id="570"/>
        <w:t xml:space="preserve">41</w:t>
      </w:r>
      <w:r>
        <w:t xml:space="preserve"> </w:t>
      </w:r>
      <w:r>
        <w:t xml:space="preserve">made it so that “the value of what was being ... acquired in the merger went up, and the value of the specie that was being used in the merger went down ...</w:t>
      </w:r>
      <w:r>
        <w:rPr>
          <w:rStyle w:val="FootnoteReference"/>
        </w:rPr>
        <w:footnoteReference w:customMarkFollows="1" w:id="576"/>
        <w:t xml:space="preserve">42</w:t>
      </w:r>
      <w:r>
        <w:t xml:space="preserve"> </w:t>
      </w:r>
      <w:r>
        <w:t xml:space="preserve">giving the Special Committee reason to accept a higher Merger price.</w:t>
      </w:r>
    </w:p>
    <w:p>
      <w:pPr>
        <w:pStyle w:val="CaseBody"/>
      </w:pPr>
      <w:r>
        <w:t xml:space="preserve">The closing share price of Southern Peru was $53.16 on October 5, 2004, so a purchase price of 67 million shares had a market value of $8.56 billion,</w:t>
      </w:r>
      <w:r>
        <w:rPr>
          <w:rStyle w:val="FootnoteReference"/>
        </w:rPr>
        <w:footnoteReference w:customMarkFollows="1" w:id="582"/>
        <w:t xml:space="preserve">43</w:t>
      </w:r>
      <w:r>
        <w:t xml:space="preserve"> </w:t>
      </w:r>
      <w:r>
        <w:t xml:space="preserve">which was higher than the dollar value requested by Grupo Mexico in its February 2004 proposal or its original May 7 term sheet.</w:t>
      </w:r>
    </w:p>
    <w:p>
      <w:pPr>
        <w:pStyle w:val="CaseBody"/>
      </w:pPr>
      <w:r>
        <w:t xml:space="preserve">At that point, the main unresolved issue was the stockholder vote that would be required to approve the Merger. After further negotiations, on October 8, 2004, the Special Committee gave up on its proposed majority of the minority vote provision and agreed to Grupo Mexico’s suggestion that the Merger require only the approval of two-thirds of the outstanding common stock of Southern Peru.</w:t>
      </w:r>
      <w:r>
        <w:rPr>
          <w:rStyle w:val="FootnoteReference"/>
        </w:rPr>
        <w:footnoteReference w:customMarkFollows="1" w:id="588"/>
        <w:t xml:space="preserve">44</w:t>
      </w:r>
      <w:r>
        <w:t xml:space="preserve"> </w:t>
      </w:r>
      <w:r>
        <w:t xml:space="preserve">Given the size of the holdings of Cerro and Phelps Dodge,</w:t>
      </w:r>
      <w:r>
        <w:rPr>
          <w:rStyle w:val="FootnoteReference"/>
        </w:rPr>
        <w:footnoteReference w:customMarkFollows="1" w:id="594"/>
        <w:t xml:space="preserve">45</w:t>
      </w:r>
      <w:r>
        <w:t xml:space="preserve"> </w:t>
      </w:r>
      <w:r>
        <w:t xml:space="preserve">Grupo Mexico could achieve a two-thirds vote if either Cerro or Phelps Dodge voted in favor of the Merger.</w:t>
      </w:r>
    </w:p>
    <w:p>
      <w:pPr>
        <w:pStyle w:val="CaseBody"/>
      </w:pPr>
      <w:r>
        <w:t xml:space="preserve">K.</w:t>
      </w:r>
      <w:r>
        <w:t xml:space="preserve"> </w:t>
      </w:r>
      <w:r>
        <w:rPr>
          <w:iCs/>
          <w:i/>
        </w:rPr>
        <w:t xml:space="preserve">The Multi-Faceted Dimensions Of Controlling Power: Large Stockholders Who Want To Get Out Support A Strategic, Long-Term Acquisition</w:t>
      </w:r>
      <w:r>
        <w:t xml:space="preserve"> </w:t>
      </w:r>
      <w:r>
        <w:t xml:space="preserve">As A</w:t>
      </w:r>
      <w:r>
        <w:t xml:space="preserve"> </w:t>
      </w:r>
      <w:r>
        <w:rPr>
          <w:iCs/>
          <w:i/>
        </w:rPr>
        <w:t xml:space="preserve">Prelude To Their Own Exit</w:t>
      </w:r>
      <w:r>
        <w:t xml:space="preserve"> </w:t>
      </w:r>
      <w:r>
        <w:t xml:space="preserve">As</w:t>
      </w:r>
      <w:r>
        <w:t xml:space="preserve"> </w:t>
      </w:r>
      <w:r>
        <w:rPr>
          <w:iCs/>
          <w:i/>
        </w:rPr>
        <w:t xml:space="preserve">Stockholders</w:t>
      </w:r>
    </w:p>
    <w:p>
      <w:pPr>
        <w:pStyle w:val="CaseBody"/>
      </w:pPr>
      <w:r>
        <w:t xml:space="preserve">Human relations and motivations are complex. One of the members of the Special Committee, Handelsman, represented a large Founding Stockholder, Cerro. This might be seen in some ways to have ideally positioned Handelsman to be a very aggressive negotiator. But Handelsman had a problem to deal with, which did not involve Cerro having any self-dealing interest in the sense that Grupo Mexico had. Rather, Grupo Mexico had control over Southern Peru and thus over whether Southern Peru would take the steps necessary to make the Founding Stockholders’ shares marketable under applicable securities regulations.</w:t>
      </w:r>
      <w:r>
        <w:rPr>
          <w:rStyle w:val="FootnoteReference"/>
        </w:rPr>
        <w:footnoteReference w:customMarkFollows="1" w:id="599"/>
        <w:t xml:space="preserve">46</w:t>
      </w:r>
      <w:r>
        <w:t xml:space="preserve"> </w:t>
      </w:r>
      <w:r>
        <w:t xml:space="preserve">Cerro and Phelps Dodge, consistent with its name, wanted to monetize their investment in Southern Peru and get out.</w:t>
      </w:r>
    </w:p>
    <w:p>
      <w:pPr>
        <w:pStyle w:val="CaseBody"/>
      </w:pPr>
      <w:r>
        <w:t xml:space="preserve">Thus, while the Special Committee was negotiating the terms of the Merger, Han-delsman was engaged in negotiations of his own with Grupo Mexico.</w:t>
      </w:r>
      <w:r>
        <w:rPr>
          <w:rStyle w:val="FootnoteReference"/>
        </w:rPr>
        <w:footnoteReference w:customMarkFollows="1" w:id="604"/>
        <w:t xml:space="preserve">47</w:t>
      </w:r>
      <w:r>
        <w:t xml:space="preserve"> </w:t>
      </w:r>
      <w:r>
        <w:t xml:space="preserve">Cerro and Phelps Dodge had been seeking registration rights from Grupo Mexico (in its capacity as Southern Peru’s controller) for their shares of Southern Peru stock, which they needed because of the volume restrictions imposed on affiliates of an issuer by SEC Rule 144.</w:t>
      </w:r>
      <w:r>
        <w:rPr>
          <w:rStyle w:val="FootnoteReference"/>
        </w:rPr>
        <w:footnoteReference w:customMarkFollows="1" w:id="609"/>
        <w:t xml:space="preserve">48</w:t>
      </w:r>
    </w:p>
    <w:p>
      <w:pPr>
        <w:pStyle w:val="CaseBody"/>
      </w:pPr>
      <w:r>
        <w:t xml:space="preserve">It is not clear which party first proposed liquidity and support for the Founding Stockholders in connection with the Merger. But it is plain that the concept appears throughout the term sheets exchanged between Grupo Mexico and the Special Committee, and it is clear that Handelsman knew that registration rights would be part of the deal from the beginning of the Merger negotiations and that thus the deal would enable Cerro to sell as it desired. The Special Committee did not take the lead in negotiating the specific terms of the registration rights provisions — rather, it took the position that it wanted to leave the back-and-forth over the agreement details to Cerro and Grupo Mexico. Handelsman, however, played a key role in the negotiations with Grupo Mexico on Cerro’s behalf.</w:t>
      </w:r>
      <w:r>
        <w:rPr>
          <w:rStyle w:val="FootnoteReference"/>
        </w:rPr>
        <w:footnoteReference w:customMarkFollows="1" w:id="614"/>
        <w:t xml:space="preserve">49</w:t>
      </w:r>
    </w:p>
    <w:p>
      <w:pPr>
        <w:pStyle w:val="CaseBody"/>
      </w:pPr>
      <w:r>
        <w:t xml:space="preserve">At trial, Handelsman explained that there were two justifications for pursuing registration rights — one offered benefits exclusive to the Founding Stockholders, and the other offered benefits that would inure to Southern Peru’s entire stockholder base. The first justification was that Cerro needed the registration rights in order to sell its shares quickly, and Cerro wanted “to get out” of its investment in Southern Peru.</w:t>
      </w:r>
      <w:r>
        <w:rPr>
          <w:rStyle w:val="FootnoteReference"/>
        </w:rPr>
        <w:footnoteReference w:customMarkFollows="1" w:id="619"/>
        <w:t xml:space="preserve">50</w:t>
      </w:r>
      <w:r>
        <w:t xml:space="preserve"> </w:t>
      </w:r>
      <w:r>
        <w:t xml:space="preserve">The second justification concerned the public market for Southern Peru stock. Granting registration rights to the Founding Stockholders would allow Cerro and Phelps Dodge to sell their shares, increasing the amount of stock traded on the market and thus increasing Southern Peru’s somewhat thin public float. This would in turn improve stockholder liquidity, generate more analyst exposure, and create a more efficient market for Southern Peru shares, all of which would benefit the minority stockholders. Handelsman thus characterized the registration rights situation as a “win-win,” because “it permitted us to sell our stock” and “it was good for [Southern Peru] because they had a better float and they had a more organized sale of shares.”</w:t>
      </w:r>
      <w:r>
        <w:rPr>
          <w:rStyle w:val="FootnoteReference"/>
        </w:rPr>
        <w:footnoteReference w:customMarkFollows="1" w:id="624"/>
        <w:t xml:space="preserve">51</w:t>
      </w:r>
    </w:p>
    <w:p>
      <w:pPr>
        <w:pStyle w:val="CaseBody"/>
      </w:pPr>
      <w:r>
        <w:t xml:space="preserve">Handelsman’s tandem negotiations with Grupo Mexico culminated in Southern Peru giving Cerro registration rights for its shares on October 21, 2004, the same day that the Special Committee approved the Merger. In exchange for registration rights, Cerro expressed its intent to vote its shares in favor of the Merger if the Special Committee recommended it. If the Special Committee made a recommendation against the Merger, or withdrew its recommendation in favor of it, Cerro was bound by the agreement to vote against the Merger. Grupo Mexico’s initial proposal, which Handelsman received on October 18, 2004 — a mere three days before the Special Committee was to vote on the Merger — was that it would grant Cerro registration rights in exchange for Cerro’s agreement to vote in favor of the Merger. The Special Committee and Handelsman suggested instead that Cerro’s vote on the Merger be tied to whether or not the Special Committee recommended the Merger. After discussing the matter with the Special Committee, Grupo Mexico agreed.</w:t>
      </w:r>
    </w:p>
    <w:p>
      <w:pPr>
        <w:pStyle w:val="CaseBody"/>
      </w:pPr>
      <w:r>
        <w:t xml:space="preserve">On December 22, 2004, after the Special Committee approved the Merger but well before the stockholder vote, Phelps Dodge entered into an agreement with Grupo Mexico that was similar to Cerro’s, but did not contain a provision requiring Phelps Dodge to vote against the Merger if the Special Committee did. By contrast, Phelps Dodge’s agreement only provided that, [t]aking into account that the Special Committee ... did recommend ... the approval of the [Merger], Phelps Dodge “expresses] [its] current intent, to [ ] submit its proxies to vote in favor of the [Merger]....”</w:t>
      </w:r>
      <w:r>
        <w:rPr>
          <w:rStyle w:val="FootnoteReference"/>
        </w:rPr>
        <w:footnoteReference w:customMarkFollows="1" w:id="629"/>
        <w:t xml:space="preserve">52</w:t>
      </w:r>
      <w:r>
        <w:t xml:space="preserve"> </w:t>
      </w:r>
      <w:r>
        <w:t xml:space="preserve">Thus, in the event that the Special Committee later withdrew its recommendation to approve the Merger, Cerro would be contractually bound to vote against it, but Grupo Mexico could still achieve the two-thirds vote required to approve the Merger solely with Phelps Dodge’s cooperation. Under the terms of the Merger Agreement, the Special Committee was free to change its recommendation of the Merger, but it was not able to terminate the Merger Agreement on the basis of such a change.</w:t>
      </w:r>
      <w:r>
        <w:rPr>
          <w:rStyle w:val="FootnoteReference"/>
        </w:rPr>
        <w:footnoteReference w:customMarkFollows="1" w:id="634"/>
        <w:t xml:space="preserve">53</w:t>
      </w:r>
      <w:r>
        <w:t xml:space="preserve"> </w:t>
      </w:r>
      <w:r>
        <w:t xml:space="preserve">Rather, a change in the Special Committee’s recommendation only gave Grupo Mexico the power to terminate the Merger Agreement.</w:t>
      </w:r>
      <w:r>
        <w:rPr>
          <w:rStyle w:val="FootnoteReference"/>
        </w:rPr>
        <w:footnoteReference w:customMarkFollows="1" w:id="639"/>
        <w:t xml:space="preserve">54</w:t>
      </w:r>
    </w:p>
    <w:p>
      <w:pPr>
        <w:pStyle w:val="CaseBody"/>
      </w:pPr>
      <w:r>
        <w:drawing>
          <wp:inline>
            <wp:extent cx="3552825" cy="428625"/>
            <wp:effectExtent b="0" l="0" r="0" t="0"/>
            <wp:docPr descr="" title="" id="1" name="Picture"/>
            <a:graphic>
              <a:graphicData uri="http://schemas.openxmlformats.org/drawingml/2006/picture">
                <pic:pic>
                  <pic:nvPicPr>
                    <pic:cNvPr descr="data:image/png;base64,iVBORw0KGgoAAAANSUhEUgAAAXUAAAAuAQAAAAD/uLTlAAAAw0lEQVR4nGP8z0AK+MlEknIGhlH1I1T9ARTe/wY4Cwb6/6MAeRTeP3sI/YNu7n+CcCIDAwPDib8o3Amf0NX/4zuArOCPDIqxP/Qx3GODouBfBQoXYRssBB78qEcOkA8fUcLn8WNo+DDSK//+/Iki/vAjCvfII3T1LxgcUNQfaEDmHqhHV8+4ANXeFyhcZgEogwWugAXFfJXIx8hcj2x082U+ozhAghnFfAM2dPVEAlLVI+LrgQIRyn/SLX5H1Y+qH4TqAYIFgystYcmcAAAAAElFTkSuQmCC" id="0" name="Picture"/>
                    <pic:cNvPicPr>
                      <a:picLocks noChangeArrowheads="1" noChangeAspect="1"/>
                    </pic:cNvPicPr>
                  </pic:nvPicPr>
                  <pic:blipFill>
                    <a:blip r:embed="rId357"/>
                    <a:stretch>
                      <a:fillRect/>
                    </a:stretch>
                  </pic:blipFill>
                  <pic:spPr bwMode="auto">
                    <a:xfrm>
                      <a:off x="0" y="0"/>
                      <a:ext cx="3552825" cy="428625"/>
                    </a:xfrm>
                    <a:prstGeom prst="rect">
                      <a:avLst/>
                    </a:prstGeom>
                    <a:noFill/>
                    <a:ln w="9525">
                      <a:noFill/>
                      <a:headEnd/>
                      <a:tailEnd/>
                    </a:ln>
                  </pic:spPr>
                </pic:pic>
              </a:graphicData>
            </a:graphic>
          </wp:inline>
        </w:drawing>
      </w:r>
    </w:p>
    <w:p>
      <w:pPr>
        <w:pStyle w:val="CaseBody"/>
      </w:pPr>
      <w:r>
        <w:t xml:space="preserve">This issue again warrants a pause. Although I am not prepared on this record to find that Handelsman consciously agreed to a suboptimal deal for Southern Peru simply to achieve liquidity for Cerro from Grupo Mexico, there is little doubt in my mind that Cerro’s own predicament as a</w:t>
      </w:r>
      <w:r>
        <w:t xml:space="preserve"> </w:t>
      </w:r>
      <w:r>
        <w:rPr>
          <w:iCs/>
          <w:i/>
        </w:rPr>
        <w:t xml:space="preserve">stockholder dependent on Grupo Mexico’s whim as a controller for registration rights</w:t>
      </w:r>
      <w:r>
        <w:t xml:space="preserve"> </w:t>
      </w:r>
      <w:r>
        <w:t xml:space="preserve">influenced how Handelsman approached the situation. That does not mean he consciously gave in, but it does means that he was less than ideally situated to press hard. Put simply, Cerro was even more subject to the dominion of Gru-po Mexico than smaller holders because Grupo Mexico had additional power over it because of the unregistered nature of its shares.</w:t>
      </w:r>
    </w:p>
    <w:p>
      <w:pPr>
        <w:pStyle w:val="CaseBody"/>
      </w:pPr>
      <w:r>
        <w:t xml:space="preserve">Perhaps most important, Cerro’s desires when considered alongside the Special Committee’s actions illustrate the tendency of control to result in odd behavior. During the negotiations of the Merger, Cerro had no interest in the long-term benefits to Southern Peru of acquiring Minera, nor did Phelps Dodge. Certainly, Cerro did not want any deal so disastrous that it would tank the value of Southern Peru completely, but nor did it have a rational incentive to say no to a suboptimal deal if that risked being locked into its investments. Cerro wanted to</w:t>
      </w:r>
      <w:r>
        <w:t xml:space="preserve"> </w:t>
      </w:r>
      <w:r>
        <w:rPr>
          <w:iCs/>
          <w:i/>
        </w:rPr>
        <w:t xml:space="preserve">sell</w:t>
      </w:r>
      <w:r>
        <w:t xml:space="preserve"> </w:t>
      </w:r>
      <w:r>
        <w:t xml:space="preserve">and</w:t>
      </w:r>
      <w:r>
        <w:t xml:space="preserve"> </w:t>
      </w:r>
      <w:r>
        <w:rPr>
          <w:iCs/>
          <w:i/>
        </w:rPr>
        <w:t xml:space="preserve">sell then and there.</w:t>
      </w:r>
      <w:r>
        <w:t xml:space="preserve"> </w:t>
      </w:r>
      <w:r>
        <w:t xml:space="preserve">But as a Special Committee member, Handelsman did not act consistently with that impulse for all stockholders. He did not suggest that Grupo Mexico make an offer for Southern Peru, but instead pursued a long-term strategic transaction in which Southern Peru was the buyer. A short-term seller of a company’s shares caused that company to be a long-term buyer.</w:t>
      </w:r>
    </w:p>
    <w:p>
      <w:pPr>
        <w:pStyle w:val="CaseBody"/>
      </w:pPr>
      <w:r>
        <w:t xml:space="preserve">L.</w:t>
      </w:r>
      <w:r>
        <w:t xml:space="preserve"> </w:t>
      </w:r>
      <w:r>
        <w:rPr>
          <w:iCs/>
          <w:i/>
        </w:rPr>
        <w:t xml:space="preserve">After One Last Price Adjustment, Goldman Makes Its Final Presentation,</w:t>
      </w:r>
    </w:p>
    <w:p>
      <w:pPr>
        <w:pStyle w:val="CaseBody"/>
      </w:pPr>
      <w:r>
        <w:t xml:space="preserve">On October 13, 2004, Grupo Mexico realized that it owned 99.15% of Minera rather than 98.84%, and the purchase price was adjusted to 67.2 million shares instead of 67 million shares to reflect the change in size of the interest being sold. On October 13, 2004, Southern Peru was trading at $45.90 per share, which meant that 67.2 million shares had a dollar worth of $3.08 billion.</w:t>
      </w:r>
      <w:r>
        <w:rPr>
          <w:rStyle w:val="FootnoteReference"/>
        </w:rPr>
        <w:footnoteReference w:customMarkFollows="1" w:id="644"/>
        <w:t xml:space="preserve">55</w:t>
      </w:r>
    </w:p>
    <w:p>
      <w:pPr>
        <w:pStyle w:val="CaseBody"/>
      </w:pPr>
      <w:r>
        <w:t xml:space="preserve">On October 21, 2004, the Special Committee met to consider whether to recommend that the Board approve the Merger. At that meeting, Goldman made a final presentation to the Special Committee. The October 21, 2004 presentation stated that Southern Peru’s implied equity value was $3.69 billion based on its then current market capitalization at a stock price of $46.41 and adjusting for debt. Minera’s implied equity value is stated as $3.146 billion, which was derived entirely from multiplying 67.2 million shares by Southern Peru’s $46.41 stock price and adjusting for the fact that Southern Peru was only buying 99.15% of Minera.</w:t>
      </w:r>
    </w:p>
    <w:p>
      <w:pPr>
        <w:pStyle w:val="CaseBody"/>
      </w:pPr>
      <w:r>
        <w:t xml:space="preserve">No standalone equity value of Minera was included in the October 21 presentation.</w:t>
      </w:r>
      <w:r>
        <w:rPr>
          <w:rStyle w:val="FootnoteReference"/>
        </w:rPr>
        <w:footnoteReference w:customMarkFollows="1" w:id="649"/>
        <w:t xml:space="preserve">56</w:t>
      </w:r>
      <w:r>
        <w:t xml:space="preserve"> </w:t>
      </w:r>
      <w:r>
        <w:t xml:space="preserve">Instead, the presentation included a series of relative DCF analyses and a “Contribution Analysis at Different EBIT-DA Scenarios,” both of which were presented in terms of a hypothetical number of Southern Peru shares to be issued to Grupo Mexico for Minera.</w:t>
      </w:r>
      <w:r>
        <w:rPr>
          <w:rStyle w:val="FootnoteReference"/>
        </w:rPr>
        <w:footnoteReference w:customMarkFollows="1" w:id="654"/>
        <w:t xml:space="preserve">57</w:t>
      </w:r>
      <w:r>
        <w:t xml:space="preserve"> </w:t>
      </w:r>
      <w:r>
        <w:t xml:space="preserve">Goldman’s relative DCF analyses provided various matrices showing the number of shares of Southern Peru that should be issued in exchange for Minera under various assumptions regarding the discount rate, the long-term copper price, the allocation of tax benefits, and the amount of royalties that Southern Peru would need to pay to the Peruvian government. As it had in all of its previous presentations, Goldman used a range of long-term copper prices from $0.80 to $1.00 per pound. The DCF analyses generated a range of the number of shares to be issued in the Merger from 47.2 million to 87.8 million. Based on the then-current stock price of $45.92, this translated to $2.17 billion to $4.03 billion in cash value.</w:t>
      </w:r>
      <w:r>
        <w:rPr>
          <w:rStyle w:val="FootnoteReference"/>
        </w:rPr>
        <w:footnoteReference w:customMarkFollows="1" w:id="659"/>
        <w:t xml:space="preserve">58</w:t>
      </w:r>
      <w:r>
        <w:t xml:space="preserve"> </w:t>
      </w:r>
      <w:r>
        <w:t xml:space="preserve">Assuming the mid-range figures of a discount rate of 8.5% and a long-term copper price of $0.90 per pound, the analyses yielded a range of shares from 60.7 to 78.7 million.</w:t>
      </w:r>
    </w:p>
    <w:p>
      <w:pPr>
        <w:pStyle w:val="CaseBody"/>
      </w:pPr>
      <w:r>
        <w:t xml:space="preserve">Goldman’s contribution analysis generated a range of 42 million to 56 million shares of Southern Peru to be issued based on an annualized 2004E EBITDA multiple (4.6x) and forecasted 2004E EBITDA multiple (5.0x), and a range of 58 million to 73 million shares based on an updated range of estimated 2005E EBIT-DA multiples (5.6x to 6.5x). Notably, the 2004E EBITDA multiples did not support the issuance of 67.2 million shares of Southern Peru stock in the Merger. But, 67.2 million shares falls at the higher end of the range of shares calculated using Southern Peru’s 2005E EBITDA multiples. As notable, these multiples were not the product of the median of the 2005E EBITDA multiples of comparable companies identified by Goldman (4.8x). Instead, the multiples used were even higher than Southern Peru’s own higher 2005E EBITDA Wall Street consensus (5.5x) — an adjusted version of which was used as the bottom end of the range. These higher multiples were then attributed to Minera, a non-publicly traded company suffering from a variety of financial and operational problems.</w:t>
      </w:r>
    </w:p>
    <w:p>
      <w:pPr>
        <w:pStyle w:val="CaseBody"/>
      </w:pPr>
      <w:r>
        <w:t xml:space="preserve">Goldman opined that the Merger was fair from a financial perspective to the stockholders of Southern Peru, and provided a written fairness opinion.</w:t>
      </w:r>
    </w:p>
    <w:p>
      <w:pPr>
        <w:pStyle w:val="CaseBody"/>
      </w:pPr>
      <w:r>
        <w:t xml:space="preserve">M.</w:t>
      </w:r>
      <w:r>
        <w:t xml:space="preserve"> </w:t>
      </w:r>
      <w:r>
        <w:rPr>
          <w:iCs/>
          <w:i/>
        </w:rPr>
        <w:t xml:space="preserve">The Special Committee And The Board Approve The Merger</w:t>
      </w:r>
    </w:p>
    <w:p>
      <w:pPr>
        <w:pStyle w:val="CaseBody"/>
      </w:pPr>
      <w:r>
        <w:t xml:space="preserve">After Goldman made its presentation, the Special Committee voted 3-0 to recommend the Merger to the Board. At the last-minute suggestion of Goldman, Han-delsman decided not to vote in order to remove any appearance of conflict based on his participation in the negotiation of Cerro’s registration rights, despite the fact that he had been heavily involved in the negotiations from the beginning and his hands had been deep in the dough of the now fully baked deal.</w:t>
      </w:r>
      <w:r>
        <w:rPr>
          <w:rStyle w:val="FootnoteReference"/>
        </w:rPr>
        <w:footnoteReference w:customMarkFollows="1" w:id="664"/>
        <w:t xml:space="preserve">59</w:t>
      </w:r>
    </w:p>
    <w:p>
      <w:pPr>
        <w:pStyle w:val="CaseBody"/>
      </w:pPr>
      <w:r>
        <w:t xml:space="preserve">The Board then unanimously approved the Merger and Southern Peru entered into the Merger Agreement.</w:t>
      </w:r>
    </w:p>
    <w:p>
      <w:pPr>
        <w:pStyle w:val="CaseBody"/>
      </w:pPr>
      <w:r>
        <w:t xml:space="preserve">N.</w:t>
      </w:r>
      <w:r>
        <w:t xml:space="preserve"> </w:t>
      </w:r>
      <w:r>
        <w:rPr>
          <w:iCs/>
          <w:i/>
        </w:rPr>
        <w:t xml:space="preserve">The Market Reacts To The Merger</w:t>
      </w:r>
    </w:p>
    <w:p>
      <w:pPr>
        <w:pStyle w:val="CaseBody"/>
      </w:pPr>
      <w:r>
        <w:t xml:space="preserve">The market reaction to the Merger was mixed and the parties have not presented any reliable evidence about it. That is, neither party had an expert perform an event study analyzing the market reaction to the Merger. Southern Peru’s stock price traded down by 4.6% when the Merger was announced. When the preliminary proxy statement, which provided more financial information regarding the Merger terms, became public on November 22, 2004, Southern Peru’s stock price again declined by 1.45%. But the stock price increased for two days after the final Proxy Statement was filed.</w:t>
      </w:r>
    </w:p>
    <w:p>
      <w:pPr>
        <w:pStyle w:val="CaseBody"/>
      </w:pPr>
      <w:r>
        <w:t xml:space="preserve">Determining what effect the Merger itself had on this rise is difficult because, as the plaintiff points out, this was not, as the defendants contend, the first time that Southern Peru and Minera’s financials were presented together. Rather, the same financial statements were in the preliminary Proxy Statement and the stock price fell.</w:t>
      </w:r>
    </w:p>
    <w:p>
      <w:pPr>
        <w:pStyle w:val="CaseBody"/>
      </w:pPr>
      <w:r>
        <w:t xml:space="preserve">But, as noted, the plaintiff also offers no evidence that these stock market fluctuations provide a reliable basis for assessing the fairness of the deal because it did not conduct a reliable event study.</w:t>
      </w:r>
    </w:p>
    <w:p>
      <w:pPr>
        <w:pStyle w:val="CaseBody"/>
      </w:pPr>
      <w:r>
        <w:t xml:space="preserve">In fact, against a backdrop of strong copper prices, the trading price of Southern Peru stock increased substantially by the time the Merger closed. By April 1, 2005, Southern Peru’s stock price had a market value of $55.89 per share, an increase of approximately 21.7% over the October 21, 2004 closing price. But lest this be attributed to the Merger, other factors were in play. This includes the general direction of copper prices, which lifted the market price of not just Southern Peru, but those of its publicly traded competitors.</w:t>
      </w:r>
      <w:r>
        <w:rPr>
          <w:rStyle w:val="FootnoteReference"/>
        </w:rPr>
        <w:footnoteReference w:customMarkFollows="1" w:id="669"/>
        <w:t xml:space="preserve">60</w:t>
      </w:r>
      <w:r>
        <w:t xml:space="preserve"> </w:t>
      </w:r>
      <w:r>
        <w:t xml:space="preserve">Furthermore, Southern Peru’s own financial performance was very strong, as will soon be discussed.</w:t>
      </w:r>
    </w:p>
    <w:p>
      <w:pPr>
        <w:pStyle w:val="CaseBody"/>
      </w:pPr>
      <w:r>
        <w:t xml:space="preserve">O.</w:t>
      </w:r>
      <w:r>
        <w:t xml:space="preserve"> </w:t>
      </w:r>
      <w:r>
        <w:rPr>
          <w:iCs/>
          <w:i/>
        </w:rPr>
        <w:t xml:space="preserve">Goldman Does Not Update Its Fairness Analysis</w:t>
      </w:r>
    </w:p>
    <w:p>
      <w:pPr>
        <w:pStyle w:val="CaseBody"/>
      </w:pPr>
      <w:r>
        <w:t xml:space="preserve">Despite rising Southern Peru share prices and performance, the Special Committee did not ask Goldman to update its fairness analysis at the time of the stockholder vote on the Merger and closing— nearly five months after the Special Committee had voted to recommend it. At trial, Handelsman testified that he called a representative at Goldman to ask whether the transaction was still fair, but Handels-man’s phone call hardly constitutes a request for an updated fairness analysis.</w:t>
      </w:r>
      <w:r>
        <w:rPr>
          <w:rStyle w:val="FootnoteReference"/>
        </w:rPr>
        <w:footnoteReference w:customMarkFollows="1" w:id="674"/>
        <w:t xml:space="preserve">61</w:t>
      </w:r>
    </w:p>
    <w:p>
      <w:pPr>
        <w:pStyle w:val="CaseBody"/>
      </w:pPr>
      <w:r>
        <w:t xml:space="preserve">The Special Committee’s failure to determine whether the Merger was still fair at the time of the Merger vote and closing is curious for two reasons.</w:t>
      </w:r>
    </w:p>
    <w:p>
      <w:pPr>
        <w:pStyle w:val="CaseBody"/>
      </w:pPr>
      <w:r>
        <w:t xml:space="preserve">First, for whatever the reason, Southern Peru’s stock price had gone up substantially since the Merger was announced in October 2004. In March 2005, Southern Peru stock was trading at an average price of $58.56 a share. The Special Committee had agreed to a collarless fixed exchange ratio and did not have a walk-away right. To my mind, an adroit Special Committee would have recognized the need to reevaluate the Merger in light of Southern Peru’s then-current stock price.</w:t>
      </w:r>
    </w:p>
    <w:p>
      <w:pPr>
        <w:pStyle w:val="CaseBody"/>
      </w:pPr>
      <w:r>
        <w:t xml:space="preserve">Second, Southern Peru’s actual 2004 EBITDA became available before the stockholder vote on the Merger took place, and Southern Peru had smashed through the projections that the Special Committee had used for it</w:t>
      </w:r>
      <w:r>
        <w:rPr>
          <w:rStyle w:val="FootnoteReference"/>
        </w:rPr>
        <w:footnoteReference w:customMarkFollows="1" w:id="680"/>
        <w:t xml:space="preserve">62</w:t>
      </w:r>
      <w:r>
        <w:t xml:space="preserve"> </w:t>
      </w:r>
      <w:r>
        <w:t xml:space="preserve">In the October 21 presentation, Goldman used a 2004E EBITDA for Southern Peru of $733 million and a 2004E EBITDA for Minera of $687 million. Southern Peru’s actual 2004 EBITDA was $1.005 billion, 37% more and almost $300 million more than the projections used by Goldman. Minera’s actual 2004 EBITDA, by contrast, was $681 million, 0.8% less than the projections used by Goldman. As I mentioned earlier, in its contribution analysis Goldman relied on the values (measured in Southern Peru shares) generated by applying an aggressive range of Southern Peru’s 2005E EBITDA multiples to Min-era’s A &amp; S-adjusted and unadjusted projections, not the 2004E EBITDA multiple, but the inaccuracy of Southern Peru’s estimated 2004 EBITDA should have given the Special Committee serious pause. If the 2004 EBITDA projections of Southern Peru — which were not optimized and had been prepared by Grupo Mexico-controlled management — were so grossly low, it provided reason to suspect that the 2005 EBITDA projections, which were even lower than the 2004 EBITDA projections, were also materially inaccurate, and that the assumptions forming the basis of Goldman’s contribution analysis should be reconsidered. Moreover, Southern Peru made $303.4 million in EBITDA in the first quarter of 2005, over 52% of the estimate in Goldman’s fairness presentation for Southern Peru’s 2005 full year performance. Although the first-quarter 2005 financial statements, which covered the period from January 1, 2005 to March 31, 2005, would not have been complete by the time of the stockholder vote, I can reasonably assume that, as directors of Southern Peru, the Special Committee had access to non-public information about Southern Peru’s monthly profit and loss statements. Southern Peru later beat its EBITDA projections for 2005 by a very large margin, 135%,</w:t>
      </w:r>
      <w:r>
        <w:rPr>
          <w:rStyle w:val="FootnoteReference"/>
        </w:rPr>
        <w:footnoteReference w:customMarkFollows="1" w:id="685"/>
        <w:t xml:space="preserve">63</w:t>
      </w:r>
      <w:r>
        <w:t xml:space="preserve"> </w:t>
      </w:r>
      <w:r>
        <w:t xml:space="preserve">a rate well ahead of Minera’s 2005 performance, which beat the deal estimates by a much lower 45%.</w:t>
      </w:r>
      <w:r>
        <w:rPr>
          <w:rStyle w:val="FootnoteReference"/>
        </w:rPr>
        <w:footnoteReference w:customMarkFollows="1" w:id="690"/>
        <w:t xml:space="preserve">64</w:t>
      </w:r>
    </w:p>
    <w:p>
      <w:pPr>
        <w:pStyle w:val="CaseBody"/>
      </w:pPr>
      <w:r>
        <w:t xml:space="preserve">The Special Committee’s failure to get a fairness update was even more of a concern because Cerro had agreed to vote against the Merger if the Special Committee changed its recommendation. The Special Committee failed to obtain a majority of the minority vote requirement, but it supposedly agreed to a two-thirds vote requirement instead because a two-thirds vote still prevented Grupo Mexico from unilaterally approving the Merger. This out was only meaningful, however, if the Special Committee took the recommendation process seriously. If the Special Committee maintained its recommendation, Cerro had to vote for the Merger, and its vote combined with Grupo Mexico’s vote would ensure passage. By contrast, if the Special Committee changed its recommendation, Cerro was obligated to vote against the Merger.</w:t>
      </w:r>
    </w:p>
    <w:p>
      <w:pPr>
        <w:pStyle w:val="CaseBody"/>
      </w:pPr>
      <w:r>
        <w:t xml:space="preserve">The tying of Cerro’s voting agreement to the Special Committee’s recommendation was somewhat odd, in another respect. In a situation involving a third-party merger sale of a company without a controlling stockholder, the third party will often want to lock up some votes in support of a deal. A large blocholder and the target board might therefore negotiate a compromise, whereby the blocholder agrees to vote yes if the target board or special committee maintains a recommendation in favor of the transaction. In this situation, however, there is a factor not present here. In an arm’s-length deal, the target usually has the flexibility to change its recommendation or terminate the original merger upon certain conditions, including if a superior proposal is available, or an intervening event makes the transaction impossible to recommend in compliance with the target’s fiduciary duties. Here, by contrast, Grupo Mexico faced no such risk of a competing superior proposal because it controlled Southern Peru. Furthermore, the fiduciary out that the Special Committee negotiated for in the Merger agreement provided only that the Special Committee could change its recommendation in favor of the Merger, not that it could terminate the Merger altogether or avoid a vote on the Merger. The only utility therefore of the recommendation provision was if the Special Committee seriously considered the events between the time of signing and the stockholder vote and made a renewed determination of whether the deal was fair. There is no evidence of such a serious examination, despite important emerging evidence that the transaction’s terms were skewed in favor of Grupo Mexico.</w:t>
      </w:r>
    </w:p>
    <w:p>
      <w:pPr>
        <w:pStyle w:val="CaseBody"/>
      </w:pPr>
      <w:r>
        <w:rPr>
          <w:iCs/>
          <w:i/>
        </w:rPr>
        <w:t xml:space="preserve">P.Southern Peru’s Stockholders Approve The Merger</w:t>
      </w:r>
    </w:p>
    <w:p>
      <w:pPr>
        <w:pStyle w:val="CaseBody"/>
      </w:pPr>
      <w:r>
        <w:t xml:space="preserve">On March 28, 2005, the stockholders of Southern Peru voted to approve the Merger. More than 90% of the stockholders voted in favor of the Merger. The Merger then closed on April 1, 2005. At the time of closing, 67.2 million shares of Southern Peru had a market value of $3.75 billion.</w:t>
      </w:r>
      <w:r>
        <w:rPr>
          <w:rStyle w:val="FootnoteReference"/>
        </w:rPr>
        <w:footnoteReference w:customMarkFollows="1" w:id="695"/>
        <w:t xml:space="preserve">65</w:t>
      </w:r>
    </w:p>
    <w:p>
      <w:pPr>
        <w:pStyle w:val="CaseBody"/>
      </w:pPr>
      <w:r>
        <w:rPr>
          <w:iCs/>
          <w:i/>
        </w:rPr>
        <w:t xml:space="preserve">Q.Cerro Sells Its Shares</w:t>
      </w:r>
    </w:p>
    <w:p>
      <w:pPr>
        <w:pStyle w:val="CaseBody"/>
      </w:pPr>
      <w:r>
        <w:t xml:space="preserve">On June 15, 2005, Cerro, which had a basis in its stock of only $1.32 per share, sold its entire interest in Southern Peru in an underwritten offering at $40.635 per share. Cerro sold its stock at a discount to the then-current market price, as the low-high trading prices for one day before the sale were $43.08 to $44.10 per share. This illustrates Cerro’s problematic incentives.</w:t>
      </w:r>
    </w:p>
    <w:p>
      <w:pPr>
        <w:pStyle w:val="CaseBody"/>
      </w:pPr>
      <w:r>
        <w:rPr>
          <w:iCs/>
          <w:i/>
        </w:rPr>
        <w:t xml:space="preserve">R.The Plaintiff Sues The Defendants And The Special Committee</w:t>
      </w:r>
    </w:p>
    <w:p>
      <w:pPr>
        <w:pStyle w:val="CaseBody"/>
      </w:pPr>
      <w:r>
        <w:t xml:space="preserve">This derivative suit challenging the Merger, first filed in late 2004, moved too slowly, and it was not until June 30, 2010 that the plaintiff moved for summary judgment.</w:t>
      </w:r>
      <w:r>
        <w:rPr>
          <w:rStyle w:val="FootnoteReference"/>
        </w:rPr>
        <w:footnoteReference w:customMarkFollows="1" w:id="700"/>
        <w:t xml:space="preserve">66</w:t>
      </w:r>
      <w:r>
        <w:t xml:space="preserve"> </w:t>
      </w:r>
      <w:r>
        <w:t xml:space="preserve">On August 10, 2010, the defendants filed a cross-motion for summary judgment, or in the alternative, to shift the burden of proof to the plaintiff under the entire fairness standard. On August 11, 2010, the individual Special Committee defendants cross-moved for summary judgment on all claims under Southern Peru’s exculpatory provision adopted under 8</w:t>
      </w:r>
      <w:r>
        <w:t xml:space="preserve"> </w:t>
      </w:r>
      <w:r>
        <w:rPr>
          <w:iCs/>
          <w:i/>
        </w:rPr>
        <w:t xml:space="preserve">Del. C.</w:t>
      </w:r>
      <w:r>
        <w:t xml:space="preserve"> </w:t>
      </w:r>
      <w:r>
        <w:t xml:space="preserve">§ 102(b)(7). At a hearing held on December 21, 2010, I dismissed the Special Committee defendants from the case because the plaintiff had failed to present evidence supporting a non-exculpated breach of their fiduciary duty of loyalty, and I denied all other motions for summary judgment. This, of course, did not mean that the Special Committee had acted adroitly or that the remaining defendants, Grupo Mexico and its affiliates, were immune from liability.</w:t>
      </w:r>
    </w:p>
    <w:p>
      <w:pPr>
        <w:pStyle w:val="CaseBody"/>
      </w:pPr>
      <w:r>
        <w:t xml:space="preserve">In contrast to the Special Committee defendants, precisely because the remaining directors were employed by Grupo Mexico, which had a self-dealing interest directly in conflict with Southern Peru, the exculpatory charter provision was of no benefit to them at that stage, given the factual question regarding their motivations. At trial, these individual Grupo Mexico-affiliated director defendants made no effort to show that they acted in good faith and were entitled to exculpation despite their lack of independence. In other words, the Grupo Mexico-affiliated directors did nothing to distinguish each other and none of them argued that he should not bear liability for breach of the duty of loyalty if the transaction was unfairly advantageous to Grupo Mexico, which had a direct self-dealing interest in the Merger. Their liability therefore rises or falls with the issue of fairness.</w:t>
      </w:r>
      <w:r>
        <w:rPr>
          <w:rStyle w:val="FootnoteReference"/>
        </w:rPr>
        <w:footnoteReference w:customMarkFollows="1" w:id="705"/>
        <w:t xml:space="preserve">67</w:t>
      </w:r>
    </w:p>
    <w:p>
      <w:pPr>
        <w:pStyle w:val="CaseBody"/>
      </w:pPr>
      <w:r>
        <w:t xml:space="preserve">In dismissing the Special Committee members on the summary judgment record, I necessarily treated the predicament faced by Cerro and Handelsman, which involved facing additional economic pressures as a minority stockholder as a result of Grupo Mexico’s control, differently than a classic self-dealing interest. I continue, as you will see, to hold that view. Although I believe that Cerro, and therefore Handelsman, were influenced by Cerro’s desire for liquidity as a stockholder, it seems to me counterproductive to equate a legitimate concern of a stockholder for liquidity from a controller into a self-dealing interest.</w:t>
      </w:r>
      <w:r>
        <w:rPr>
          <w:rStyle w:val="FootnoteReference"/>
        </w:rPr>
        <w:footnoteReference w:customMarkFollows="1" w:id="710"/>
        <w:t xml:space="preserve">68</w:t>
      </w:r>
      <w:r>
        <w:t xml:space="preserve"> </w:t>
      </w:r>
      <w:r>
        <w:t xml:space="preserve">I therefore concluded that there had to be a triable issue regarding whether Handelsman acted in subjective bad faith to force him to trial. I concluded then on that record that no such issue of fact existed and even on the fuller trial record (where the plaintiff actually made much more of an effort to pursue this angle), I still could not find that Handels-man acted in bad faith to purposely accept an unfair deal. But Cerro, and therefore Handelsman, did have the sort of economic concern that ideally should have been addressed upfront and forthrightly in terms of whether the stockholder’s interest well positioned its representative to serve on a special committee. Put simply, although I continue to be unpersuaded that one can label Handelsman as having acted with the state of mind required to expose him to liability given the exculpatory charter protection to which he is entitled, I am persuaded that Cerro’s desire to sell influenced how Handelsman approached his duties and compromised his effectiveness.</w:t>
      </w:r>
    </w:p>
    <w:p>
      <w:pPr>
        <w:pStyle w:val="CaseBody"/>
      </w:pPr>
      <w:r>
        <w:t xml:space="preserve">III.</w:t>
      </w:r>
      <w:r>
        <w:t xml:space="preserve"> </w:t>
      </w:r>
      <w:r>
        <w:rPr>
          <w:iCs/>
          <w:i/>
        </w:rPr>
        <w:t xml:space="preserve">Legal Analysis</w:t>
      </w:r>
    </w:p>
    <w:p>
      <w:pPr>
        <w:pStyle w:val="CaseBody"/>
      </w:pPr>
      <w:r>
        <w:t xml:space="preserve">A.</w:t>
      </w:r>
      <w:r>
        <w:t xml:space="preserve"> </w:t>
      </w:r>
      <w:r>
        <w:rPr>
          <w:iCs/>
          <w:i/>
        </w:rPr>
        <w:t xml:space="preserve">The Standard Of Review Is Entire Fairness</w:t>
      </w:r>
    </w:p>
    <w:p>
      <w:pPr>
        <w:pStyle w:val="CaseBody"/>
      </w:pPr>
      <w:r>
        <w:t xml:space="preserve">Consistent with the Supreme Court’s decision in</w:t>
      </w:r>
      <w:r>
        <w:t xml:space="preserve"> </w:t>
      </w:r>
      <w:r>
        <w:rPr>
          <w:iCs/>
          <w:i/>
        </w:rPr>
        <w:t xml:space="preserve">Kahn v. Tremont,</w:t>
      </w:r>
      <w:r>
        <w:t xml:space="preserve"> </w:t>
      </w:r>
      <w:r>
        <w:t xml:space="preserve">both the plaintiff and the defendants agree that the appropriate standard of review for the Merger is entire fairness, regardless of the existence of the Special Committee.</w:t>
      </w:r>
      <w:r>
        <w:rPr>
          <w:rStyle w:val="FootnoteReference"/>
        </w:rPr>
        <w:footnoteReference w:customMarkFollows="1" w:id="715"/>
        <w:t xml:space="preserve">69</w:t>
      </w:r>
      <w:r>
        <w:t xml:space="preserve"> </w:t>
      </w:r>
      <w:r>
        <w:t xml:space="preserve">Given this agreement, there is no need to consider whether room is open under our law for use of the business judgment rule standard in a circumstance like this, if the transaction were conditioned upon the use of a combination of sufficiently protective procedural devices.</w:t>
      </w:r>
      <w:r>
        <w:rPr>
          <w:rStyle w:val="FootnoteReference"/>
        </w:rPr>
        <w:footnoteReference w:customMarkFollows="1" w:id="720"/>
        <w:t xml:space="preserve">70</w:t>
      </w:r>
      <w:r>
        <w:t xml:space="preserve"> </w:t>
      </w:r>
      <w:r>
        <w:t xml:space="preserve">Absent some argument by a party to that effect, judicial restraint counsels my accepting the parties’ framework. Where, as here, a controlling stockholder stands on both sides of a transaction, the interested defendants are “required to demonstrate their utmost good faith and the most scrupulous inherent fairness of the bargain.”</w:t>
      </w:r>
      <w:r>
        <w:rPr>
          <w:rStyle w:val="FootnoteReference"/>
        </w:rPr>
        <w:footnoteReference w:customMarkFollows="1" w:id="725"/>
        <w:t xml:space="preserve">71</w:t>
      </w:r>
      <w:r>
        <w:t xml:space="preserve"> </w:t>
      </w:r>
      <w:r>
        <w:t xml:space="preserve">In other words, the defendants with a conflicting self-interest must demonstrate that the deal was entirely fair to the other stockholders.</w:t>
      </w:r>
      <w:r>
        <w:rPr>
          <w:rStyle w:val="FootnoteReference"/>
        </w:rPr>
        <w:footnoteReference w:customMarkFollows="1" w:id="730"/>
        <w:t xml:space="preserve">72</w:t>
      </w:r>
    </w:p>
    <w:p>
      <w:pPr>
        <w:pStyle w:val="CaseBody"/>
      </w:pPr>
      <w:r>
        <w:t xml:space="preserve">The entire fairness standard is well-known and has “two basic aspects” of fairness: process (“fair dealing”) and price (“fair price”).</w:t>
      </w:r>
      <w:r>
        <w:rPr>
          <w:rStyle w:val="FootnoteReference"/>
        </w:rPr>
        <w:footnoteReference w:customMarkFollows="1" w:id="735"/>
        <w:t xml:space="preserve">73</w:t>
      </w:r>
      <w:r>
        <w:t xml:space="preserve"> </w:t>
      </w:r>
      <w:r>
        <w:t xml:space="preserve">As explained by our Supreme Court, fair dealing “embraces questions of when the transaction was timed, how it was initiated, structured, negotiated, disclosed to the directors, and how the approvals of the directors and the stockholders were obtained,” and fair price “relates to the economic and financial considerations of the proposed merger, including all relevant factors: assets, market value, earnings, future prospects, and any other elements that affect the intrinsic or inherent value of a company’s stock.”</w:t>
      </w:r>
      <w:r>
        <w:rPr>
          <w:rStyle w:val="FootnoteReference"/>
        </w:rPr>
        <w:footnoteReference w:customMarkFollows="1" w:id="740"/>
        <w:t xml:space="preserve">74</w:t>
      </w:r>
    </w:p>
    <w:p>
      <w:pPr>
        <w:pStyle w:val="CaseBody"/>
      </w:pPr>
      <w:r>
        <w:t xml:space="preserve">Although the concept of entire fairness has two components, the entire fairness analysis is not bifurcated. Rather, the court “determines entire fairness based on all aspects of the entire transaction.”</w:t>
      </w:r>
      <w:r>
        <w:rPr>
          <w:rStyle w:val="FootnoteReference"/>
        </w:rPr>
        <w:footnoteReference w:customMarkFollows="1" w:id="745"/>
        <w:t xml:space="preserve">75</w:t>
      </w:r>
      <w:r>
        <w:t xml:space="preserve"> </w:t>
      </w:r>
      <w:r>
        <w:t xml:space="preserve">Our Supreme Court has recognized, however,' that, at least in non-fraudulent transactions, “price may be the preponderant consideration....”</w:t>
      </w:r>
      <w:r>
        <w:rPr>
          <w:rStyle w:val="FootnoteReference"/>
        </w:rPr>
        <w:footnoteReference w:customMarkFollows="1" w:id="750"/>
        <w:t xml:space="preserve">76</w:t>
      </w:r>
      <w:r>
        <w:t xml:space="preserve"> </w:t>
      </w:r>
      <w:r>
        <w:t xml:space="preserve">That is, although evidence of fair dealing may help demonstrate the fairness of the price obtained, what ultimately matters most is that the price was a fair one.</w:t>
      </w:r>
      <w:r>
        <w:rPr>
          <w:rStyle w:val="FootnoteReference"/>
        </w:rPr>
        <w:footnoteReference w:customMarkFollows="1" w:id="754"/>
        <w:t xml:space="preserve">77</w:t>
      </w:r>
    </w:p>
    <w:p>
      <w:pPr>
        <w:pStyle w:val="CaseBody"/>
      </w:pPr>
      <w:r>
        <w:t xml:space="preserve">Of course, under our law, the defendants may shift the burden of persuasion on entire fairness to the plaintiff in certain circumstances. I now turn to the defendants’ arguments about that issue.</w:t>
      </w:r>
    </w:p>
    <w:p>
      <w:pPr>
        <w:pStyle w:val="CaseBody"/>
      </w:pPr>
      <w:r>
        <w:t xml:space="preserve">B.</w:t>
      </w:r>
      <w:r>
        <w:t xml:space="preserve"> </w:t>
      </w:r>
      <w:r>
        <w:rPr>
          <w:iCs/>
          <w:i/>
        </w:rPr>
        <w:t xml:space="preserve">Are The Defendants Entitled To Shift The Burden Of Persuasion?</w:t>
      </w:r>
    </w:p>
    <w:p>
      <w:pPr>
        <w:pStyle w:val="CaseBody"/>
      </w:pPr>
      <w:r>
        <w:t xml:space="preserve">Having served as a trial judge for many years now, it is with some chagrin that I admit that I tried this case without determining in advance which side had the burden of persuasion. But I did not do so lightly. Under the</w:t>
      </w:r>
      <w:r>
        <w:t xml:space="preserve"> </w:t>
      </w:r>
      <w:r>
        <w:rPr>
          <w:iCs/>
          <w:i/>
        </w:rPr>
        <w:t xml:space="preserve">Lynch</w:t>
      </w:r>
      <w:r>
        <w:t xml:space="preserve"> </w:t>
      </w:r>
      <w:r>
        <w:t xml:space="preserve">doctrine,</w:t>
      </w:r>
      <w:r>
        <w:rPr>
          <w:rStyle w:val="FootnoteReference"/>
        </w:rPr>
        <w:footnoteReference w:customMarkFollows="1" w:id="758"/>
        <w:t xml:space="preserve">78</w:t>
      </w:r>
      <w:r>
        <w:t xml:space="preserve"> </w:t>
      </w:r>
      <w:r>
        <w:t xml:space="preserve">when the entire fairness standard applies, controlling stockholders can never escape entire fairness review,</w:t>
      </w:r>
      <w:r>
        <w:rPr>
          <w:rStyle w:val="FootnoteReference"/>
        </w:rPr>
        <w:footnoteReference w:customMarkFollows="1" w:id="762"/>
        <w:t xml:space="preserve">79</w:t>
      </w:r>
      <w:r>
        <w:t xml:space="preserve"> </w:t>
      </w:r>
      <w:r>
        <w:t xml:space="preserve">but they may shift the burden of persuasion by one of two means: they may show that the transaction was approved either by an independent board majority (or in the alternative, a special committee of independent directors) or, assuming certain conditions, by an informed vote of the majority of the minority shareholders.</w:t>
      </w:r>
      <w:r>
        <w:rPr>
          <w:rStyle w:val="FootnoteReference"/>
        </w:rPr>
        <w:footnoteReference w:customMarkFollows="1" w:id="766"/>
        <w:t xml:space="preserve">80</w:t>
      </w:r>
    </w:p>
    <w:p>
      <w:pPr>
        <w:pStyle w:val="CaseBody"/>
      </w:pPr>
      <w:r>
        <w:t xml:space="preserve">1.</w:t>
      </w:r>
      <w:r>
        <w:t xml:space="preserve"> </w:t>
      </w:r>
      <w:r>
        <w:rPr>
          <w:iCs/>
          <w:i/>
        </w:rPr>
        <w:t xml:space="preserve">Is The Burden Shifted Because Of The Special Committee Process?</w:t>
      </w:r>
    </w:p>
    <w:p>
      <w:pPr>
        <w:pStyle w:val="CaseBody"/>
      </w:pPr>
      <w:r>
        <w:t xml:space="preserve">In this case, the defendants filed a summary judgment motion arguing that the Special Committee process was entitled to dignity under</w:t>
      </w:r>
      <w:r>
        <w:t xml:space="preserve"> </w:t>
      </w:r>
      <w:r>
        <w:rPr>
          <w:iCs/>
          <w:i/>
        </w:rPr>
        <w:t xml:space="preserve">Lynch</w:t>
      </w:r>
      <w:r>
        <w:t xml:space="preserve"> </w:t>
      </w:r>
      <w:r>
        <w:t xml:space="preserve">and shifted the burden of persuasion under the preponderance standard to the plaintiff. I found the summary judgment record insufficient to determine that question for the following reason.</w:t>
      </w:r>
    </w:p>
    <w:p>
      <w:pPr>
        <w:pStyle w:val="CaseBody"/>
      </w:pPr>
      <w:r>
        <w:rPr>
          <w:iCs/>
          <w:i/>
        </w:rPr>
        <w:t xml:space="preserve">Lynch</w:t>
      </w:r>
      <w:r>
        <w:t xml:space="preserve"> </w:t>
      </w:r>
      <w:r>
        <w:t xml:space="preserve">and its progeny leave doubt in my mind about what is required of a Special Committee to obtain a burden shift. For their part, the defendants argue that what is required is a special committee comprised of independent directors who selected independent advisors and who had the ability to negotiate and reject a transaction. This is, of course, consistent with what one would expect in determining a standard of review that would actually be used in deciding a case. By contrast, the plaintiff stresses that only an effective special committee operates to shift the burden of persuasion,</w:t>
      </w:r>
      <w:r>
        <w:rPr>
          <w:rStyle w:val="FootnoteReference"/>
        </w:rPr>
        <w:footnoteReference w:customMarkFollows="1" w:id="770"/>
        <w:t xml:space="preserve">81</w:t>
      </w:r>
      <w:r>
        <w:t xml:space="preserve"> </w:t>
      </w:r>
      <w:r>
        <w:t xml:space="preserve">and that a factual determination must be made regarding whether the special committee in fact operated with the degree of ardor and skill one would have expected of an arms-length negotiator with true bargaining power.</w:t>
      </w:r>
    </w:p>
    <w:p>
      <w:pPr>
        <w:pStyle w:val="CaseBody"/>
      </w:pPr>
      <w:r>
        <w:t xml:space="preserve">To my mind, which has pondered the relevant cases for many years, there remains confusion. In the most relevant case,</w:t>
      </w:r>
      <w:r>
        <w:t xml:space="preserve"> </w:t>
      </w:r>
      <w:r>
        <w:rPr>
          <w:iCs/>
          <w:i/>
        </w:rPr>
        <w:t xml:space="preserve">Tremont,</w:t>
      </w:r>
      <w:r>
        <w:t xml:space="preserve"> </w:t>
      </w:r>
      <w:r>
        <w:t xml:space="preserve">the Supreme Court clearly said that to obtain a burden shift, however slight those benefits may be,</w:t>
      </w:r>
      <w:r>
        <w:rPr>
          <w:rStyle w:val="FootnoteReference"/>
        </w:rPr>
        <w:footnoteReference w:customMarkFollows="1" w:id="774"/>
        <w:t xml:space="preserve">82</w:t>
      </w:r>
      <w:r>
        <w:t xml:space="preserve"> </w:t>
      </w:r>
      <w:r>
        <w:t xml:space="preserve">the special committee must “function in a manner which indicates that the controlling shareholder did not dictate the terms of the transaction and that the committee exercised real bargaining power ‘at an arms-length.’ ”</w:t>
      </w:r>
      <w:r>
        <w:rPr>
          <w:rStyle w:val="FootnoteReference"/>
        </w:rPr>
        <w:footnoteReference w:customMarkFollows="1" w:id="778"/>
        <w:t xml:space="preserve">83</w:t>
      </w:r>
      <w:r>
        <w:t xml:space="preserve"> </w:t>
      </w:r>
      <w:r>
        <w:t xml:space="preserve">A close look at</w:t>
      </w:r>
      <w:r>
        <w:t xml:space="preserve"> </w:t>
      </w:r>
      <w:r>
        <w:rPr>
          <w:iCs/>
          <w:i/>
        </w:rPr>
        <w:t xml:space="preserve">Tremont</w:t>
      </w:r>
      <w:r>
        <w:t xml:space="preserve"> </w:t>
      </w:r>
      <w:r>
        <w:t xml:space="preserve">suggests that the inquiry must focus on how the special committee actually negotiated the deal — was it “well functioning”</w:t>
      </w:r>
      <w:r>
        <w:rPr>
          <w:rStyle w:val="FootnoteReference"/>
        </w:rPr>
        <w:footnoteReference w:customMarkFollows="1" w:id="782"/>
        <w:t xml:space="preserve">84</w:t>
      </w:r>
      <w:r>
        <w:t xml:space="preserve">— rather than just how the committee was set up.</w:t>
      </w:r>
      <w:r>
        <w:rPr>
          <w:rStyle w:val="FootnoteReference"/>
        </w:rPr>
        <w:footnoteReference w:customMarkFollows="1" w:id="786"/>
        <w:t xml:space="preserve">85</w:t>
      </w:r>
      <w:r>
        <w:t xml:space="preserve"> </w:t>
      </w:r>
      <w:r>
        <w:t xml:space="preserve">The test, therefore, seems to contemplate a look back at the substance, and efficacy, of the special committee’s negotiations, rather than just a look at the composition and mandate of the special committee.</w:t>
      </w:r>
      <w:r>
        <w:rPr>
          <w:rStyle w:val="FootnoteReference"/>
        </w:rPr>
        <w:footnoteReference w:customMarkFollows="1" w:id="790"/>
        <w:t xml:space="preserve">86</w:t>
      </w:r>
      <w:r>
        <w:t xml:space="preserve"> </w:t>
      </w:r>
      <w:r>
        <w:t xml:space="preserve">That interpretation is confirmed by a closer look at the Supreme Court’s treatment of the factors that the Court found indicated that the special committee “did not operate in an independent or informed manner... ,”</w:t>
      </w:r>
      <w:r>
        <w:rPr>
          <w:rStyle w:val="FootnoteReference"/>
        </w:rPr>
        <w:footnoteReference w:customMarkFollows="1" w:id="794"/>
        <w:t xml:space="preserve">87</w:t>
      </w:r>
      <w:r>
        <w:t xml:space="preserve"> </w:t>
      </w:r>
      <w:r>
        <w:t xml:space="preserve">Although the notion of an “independent” and “informed manner” might suggest that the only relevant factors to that inquiry are those that speak to the special committee’s ties with the controlling stockholder (i.e., its independence) and its ability to retain independent advisors and say no, the majority and concurring decisions in</w:t>
      </w:r>
      <w:r>
        <w:t xml:space="preserve"> </w:t>
      </w:r>
      <w:r>
        <w:rPr>
          <w:iCs/>
          <w:i/>
        </w:rPr>
        <w:t xml:space="preserve">Tremont</w:t>
      </w:r>
      <w:r>
        <w:t xml:space="preserve"> </w:t>
      </w:r>
      <w:r>
        <w:t xml:space="preserve">seem to reveal that was not the approach taken by the Court.</w:t>
      </w:r>
      <w:r>
        <w:t xml:space="preserve"> </w:t>
      </w:r>
      <w:r>
        <w:rPr>
          <w:iCs/>
          <w:i/>
        </w:rPr>
        <w:t xml:space="preserve">Tremont</w:t>
      </w:r>
      <w:r>
        <w:t xml:space="preserve"> </w:t>
      </w:r>
      <w:r>
        <w:t xml:space="preserve">seems to focus both on indicia of independence and indicia of procedural and even substantive fairness. For example, the Supreme Court found problematic the supposedly outside directors’ previous business relationships with the controlling stockholder that resulted in significant financial compensation or influential board positions</w:t>
      </w:r>
      <w:r>
        <w:rPr>
          <w:rStyle w:val="FootnoteReference"/>
        </w:rPr>
        <w:footnoteReference w:customMarkFollows="1" w:id="798"/>
        <w:t xml:space="preserve">88</w:t>
      </w:r>
      <w:r>
        <w:t xml:space="preserve"> </w:t>
      </w:r>
      <w:r>
        <w:t xml:space="preserve">and their selection of advisors who were in some capacity affiliated with the controlling stockholder,</w:t>
      </w:r>
      <w:r>
        <w:rPr>
          <w:rStyle w:val="FootnoteReference"/>
        </w:rPr>
        <w:footnoteReference w:customMarkFollows="1" w:id="802"/>
        <w:t xml:space="preserve">89</w:t>
      </w:r>
      <w:r>
        <w:t xml:space="preserve"> </w:t>
      </w:r>
      <w:r>
        <w:t xml:space="preserve">both of which are factors that speak to the special committee’s facial independence.</w:t>
      </w:r>
    </w:p>
    <w:p>
      <w:pPr>
        <w:pStyle w:val="CaseBody"/>
      </w:pPr>
      <w:r>
        <w:t xml:space="preserve">But, the Supreme Court also seems to call into question the substance of the special committee’s actual efforts, noting the special committee directors’ heavy reliance on projections prepared by the controlling stockholder,</w:t>
      </w:r>
      <w:r>
        <w:rPr>
          <w:rStyle w:val="FootnoteReference"/>
        </w:rPr>
        <w:footnoteReference w:customMarkFollows="1" w:id="806"/>
        <w:t xml:space="preserve">90</w:t>
      </w:r>
      <w:r>
        <w:t xml:space="preserve"> </w:t>
      </w:r>
      <w:r>
        <w:t xml:space="preserve">their perfunctory effort at scheduling and attending committee meetings,</w:t>
      </w:r>
      <w:r>
        <w:rPr>
          <w:rStyle w:val="FootnoteReference"/>
        </w:rPr>
        <w:footnoteReference w:customMarkFollows="1" w:id="810"/>
        <w:t xml:space="preserve">91</w:t>
      </w:r>
      <w:r>
        <w:t xml:space="preserve"> </w:t>
      </w:r>
      <w:r>
        <w:t xml:space="preserve">and the limitation on the exchange of ideas that resulted from the directors’ failure to fully participate in an active process.</w:t>
      </w:r>
      <w:r>
        <w:rPr>
          <w:rStyle w:val="FootnoteReference"/>
        </w:rPr>
        <w:footnoteReference w:customMarkFollows="1" w:id="814"/>
        <w:t xml:space="preserve">92</w:t>
      </w:r>
    </w:p>
    <w:p>
      <w:pPr>
        <w:pStyle w:val="CaseBody"/>
      </w:pPr>
      <w:r>
        <w:t xml:space="preserve">Judge Quillen’s concurring opinion</w:t>
      </w:r>
      <w:r>
        <w:rPr>
          <w:rStyle w:val="FootnoteReference"/>
        </w:rPr>
        <w:footnoteReference w:customMarkFollows="1" w:id="818"/>
        <w:t xml:space="preserve">93</w:t>
      </w:r>
      <w:r>
        <w:t xml:space="preserve"> </w:t>
      </w:r>
      <w:r>
        <w:t xml:space="preserve">most clearly contemplates a focus on both indicia of independence and indicia of substantive fairness in the negotiation process. In confirming the majority’s ruling to deny the defendants the benefit of the burden shift, Judge Quillen begins by reviewing the special committee’s ties to the controlling stockholder and its selection of questionable advisors (i.e., factors that could be applied early in a case to determine the burden allocation), but then he moves into a discussion where he points to deficiencies in the substance of the special committee’s negotiations, which cannot in any easy way be separated from an examination of fairness. The concurrence questions the special committee’s failure to take advantage of certain opportunities to exert leverage over the controlling stockholder</w:t>
      </w:r>
      <w:r>
        <w:t xml:space="preserve"> </w:t>
      </w:r>
      <w:r>
        <w:rPr>
          <w:rStyle w:val="FootnoteReference"/>
        </w:rPr>
        <w:footnoteReference w:customMarkFollows="1" w:id="822"/>
        <w:t xml:space="preserve">94</w:t>
      </w:r>
      <w:r>
        <w:t xml:space="preserve"> </w:t>
      </w:r>
      <w:r>
        <w:t xml:space="preserve">as well as its failure to negotiate the price of the stock purchase downward when there was indicia of price manipulation,</w:t>
      </w:r>
      <w:r>
        <w:rPr>
          <w:rStyle w:val="FootnoteReference"/>
        </w:rPr>
        <w:footnoteReference w:customMarkFollows="1" w:id="826"/>
        <w:t xml:space="preserve">95</w:t>
      </w:r>
      <w:r>
        <w:t xml:space="preserve"> </w:t>
      </w:r>
      <w:r>
        <w:t xml:space="preserve">when the controlling stockholder’s chief negotiator knew that the stock was worth less than the market,</w:t>
      </w:r>
      <w:r>
        <w:rPr>
          <w:rStyle w:val="FootnoteReference"/>
        </w:rPr>
        <w:footnoteReference w:customMarkFollows="1" w:id="830"/>
        <w:t xml:space="preserve">96</w:t>
      </w:r>
      <w:r>
        <w:t xml:space="preserve"> </w:t>
      </w:r>
      <w:r>
        <w:t xml:space="preserve">and when the target’s stock price dropped precipitously before the date of signing.</w:t>
      </w:r>
      <w:r>
        <w:rPr>
          <w:rStyle w:val="FootnoteReference"/>
        </w:rPr>
        <w:footnoteReference w:customMarkFollows="1" w:id="834"/>
        <w:t xml:space="preserve">97</w:t>
      </w:r>
      <w:r>
        <w:t xml:space="preserve"> </w:t>
      </w:r>
      <w:r>
        <w:t xml:space="preserve">The concurrence also questions the ultimate fairness of the price and other terms agreed to by the special committee, noting that the substance of the negotiations is “not self-verifying on the independence issue.”</w:t>
      </w:r>
      <w:r>
        <w:rPr>
          <w:rStyle w:val="FootnoteReference"/>
        </w:rPr>
        <w:footnoteReference w:customMarkFollows="1" w:id="838"/>
        <w:t xml:space="preserve">98</w:t>
      </w:r>
      <w:r>
        <w:t xml:space="preserve"> </w:t>
      </w:r>
      <w:r>
        <w:t xml:space="preserve">These references in the concurrence echo the majority opinion itself, which uses phrases like “real bargaining power”</w:t>
      </w:r>
      <w:r>
        <w:rPr>
          <w:rStyle w:val="FootnoteReference"/>
        </w:rPr>
        <w:footnoteReference w:customMarkFollows="1" w:id="842"/>
        <w:t xml:space="preserve">99</w:t>
      </w:r>
      <w:r>
        <w:t xml:space="preserve"> </w:t>
      </w:r>
      <w:r>
        <w:t xml:space="preserve">and “well functioning”</w:t>
      </w:r>
      <w:r>
        <w:rPr>
          <w:rStyle w:val="FootnoteReference"/>
        </w:rPr>
        <w:footnoteReference w:customMarkFollows="1" w:id="846"/>
        <w:t xml:space="preserve">100</w:t>
      </w:r>
      <w:r>
        <w:t xml:space="preserve"> </w:t>
      </w:r>
      <w:r>
        <w:t xml:space="preserve">to describe what is required of the special committee to merit a burden shift, which seem to get at whether the special committee in fact simulated the role that a third-party with negotiating power would have played.</w:t>
      </w:r>
      <w:r>
        <w:rPr>
          <w:rStyle w:val="FootnoteReference"/>
        </w:rPr>
        <w:footnoteReference w:customMarkFollows="1" w:id="850"/>
        <w:t xml:space="preserve">101</w:t>
      </w:r>
      <w:r>
        <w:t xml:space="preserve"> </w:t>
      </w:r>
      <w:r>
        <w:t xml:space="preserve">Thus, to my mind,</w:t>
      </w:r>
      <w:r>
        <w:t xml:space="preserve"> </w:t>
      </w:r>
      <w:r>
        <w:rPr>
          <w:iCs/>
          <w:i/>
        </w:rPr>
        <w:t xml:space="preserve">Tremont</w:t>
      </w:r>
      <w:r>
        <w:t xml:space="preserve"> </w:t>
      </w:r>
      <w:r>
        <w:t xml:space="preserve">implies that there is no way to decide whether the defendant is entitled to a burden shift without taking into consideration the substantive decisions of the special committee, a fact-intensive exercise that overlaps with the examination of fairness itself.</w:t>
      </w:r>
    </w:p>
    <w:p>
      <w:pPr>
        <w:pStyle w:val="CaseBody"/>
      </w:pPr>
      <w:r>
        <w:t xml:space="preserve">As a trial judge, I note several problems with such an approach. Assuming that the purpose of providing a burden shift is not only to encourage the use of special committees,</w:t>
      </w:r>
      <w:r>
        <w:rPr>
          <w:rStyle w:val="FootnoteReference"/>
        </w:rPr>
        <w:footnoteReference w:customMarkFollows="1" w:id="854"/>
        <w:t xml:space="preserve">102</w:t>
      </w:r>
      <w:r>
        <w:t xml:space="preserve"> </w:t>
      </w:r>
      <w:r>
        <w:t xml:space="preserve">but also to provide a reliable pre-trial guide to the burden of persuasion,</w:t>
      </w:r>
      <w:r>
        <w:rPr>
          <w:rStyle w:val="FootnoteReference"/>
        </w:rPr>
        <w:footnoteReference w:customMarkFollows="1" w:id="858"/>
        <w:t xml:space="preserve">103</w:t>
      </w:r>
      <w:r>
        <w:t xml:space="preserve"> </w:t>
      </w:r>
      <w:r>
        <w:t xml:space="preserve">the factors that give rise to the burden shift must be determinable early in the litigation and not so deeply enmeshed in the ultimate fairness analysis. Thus, factors like the independence of the committee and the adequacy of its mandates (i.e., was it given blocking and negotiating power) would be the trigger for the burden shift.</w:t>
      </w:r>
    </w:p>
    <w:p>
      <w:pPr>
        <w:pStyle w:val="CaseBody"/>
      </w:pPr>
      <w:r>
        <w:t xml:space="preserve">Because the only effect of the burden shift is to make the plaintiff prove unfairness under a preponderance standard, the benefits of clarity in terms of trial presentation and for the formation of special committees would seem to outweigh the costs of such an upfront approach focusing on structural independence. To be clear, such an allocation would still allow the plaintiff to go to trial so long as there was a triable issue regarding fairness. Further, because the burden becomes relevant only when a judge is rooted on the fence post and thus in equipoise, it is not certain that there is really a cost.</w:t>
      </w:r>
      <w:r>
        <w:rPr>
          <w:rStyle w:val="FootnoteReference"/>
        </w:rPr>
        <w:footnoteReference w:customMarkFollows="1" w:id="862"/>
        <w:t xml:space="preserve">104</w:t>
      </w:r>
    </w:p>
    <w:p>
      <w:pPr>
        <w:pStyle w:val="CaseBody"/>
      </w:pPr>
      <w:r>
        <w:t xml:space="preserve">By contrast, the alternative approach leads to situations like this and</w:t>
      </w:r>
      <w:r>
        <w:t xml:space="preserve"> </w:t>
      </w:r>
      <w:r>
        <w:rPr>
          <w:iCs/>
          <w:i/>
        </w:rPr>
        <w:t xml:space="preserve">Tremont</w:t>
      </w:r>
      <w:r>
        <w:t xml:space="preserve"> </w:t>
      </w:r>
      <w:r>
        <w:t xml:space="preserve">itself, where the burden of proof has to be determined during the trial, and where that burden determination is enmeshed in the substantive merits.</w:t>
      </w:r>
      <w:r>
        <w:rPr>
          <w:rStyle w:val="FootnoteReference"/>
        </w:rPr>
        <w:footnoteReference w:customMarkFollows="1" w:id="866"/>
        <w:t xml:space="preserve">105</w:t>
      </w:r>
      <w:r>
        <w:t xml:space="preserve"> </w:t>
      </w:r>
      <w:r>
        <w:t xml:space="preserve">As a trial judge, I take very seriously the standard of review as a prism through which to determine a case. When a standard of review does not function as such, it is not clear what utility it has, and it adds costs and complication to the already expensive and difficult process of complex civil litigation.</w:t>
      </w:r>
      <w:r>
        <w:rPr>
          <w:rStyle w:val="FootnoteReference"/>
        </w:rPr>
        <w:footnoteReference w:customMarkFollows="1" w:id="870"/>
        <w:t xml:space="preserve">106</w:t>
      </w:r>
      <w:r>
        <w:t xml:space="preserve"> </w:t>
      </w:r>
      <w:r>
        <w:t xml:space="preserve">Subsuming within the burden shift analysis questions of whether the special committee was substantively effective in its negotiations with the controlling stockholder — questions fraught with factual complexity — will, absent unique circumstances, guarantee that the burden shift will rarely be determinable on the basis of the pre-trial record alone.</w:t>
      </w:r>
      <w:r>
        <w:rPr>
          <w:rStyle w:val="FootnoteReference"/>
        </w:rPr>
        <w:footnoteReference w:customMarkFollows="1" w:id="874"/>
        <w:t xml:space="preserve">107</w:t>
      </w:r>
      <w:r>
        <w:t xml:space="preserve"> </w:t>
      </w:r>
      <w:r>
        <w:t xml:space="preserve">If we take seriously the notion, as I do, that a standard of review is meant to serve as the framework through which the court evaluates the parties’ evidence and trial testimony in reaching a decision, and, as important, the framework through which the litigants determine how best to prepare their cases for trial,</w:t>
      </w:r>
      <w:r>
        <w:rPr>
          <w:rStyle w:val="FootnoteReference"/>
        </w:rPr>
        <w:footnoteReference w:customMarkFollows="1" w:id="878"/>
        <w:t xml:space="preserve">108</w:t>
      </w:r>
      <w:r>
        <w:t xml:space="preserve"> </w:t>
      </w:r>
      <w:r>
        <w:t xml:space="preserve">it is problematic to adopt an analytical approach whereby the burden allocation can only be determined in a post-trial opinion, after all the evidence and all the arguments have been presented to the court.</w:t>
      </w:r>
      <w:r>
        <w:rPr>
          <w:rStyle w:val="FootnoteReference"/>
        </w:rPr>
        <w:footnoteReference w:customMarkFollows="1" w:id="882"/>
        <w:t xml:space="preserve">109</w:t>
      </w:r>
    </w:p>
    <w:p>
      <w:pPr>
        <w:pStyle w:val="CaseBody"/>
      </w:pPr>
      <w:r>
        <w:t xml:space="preserve">But, I am constrained to adhere faithfully to</w:t>
      </w:r>
      <w:r>
        <w:t xml:space="preserve"> </w:t>
      </w:r>
      <w:r>
        <w:rPr>
          <w:iCs/>
          <w:i/>
        </w:rPr>
        <w:t xml:space="preserve">Tremont</w:t>
      </w:r>
      <w:r>
        <w:t xml:space="preserve"> </w:t>
      </w:r>
      <w:r>
        <w:t xml:space="preserve">as written, and I read it and some of its progeny</w:t>
      </w:r>
      <w:r>
        <w:rPr>
          <w:rStyle w:val="FootnoteReference"/>
        </w:rPr>
        <w:footnoteReference w:customMarkFollows="1" w:id="886"/>
        <w:t xml:space="preserve">110</w:t>
      </w:r>
      <w:r>
        <w:t xml:space="preserve"> </w:t>
      </w:r>
      <w:r>
        <w:t xml:space="preserve">as requiring a factual look at the actual effectiveness of the special committee before awarding a burden shift. For that reason, I will, as you will see, find that the burden of persuasion remained with the defendants, because the Special Committee was not “well functioning.”</w:t>
      </w:r>
      <w:r>
        <w:t xml:space="preserve"> </w:t>
      </w:r>
      <w:r>
        <w:rPr>
          <w:rStyle w:val="FootnoteReference"/>
        </w:rPr>
        <w:footnoteReference w:customMarkFollows="1" w:id="890"/>
        <w:t xml:space="preserve">111</w:t>
      </w:r>
      <w:r>
        <w:t xml:space="preserve"> </w:t>
      </w:r>
      <w:r>
        <w:t xml:space="preserve">And I will also find, however, that this determination matters little because I am not stuck in equipoise about the issue of fairness. Regardless of who bears the burden, I conclude that the Merger was unfair to Southern Peru and its stockholders.</w:t>
      </w:r>
    </w:p>
    <w:p>
      <w:pPr>
        <w:pStyle w:val="CaseBody"/>
      </w:pPr>
      <w:r>
        <w:t xml:space="preserve">2.</w:t>
      </w:r>
      <w:r>
        <w:t xml:space="preserve"> </w:t>
      </w:r>
      <w:r>
        <w:rPr>
          <w:iCs/>
          <w:i/>
        </w:rPr>
        <w:t xml:space="preserve">Did The Burden Of Persuasion Shift Because Of The Stockholder Vote?</w:t>
      </w:r>
    </w:p>
    <w:p>
      <w:pPr>
        <w:pStyle w:val="CaseBody"/>
      </w:pPr>
      <w:r>
        <w:t xml:space="preserve">With much less passion, the defendants also seek to obtain a burden shift by arguing that the Merger ultimately received super-majority support of the stockholders other than Grupo Mexico, and a majority support of the stockholders excluding all of the Founding Stockholders.</w:t>
      </w:r>
    </w:p>
    <w:p>
      <w:pPr>
        <w:pStyle w:val="CaseBody"/>
      </w:pPr>
      <w:r>
        <w:t xml:space="preserve">The defendants have failed to earn a burden shift for the following reasons. First, in a situation where the entire fairness standard applies because the vote is controlled by an interested stockholder, any burden-shifting should not depend on the after-the-fact vote result but should instead require that the transaction has been conditioned up-front on the approval of a majority of the disinterested stockholders. Chancellor Chandler, in his</w:t>
      </w:r>
      <w:r>
        <w:t xml:space="preserve"> </w:t>
      </w:r>
      <w:r>
        <w:rPr>
          <w:iCs/>
          <w:i/>
        </w:rPr>
        <w:t xml:space="preserve">Rabkin v. Olin Corp.</w:t>
      </w:r>
      <w:r>
        <w:t xml:space="preserve"> </w:t>
      </w:r>
      <w:r>
        <w:t xml:space="preserve">decision,</w:t>
      </w:r>
      <w:r>
        <w:rPr>
          <w:rStyle w:val="FootnoteReference"/>
        </w:rPr>
        <w:footnoteReference w:customMarkFollows="1" w:id="894"/>
        <w:t xml:space="preserve">112</w:t>
      </w:r>
      <w:r>
        <w:t xml:space="preserve"> </w:t>
      </w:r>
      <w:r>
        <w:t xml:space="preserve">took that view and was affirmed by our Supreme Court, and it remains sound to me in this context.</w:t>
      </w:r>
      <w:r>
        <w:rPr>
          <w:rStyle w:val="FootnoteReference"/>
        </w:rPr>
        <w:footnoteReference w:customMarkFollows="1" w:id="898"/>
        <w:t xml:space="preserve">113</w:t>
      </w:r>
      <w:r>
        <w:t xml:space="preserve"> </w:t>
      </w:r>
      <w:r>
        <w:t xml:space="preserve">It is a very different thing for stockholders to know that their vote is in fact meaningful and to have a genuine chance to disapprove a transaction than it is to be told, as they were in this case, that the transaction required a two-thirds vote, which would be satisfied certainly because Grupo Mexico, Cerro, and Phelps Dodge had the voting power to satisfy that condition and were clearly intent on voting yes.</w:t>
      </w:r>
      <w:r>
        <w:rPr>
          <w:rStyle w:val="FootnoteReference"/>
        </w:rPr>
        <w:footnoteReference w:customMarkFollows="1" w:id="902"/>
        <w:t xml:space="preserve">114</w:t>
      </w:r>
      <w:r>
        <w:t xml:space="preserve"> </w:t>
      </w:r>
      <w:r>
        <w:t xml:space="preserve">In the latter situation, the vote has little meaning except as a form of protest, especially in a situation like this when there were no appraisal rights because Southern Peru was the buyer.</w:t>
      </w:r>
    </w:p>
    <w:p>
      <w:pPr>
        <w:pStyle w:val="CaseBody"/>
      </w:pPr>
      <w:r>
        <w:t xml:space="preserve">Second, the defendants have not met their burden to show that the vote was fully informed.</w:t>
      </w:r>
      <w:r>
        <w:rPr>
          <w:rStyle w:val="FootnoteReference"/>
        </w:rPr>
        <w:footnoteReference w:customMarkFollows="1" w:id="906"/>
        <w:t xml:space="preserve">115</w:t>
      </w:r>
      <w:r>
        <w:t xml:space="preserve"> </w:t>
      </w:r>
      <w:r>
        <w:t xml:space="preserve">The Proxy Statement left out a material step in the negotiation process, to wit, the Special Committee’s July counteroffer, offering to give Grupo Mexico only $2.095 billion worth of Southern Peru stock for Minera in response to Grupo Mexico’s ask of $3.1 billion in its May 7, 2004 term sheet. What lends credibility to this counteroffer is that it was made after the Special Committee’s July 8, 2004 meeting with Goldman, where Goldman had presented to the Special Committee Minera’s operating projections, metal price forecasts, and other valuation metrics. After reviewing this information, the Special Committee was still $1 billion short of Grupo Mexico’s ask with an offer that was at the high end of Minera’s standalone value but at the low end of its “relative” value.</w:t>
      </w:r>
      <w:r>
        <w:rPr>
          <w:rStyle w:val="FootnoteReference"/>
        </w:rPr>
        <w:footnoteReference w:customMarkFollows="1" w:id="910"/>
        <w:t xml:space="preserve">116</w:t>
      </w:r>
      <w:r>
        <w:t xml:space="preserve"> </w:t>
      </w:r>
      <w:r>
        <w:t xml:space="preserve">This step showed how deep the value gap was in real cash terms. The minority stockholders were being asked to make an important voting decision</w:t>
      </w:r>
      <w:r>
        <w:rPr>
          <w:rStyle w:val="FootnoteReference"/>
        </w:rPr>
        <w:footnoteReference w:customMarkFollows="1" w:id="914"/>
        <w:t xml:space="preserve">117</w:t>
      </w:r>
      <w:r>
        <w:t xml:space="preserve"> </w:t>
      </w:r>
      <w:r>
        <w:t xml:space="preserve">about an acquisition that would nearly double the size of the Company and materially increase the equity stake of the controlling stockholder</w:t>
      </w:r>
      <w:r>
        <w:rPr>
          <w:rStyle w:val="FootnoteReference"/>
        </w:rPr>
        <w:footnoteReference w:customMarkFollows="1" w:id="918"/>
        <w:t xml:space="preserve">118</w:t>
      </w:r>
      <w:r>
        <w:t xml:space="preserve"> </w:t>
      </w:r>
      <w:r>
        <w:t xml:space="preserve">— they should have been informed of the value that the Special Committee placed on Minera at a point in the negotiations when it had sufficient financial information to make a serious offer.</w:t>
      </w:r>
    </w:p>
    <w:p>
      <w:pPr>
        <w:pStyle w:val="CaseBody"/>
      </w:pPr>
      <w:r>
        <w:t xml:space="preserve">That omission combines with less than materially clear disclosure about the method by which Goldman concluded the Merger was fair. In particular, the Proxy Statement did not disclose the standalone implied equity values for Minera generated by the DCF analyses performed in June 2004 and July 2004, which look sound and generated mid-range values of Minera that were far less than what Southern Peru was paying in the Merger,</w:t>
      </w:r>
      <w:r>
        <w:rPr>
          <w:rStyle w:val="FootnoteReference"/>
        </w:rPr>
        <w:footnoteReference w:customMarkFollows="1" w:id="922"/>
        <w:t xml:space="preserve">119</w:t>
      </w:r>
      <w:r>
        <w:t xml:space="preserve"> </w:t>
      </w:r>
      <w:r>
        <w:t xml:space="preserve">nor did it disclose the standalone implied equity values of either Southern Peru or Minera that were implied by the inputs used in Goldman’s relative DCF analysis underlying the fairness opinion.</w:t>
      </w:r>
      <w:r>
        <w:rPr>
          <w:rStyle w:val="FootnoteReference"/>
        </w:rPr>
        <w:footnoteReference w:customMarkFollows="1" w:id="926"/>
        <w:t xml:space="preserve">120</w:t>
      </w:r>
      <w:r>
        <w:t xml:space="preserve"> </w:t>
      </w:r>
      <w:r>
        <w:t xml:space="preserve">The Proxy Statement thus obscured the fact that the implied equity value of Southern Peru that Goldman used to anchor the relative valuation of Minera was nearly $2 billion less than Southern Peru’s</w:t>
      </w:r>
      <w:r>
        <w:t xml:space="preserve"> </w:t>
      </w:r>
      <w:r>
        <w:rPr>
          <w:iCs/>
          <w:i/>
        </w:rPr>
        <w:t xml:space="preserve">actual</w:t>
      </w:r>
      <w:r>
        <w:t xml:space="preserve"> </w:t>
      </w:r>
      <w:r>
        <w:t xml:space="preserve">market equity value at the time of signing.</w:t>
      </w:r>
      <w:r>
        <w:rPr>
          <w:rStyle w:val="FootnoteReference"/>
        </w:rPr>
        <w:footnoteReference w:customMarkFollows="1" w:id="929"/>
        <w:t xml:space="preserve">121</w:t>
      </w:r>
      <w:r>
        <w:t xml:space="preserve"> </w:t>
      </w:r>
      <w:r>
        <w:t xml:space="preserve">There were additional obscurities in connection with the Southern Peru multiples that Goldman used to support its fairness opinion.</w:t>
      </w:r>
    </w:p>
    <w:p>
      <w:pPr>
        <w:pStyle w:val="CaseBody"/>
      </w:pPr>
      <w:r>
        <w:t xml:space="preserve">The Proxy Statement did disclose that Minera was valued using multiples tied to Southern Peru’s own multiples, although it was less than clear as to what those multiples were. The Proxy Statement listed a Wall Street consensus EV/2005E EBITDA multiple for Southern Peru of 5.5x in Goldman’s comparable companies chart,</w:t>
      </w:r>
      <w:r>
        <w:rPr>
          <w:rStyle w:val="FootnoteReference"/>
        </w:rPr>
        <w:footnoteReference w:customMarkFollows="1" w:id="932"/>
        <w:t xml:space="preserve">122</w:t>
      </w:r>
      <w:r>
        <w:t xml:space="preserve"> </w:t>
      </w:r>
      <w:r>
        <w:t xml:space="preserve">but it did not disclose the full range of EV/ 2005E EBITDA multiples for Southern Peru that Goldman actually used in its contribution analysis to justify the fairness of the relative valuation. The</w:t>
      </w:r>
      <w:r>
        <w:t xml:space="preserve"> </w:t>
      </w:r>
      <w:r>
        <w:rPr>
          <w:iCs/>
          <w:i/>
        </w:rPr>
        <w:t xml:space="preserve">bottom</w:t>
      </w:r>
      <w:r>
        <w:t xml:space="preserve"> </w:t>
      </w:r>
      <w:r>
        <w:t xml:space="preserve">of the range was 5.6x, or Southern Peru’s EV/2005E multiple listed in the comparable companies analysis as apparently adjusted for the dividend, which itself was much higher than the median comparable companies multiple, which was listed at 4.8x</w:t>
      </w:r>
      <w:r>
        <w:rPr>
          <w:rStyle w:val="FootnoteReference"/>
        </w:rPr>
        <w:footnoteReference w:customMarkFollows="1" w:id="981"/>
        <w:t xml:space="preserve">123</w:t>
      </w:r>
      <w:r>
        <w:t xml:space="preserve"> </w:t>
      </w:r>
      <w:r>
        <w:t xml:space="preserve">and critically absent from this generous bottom of the contribution analysis. The range of multiples then proceeded northward, to 6.3x, 6.4x, and 6.5x, with a median of 6.4x.</w:t>
      </w:r>
      <w:r>
        <w:rPr>
          <w:rStyle w:val="FootnoteReference"/>
        </w:rPr>
        <w:footnoteReference w:customMarkFollows="1" w:id="983"/>
        <w:t xml:space="preserve">124</w:t>
      </w:r>
      <w:r>
        <w:t xml:space="preserve"> </w:t>
      </w:r>
      <w:r>
        <w:t xml:space="preserve">These inflated multiples were based not on real market metrics, but on various scenarios using Southern Peru’s internal pessimistic projections for its 2005E EBITDA.</w:t>
      </w:r>
      <w:r>
        <w:rPr>
          <w:rStyle w:val="FootnoteReference"/>
        </w:rPr>
        <w:footnoteReference w:customMarkFollows="1" w:id="985"/>
        <w:t xml:space="preserve">125</w:t>
      </w:r>
      <w:r>
        <w:t xml:space="preserve"> </w:t>
      </w:r>
      <w:r>
        <w:t xml:space="preserve">By failing to disclose the full range of multiples used in the contribution analysis, the Proxy obscured the fact that only these inflated multiples would justify an issuance of over 67 million shares in exchange for Minera,</w:t>
      </w:r>
      <w:r>
        <w:rPr>
          <w:rStyle w:val="FootnoteReference"/>
        </w:rPr>
        <w:footnoteReference w:customMarkFollows="1" w:id="987"/>
        <w:t xml:space="preserve">126</w:t>
      </w:r>
      <w:r>
        <w:t xml:space="preserve"> </w:t>
      </w:r>
      <w:r>
        <w:t xml:space="preserve">multiples that were nearly 33% higher than the Wall Street consensus median multiple of the comparable companies used by Goldman for 2005,</w:t>
      </w:r>
      <w:r>
        <w:rPr>
          <w:rStyle w:val="FootnoteReference"/>
        </w:rPr>
        <w:footnoteReference w:customMarkFollows="1" w:id="989"/>
        <w:t xml:space="preserve">127</w:t>
      </w:r>
      <w:r>
        <w:t xml:space="preserve"> </w:t>
      </w:r>
      <w:r>
        <w:t xml:space="preserve">and 16 % higher than the Wall Street consensus multiple for Southern Peru.</w:t>
      </w:r>
      <w:r>
        <w:rPr>
          <w:rStyle w:val="FootnoteReference"/>
        </w:rPr>
        <w:footnoteReference w:customMarkFollows="1" w:id="991"/>
        <w:t xml:space="preserve">128</w:t>
      </w:r>
    </w:p>
    <w:p>
      <w:pPr>
        <w:pStyle w:val="CaseBody"/>
      </w:pPr>
      <w:r>
        <w:t xml:space="preserve">Moreover, Grupo Mexico went on a road show to its investors, bankers, and other members of the financial community in November 2004 to garner support for the Merger, during which Grupo Mexico presented materials stating that a “Key Term” of the Merger was that the Merger implied a Minera EV/2005E EBITDA of 5.6x.</w:t>
      </w:r>
      <w:r>
        <w:rPr>
          <w:rStyle w:val="FootnoteReference"/>
        </w:rPr>
        <w:footnoteReference w:customMarkFollows="1" w:id="993"/>
        <w:t xml:space="preserve">129</w:t>
      </w:r>
      <w:r>
        <w:t xml:space="preserve"> </w:t>
      </w:r>
      <w:r>
        <w:t xml:space="preserve">This 5.6x multiple was derived from an enterprise value for Minera that itself was calculated by multiplying the 67.2 million shares to be issued by Southern Peru by the stock price of Southern Peru as of October 21, 2004, and then adding Min-era’s debt. This calculation obscures the fact that in order to justify the fairness of the 67.2 million share issuance in the first place, Goldman’s fairness presentation did not rely on a 5.6x multiple, but a much higher median multiple of 6.4x.</w:t>
      </w:r>
      <w:r>
        <w:rPr>
          <w:rStyle w:val="FootnoteReference"/>
        </w:rPr>
        <w:footnoteReference w:customMarkFollows="1" w:id="995"/>
        <w:t xml:space="preserve">130</w:t>
      </w:r>
      <w:r>
        <w:t xml:space="preserve"> </w:t>
      </w:r>
      <w:r>
        <w:t xml:space="preserve">Also, the assumptions behind the road show’s advertised 5.6x multiple were not consistent with the assumptions underlying Goldman’s financial opinion. Namely, Grupo Mexico was able to “employ” (to use a non-loaded term) a Wall Street consensus multiple only by inflating Minera’s estimated 2005 EBITDA over what had been used in the Goldman fairness analysis,</w:t>
      </w:r>
      <w:r>
        <w:rPr>
          <w:rStyle w:val="FootnoteReference"/>
        </w:rPr>
        <w:footnoteReference w:customMarkFollows="1" w:id="997"/>
        <w:t xml:space="preserve">131</w:t>
      </w:r>
      <w:r>
        <w:t xml:space="preserve"> </w:t>
      </w:r>
      <w:r>
        <w:t xml:space="preserve">a feat accomplished by assuming a higher copper production than the production figures provided by the A &amp; S adjusted projections as well as Minera’s</w:t>
      </w:r>
      <w:r>
        <w:t xml:space="preserve"> </w:t>
      </w:r>
      <w:r>
        <w:rPr>
          <w:iCs/>
          <w:i/>
        </w:rPr>
        <w:t xml:space="preserve">own</w:t>
      </w:r>
      <w:r>
        <w:t xml:space="preserve"> </w:t>
      </w:r>
      <w:r>
        <w:t xml:space="preserve">unadjusted projections, both of which Goldman used in its final presentation to the Special Committee.</w:t>
      </w:r>
      <w:r>
        <w:rPr>
          <w:rStyle w:val="FootnoteReference"/>
        </w:rPr>
        <w:footnoteReference w:customMarkFollows="1" w:id="999"/>
        <w:t xml:space="preserve">132</w:t>
      </w:r>
      <w:r>
        <w:t xml:space="preserve"> </w:t>
      </w:r>
      <w:r>
        <w:t xml:space="preserve">Put bluntly, Grupo Mexico went out to investors with information that made the total mix of information available to stockholders materially misleading.</w:t>
      </w:r>
    </w:p>
    <w:p>
      <w:pPr>
        <w:pStyle w:val="CaseBody"/>
      </w:pPr>
      <w:r>
        <w:t xml:space="preserve">For these reasons, I do not believe a burden shift because of the stockholder vote is appropriate, and in any event, even if the vote shifted the burden of persuasion, it would not change the outcome I reach.</w:t>
      </w:r>
    </w:p>
    <w:p>
      <w:pPr>
        <w:pStyle w:val="CaseBody"/>
      </w:pPr>
      <w:r>
        <w:t xml:space="preserve">C.</w:t>
      </w:r>
      <w:r>
        <w:t xml:space="preserve"> </w:t>
      </w:r>
      <w:r>
        <w:rPr>
          <w:iCs/>
          <w:i/>
        </w:rPr>
        <w:t xml:space="preserve">Was The Merger Entirely Fair?</w:t>
      </w:r>
    </w:p>
    <w:p>
      <w:pPr>
        <w:pStyle w:val="CaseBody"/>
      </w:pPr>
      <w:r>
        <w:t xml:space="preserve">Whether the Merger was fair is the question that I now answer.</w:t>
      </w:r>
    </w:p>
    <w:p>
      <w:pPr>
        <w:pStyle w:val="CaseBody"/>
      </w:pPr>
      <w:r>
        <w:t xml:space="preserve">I find, for the following reasons, that the process by which the Merger was negotiated and approved was not fair and did not result in the payment of a fair price. Because questions as to fair process and fair price are so intertwined in this case, I do not break them out separately, but rather treat them together in an integrated discussion.</w:t>
      </w:r>
    </w:p>
    <w:p>
      <w:pPr>
        <w:pStyle w:val="CaseBody"/>
      </w:pPr>
      <w:r>
        <w:t xml:space="preserve">1.</w:t>
      </w:r>
      <w:r>
        <w:t xml:space="preserve"> </w:t>
      </w:r>
      <w:r>
        <w:rPr>
          <w:iCs/>
          <w:i/>
        </w:rPr>
        <w:t xml:space="preserve">The Special Committee Gets Lost In The Perspective-Distorting World Of Dealmaking With A Controlling Stockholder</w:t>
      </w:r>
    </w:p>
    <w:p>
      <w:pPr>
        <w:pStyle w:val="CaseBody"/>
      </w:pPr>
      <w:r>
        <w:t xml:space="preserve">I start my analysis of fairness with an acknowledgement. With one exception, which I will discuss, the independence of the members of the Special Committee has not been challenged by the plaintiff. The Special Committee members were competent, well-qualified individuals with business experience. Moreover, the Special Committee was given the resources to hire outside advisors, and it hired not only respected, top tier of the market financial and legal counsel, but also a mining consultant and Mexican counsel. Despite having been let down by their advisors in terms of record keeping, there is little question, but that the members of the Special Committee met frequently. Their hands were on the oars. So why then did their boat go, if anywhere, backward?</w:t>
      </w:r>
    </w:p>
    <w:p>
      <w:pPr>
        <w:pStyle w:val="CaseBody"/>
      </w:pPr>
      <w:r>
        <w:t xml:space="preserve">This is a story that is, I fear, not new.</w:t>
      </w:r>
    </w:p>
    <w:p>
      <w:pPr>
        <w:pStyle w:val="CaseBody"/>
      </w:pPr>
      <w:r>
        <w:t xml:space="preserve">From the get-go, the Special Committee extracted a narrow mandate, to “evaluate” a transaction suggested by the majority stockholder.</w:t>
      </w:r>
      <w:r>
        <w:rPr>
          <w:rStyle w:val="FootnoteReference"/>
        </w:rPr>
        <w:footnoteReference w:customMarkFollows="1" w:id="1001"/>
        <w:t xml:space="preserve">133</w:t>
      </w:r>
      <w:r>
        <w:t xml:space="preserve"> </w:t>
      </w:r>
      <w:r>
        <w:t xml:space="preserve">Although I conclude that the Special Committee did in fact go further and engage in negotiations, its approach to negotiations was stilted and influenced by its uncertainty about whether it was actually empowered to negotiate. The testimony on the Special Committee members’ understanding of their mandate, for example, evidenced their lack of certainty about whether the Special Committee could do more than just evaluate the Merger.</w:t>
      </w:r>
      <w:r>
        <w:rPr>
          <w:rStyle w:val="FootnoteReference"/>
        </w:rPr>
        <w:footnoteReference w:customMarkFollows="1" w:id="1003"/>
        <w:t xml:space="preserve">134</w:t>
      </w:r>
    </w:p>
    <w:p>
      <w:pPr>
        <w:pStyle w:val="CaseBody"/>
      </w:pPr>
      <w:r>
        <w:t xml:space="preserve">Thus, from inception, the Special Committee fell victim to a controlled mindset and allowed Grupo Mexico to dictate the terms and structure of the Merger. The Special Committee did not insist on the right to look at alternatives; rather, it accepted that only one type of transaction was on the table, a purchase of Minera by Southern Peru. As we shall see, this acceptance influences my ultimate determination of fairness, as it took off the table other options that would have generated a real market check and also deprived the Special Committee of negotiating leverage to extract better terms.</w:t>
      </w:r>
    </w:p>
    <w:p>
      <w:pPr>
        <w:pStyle w:val="CaseBody"/>
      </w:pPr>
      <w:r>
        <w:t xml:space="preserve">With this blinkered perspective, the first level of rationalization often begins. For Southern Peru, like most companies, it is good to have growth options. Was it rational to think that combining Southern Peru and Minera might be such a growth option, if Southern Peru’s stronger balance sheet and operating capabilities could be brought to bear on Minera? Sure. And if no other opportunities are available because we are a controlled company, shouldn’t we make the best of this chance? Already, the mindset has taken a dangerous path.</w:t>
      </w:r>
      <w:r>
        <w:rPr>
          <w:rStyle w:val="FootnoteReference"/>
        </w:rPr>
        <w:footnoteReference w:customMarkFollows="1" w:id="1005"/>
        <w:t xml:space="preserve">135</w:t>
      </w:r>
    </w:p>
    <w:p>
      <w:pPr>
        <w:pStyle w:val="CaseBody"/>
      </w:pPr>
      <w:r>
        <w:t xml:space="preserve">The predicament of Handelsman helps to illustrate this point. Clearly, from the weak mandate it extracted and its failure to push for the chance to look at other alternatives, the Special Committee viewed itself as dealing with a majority stockholder, Grupo Mexico, that would seek its own advantage. Handelsman, as a key representative of Cerro, was even more susceptible to Grupo Mexico’s dominion, precisely because Cerro wanted to be free of its position as a minority stockholder in Gru-po Mexico-controlled Southern Peru. Although I am chary to conclude that the desire of a stockholder to be able to sell its shares like other holders is the kind of self-dealing interest that should deem someone like Handelsman interested in the Merger,</w:t>
      </w:r>
      <w:r>
        <w:rPr>
          <w:rStyle w:val="FootnoteReference"/>
        </w:rPr>
        <w:footnoteReference w:customMarkFollows="1" w:id="1007"/>
        <w:t xml:space="preserve">136</w:t>
      </w:r>
      <w:r>
        <w:t xml:space="preserve"> </w:t>
      </w:r>
      <w:r>
        <w:t xml:space="preserve">Handelsman was operating under a constraint that was not shared by all stockholders, which was his employer’s desire to sell its holdings in Southern Peru.</w:t>
      </w:r>
      <w:r>
        <w:rPr>
          <w:rStyle w:val="FootnoteReference"/>
        </w:rPr>
        <w:footnoteReference w:customMarkFollows="1" w:id="1009"/>
        <w:t xml:space="preserve">137</w:t>
      </w:r>
      <w:r>
        <w:t xml:space="preserve"> </w:t>
      </w:r>
      <w:r>
        <w:t xml:space="preserve">It follows that Handelsman may not have been solely focused on paying the best price in the Merger (even though all things being equal, Cerro, like any stockholder, would want the best possible price) because he had independent reasons for approving the Merger. That is, as between a Merger and no Merger at all, Handelsman had an interest in favoring the deal because it was clear from the outset that Grupo Mexico was using the prospect of causing Southern Peru to grant registration rights to Cerro (and Phelps Dodge) as an inducement to get them to agree to the Merger.</w:t>
      </w:r>
      <w:r>
        <w:rPr>
          <w:rStyle w:val="FootnoteReference"/>
        </w:rPr>
        <w:footnoteReference w:customMarkFollows="1" w:id="1011"/>
        <w:t xml:space="preserve">138</w:t>
      </w:r>
      <w:r>
        <w:t xml:space="preserve"> </w:t>
      </w:r>
      <w:r>
        <w:t xml:space="preserve">Thus, Handelsman was not well-incentivized to take a hard-line position on what terms the Special Committee would be willing to accept, because as a stockholder over whom Grupo Mexico was exerting another form of pressure, he faced the temptation to find a way to make the deal work at a sub-optimal price if that would facilitate liquidity for his stockhold-ing employer.</w:t>
      </w:r>
      <w:r>
        <w:rPr>
          <w:rStyle w:val="FootnoteReference"/>
        </w:rPr>
        <w:footnoteReference w:customMarkFollows="1" w:id="1013"/>
        <w:t xml:space="preserve">139</w:t>
      </w:r>
    </w:p>
    <w:p>
      <w:pPr>
        <w:pStyle w:val="CaseBody"/>
      </w:pPr>
      <w:r>
        <w:t xml:space="preserve">I thus face the question of whether Cer-ro’s liquidity concern and short-term interests — ones not shared with the rest of the non-founding minority stockholders— should have disabled Handelsman from playing any role in the negotiation process. On the one hand, Cerro’s sale of a majority of its shares at below market price shortly after it obtained registration rights suggests that its interest in liquidity likely dampened its concern for achieving a fair price for its shares, especially given its low tax basis in the shares. On the other hand, as a large blocholder representative and experienced M &amp; A practitioner, Han-delsman had knowledge and an employer with an economic investment that in other respects made him a valuable Special Committee member. After hearing Han-delsman’s testimony at trial, I cannot conclude that he consciously acted in less than good faith. Handelsman was not in any way in Grupo Mexico’s pocket, and I do not believe that he purposely tanked the negotiations. But, Cerro’s important liquidity concern had the undeniable effect of extinguishing much of the appetite that one of the key negotiators of the Merger had to say no. Saying no meant no liquidity-</w:t>
      </w:r>
    </w:p>
    <w:p>
      <w:pPr>
        <w:pStyle w:val="CaseBody"/>
      </w:pPr>
      <w:r>
        <w:t xml:space="preserve">Likewise, Cerro had no intent of sticking around to benefit from the long-term benefits of the Merger, and thus Handels-man was in an odd place to recommend to other stockholders to make a long-term strategic acquisition. In sum, when all these factors are considered, Handelsman was not the ideal candidate to serve as the “defender of interests of minority shareholders in the dynamics of fast moving negotiations.”</w:t>
      </w:r>
      <w:r>
        <w:rPr>
          <w:rStyle w:val="FootnoteReference"/>
        </w:rPr>
        <w:footnoteReference w:customMarkFollows="1" w:id="1015"/>
        <w:t xml:space="preserve">140</w:t>
      </w:r>
      <w:r>
        <w:t xml:space="preserve"> </w:t>
      </w:r>
      <w:r>
        <w:t xml:space="preserve">The fact that the Special Committee’s investment bankers pointed out the pickle he was in late in the game and that Handelsman abstained from voting fail to address this concern because the deal was already fully negotiated with Handelsman’s active involvement.</w:t>
      </w:r>
    </w:p>
    <w:p>
      <w:pPr>
        <w:pStyle w:val="CaseBody"/>
      </w:pPr>
      <w:r>
        <w:t xml:space="preserve">To my mind, the more important point that Handelsman’s predicament makes plain is the narrow prism through which the Special Committee viewed their role and their available options. For example, consider the misalignment between Cer-ro’s interest in selling its equity position in Southern Peru as soon as possible and the fact that the Merger was billed as a long-term, strategic acquisition for the company. What would have been an obvious solution to this mismatch of interests— where both Cerro and Phelps Dodge wanted to get out of Southern Peru and where Grupo Mexico wanted to stay in — would have been for the Special Committee to say to Grupo Mexico: “Why don’t you buy Southern Peru, since you want to increase your equity ownership in this company and everyone else wants to get out?” This simple move would have immediately aligned the interests and investment horizons of Cerro and the rest of the minority shareholders, thus positioning Handelsman as the ideal Special Committee candidate with a maximized level of negotiating gusto. But, the Special Committee did not suggest such a transaction, nor did it even appear to cross the directors’ mind as a possibility.</w:t>
      </w:r>
    </w:p>
    <w:p>
      <w:pPr>
        <w:pStyle w:val="CaseBody"/>
      </w:pPr>
      <w:r>
        <w:t xml:space="preserve">Why was this so? Because the Special Committee was trapped in the controlled mindset, where the only options to be considered are those proposed by the controlling stockholder.</w:t>
      </w:r>
      <w:r>
        <w:rPr>
          <w:rStyle w:val="FootnoteReference"/>
        </w:rPr>
        <w:footnoteReference w:customMarkFollows="1" w:id="1017"/>
        <w:t xml:space="preserve">141</w:t>
      </w:r>
      <w:r>
        <w:t xml:space="preserve"> </w:t>
      </w:r>
      <w:r>
        <w:t xml:space="preserve">When a special committee confines itself to this world, it engages in the self-defeating practice of negotiating with itself — perhaps without even realizing it — through which it nixes certain options before even putting them on the table. Even if the practical reality is that the controlling stockholder has the power to reject any alternate proposal it does not support, the special committee still benefits from a full exploration of its options. What better way to “kick the tires” of the deal proposed by the self-interested controller than to explore what would be available to the company if it were not constrained by the controller’s demands? Moreover, the very process of the special committee asking the controlling stockholder to consider alternative options can change the negotiating dynamic. That is, when the special committee engages in a meaningful back-and-forth with the controlling stockholder to discuss the feasibility of alternate terms, the Special Committee might discover certain weaknesses of the controlling stockholder, thus creating an opportunity for the committee to use this new-found negotiating leverage to extract benefits for the minority.</w:t>
      </w:r>
    </w:p>
    <w:p>
      <w:pPr>
        <w:pStyle w:val="CaseBody"/>
      </w:pPr>
      <w:r>
        <w:t xml:space="preserve">Here, for instance, if the Special Committee had proposed to Grupo Mexico that it buy out Southern Peru at a premium to its rising stock price, it would have opened up the deal dynamic in a way that gave the Special Committee leverage and that was consistent with the Special Committee’s sense of the market. Perhaps Grupo Mexico would have been open to the prospect and there would have been a valuable chance for all of the Southern Peru’s stockholders to obtain liquidity at a premium to a Southern Peru market price that the Special Committee saw as was high in comparison to Southern Peru’s fundamental value. At the very least, it would force Grupo Mexico to explain why it — the party that proposed putting these assets together under its continued control — could not itself be the buyer and finance such a transaction. Was that because it was cash-strapped and dealing with serious debt problems, in part because Minera was struggling? If you need to be the seller, why? And why are you in a position to ask for a high price?</w:t>
      </w:r>
      <w:r>
        <w:t xml:space="preserve"> </w:t>
      </w:r>
      <w:r>
        <w:rPr>
          <w:iCs/>
          <w:i/>
        </w:rPr>
        <w:t xml:space="preserve">If Minera is so attractive, why are you seeking to reduce your ownership interest in it?</w:t>
      </w:r>
      <w:r>
        <w:t xml:space="preserve"> </w:t>
      </w:r>
      <w:r>
        <w:t xml:space="preserve">Part of the negotiation process involves probing and exposing weaknesses, and as a result putting the opponent back on his heels.</w:t>
      </w:r>
    </w:p>
    <w:p>
      <w:pPr>
        <w:pStyle w:val="CaseBody"/>
      </w:pPr>
      <w:r>
        <w:t xml:space="preserve">In sum, although the Special Committee members were competent businessmen and may have had the best of intentions, they allowed themselves to be hemmed in by the controlling stockholder’s demands. Throughout the negotiation process, the Special Committee’s and Goldman’s focus was on finding a way to get the terms of the Merger structure proposed by Grupo Mexico to make sense, rather than aggressively testing the assumption that the Merger was a good idea in the first place.</w:t>
      </w:r>
    </w:p>
    <w:p>
      <w:pPr>
        <w:pStyle w:val="CaseBody"/>
      </w:pPr>
      <w:r>
        <w:t xml:space="preserve">2.</w:t>
      </w:r>
      <w:r>
        <w:t xml:space="preserve"> </w:t>
      </w:r>
      <w:r>
        <w:rPr>
          <w:iCs/>
          <w:i/>
        </w:rPr>
        <w:t xml:space="preserve">The Special Committee Could Never Justify The Merger Based On Standalone Valuations Of Minera</w:t>
      </w:r>
    </w:p>
    <w:p>
      <w:pPr>
        <w:pStyle w:val="CaseBody"/>
      </w:pPr>
      <w:r>
        <w:t xml:space="preserve">This mindset problem is illustrated by what happened when Goldman could not value the “get” — Minera—anywhere near Grupo Mexico’s asking price, the “give.” From a negotiating perspective, that should have signaled that a strong response to Grupo Mexico was necessary and incited some effort to broaden, not narrow, the lens. Instead, Goldman and the Special Committee went to strenuous lengths to equalize the values of Southern Peru and Minera. The onus should have been on Grupo Mexico to prove Minera was worth $3.1 billion, but instead of pushing back on Grupo Mexico’s analysis, the Special Committee and Goldman devalued Southern Peru and topped up the value of Minera. The actions of the Special Committee and Goldman undermine the defendants’ argument that the process leading up to the Merger was fair and lend credence to the plaintiffs contention that the process leading up to the Merger was an exercise in rationalization.</w:t>
      </w:r>
    </w:p>
    <w:p>
      <w:pPr>
        <w:pStyle w:val="CaseBody"/>
      </w:pPr>
      <w:r>
        <w:t xml:space="preserve">The plaintiff argues that, rather than value Minera so as to obtain the best deal possible for Southern Peru and its minority stockholders, the Special Committee “worked and reworked” their approach to the Merger to meet Grupo Mexico’s demands and rationalize paying Grupo Mexico’s asking price.</w:t>
      </w:r>
      <w:r>
        <w:rPr>
          <w:rStyle w:val="FootnoteReference"/>
        </w:rPr>
        <w:footnoteReference w:customMarkFollows="1" w:id="1019"/>
        <w:t xml:space="preserve">142</w:t>
      </w:r>
      <w:r>
        <w:t xml:space="preserve"> </w:t>
      </w:r>
      <w:r>
        <w:t xml:space="preserve">The defendants concede that, before settling on relative valuation, Goldman performed a number of other financial analyses of Minera to determine its value, including a standalone DCF analysis, a sum-of-the-parts analysis, a contribution analysis, comparable companies analysis and an ore reserve analysis, and that the results of all of these analyses were substantially lower than Grupo Mexico’s asking price of $3.1 billion.</w:t>
      </w:r>
    </w:p>
    <w:p>
      <w:pPr>
        <w:pStyle w:val="CaseBody"/>
      </w:pPr>
      <w:r>
        <w:t xml:space="preserve">A reasonable special committee would not have taken the results of those analy-ses by Goldman and blithely moved on to relative valuation, without any continuing and relentless focus on the actual give-get involved in real cash terms. But, this Special Committee was in the altered state of a controlled mindset. Instead of pushing Grupo Mexico into the range suggested by Goldman’s analysis of Minera’s fundamental value, the Special Committee went backwards to accommodate Grupo Mexico’s asking price — an asking price</w:t>
      </w:r>
      <w:r>
        <w:t xml:space="preserve"> </w:t>
      </w:r>
      <w:r>
        <w:rPr>
          <w:iCs/>
          <w:i/>
        </w:rPr>
        <w:t xml:space="preserve">that never really changed.</w:t>
      </w:r>
      <w:r>
        <w:t xml:space="preserve"> </w:t>
      </w:r>
      <w:r>
        <w:t xml:space="preserve">As part of its backwards shuffle, the Special Committee compared unstated DCF values of Southern Peru and Minera and applied Southern Peru’s own EBITDA multiples to Minera’s projections to justify a higher share issuance.</w:t>
      </w:r>
    </w:p>
    <w:p>
      <w:pPr>
        <w:pStyle w:val="CaseBody"/>
      </w:pPr>
      <w:r>
        <w:t xml:space="preserve">3.</w:t>
      </w:r>
      <w:r>
        <w:t xml:space="preserve"> </w:t>
      </w:r>
      <w:r>
        <w:rPr>
          <w:iCs/>
          <w:i/>
        </w:rPr>
        <w:t xml:space="preserve">The Relative Valuation Technique Is Not Alchemy That Turns A SubOptimal Deal Into A Fair One</w:t>
      </w:r>
    </w:p>
    <w:p>
      <w:pPr>
        <w:pStyle w:val="CaseBody"/>
      </w:pPr>
      <w:r>
        <w:t xml:space="preserve">The defendants portray relative valuation as the only way to perform an “apples-to-apples” comparison of Southern Peru and Minera.</w:t>
      </w:r>
      <w:r>
        <w:rPr>
          <w:rStyle w:val="FootnoteReference"/>
        </w:rPr>
        <w:footnoteReference w:customMarkFollows="1" w:id="1021"/>
        <w:t xml:space="preserve">143</w:t>
      </w:r>
      <w:r>
        <w:t xml:space="preserve"> </w:t>
      </w:r>
      <w:r>
        <w:t xml:space="preserve">But, the evidence does not persuade me that the Special Committee relied on truly equal inputs for its analyses of the two companies. When performing the relative valuation analysis, the cash flows for Minera were optimized to make Minera an attractive acquisition target, but no such dressing up was done for Southern Peru.</w:t>
      </w:r>
      <w:r>
        <w:rPr>
          <w:rStyle w:val="FootnoteReference"/>
        </w:rPr>
        <w:footnoteReference w:customMarkFollows="1" w:id="1023"/>
        <w:t xml:space="preserve">144</w:t>
      </w:r>
      <w:r>
        <w:t xml:space="preserve"> </w:t>
      </w:r>
      <w:r>
        <w:t xml:space="preserve">Grupo Mexico hired two mining engineering firms, Winters, Dorsey &amp; Company and Mintec, Inc., to update Minera’s life-of-mine plans and operations. When A &amp; S began conducting due diligence on Min-era, it tested the plans prepared by Winters and Mintec for reasonableness.</w:t>
      </w:r>
      <w:r>
        <w:rPr>
          <w:rStyle w:val="FootnoteReference"/>
        </w:rPr>
        <w:footnoteReference w:customMarkFollows="1" w:id="1025"/>
        <w:t xml:space="preserve">145</w:t>
      </w:r>
      <w:r>
        <w:t xml:space="preserve"> </w:t>
      </w:r>
      <w:r>
        <w:t xml:space="preserve">After A &amp; S knocked down some of Min-era’s projections, Mintec revised its analy-ses to produce a new optimization plan for Minera’s Cananea mine (“Alternative 3”) that added material value to Minera’s projections.</w:t>
      </w:r>
      <w:r>
        <w:rPr>
          <w:rStyle w:val="FootnoteReference"/>
        </w:rPr>
        <w:footnoteReference w:customMarkFollows="1" w:id="1027"/>
        <w:t xml:space="preserve">146</w:t>
      </w:r>
      <w:r>
        <w:t xml:space="preserve"> </w:t>
      </w:r>
      <w:r>
        <w:t xml:space="preserve">By contrast, no outside consultants were hired to update Southern Peru’s life-of-mine plans, although A &amp; S did review Southern Peru management’s projections.</w:t>
      </w:r>
      <w:r>
        <w:rPr>
          <w:rStyle w:val="FootnoteReference"/>
        </w:rPr>
        <w:footnoteReference w:customMarkFollows="1" w:id="1029"/>
        <w:t xml:space="preserve">147</w:t>
      </w:r>
      <w:r>
        <w:t xml:space="preserve"> </w:t>
      </w:r>
      <w:r>
        <w:t xml:space="preserve">Goldman’s presentations to the Special Committee indicate that any A &amp; S adjustments to Southern Peru projections were relatively minor.</w:t>
      </w:r>
      <w:r>
        <w:rPr>
          <w:rStyle w:val="FootnoteReference"/>
        </w:rPr>
        <w:footnoteReference w:customMarkFollows="1" w:id="1031"/>
        <w:t xml:space="preserve">148</w:t>
      </w:r>
      <w:r>
        <w:t xml:space="preserve"> </w:t>
      </w:r>
      <w:r>
        <w:t xml:space="preserve">The record does not reveal any comparable effort to update and optimize Southern Peru’s projections as if it were being sold, as was being done for Minera. In fact, there is evidence to the contrary: no additional analyses were performed on Southern Peru despite A &amp; S informing the Special Committee that there was “expansion potential” at Southern Peru’s Toquepala and Cuajone mines and “the conceptual studies should be expanded, similar to Alternative 3 ... There is no doubt optimization that can be done to the current thinking that will add value at lower capital expenditures.”</w:t>
      </w:r>
      <w:r>
        <w:rPr>
          <w:rStyle w:val="FootnoteReference"/>
        </w:rPr>
        <w:footnoteReference w:customMarkFollows="1" w:id="1033"/>
        <w:t xml:space="preserve">149</w:t>
      </w:r>
      <w:r>
        <w:t xml:space="preserve"> </w:t>
      </w:r>
      <w:r>
        <w:t xml:space="preserve">Also, as of the relevant time period, Minera was emerging from — if not still in — a period of financial distress.</w:t>
      </w:r>
      <w:r>
        <w:rPr>
          <w:rStyle w:val="FootnoteReference"/>
        </w:rPr>
        <w:footnoteReference w:customMarkFollows="1" w:id="1035"/>
        <w:t xml:space="preserve">150</w:t>
      </w:r>
      <w:r>
        <w:t xml:space="preserve"> </w:t>
      </w:r>
      <w:r>
        <w:t xml:space="preserve">The Minera projections used in Goldman’s final fairness evaluation were further optimized in that they assumed that the deal would take place,</w:t>
      </w:r>
      <w:r>
        <w:rPr>
          <w:rStyle w:val="FootnoteReference"/>
        </w:rPr>
        <w:footnoteReference w:customMarkFollows="1" w:id="1036"/>
        <w:t xml:space="preserve">151</w:t>
      </w:r>
      <w:r>
        <w:t xml:space="preserve"> </w:t>
      </w:r>
      <w:r>
        <w:t xml:space="preserve">which meant that the projections took into account the benefits that Minera would gain by becoming part of Southern Peru. In other words, the process was one where an aggressive seller was stretching to show value in what it was selling, and where the buyer, the Special Committee, was not engaging in a similar exercise regarding its own company’s value despite using a relative valuation approach, where that mattered.</w:t>
      </w:r>
    </w:p>
    <w:p>
      <w:pPr>
        <w:pStyle w:val="CaseBody"/>
      </w:pPr>
      <w:r>
        <w:t xml:space="preserve">As is relevant in other respects, too, before the Merger vote, the Special Committee had evidence that this approach had resulted in estimated cash flows for Southern Peru that were too conservative. For 2004, Goldman projected EBITDA for Southern Peru that turned out to be almost $300 million lower than the EBITDA that Southern Peru actually attained. By contrast, Minera’s were close to, but somewhat lower than, the mark.</w:t>
      </w:r>
    </w:p>
    <w:p>
      <w:pPr>
        <w:pStyle w:val="CaseBody"/>
      </w:pPr>
      <w:r>
        <w:t xml:space="preserve">As another technique of narrowing the value gap, Goldman shifted from using Southern Peru’s 2004E EBITDA multiple to a range of its 2005E EBITDA multiples in the contribution analyses of the Merger, which also helped to level out the “give” and the “get” and thereby rationalize Gru-po Mexico’s asking price. As described previously, applying Southern Peru’s 2004E EBITDA multiples did</w:t>
      </w:r>
      <w:r>
        <w:t xml:space="preserve"> </w:t>
      </w:r>
      <w:r>
        <w:rPr>
          <w:iCs/>
          <w:i/>
        </w:rPr>
        <w:t xml:space="preserve">not</w:t>
      </w:r>
      <w:r>
        <w:t xml:space="preserve"> </w:t>
      </w:r>
      <w:r>
        <w:t xml:space="preserve">yield a range of values encompassing 67.2 million shares. Instead, Goldman relied on applying Southern Peru’s higher 2005E multiples to Minera to justify such a figure.</w:t>
      </w:r>
    </w:p>
    <w:p>
      <w:pPr>
        <w:pStyle w:val="CaseBody"/>
      </w:pPr>
      <w:r>
        <w:t xml:space="preserve">Goldman’s decision to apply Southern Peru’s EBITDA multiples to Minera was questionable in the first place. Valuing Minera by applying Southern Peru’s multiple was a charitable move on the part of the Special Committee, and reasonable third-party buyers are generally not charitable toward their acquisition targets.</w:t>
      </w:r>
      <w:r>
        <w:rPr>
          <w:rStyle w:val="FootnoteReference"/>
        </w:rPr>
        <w:footnoteReference w:customMarkFollows="1" w:id="1037"/>
        <w:t xml:space="preserve">152</w:t>
      </w:r>
      <w:r>
        <w:t xml:space="preserve"> </w:t>
      </w:r>
      <w:r>
        <w:t xml:space="preserve">Unlike Southern Peru, a Delaware corporation listed on the New York Stock Exchange, Minera was unlisted, subject to Mexican accounting standards, and was not being regulated and overseen by the Securities and Exchange Commission. Moreover, Minera was not in sound financial condition. Why did the Special Committee top up Minera’s multiple to Southern Peru’s own, instead of exploiting for Southern Peru the market-tested value of its acquisition currency? One of the advantages of overvalued stock is that it is cheap acquisition currency; if an acquirer is trading at a higher multiple than the target, it generally takes advantage of that multiple in the acquisition. The Special Committee’s charitable multiple migration is highly suspicious given the involvement of a controlling stockholder on both sides of the deal.</w:t>
      </w:r>
    </w:p>
    <w:p>
      <w:pPr>
        <w:pStyle w:val="CaseBody"/>
      </w:pPr>
      <w:r>
        <w:t xml:space="preserve">In these respects, the Special Committee was not ideally served by its financial advisors. Goldman dropped any focus on the value of what Southern Peru was giving from its analyses. Taking into account all the testimony and record evidence, both Goldman and the Special Committee believed that Southern Peru’s market price was higher than its fundamental value. But instead of acting on that belief, they did something very unusual, in which Goldman shifted its client’s focus to an increasingly non-real world set of analyses that obscured the actual value of what Southern Peru was getting and that was inclined toward pushing up, rather than down, the value in the negotiations of what Grupo Mexico was seeking to sell. In fairness, I cannot attribute Goldman’s behavior to a fee incentive, because Goldman did not have a contingent fee right based on whether or not the Merger was consummated.</w:t>
      </w:r>
      <w:r>
        <w:rPr>
          <w:rStyle w:val="FootnoteReference"/>
        </w:rPr>
        <w:footnoteReference w:customMarkFollows="1" w:id="1038"/>
        <w:t xml:space="preserve">153</w:t>
      </w:r>
      <w:r>
        <w:t xml:space="preserve"> </w:t>
      </w:r>
      <w:r>
        <w:t xml:space="preserve">But Goldman appears to have helped its client rationalize the one strategic option available within the controlled mindset that pervaded the Special Committee’s process.</w:t>
      </w:r>
    </w:p>
    <w:p>
      <w:pPr>
        <w:pStyle w:val="CaseBody"/>
      </w:pPr>
      <w:r>
        <w:t xml:space="preserve">4.</w:t>
      </w:r>
      <w:r>
        <w:t xml:space="preserve"> </w:t>
      </w:r>
      <w:r>
        <w:rPr>
          <w:iCs/>
          <w:i/>
        </w:rPr>
        <w:t xml:space="preserve">The Special Committee Should Not Have Discounted Southern Pern’s Market Price</w:t>
      </w:r>
    </w:p>
    <w:p>
      <w:pPr>
        <w:pStyle w:val="CaseBody"/>
      </w:pPr>
      <w:r>
        <w:t xml:space="preserve">A reasonable third-party buyer free from a controlled mindset would not have ignored a fundamental economic fact that is not in dispute here — in 2004, Southern Peru stock could have been sold for price at which it was trading on the New York Stock Exchange. That is, for whatever reasons, the volatile market in which public companies trade was generating a real-world cash value for Southern Peru’s acquisition currency. The defendants concede that whatever bloc of stock Southern Peru gave to Grupo Mexico could have been sold for its market price in American currency, i.e., dollars. Grupo Mexico knew that. The record is clear that Grupo Mexico itself relied on the market price of Southern Peru all along — during the negotiation process, Grupo Mexico kept asking again and again to be paid in approximately $3.1 billion worth of Southern Peru stock measured at its market price.</w:t>
      </w:r>
    </w:p>
    <w:p>
      <w:pPr>
        <w:pStyle w:val="CaseBody"/>
      </w:pPr>
      <w:r>
        <w:t xml:space="preserve">It has, of course, been said that under Delaware law fair value can be determined “by any techniques or methods which are generally considered acceptable in the financial community,”</w:t>
      </w:r>
      <w:r>
        <w:rPr>
          <w:rStyle w:val="FootnoteReference"/>
        </w:rPr>
        <w:footnoteReference w:customMarkFollows="1" w:id="1039"/>
        <w:t xml:space="preserve">154</w:t>
      </w:r>
      <w:r>
        <w:t xml:space="preserve"> </w:t>
      </w:r>
      <w:r>
        <w:t xml:space="preserve">and “[i]t is not a breach of faith for directors to determine that the present stock market price of shares is not representative of true value or that there may indeed be several market values for any corporation’s stock.”</w:t>
      </w:r>
      <w:r>
        <w:rPr>
          <w:rStyle w:val="FootnoteReference"/>
        </w:rPr>
        <w:footnoteReference w:customMarkFollows="1" w:id="1040"/>
        <w:t xml:space="preserve">155</w:t>
      </w:r>
      <w:r>
        <w:t xml:space="preserve"> </w:t>
      </w:r>
      <w:r>
        <w:t xml:space="preserve">As former Chancellor Allen wrote in his</w:t>
      </w:r>
      <w:r>
        <w:t xml:space="preserve"> </w:t>
      </w:r>
      <w:r>
        <w:rPr>
          <w:iCs/>
          <w:i/>
        </w:rPr>
        <w:t xml:space="preserve">Time-Warner</w:t>
      </w:r>
      <w:r>
        <w:t xml:space="preserve"> </w:t>
      </w:r>
      <w:r>
        <w:t xml:space="preserve">decision, which was affirmed by the Delaware Supreme Court, “[J]ust as the Constitution does not enshrine Mr. Herbert’s social statics, neither does the common law of directors’ duties elevate the theory of a single, efficient capital market to the dignity of a sacred text.”</w:t>
      </w:r>
      <w:r>
        <w:t xml:space="preserve"> </w:t>
      </w:r>
      <w:r>
        <w:rPr>
          <w:rStyle w:val="FootnoteReference"/>
        </w:rPr>
        <w:footnoteReference w:customMarkFollows="1" w:id="1041"/>
        <w:t xml:space="preserve">156</w:t>
      </w:r>
      <w:r>
        <w:t xml:space="preserve"> </w:t>
      </w:r>
      <w:r>
        <w:t xml:space="preserve">But, there are critical differences between this case and</w:t>
      </w:r>
      <w:r>
        <w:t xml:space="preserve"> </w:t>
      </w:r>
      <w:r>
        <w:rPr>
          <w:iCs/>
          <w:i/>
        </w:rPr>
        <w:t xml:space="preserve">Time-Warner.</w:t>
      </w:r>
      <w:r>
        <w:t xml:space="preserve"> </w:t>
      </w:r>
      <w:r>
        <w:t xml:space="preserve">In</w:t>
      </w:r>
      <w:r>
        <w:t xml:space="preserve"> </w:t>
      </w:r>
      <w:r>
        <w:rPr>
          <w:iCs/>
          <w:i/>
        </w:rPr>
        <w:t xml:space="preserve">Time-Warner,</w:t>
      </w:r>
      <w:r>
        <w:t xml:space="preserve"> </w:t>
      </w:r>
      <w:r>
        <w:t xml:space="preserve">the board of Time, however wrongly, believed that the value of the</w:t>
      </w:r>
      <w:r>
        <w:t xml:space="preserve"> </w:t>
      </w:r>
      <w:r>
        <w:rPr>
          <w:iCs/>
          <w:i/>
        </w:rPr>
        <w:t xml:space="preserve">Time-Wamer</w:t>
      </w:r>
      <w:r>
        <w:t xml:space="preserve"> </w:t>
      </w:r>
      <w:r>
        <w:t xml:space="preserve">combination would exceed the value offered by the $200 per share Paramount tender offer when the dust on the Texas deal range ultimately settled.</w:t>
      </w:r>
      <w:r>
        <w:rPr>
          <w:rStyle w:val="FootnoteReference"/>
        </w:rPr>
        <w:footnoteReference w:customMarkFollows="1" w:id="1042"/>
        <w:t xml:space="preserve">157</w:t>
      </w:r>
    </w:p>
    <w:p>
      <w:pPr>
        <w:pStyle w:val="CaseBody"/>
      </w:pPr>
      <w:r>
        <w:t xml:space="preserve">Here, the Special Committee did not believe that Southern Peru was being undervalued by the stock market. To the contrary, its financial advisor Goldman, after months of study, rendered analyses suggesting that Southern Peru was being overvalued by the market. The corresponding fundamental analyses of Minera showed that Minera was worth nowhere close to the $3.1 billion in real value that Grupo Mexico was demanding. This was not a situation where Goldman and the Special Committee believed that Minera was being undervalued even more than Southern Peru and therefore that Southern Peru would be getting more than $3.1 billion in value for giving up stock it could sell for $3.1 billion in real cash.</w:t>
      </w:r>
    </w:p>
    <w:p>
      <w:pPr>
        <w:pStyle w:val="CaseBody"/>
      </w:pPr>
      <w:r>
        <w:t xml:space="preserve">In other words, the Special Committee did not respond to its intuition that Southern Peru was overvalued in a way consistent with its fiduciary duties or the way that a third-party buyer would have. As noted, it did not seek to have Grupo Mexico be the buyer. Nor did it say no to Grupo Mexico’s proposed deal. What it did was to turn the gold that it held (market-tested Southern Peru stock worth in cash its trading price) into silver (equating itself on a relative basis to a financially-strapped, non-market tested selling company), and thereby devalue its own acquisition currency. Put bluntly, a reasonable third-party buyer would only go behind the market if it thought the fundamental values were on its side, not retreat from a focus on market if such a move disadvantaged it. If the fundamentals were on Southern Peru’s side in this case, the DCF value of Minera would have equaled or exceeded Southern Peru’s give. But Goldman and the Special Committee could not generate any responsible estimate of the value of Minera that approached the value of what Southern Peru was being asked to hand over.</w:t>
      </w:r>
    </w:p>
    <w:p>
      <w:pPr>
        <w:pStyle w:val="CaseBody"/>
      </w:pPr>
      <w:r>
        <w:t xml:space="preserve">Goldman was not able to value Minera at more than $2.8 billion, no matter what valuation methodology it used, even when it based its analysis on Minera management’s unadjusted projections.</w:t>
      </w:r>
      <w:r>
        <w:rPr>
          <w:rStyle w:val="FootnoteReference"/>
        </w:rPr>
        <w:footnoteReference w:customMarkFollows="1" w:id="1043"/>
        <w:t xml:space="preserve">158</w:t>
      </w:r>
      <w:r>
        <w:t xml:space="preserve"> </w:t>
      </w:r>
      <w:r>
        <w:t xml:space="preserve">As the plaintiff points out, Goldman never advised the Special Committee that Minera was worth $3.1 billion, or that Minera could be acquired at, or would trade at, a premium to its DCF value if it were a public company. Furthermore, the defendants’ expert did not produce a standalone equity value for Minera that justified issuing shares of Southern Peru stock worth $3.1 billion at the time the Merger Agreement was signed.</w:t>
      </w:r>
    </w:p>
    <w:p>
      <w:pPr>
        <w:pStyle w:val="CaseBody"/>
      </w:pPr>
      <w:r>
        <w:t xml:space="preserve">5.</w:t>
      </w:r>
      <w:r>
        <w:t xml:space="preserve"> </w:t>
      </w:r>
      <w:r>
        <w:rPr>
          <w:iCs/>
          <w:i/>
        </w:rPr>
        <w:t xml:space="preserve">Can It All Be Explained By The Mysterious $1.30 Long-Term Copper Price ?</w:t>
      </w:r>
    </w:p>
    <w:p>
      <w:pPr>
        <w:pStyle w:val="CaseBody"/>
      </w:pPr>
      <w:r>
        <w:t xml:space="preserve">At trial, there emerged a defense of great subtlety that went like this. In reality, the Special Committee and Goldman did believe that Minera was worth more than $3.1 billion. Deep down, the Special Committee believed that the long-term direction of copper prices was strongly northward, and that as of the time of the deal were more like $1.30 per pound than the $1.00 that was the high range of Goldman’s analysis for the Special Committee. This was, of course, a full $0.40 per pound higher than the $0.90 number used by Southern Peru in its own internal planning documents and its publicly disclosed financial statements, higher than the $0.90 used by Minera in its internal planning process, and higher than the $0.90 median of analyst price estimates identified by Goldman and relied on by Goldman in issuing its fairness opinion.</w:t>
      </w:r>
    </w:p>
    <w:p>
      <w:pPr>
        <w:pStyle w:val="CaseBody"/>
      </w:pPr>
      <w:r>
        <w:t xml:space="preserve">According to the defendants, as effective negotiators, the Special Committee and Goldman perceived that if one applied this “real” long-term copper price trend to Minera, it would generate very high standalone values for Minera and thus be counterproductive from a negotiating standpoint. Hence, the Special Committee did not use these prices, but rather focused on a relative valuation approach, not because it obscured that Southern Peru was not obtaining a get as good as the give, but so Grupo Mexico would not recognize how great a deal that Southern Peru was getting.</w:t>
      </w:r>
    </w:p>
    <w:p>
      <w:pPr>
        <w:pStyle w:val="CaseBody"/>
      </w:pPr>
      <w:r>
        <w:t xml:space="preserve">In support of this theory, the defendants presented a qualified academic, Eduardo Schwartz, who testified that if one valued Southern Peru and Minera on a relative valuation basis using the ultimate Goldman assumptions and a $1.30 copper price, Southern Peru actually paid far too little.</w:t>
      </w:r>
      <w:r>
        <w:rPr>
          <w:rStyle w:val="FootnoteReference"/>
        </w:rPr>
        <w:footnoteReference w:customMarkFollows="1" w:id="1044"/>
        <w:t xml:space="preserve">159</w:t>
      </w:r>
      <w:r>
        <w:t xml:space="preserve"> </w:t>
      </w:r>
      <w:r>
        <w:t xml:space="preserve">The theory of this expert and the defendants is that a rising copper price would have benefited Minera far more than it did Southern Peru.</w:t>
      </w:r>
      <w:r>
        <w:rPr>
          <w:rStyle w:val="FootnoteReference"/>
        </w:rPr>
        <w:footnoteReference w:customMarkFollows="1" w:id="1045"/>
        <w:t xml:space="preserve">160</w:t>
      </w:r>
      <w:r>
        <w:t xml:space="preserve"> </w:t>
      </w:r>
      <w:r>
        <w:t xml:space="preserve">Schwartz also says that Southern Peru’s stock market trading price had to be explained by the fact that the stock market was actually using a long-term copper price of $1.80, despite the lower long term price that Southern Peru, other companies, and market analysts were using at the time.</w:t>
      </w:r>
      <w:r>
        <w:rPr>
          <w:rStyle w:val="FootnoteReference"/>
        </w:rPr>
        <w:footnoteReference w:customMarkFollows="1" w:id="1046"/>
        <w:t xml:space="preserve">161</w:t>
      </w:r>
    </w:p>
    <w:p>
      <w:pPr>
        <w:pStyle w:val="CaseBody"/>
      </w:pPr>
      <w:r>
        <w:t xml:space="preserve">But what the defendants’ expert did not do is telling. Despite his eminent qualifications, Schwartz would not opine on the standalone value of Minera, he would not lay his marker down on that. Furthermore, the implication that Minera would benefit more than Southern Peru from rising copper prices resulted from taking the assumptions of the Special Committee process itself,</w:t>
      </w:r>
      <w:r>
        <w:rPr>
          <w:rStyle w:val="FootnoteReference"/>
        </w:rPr>
        <w:footnoteReference w:customMarkFollows="1" w:id="1047"/>
        <w:t xml:space="preserve">162</w:t>
      </w:r>
      <w:r>
        <w:t xml:space="preserve"> </w:t>
      </w:r>
      <w:r>
        <w:t xml:space="preserve">in which great efforts had been made by Grupo Mexico and the Special Committee to optimize Minera’s value and nothing comparable had been done to optimize Southern Peru’s value. The defendants’ expert appears to have given no weight to the nearly $300 million EBITDA underestimate in the 2004 Southern Peru cash flow estimates, or to the fact that the 2005 estimates for Southern Peru also turned out to be close to $800 million less than estimated, whereas Minera did not outperform the 2004 estimates used in the deal and outperformed the 2005 estimates by a far lower percentage than Southern Peru. The defendants’ position that the Merger was fair in light of rising copper prices is also, as we shall see, undermined by evidence that they themselves introduced regarding the competitive performance of Southern Peru and Minera from 2005 onward to 2010. That evidence illustrates that in terms of generating EBIT-DA, Southern Peru continued to be the company with the comparatively strong performance, while Minera lagged behind.</w:t>
      </w:r>
    </w:p>
    <w:p>
      <w:pPr>
        <w:pStyle w:val="CaseBody"/>
      </w:pPr>
      <w:r>
        <w:t xml:space="preserve">Even more important, I can find no evidence in the actual record of deal negotiations of any actual belief by the Special Committee or Goldman that long-term copper prices were in fact $1.30, that it would be easy to rationalize a deal at the price Grupo Mexico suggested at copper prices of $1.30, but that for sound negotiating reasons, they would not run DCF anal-yses at that price, but instead move to a relative valuation approach. There is just nothing in the record that supports this as a contemporaneous reality of the negotiating period, as supposed to an after-the-fact rationalization conceived of for litigation purposes.</w:t>
      </w:r>
      <w:r>
        <w:rPr>
          <w:rStyle w:val="FootnoteReference"/>
        </w:rPr>
        <w:footnoteReference w:customMarkFollows="1" w:id="1048"/>
        <w:t xml:space="preserve">163</w:t>
      </w:r>
    </w:p>
    <w:p>
      <w:pPr>
        <w:pStyle w:val="CaseBody"/>
      </w:pPr>
      <w:r>
        <w:t xml:space="preserve">The Special Committee members who testified admitted that they were taken aback by Goldman’s analysis of Minera’s standalone value. None said that they insisted that Goldman run models based on higher long-term copper prices or that they believed the long-term price that Southern Peru was using in its public filings was too low. It is hard to believe that if the Special Committee felt deep in its deal bones that the long-term copper price was higher than $1.00, it would not have asked Goldman to perform a DCF analysis on those metrics. Importantly, Southern Peru continued to use a long-term copper price of $0.90 per pound for internal planning purposes until December 31, 2007, when it changed to $1.20.</w:t>
      </w:r>
      <w:r>
        <w:rPr>
          <w:rStyle w:val="FootnoteReference"/>
        </w:rPr>
        <w:footnoteReference w:customMarkFollows="1" w:id="1049"/>
        <w:t xml:space="preserve">164</w:t>
      </w:r>
      <w:r>
        <w:t xml:space="preserve"> </w:t>
      </w:r>
      <w:r>
        <w:t xml:space="preserve">In terms of the negotiating record itself, the only evidence is that a long-term copper price of $1.00 was deemed aggressive by the Special Committee and its advisors and $0.90 as the best estimate.</w:t>
      </w:r>
      <w:r>
        <w:rPr>
          <w:rStyle w:val="FootnoteReference"/>
        </w:rPr>
        <w:footnoteReference w:customMarkFollows="1" w:id="1050"/>
        <w:t xml:space="preserve">165</w:t>
      </w:r>
      <w:r>
        <w:t xml:space="preserve"> </w:t>
      </w:r>
      <w:r>
        <w:t xml:space="preserve">Thus, Schwartz’s conclusion that the market was assuming a long-term copper price of $1.30 in valuing Southern Peru appears to be based entirely on post-hoc speculation. Put simply, there is no credible evidence of the Special Committee, in the heat of battle, believing that the long-term copper price was actually $1.30 per pound but using $0.90 instead to give Southern Peru an advantage in the negotiation process.</w:t>
      </w:r>
    </w:p>
    <w:p>
      <w:pPr>
        <w:pStyle w:val="CaseBody"/>
      </w:pPr>
      <w:r>
        <w:t xml:space="preserve">Furthermore, the Special Committee engaged in no serious analysis of the differential effect, if any, on Southern Peru and Minera of higher copper prices.</w:t>
      </w:r>
      <w:r>
        <w:rPr>
          <w:rStyle w:val="FootnoteReference"/>
        </w:rPr>
        <w:footnoteReference w:customMarkFollows="1" w:id="1051"/>
        <w:t xml:space="preserve">166</w:t>
      </w:r>
      <w:r>
        <w:t xml:space="preserve"> </w:t>
      </w:r>
      <w:r>
        <w:t xml:space="preserve">That is a dynamic question that involves many factors and, as I have found, the Special Committee did not attempt to “optimize” Southern Peru’s cash flows in the way it did Minera’s. The plaintiff argues that by simply re-running his DCF analyses using a long-term copper price assumption of $1.30, Schwartz glosses over key differences in the effect of an increase in long-term copper prices on the reserves of Min-era and Southern Peru. Primarily, the plaintiff argues that if the long-term copper price assumption is increased to $1.30, then Southern Peru’s reserves would have increased far more dramatically than Min-era’s and, therefore, the relative value of the two companies would not remain constant at a higher long-term copper price. The defendants, as discussed above, respond that Minera, not Southern Peru was more sensitive to increases in copper price assumptions, and thus, if higher copper prices are used the deal becomes even more favorable for Southern Peru. It is not clear if anybody really knew, at the time of the Merger, the extent to which the projections of Southern Peru or Minera would have changed in the event that the companies regarded $1.30 per pound as a reliable long-term copper price. But, the parties’ arguments with respect to the relative effects of changes in the long-term copper price on Minera and Southern Peru’s reserves end up being of little importance, because there is no evidence in the record that suggests that anyone at the time of the Merger was contemplating a $1.30 long-term copper price.</w:t>
      </w:r>
    </w:p>
    <w:p>
      <w:pPr>
        <w:pStyle w:val="CaseBody"/>
      </w:pPr>
      <w:r>
        <w:t xml:space="preserve">The idea that the Special Committee and Goldman believed that copper prices were going steeply higher also makes its decision to seek a fixed exchange ratio odd, because the likely result of such price movements would have been, as things turned out, to result in Southern Peru delivering more, not less, in value to Gru-po Mexico as a result of stock market price movements. Remember, the Special Committee said it sought such a ratio to protect against a downward price movement.</w:t>
      </w:r>
      <w:r>
        <w:rPr>
          <w:rStyle w:val="FootnoteReference"/>
        </w:rPr>
        <w:footnoteReference w:customMarkFollows="1" w:id="1052"/>
        <w:t xml:space="preserve">167</w:t>
      </w:r>
      <w:r>
        <w:t xml:space="preserve"> </w:t>
      </w:r>
      <w:r>
        <w:t xml:space="preserve">Perhaps this could be yet another indication of just how deeply wise and clandestine the Special Committee’s negotiating strategy was. If the Committee asked for a collar or other limitation on the cash value it would pay in its stock, it would tip off Grupo Mexico that Minera was really worth much more than Southern Peru was paying. This sort of concealed motivation and contradiction is usually the stuff of international espionage, not M &amp; A practice. I cannot say that I find a rational basis to accept that it existed here. To find that the original low standalone estimates, the aggressive efforts at optimizing cash flows, the charitable sharing of Southern Peru’s own multiples, and, as we shall next discuss, the last-gasp measures to close the resulting value gap that yet still remained were simply a cover for a brilliant, but necessarily secret, negotiating strategy by the Special Committee and Goldman is difficult for a mind required to apply secular reasoning, rather than conspiracy theories or mysticism, to the record before me.</w:t>
      </w:r>
      <w:r>
        <w:rPr>
          <w:rStyle w:val="FootnoteReference"/>
        </w:rPr>
        <w:footnoteReference w:customMarkFollows="1" w:id="1053"/>
        <w:t xml:space="preserve">168</w:t>
      </w:r>
    </w:p>
    <w:p>
      <w:pPr>
        <w:pStyle w:val="CaseBody"/>
      </w:pPr>
      <w:r>
        <w:t xml:space="preserve">6.</w:t>
      </w:r>
      <w:r>
        <w:t xml:space="preserve"> </w:t>
      </w:r>
      <w:r>
        <w:rPr>
          <w:iCs/>
          <w:i/>
        </w:rPr>
        <w:t xml:space="preserve">Grupo Mexico’s</w:t>
      </w:r>
      <w:r>
        <w:t xml:space="preserve"> </w:t>
      </w:r>
      <w:r>
        <w:t xml:space="preserve">“Concessions”</w:t>
      </w:r>
      <w:r>
        <w:t xml:space="preserve"> </w:t>
      </w:r>
      <w:r>
        <w:rPr>
          <w:iCs/>
          <w:i/>
        </w:rPr>
        <w:t xml:space="preserve">Were Weak And Did Not Close The Fairness Gap</w:t>
      </w:r>
    </w:p>
    <w:p>
      <w:pPr>
        <w:pStyle w:val="CaseBody"/>
      </w:pPr>
      <w:r>
        <w:t xml:space="preserve">In their briefs, the defendants point to certain deal terms agreed to by Grupo Mexico as evidence of the Special Committee’s negotiating prowess. These provisions include (1) the commitment from Grupo Mexico to reduce Minera’s net debt at closing to $1 billion; (2) the $100 million special transaction dividend paid out by Southern Peru as part of the Merger’s closing; (3) post-closure corporate governance changes at Southern Peru designed to protect minority stockholders, including a requirement for review of related-party transactions; (4) the super-majority vote required to approve the Merger; and (5) the fixed exchange ratio.</w:t>
      </w:r>
    </w:p>
    <w:p>
      <w:pPr>
        <w:pStyle w:val="CaseBody"/>
      </w:pPr>
      <w:r>
        <w:t xml:space="preserve">But, these so-called “concessions” did little to justify the Merger terms. Grupo Mexico was contractually obligated to pay down Minera’s debt because of rising copper prices, and it had already paid down its debt to $1.06 million as of June 30, 2004.</w:t>
      </w:r>
      <w:r>
        <w:rPr>
          <w:rStyle w:val="FootnoteReference"/>
        </w:rPr>
        <w:footnoteReference w:customMarkFollows="1" w:id="1054"/>
        <w:t xml:space="preserve">169</w:t>
      </w:r>
      <w:r>
        <w:t xml:space="preserve"> </w:t>
      </w:r>
      <w:r>
        <w:t xml:space="preserve">The dividend both reduced the value of Southern Peru’s stock price, allowing the Special Committee to close the divide between its 64 million share offer and Grupo Mexico’s 67.2 million share asking price</w:t>
      </w:r>
      <w:r>
        <w:t xml:space="preserve"> </w:t>
      </w:r>
      <w:r>
        <w:rPr>
          <w:iCs/>
          <w:i/>
        </w:rPr>
        <w:t xml:space="preserve">and</w:t>
      </w:r>
      <w:r>
        <w:t xml:space="preserve"> </w:t>
      </w:r>
      <w:r>
        <w:t xml:space="preserve">paid out cash to Grupo Mexico, which got 54% of the dividend. Many of the corporate governance provisions were first proposed by Grupo Mexico, including the review of related party transactions, so that Southern Peru would remain compliant with applicable NYSE rules and Delaware law.</w:t>
      </w:r>
      <w:r>
        <w:rPr>
          <w:rStyle w:val="FootnoteReference"/>
        </w:rPr>
        <w:footnoteReference w:customMarkFollows="1" w:id="1055"/>
        <w:t xml:space="preserve">170</w:t>
      </w:r>
      <w:r>
        <w:t xml:space="preserve"> </w:t>
      </w:r>
      <w:r>
        <w:t xml:space="preserve">Correctly, Grupo Mexico did not regard the Special Committee’s corporate governance suggestions as differing much from the “status quo.”</w:t>
      </w:r>
      <w:r>
        <w:rPr>
          <w:rStyle w:val="FootnoteReference"/>
        </w:rPr>
        <w:footnoteReference w:customMarkFollows="1" w:id="1056"/>
        <w:t xml:space="preserve">171</w:t>
      </w:r>
      <w:r>
        <w:t xml:space="preserve"> </w:t>
      </w:r>
      <w:r>
        <w:t xml:space="preserve">After proposing a $500,000 threshold for review of related-party transactions by an independent committee of the board,</w:t>
      </w:r>
      <w:r>
        <w:rPr>
          <w:rStyle w:val="FootnoteReference"/>
        </w:rPr>
        <w:footnoteReference w:customMarkFollows="1" w:id="1057"/>
        <w:t xml:space="preserve">172</w:t>
      </w:r>
      <w:r>
        <w:t xml:space="preserve"> </w:t>
      </w:r>
      <w:r>
        <w:t xml:space="preserve">the Special Committee accepted Grupo Mexico’s counterproposal for a $10 million threshold.</w:t>
      </w:r>
      <w:r>
        <w:rPr>
          <w:rStyle w:val="FootnoteReference"/>
        </w:rPr>
        <w:footnoteReference w:customMarkFollows="1" w:id="1058"/>
        <w:t xml:space="preserve">173</w:t>
      </w:r>
      <w:r>
        <w:t xml:space="preserve"> </w:t>
      </w:r>
      <w:r>
        <w:t xml:space="preserve">This was more a negotiation defeat than victory.</w:t>
      </w:r>
    </w:p>
    <w:p>
      <w:pPr>
        <w:pStyle w:val="CaseBody"/>
      </w:pPr>
      <w:r>
        <w:t xml:space="preserve">As for the two-thirds supermajority vote, the Special Committee assented to it after asking for and not obtaining a majority of the minority vote provision. The Special Committee knew that Cerro and Phelps Dodge wanted to sell, and that along with Grupo Mexico, these large holders would guarantee the vote. At best, the Special Committee extracted the chance to potentially block the Merger if post-signing events convinced it to change its recommendation and therefore wield Cerro’s vote against the Merger.</w:t>
      </w:r>
      <w:r>
        <w:rPr>
          <w:rStyle w:val="FootnoteReference"/>
        </w:rPr>
        <w:footnoteReference w:customMarkFollows="1" w:id="1059"/>
        <w:t xml:space="preserve">174</w:t>
      </w:r>
      <w:r>
        <w:t xml:space="preserve"> </w:t>
      </w:r>
      <w:r>
        <w:t xml:space="preserve">But, as I will discuss in the next section, the Special Committee did not do any real thinking in the period between its approval of the Merger and the stockholder vote on the Merger. Furthermore, as has been noted, several key material facts regarding the fairness of the Merger were not, in my view, fairly disclosed.</w:t>
      </w:r>
    </w:p>
    <w:p>
      <w:pPr>
        <w:pStyle w:val="CaseBody"/>
      </w:pPr>
      <w:r>
        <w:t xml:space="preserve">The Special Committee’s insistence on a fixed exchange ratio, as discussed, is difficult to reconcile with its purported secret belief that copper prices were on the rise. Other than protection against a falling Southern Peru stock price, the only justification for using a fixed versus floating exchange ratio in the Merger was one often cited to when two public companies that are both subject to market price fluctuations announce a merger, which is that because they are similar companies and proposing to merge, the values of Southern Peru and Minera would rise and fall together after the market reacts initially to the exchange ratio. Handelsman referred to this justification in his testimony.</w:t>
      </w:r>
      <w:r>
        <w:rPr>
          <w:rStyle w:val="FootnoteReference"/>
        </w:rPr>
        <w:footnoteReference w:customMarkFollows="1" w:id="1060"/>
        <w:t xml:space="preserve">175</w:t>
      </w:r>
      <w:r>
        <w:t xml:space="preserve"> </w:t>
      </w:r>
      <w:r>
        <w:t xml:space="preserve">In other words, if the stock price of Southern Peru went up, the value of Minera would go up as well, and the relative valuation would stay the same. This would make more sense in a merger between two companies in the same industry with publicly traded stock, because both companies would have actual stock prices that might change because of some of the same industry-wide forces and because both stocks might trade largely on the deal, after the initial exchange ratio is absorbed into their prices. Here, by contrast, only Southern Peru’s stock had a price that was subject to market movement. These were not two public companies — changes in Southern Peru’s stock price were in an important sense a one-sided risk. A rising market would only lift the market-tested value of one side of the transaction, the Southern Peru side. And, of course, the switch to a fixed exchange ratio turned out to be hugely disadvantageous to Southern Peru.</w:t>
      </w:r>
      <w:r>
        <w:rPr>
          <w:rStyle w:val="FootnoteReference"/>
        </w:rPr>
        <w:footnoteReference w:customMarkFollows="1" w:id="1061"/>
        <w:t xml:space="preserve">176</w:t>
      </w:r>
    </w:p>
    <w:p>
      <w:pPr>
        <w:pStyle w:val="CaseBody"/>
      </w:pPr>
      <w:r>
        <w:t xml:space="preserve">7.</w:t>
      </w:r>
      <w:r>
        <w:t xml:space="preserve"> </w:t>
      </w:r>
      <w:r>
        <w:rPr>
          <w:iCs/>
          <w:i/>
        </w:rPr>
        <w:t xml:space="preserve">The Special Committee Did Not Update Its Fairness Analysis In The Face of Strong Evidence That The Bases For Its Decision Had Changed</w:t>
      </w:r>
    </w:p>
    <w:p>
      <w:pPr>
        <w:pStyle w:val="CaseBody"/>
      </w:pPr>
      <w:r>
        <w:t xml:space="preserve">The Special Committee had negotiated for the freedom to change its recommendation in favor of the Merger if its fiduciary duties so required, and had the vote of a major minority stockholder (Cerro) tied to a withdrawal of its recommendation, but instead treated the Merger as a foregone conclusion from the time of its October 21, 2004 vote to approve the Merger Agreement. There is no evidence to suggest that the Special Committee or Goldman made any effort to update its fairness analysis in light of the fact that Southern Peru had blown out its EBITDA projections for 2004 and its stock price was steadily rising in the months leading up to the stockholder vote (perhaps because it had greatly exceeded its projections), even though it had agreed to pay Grupo Mexico with a fixed number of Southern Peru shares that</w:t>
      </w:r>
      <w:r>
        <w:t xml:space="preserve"> </w:t>
      </w:r>
      <w:r>
        <w:rPr>
          <w:iCs/>
          <w:i/>
        </w:rPr>
        <w:t xml:space="preserve">had no collar.</w:t>
      </w:r>
      <w:r>
        <w:t xml:space="preserve"> </w:t>
      </w:r>
      <w:r>
        <w:t xml:space="preserve">To my mind, the fact that none of these developments caused the Special Committee to consider renegotiating or re-evaluating the Merger is additional evidence of their controlled mindset. Other than Handelsman’s phone call to Goldman, no member of the Special Committee made any effort to inquire into an update on the fairness of the Merger. The Special Committee’s failure to get a reasoned update, taken together with the negotiation process and the terms of the Merger, was a regrettable and important lapse.</w:t>
      </w:r>
    </w:p>
    <w:p>
      <w:pPr>
        <w:pStyle w:val="CaseBody"/>
      </w:pPr>
      <w:r>
        <w:t xml:space="preserve">Although an obvious point, it is worth reiterating that the Special Committee was comprised of directors of Southern Peru. Thus, from internal information, they should have been aware that Southern Peru was far outperforming the projections on which the deal was based. This should have given them pause that the exercise in optimizing Minera had in fact optimized Minera (which essentially made its numbers for 2004) but had undervalued Southern Peru, which had beaten its 2004 EBITDA estimates by 37%, some $300 million. This reality is deepened by the fact that Southern Peru beat its 2005 estimates by 135%, while Minera’s 2005 EBITDA was only 45% higher than its estimates. These numbers suggest that it was knowable that the deal pressures had resulted in an approach to valuation that was focused on making Minera look as valuable as possible, while shortchanging Southern Peru, to justify the single deal that the Special Committee was empowered to evaluate.</w:t>
      </w:r>
    </w:p>
    <w:p>
      <w:pPr>
        <w:pStyle w:val="CaseBody"/>
      </w:pPr>
      <w:r>
        <w:t xml:space="preserve">Despite this, Goldman and the Special Committee did not reconsider their contribution analysis, even though Southern Peru’s blow-out 2004 performance would suggest that reliance on even lower 2005 projections was unreasonable.</w:t>
      </w:r>
      <w:r>
        <w:rPr>
          <w:rStyle w:val="FootnoteReference"/>
        </w:rPr>
        <w:footnoteReference w:customMarkFollows="1" w:id="1062"/>
        <w:t xml:space="preserve">177</w:t>
      </w:r>
      <w:r>
        <w:t xml:space="preserve"> </w:t>
      </w:r>
      <w:r>
        <w:t xml:space="preserve">Indeed, the Merger vote was held on March 28, 2005, when the first quarter of 2005 was almost over. In that quarter alone, Southern Peru made $303.4 million in EBITDA, over 52% of what Goldman estimated for the entire year.</w:t>
      </w:r>
    </w:p>
    <w:p>
      <w:pPr>
        <w:pStyle w:val="CaseBody"/>
      </w:pPr>
      <w:r>
        <w:t xml:space="preserve">This brings me to a final, big picture point. In justifying their arguments, each side pointed in some ways to post-Merger evidence. Specifically, the defendants subjected a chart in support of their argument that rising copper prices would have disproportionately benefited Minera over Southern Peru in the form of having greater reserves, and that this justified the defendants’ use of a relative valuation technique, and undercut the notion that Minera’s value was dressed up, and Southern Peru’s weather beaten during the Special Committee process.</w:t>
      </w:r>
    </w:p>
    <w:p>
      <w:pPr>
        <w:pStyle w:val="CaseBody"/>
      </w:pPr>
      <w:r>
        <w:t xml:space="preserve">The problem for this argument is that reserves are relevant to value because they should generate cash flow. As has been mentioned, Goldman stretched to justify the deal by using a range of multiples that started at the bottom with Southern Peru’s Wall Street consensus multiple for 2005E EBITDA and ended at the top with a management-generated multiple of 6.5x. Both of these were well north of the 4.8x median of Goldman’s comparables. And, of course, Goldman estimated that Minera would earn nearly as much as Southern Peru in 2004, and more than Southern Peru in 2005. Neither estimate turned out to be even close to true. Indeed, the Merger was premised on the notion that over the period from 2005 to 2010, Minera would generate $1.35 of EBITDA for every $1.00 of Southern Peru. Using the underlying evidence cited in the defendants’ own chart,</w:t>
      </w:r>
      <w:r>
        <w:rPr>
          <w:rStyle w:val="FootnoteReference"/>
        </w:rPr>
        <w:footnoteReference w:customMarkFollows="1" w:id="1063"/>
        <w:t xml:space="preserve">178</w:t>
      </w:r>
      <w:r>
        <w:t xml:space="preserve"> </w:t>
      </w:r>
      <w:r>
        <w:t xml:space="preserve">which came from the public financials of Southern Peru, a company under their continued control, after the Merger, my non-mathematician’s evaluation of this estimate reveals that it turned out to be very far off the mark, with Minera generating only $0.67 for every dollar Southern Peru made in EBIT-DA. Put simply, even in a rising copper price market, Southern Peru seemed to more than hold its own and, if anything, benefit even more than Minera from the general rise in copper prices.</w:t>
      </w:r>
    </w:p>
    <w:p>
      <w:pPr>
        <w:pStyle w:val="CaseBody"/>
      </w:pPr>
      <w:r>
        <w:t xml:space="preserve">The charts below addressing the companies’ performance in generating EBITDA in comparison to the deal assumptions, if anything, confirms my impression that Minera’s value was optimized and Southern Peru’s slighted to come to an exchange price no reasonable third party would have supported:</w:t>
      </w:r>
    </w:p>
    <w:p>
      <w:pPr>
        <w:pStyle w:val="CaseBody"/>
      </w:pPr>
      <w:r>
        <w:t xml:space="preserve">_2005</w:t>
      </w:r>
      <w:r>
        <w:rPr>
          <w:rStyle w:val="FootnoteReference"/>
        </w:rPr>
        <w:footnoteReference w:customMarkFollows="1" w:id="1064"/>
        <w:t xml:space="preserve">179</w:t>
      </w:r>
      <w:r>
        <w:t xml:space="preserve"> </w:t>
      </w:r>
      <w:r>
        <w:t xml:space="preserve">2006 2007 2008 2009 2010 Sum</w:t>
      </w:r>
    </w:p>
    <w:p>
      <w:pPr>
        <w:pStyle w:val="CaseBody"/>
      </w:pPr>
      <w:r>
        <w:t xml:space="preserve">Minera_$ 971.6 $1405.5 $1731.2 $ 856.5 $ 661.9 $1078.3 $6705.0</w:t>
      </w:r>
    </w:p>
    <w:p>
      <w:pPr>
        <w:pStyle w:val="CaseBody"/>
      </w:pPr>
      <w:r>
        <w:t xml:space="preserve">Southern Peru $1364.8 $1918.4 $2085.4 $1643.5 $1144.8 $1853.8 $10010.7</w:t>
      </w:r>
    </w:p>
    <w:p>
      <w:pPr>
        <w:pStyle w:val="CaseBody"/>
      </w:pPr>
      <w:r>
        <w:t xml:space="preserve">Ratio MM/SP .71 .73 .83 .52 .58 .58 .67</w:t>
      </w:r>
    </w:p>
    <w:p>
      <w:pPr>
        <w:pStyle w:val="CaseBody"/>
      </w:pPr>
      <w:r>
        <w:t xml:space="preserve">2005E</w:t>
      </w:r>
      <w:r>
        <w:rPr>
          <w:rStyle w:val="FootnoteReference"/>
        </w:rPr>
        <w:footnoteReference w:customMarkFollows="1" w:id="1065"/>
        <w:t xml:space="preserve">180</w:t>
      </w:r>
      <w:r>
        <w:t xml:space="preserve"> </w:t>
      </w:r>
      <w:r>
        <w:t xml:space="preserve">2006E 2007E 2008E 2009E 2010E Sum</w:t>
      </w:r>
    </w:p>
    <w:p>
      <w:pPr>
        <w:pStyle w:val="CaseBody"/>
      </w:pPr>
      <w:r>
        <w:t xml:space="preserve">Minera_$622.0 $530.0 $627.0 $497.0 $523.0 $567,0 $3366.0</w:t>
      </w:r>
    </w:p>
    <w:p>
      <w:pPr>
        <w:pStyle w:val="CaseBody"/>
      </w:pPr>
      <w:r>
        <w:t xml:space="preserve">Southern Peru $581.0 $436.0 $415.0 $376.0 $350.0 $329.0 $2487.0</w:t>
      </w:r>
    </w:p>
    <w:p>
      <w:pPr>
        <w:pStyle w:val="CaseBody"/>
      </w:pPr>
      <w:r>
        <w:t xml:space="preserve">Ratio MM/SP 1.07 1.22 1.51 1.32 1.49 1.72 1.35</w:t>
      </w:r>
    </w:p>
    <w:p>
      <w:pPr>
        <w:pStyle w:val="CaseBody"/>
      </w:pPr>
      <w:r>
        <w:drawing>
          <wp:inline>
            <wp:extent cx="4410075" cy="590550"/>
            <wp:effectExtent b="0" l="0" r="0" t="0"/>
            <wp:docPr descr="" title="" id="1" name="Picture"/>
            <a:graphic>
              <a:graphicData uri="http://schemas.openxmlformats.org/drawingml/2006/picture">
                <pic:pic>
                  <pic:nvPicPr>
                    <pic:cNvPr descr="data:image/png;base64,iVBORw0KGgoAAAANSUhEUgAAAc8AAAA+AQAAAABluq2OAAAA6ElEQVR4nO2WMQrCMBSGExXsIFhXEXTwAI6OBa/Rocdwq6ObPYLXcFPR3SO4iSBSxaGU2rj2y/CQbkr+7SP53ntJOlQbVTOmUddUyqlOdeq/qAHovZDUBGTO9bsyhahypFMOHL8ENYvhboZYTe+Ceiu3mDBDpTwS1LJDnEDV3EwyATBqAq8hUJlqsjmw6BLjKpVUjbWXmLahtpSQYw/o74SzPjTuZe8DrTZU0+VWGMJbC6pm4ZmHrklfUBvPoIrTC1bDg6AOeFY7qCt//moEsl+D77oyX6e0uvrSvFa0+w1xqlOd6tRfVT9vbtOCcswyOQAAAABJRU5ErkJggg==" id="0" name="Picture"/>
                    <pic:cNvPicPr>
                      <a:picLocks noChangeArrowheads="1" noChangeAspect="1"/>
                    </pic:cNvPicPr>
                  </pic:nvPicPr>
                  <pic:blipFill>
                    <a:blip r:embed="rId358"/>
                    <a:stretch>
                      <a:fillRect/>
                    </a:stretch>
                  </pic:blipFill>
                  <pic:spPr bwMode="auto">
                    <a:xfrm>
                      <a:off x="0" y="0"/>
                      <a:ext cx="4410075" cy="590550"/>
                    </a:xfrm>
                    <a:prstGeom prst="rect">
                      <a:avLst/>
                    </a:prstGeom>
                    <a:noFill/>
                    <a:ln w="9525">
                      <a:noFill/>
                      <a:headEnd/>
                      <a:tailEnd/>
                    </a:ln>
                  </pic:spPr>
                </pic:pic>
              </a:graphicData>
            </a:graphic>
          </wp:inline>
        </w:drawing>
      </w:r>
    </w:p>
    <w:p>
      <w:pPr>
        <w:pStyle w:val="CaseBody"/>
      </w:pPr>
      <w:r>
        <w:t xml:space="preserve">For all these reasons, I conclude that the Merger was unfair, regardless of which party bears the burden of persuasion. The Special Committee’s cramped perspective resulted in a strange deal dynamic, in which a majority stockholder kept its eye on the ball — actual value benchmarked to cash — and a Special Committee lost sight of market reality in an attempt to rationalize doing a deal of the kind the majority stockholder proposed. After this game of controlled mindset twister and the contortions it involved, the Special Committee agreed to give away over $3 billion worth of actual cash value in exchange for something worth demonstrably less, and to do so on terms that by consummation made the value gap even worse, without using any of its contractual leverage to stop the deal or renegotiate its terms. Because the deal was unfair, the defendants breached their fiduciary duty of loyalty.</w:t>
      </w:r>
    </w:p>
    <w:p>
      <w:pPr>
        <w:pStyle w:val="CaseBody"/>
      </w:pPr>
      <w:r>
        <w:t xml:space="preserve">I now fix the remedy for this breach.</w:t>
      </w:r>
    </w:p>
    <w:p>
      <w:pPr>
        <w:pStyle w:val="CaseBody"/>
      </w:pPr>
      <w:r>
        <w:t xml:space="preserve">IV.</w:t>
      </w:r>
      <w:r>
        <w:t xml:space="preserve"> </w:t>
      </w:r>
      <w:r>
        <w:rPr>
          <w:iCs/>
          <w:i/>
        </w:rPr>
        <w:t xml:space="preserve">Determination Of Damages</w:t>
      </w:r>
    </w:p>
    <w:p>
      <w:pPr>
        <w:pStyle w:val="CaseBody"/>
      </w:pPr>
      <w:r>
        <w:t xml:space="preserve">A.</w:t>
      </w:r>
      <w:r>
        <w:t xml:space="preserve"> </w:t>
      </w:r>
      <w:r>
        <w:rPr>
          <w:iCs/>
          <w:i/>
        </w:rPr>
        <w:t xml:space="preserve">Introduction</w:t>
      </w:r>
    </w:p>
    <w:p>
      <w:pPr>
        <w:pStyle w:val="CaseBody"/>
      </w:pPr>
      <w:r>
        <w:t xml:space="preserve">The plaintiff seeks an equitable remedy that cancels or requires the defendants to return to Southern Peru the shares that Southern Peru issued in excess of Minera’s fair value. In the alternative, the plaintiff asks for rescissory damages in the amount of the present market value of the excess number of shares that Grupo Mexico holds as a result of Southern Peru paying an unfair price in the Merger. The plaintiff claims, based on Beaulne’s expert report, that Southern Peru issued at least 24.7 million shares in excess of Minera’s fair value.</w:t>
      </w:r>
      <w:r>
        <w:rPr>
          <w:rStyle w:val="FootnoteReference"/>
        </w:rPr>
        <w:footnoteReference w:customMarkFollows="1" w:id="1066"/>
        <w:t xml:space="preserve">181</w:t>
      </w:r>
      <w:r>
        <w:t xml:space="preserve"> </w:t>
      </w:r>
      <w:r>
        <w:t xml:space="preserve">The plaintiff asserts that, because Southern Peru effected a 2-for-l stock split on October 3, 2006 and a 3-for-1 stock split on July 10, 2008, those 24.7 million shares have become 148.2 million shares of Southern Peru stock, and he would have me order that each of those 148.2 million shares be cancelled or returned to Southern Peru, or that the defendants should pay fair value for each of those shares. Measured at a market value of $27.25 per Southern Peru share on October 13, 2011, 148.2 million shares of Southern Peru stock are worth more than $4 billion.</w:t>
      </w:r>
    </w:p>
    <w:p>
      <w:pPr>
        <w:pStyle w:val="CaseBody"/>
      </w:pPr>
      <w:r>
        <w:t xml:space="preserve">The plaintiff also argues that $60.20 in dividends have been paid on each of the 24.7 million Southern Peru shares (adjusted for stock-splits), and to fully remedy the defendants’ breach of fiduciary duty the court must order that the defendants must pay additional damages in the amount of approximately $1.487 billion. Finally, the plaintiff requests pre and post-judgment interest compounded monthly, a request that seems to ignore the effect of the dividends just described.</w:t>
      </w:r>
    </w:p>
    <w:p>
      <w:pPr>
        <w:pStyle w:val="CaseBody"/>
      </w:pPr>
      <w:r>
        <w:t xml:space="preserve">By contrast, the defendants say that no damages at all are due because the deal was more than fair. Based on the fact that Southern Peru’s market value continued on a generally upward trajectory in the years after the Merger — even though it dropped in response to the announcement of the Merger exchange ratio and at the time of the preliminary proxy — the defendants say that Southern Peru stockholders should be grateful for the deal. At the very least, the defendants say that any damage award should be at most a fraction of the amounts sought by the plaintiff, and that the plaintiff has waived the right to seek rescissory damages because of his lethargic approach to litigating the case. The defendants contend that it would be unfair to allow the plaintiff to benefit from increases in Southern Peru’s stock price that occurred during the past six years, because Grupo Mexico bore the market risk for so long due to the plaintiff’s own torpor. The defendants also argue that the plaintiffs delays warrant elimination of the period upon which pre-judgment interest might otherwise be computed, and that plaintiff should not be entitled to compounded interest.</w:t>
      </w:r>
    </w:p>
    <w:p>
      <w:pPr>
        <w:pStyle w:val="CaseBody"/>
      </w:pPr>
      <w:r>
        <w:t xml:space="preserve">This court has broad discretion to fashion equitable and monetary relief under the entire fairness standard.</w:t>
      </w:r>
      <w:r>
        <w:rPr>
          <w:rStyle w:val="FootnoteReference"/>
        </w:rPr>
        <w:footnoteReference w:customMarkFollows="1" w:id="1067"/>
        <w:t xml:space="preserve">182</w:t>
      </w:r>
      <w:r>
        <w:t xml:space="preserve"> </w:t>
      </w:r>
      <w:r>
        <w:t xml:space="preserve">Unlike the more exact process followed in an appraisal action, damages resulting from a breach of fiduciary duty are liberally calculated.</w:t>
      </w:r>
      <w:r>
        <w:rPr>
          <w:rStyle w:val="FootnoteReference"/>
        </w:rPr>
        <w:footnoteReference w:customMarkFollows="1" w:id="1068"/>
        <w:t xml:space="preserve">183</w:t>
      </w:r>
      <w:r>
        <w:t xml:space="preserve"> </w:t>
      </w:r>
      <w:r>
        <w:t xml:space="preserve">As long as there is a basis for an estimate of damages, and the plaintiff has suffered harm, “mathematical certainty is not required.”</w:t>
      </w:r>
      <w:r>
        <w:rPr>
          <w:rStyle w:val="FootnoteReference"/>
        </w:rPr>
        <w:footnoteReference w:customMarkFollows="1" w:id="1069"/>
        <w:t xml:space="preserve">184</w:t>
      </w:r>
      <w:r>
        <w:t xml:space="preserve"> </w:t>
      </w:r>
      <w:r>
        <w:t xml:space="preserve">In addition to an actual award of monetary relief, this court has the authority to grant pre-and post-judgment interest, and to determine the form of that interest.</w:t>
      </w:r>
      <w:r>
        <w:rPr>
          <w:rStyle w:val="FootnoteReference"/>
        </w:rPr>
        <w:footnoteReference w:customMarkFollows="1" w:id="1070"/>
        <w:t xml:space="preserve">185</w:t>
      </w:r>
    </w:p>
    <w:p>
      <w:pPr>
        <w:pStyle w:val="CaseBody"/>
      </w:pPr>
      <w:r>
        <w:t xml:space="preserve">The task of determining an appropriate remedy for the plaintiff in this case is difficult, for several reasons. First, as the defendants point out, the plaintiff caused this case to languish and as a result this litigation has gone on for six years. Second, both parties took an odd approach to presenting valuation evidence, particularly the defendants, whose expert consciously chose not to give an estimate of Minera’s value at the time of the Merger. Although the plaintiffs expert gave no opinion on the fundamental value of Southern Peru, that did not matter as much as the defendants’ expert’s failure to give such an opinion, because the defendants themselves conceded that Southern Peru’s acquisition currency was worth its stock market value. Third, the parties devoted comparatively few pages of their briefs to the issue of the appropriate remedy. Finally, the implied standalone DCF values of Minera and Southern Peru that were used in Goldman’s final relative valuation of the companies are hard to discern and have never been fully explained by the source.</w:t>
      </w:r>
    </w:p>
    <w:p>
      <w:pPr>
        <w:pStyle w:val="CaseBody"/>
      </w:pPr>
      <w:r>
        <w:t xml:space="preserve">These problems make it more challenging than it would already be to come to a responsible remedy. But, I will, as I must, work with the record I have.</w:t>
      </w:r>
    </w:p>
    <w:p>
      <w:pPr>
        <w:pStyle w:val="CaseBody"/>
      </w:pPr>
      <w:r>
        <w:t xml:space="preserve">In coming to my remedy, I first address a few of the preliminary issues. For starters, I reject the defendants’ argument that the post-Merger performance of Southern Peru’s stock eliminates the need for relief here. As noted, the defendants did not bother to present a reliable event study about the market’s reaction to the Merger, and there is evidence that the market did not view the Merger as fair in spite of material gaps in disclosure about the fairness of the Merger. Furthermore, even if Southern Peru’s stock has outperformed comparable companies since the Merger, the company may have performed even better if the defendants had not overpaid for Minera based on its own fundamentals. Notably, Southern Peru markedly outperformed the EBITDA estimates used in the deal for both 2004 and 2005, and the ratio of Southern Peru’s EBITDA to Minera’s EBITDA over the six years since the Merger suggests that the assumptions on which the Merger was based were biased in Minera’s favor. ' A transaction like the Merger can be unfair, in the sense that it is below what a real arms-length deal would have been priced at, while not tanking a strong company with sound fundamentals in a rising market, such as the one in which Southern Peru was a participant. That remains my firm sense here, and if I took into account the full range of post-Merger evidence, my conclusion that the Merger was unfair would be held more firmly, rather than more tentatively.</w:t>
      </w:r>
    </w:p>
    <w:p>
      <w:pPr>
        <w:pStyle w:val="CaseBody"/>
      </w:pPr>
      <w:r>
        <w:t xml:space="preserve">By contrast, I do agree with the defendants that the plaintiffs delay in litigating the case renders it inequitable to use a rescission-based approach.</w:t>
      </w:r>
      <w:r>
        <w:rPr>
          <w:rStyle w:val="FootnoteReference"/>
        </w:rPr>
        <w:footnoteReference w:customMarkFollows="1" w:id="1071"/>
        <w:t xml:space="preserve">186</w:t>
      </w:r>
      <w:r>
        <w:t xml:space="preserve"> </w:t>
      </w:r>
      <w:r>
        <w:t xml:space="preserve">Rescissory damages are the economic equivalent of rescission and therefore if rescission itself is unwarranted because of the plaintiffs delay, so are rescissory damages.</w:t>
      </w:r>
      <w:r>
        <w:rPr>
          <w:rStyle w:val="FootnoteReference"/>
        </w:rPr>
        <w:footnoteReference w:customMarkFollows="1" w:id="1072"/>
        <w:t xml:space="preserve">187</w:t>
      </w:r>
      <w:r>
        <w:t xml:space="preserve"> </w:t>
      </w:r>
      <w:r>
        <w:t xml:space="preserve">Instead of entering a rescission-based remedy, I will craft from the “panoply of equitable remedies” within this court’s discretion a damage award that approximates the difference between the price that the Special Committee would have approved had the Merger been entirely fair (i.e., absent a breach of fiduciary duties) and the price that the Special Committee actually agreed to pay.</w:t>
      </w:r>
      <w:r>
        <w:rPr>
          <w:rStyle w:val="FootnoteReference"/>
        </w:rPr>
        <w:footnoteReference w:customMarkFollows="1" w:id="1073"/>
        <w:t xml:space="preserve">188</w:t>
      </w:r>
      <w:r>
        <w:t xml:space="preserve"> </w:t>
      </w:r>
      <w:r>
        <w:t xml:space="preserve">In other words, I will take the difference between this fair price and the market value of 67.2 million shares of Southern Peru stock as of the Merger date.</w:t>
      </w:r>
      <w:r>
        <w:rPr>
          <w:rStyle w:val="FootnoteReference"/>
        </w:rPr>
        <w:footnoteReference w:customMarkFollows="1" w:id="1074"/>
        <w:t xml:space="preserve">189</w:t>
      </w:r>
      <w:r>
        <w:t xml:space="preserve"> </w:t>
      </w:r>
      <w:r>
        <w:t xml:space="preserve">That difference, divided by the average closing price of Southern Peru stock in the 20 trading days preceding the issuance of this opinion, will determine the number of shares that the defendants must return to Southern Peru. Furthermore, because of the plaintiffs delay, I will only grant simple interest on that amount, calculated at the statutory rate since the date of the Merger.</w:t>
      </w:r>
    </w:p>
    <w:p>
      <w:pPr>
        <w:pStyle w:val="CaseBody"/>
      </w:pPr>
      <w:r>
        <w:t xml:space="preserve">In all my analyses, I fix the fair value of Minera at October 21, 2004, the date on which the Merger Agreement was signed. I do not believe it fair to accord Grupo Mexico any price appreciation after that date due to its own fixation on cash value, the fact that Southern Peru outperformed Minera during this period, and the overall conservatism I employ in my remedial approach, which already reflects leniency toward Grupo Mexico, given the serious fairness concerns evidenced in the record.</w:t>
      </w:r>
    </w:p>
    <w:p>
      <w:pPr>
        <w:pStyle w:val="CaseBody"/>
      </w:pPr>
      <w:r>
        <w:t xml:space="preserve">B.</w:t>
      </w:r>
      <w:r>
        <w:t xml:space="preserve"> </w:t>
      </w:r>
      <w:r>
        <w:rPr>
          <w:iCs/>
          <w:i/>
        </w:rPr>
        <w:t xml:space="preserve">The Damages Valuation</w:t>
      </w:r>
    </w:p>
    <w:p>
      <w:pPr>
        <w:pStyle w:val="CaseBody"/>
      </w:pPr>
      <w:r>
        <w:t xml:space="preserve">Having determined the nature of the damage award, I must next determine the appropriate valuation for the price that the Special Committee</w:t>
      </w:r>
      <w:r>
        <w:t xml:space="preserve"> </w:t>
      </w:r>
      <w:r>
        <w:rPr>
          <w:iCs/>
          <w:i/>
        </w:rPr>
        <w:t xml:space="preserve">should</w:t>
      </w:r>
      <w:r>
        <w:t xml:space="preserve"> </w:t>
      </w:r>
      <w:r>
        <w:t xml:space="preserve">have paid. Of course, this valuation is not a straightforward exercise and inevitably involves some speculation. There are many ways to fashion a remedy here, given that the parties have provided no real road map for how to come to a value, and the analyses performed by Goldman and the Special Committee do not lend themselves to an easy resolution. I will attempt to do my best on the record before me.</w:t>
      </w:r>
    </w:p>
    <w:p>
      <w:pPr>
        <w:pStyle w:val="CaseBody"/>
      </w:pPr>
      <w:r>
        <w:t xml:space="preserve">Given the difference between the standalone equity values of Minera derived by Goldman and the plaintiffs expert and the actual cash value of the $3.75 billion in Southern Peru stock that was actually paid to Grupo Mexico in the Merger, this record could arguably support a damages award of $2 billion or more. My remedy calculation will be more conservative, and in that manner will intentionally take into account some of the imponderables I previously mentioned, which notably include the uncertainties regarding the market’s reaction to the Merger and the reality that the Merger did not stop Southern Peru’s stock price from rising over the long term.</w:t>
      </w:r>
      <w:r>
        <w:rPr>
          <w:rStyle w:val="FootnoteReference"/>
        </w:rPr>
        <w:footnoteReference w:customMarkFollows="1" w:id="1075"/>
        <w:t xml:space="preserve">190</w:t>
      </w:r>
    </w:p>
    <w:p>
      <w:pPr>
        <w:pStyle w:val="CaseBody"/>
      </w:pPr>
      <w:r>
        <w:t xml:space="preserve">To calculate a fair price for remedy purposes, I will balance three values: (1) a standalone DCF value of Minera, calculated by applying the most aggressive discount rate used by Goldman in its DCF analyses (7.5%) and a long-term copper price of $1.10 per pound to the DCF model presented by the plaintiffs expert, Beaulne; (2) the market value of the Special Committee’s 52 million share counteroffer made in July 2004, which was sized based on months of due diligence by Goldman about Minera’s standalone value, calculated as of the date on which the Special Committee approved the Merger; and (3) the equity value of Minera derived from a comparable companies analysis using the comparable companies identified by Goldman.</w:t>
      </w:r>
    </w:p>
    <w:p>
      <w:pPr>
        <w:pStyle w:val="CaseBody"/>
      </w:pPr>
      <w:r>
        <w:t xml:space="preserve">1.</w:t>
      </w:r>
      <w:r>
        <w:t xml:space="preserve"> </w:t>
      </w:r>
      <w:r>
        <w:rPr>
          <w:iCs/>
          <w:i/>
        </w:rPr>
        <w:t xml:space="preserve">A Standalone DCF Value</w:t>
      </w:r>
    </w:p>
    <w:p>
      <w:pPr>
        <w:pStyle w:val="CaseBody"/>
      </w:pPr>
      <w:r>
        <w:t xml:space="preserve">The only standalone DCF value for Min-era in the record that clearly takes into account the projections for Minera that Goldman was using on October 21, 2004 is Beaulne’s DCF analysis of Minera, which yielded an equity value as of October 21, 2004 of $1,838 billion.</w:t>
      </w:r>
      <w:r>
        <w:rPr>
          <w:rStyle w:val="FootnoteReference"/>
        </w:rPr>
        <w:footnoteReference w:customMarkFollows="1" w:id="1076"/>
        <w:t xml:space="preserve">191</w:t>
      </w:r>
      <w:r>
        <w:t xml:space="preserve"> </w:t>
      </w:r>
      <w:r>
        <w:t xml:space="preserve">Beaulne used the same A &amp; S-adjusted projections for Min-era that Goldman used in its October 21, 2004 presentation to calculate his standalone DCF value for Minera.</w:t>
      </w:r>
      <w:r>
        <w:rPr>
          <w:rStyle w:val="FootnoteReference"/>
        </w:rPr>
        <w:footnoteReference w:customMarkFollows="1" w:id="1077"/>
        <w:t xml:space="preserve">192</w:t>
      </w:r>
      <w:r>
        <w:t xml:space="preserve"> </w:t>
      </w:r>
      <w:r>
        <w:t xml:space="preserve">He assumes a long-term copper price of $0.90 per pound, which was also relied on by Goldman.</w:t>
      </w:r>
      <w:r>
        <w:rPr>
          <w:rStyle w:val="FootnoteReference"/>
        </w:rPr>
        <w:footnoteReference w:customMarkFollows="1" w:id="1078"/>
        <w:t xml:space="preserve">193</w:t>
      </w:r>
      <w:r>
        <w:t xml:space="preserve"> </w:t>
      </w:r>
      <w:r>
        <w:t xml:space="preserve">The major difference between Beaulne’s DCF analysis and the Goldman DCF analysis, other than the fact that Goldman gave up on deriving a standalone equity value for Minera, is that Beaulne uses a lower discount rate than Goldman did — 6.5% instead of 8.5%.</w:t>
      </w:r>
      <w:r>
        <w:rPr>
          <w:rStyle w:val="FootnoteReference"/>
        </w:rPr>
        <w:footnoteReference w:customMarkFollows="1" w:id="1079"/>
        <w:t xml:space="preserve">194</w:t>
      </w:r>
    </w:p>
    <w:p>
      <w:pPr>
        <w:pStyle w:val="CaseBody"/>
      </w:pPr>
      <w:r>
        <w:t xml:space="preserve">Because Beaulne used the same underlying projections in his analysis, and his inputs are not disputed by the defendants or the defendants’ expert, I am comfortable using his DCF valuation model. But, I am not at ease with using his discount rate of 6.5%, because it is outside the range of discount rates used by Goldman and seems unrealistically low. Instead, I will apply Goldman’s lowest discount rate, 7.5%. In the spirit of being conservative in my remedy, I will, by contrast, apply a long-term copper price of $1.10 per pound, which is $0.10 more than the highest long-term copper price used by Goldman in its valuation matrices ($1.00) and is halfway between Goldman’s mid-range copper price assumption of $0.90 and the $1.30 per pound long-term copper price that the defendants contend was their secretly held assumption at the time of the Merger. In other words, I use the discount rate assumption from the Goldman analyses that is most favorable to the defendants and a long-term copper price assumption that is even more favorable to the defendants than Goldman’s highest long-term copper price, and apply them to the optimized cash flow projections of Minera. Under these defendant-friendly assumptions, a standalone equity value for Minera as of October 21, 2004 of $2.452 billion results.</w:t>
      </w:r>
      <w:r>
        <w:rPr>
          <w:rStyle w:val="FootnoteReference"/>
        </w:rPr>
        <w:footnoteReference w:customMarkFollows="1" w:id="1080"/>
        <w:t xml:space="preserve">195</w:t>
      </w:r>
    </w:p>
    <w:p>
      <w:pPr>
        <w:pStyle w:val="CaseBody"/>
      </w:pPr>
      <w:r>
        <w:t xml:space="preserve">2.</w:t>
      </w:r>
      <w:r>
        <w:t xml:space="preserve"> </w:t>
      </w:r>
      <w:r>
        <w:rPr>
          <w:iCs/>
          <w:i/>
        </w:rPr>
        <w:t xml:space="preserve">The Value Of The Special Committee’s July Proposal</w:t>
      </w:r>
    </w:p>
    <w:p>
      <w:pPr>
        <w:pStyle w:val="CaseBody"/>
      </w:pPr>
      <w:r>
        <w:t xml:space="preserve">The counteroffer made by the Special Committee in July 2004, in which they proposed to pay for Grupo Mexico’s stake in Minera with 52 million shares of Southern Peru stock, is arguably the last proposal made by the Special Committee while they still had some vestige of a “give/ get” analysis in mind that a reasonable, uncontrolled Special Committee would have remained in during the entire negotiation process. I therefore believe that the then-current value of 52 million shares is indicative of what the Special Committee thought Minera was really worth.</w:t>
      </w:r>
    </w:p>
    <w:p>
      <w:pPr>
        <w:pStyle w:val="CaseBody"/>
      </w:pPr>
      <w:r>
        <w:t xml:space="preserve">The Special Committee’s July proposal was made between July 8, 2004 and July 12, 2004. The stock price of Southern Peru on July 8, 2004 was $40.30 per share, so the 52 million shares of Southern Peru stock then had a market price of $2.095 billion. Because Grupo Mexico wanted a dollar value of stock, I fix the value at what 52 million Southern Peru shares were worth as of October 21, 2004, the date on which the Special Committee approved the Merger, $2.388 billion,</w:t>
      </w:r>
      <w:r>
        <w:rPr>
          <w:rStyle w:val="FootnoteReference"/>
        </w:rPr>
        <w:footnoteReference w:customMarkFollows="1" w:id="1081"/>
        <w:t xml:space="preserve">196</w:t>
      </w:r>
      <w:r>
        <w:t xml:space="preserve"> </w:t>
      </w:r>
      <w:r>
        <w:t xml:space="preserve">giving Minera credit for the price growth to that date.</w:t>
      </w:r>
    </w:p>
    <w:p>
      <w:pPr>
        <w:pStyle w:val="CaseBody"/>
      </w:pPr>
      <w:r>
        <w:t xml:space="preserve">3.</w:t>
      </w:r>
      <w:r>
        <w:t xml:space="preserve"> </w:t>
      </w:r>
      <w:r>
        <w:rPr>
          <w:iCs/>
          <w:i/>
        </w:rPr>
        <w:t xml:space="preserve">A Comparable Companies Approach</w:t>
      </w:r>
    </w:p>
    <w:p>
      <w:pPr>
        <w:pStyle w:val="CaseBody"/>
      </w:pPr>
      <w:r>
        <w:t xml:space="preserve">In its October 21, 2004 presentation, Goldman identified comparable companies and deduced a mean and median 2005 EBITDA multiple (4.8x) that could have been applied Minera’s EBITDA projections to value Minera. The comparable companies used by Goldman were Antofagasta, Freeport McMoRan, Grupo Mexico itself, Phelps Dodge and Southern Peru. Goldman did not use this multiple to value Minera. As discussed earlier in this opinion, Goldman instead opted to apply a range of pumped-up Southern Peru 2005E EBITDA multiples to Minera’s EBITDA projections so as to generate a value expressed only in terms of the number of Southern Peru shares to be issued.</w:t>
      </w:r>
      <w:r>
        <w:rPr>
          <w:rStyle w:val="FootnoteReference"/>
        </w:rPr>
        <w:footnoteReference w:customMarkFollows="1" w:id="1082"/>
        <w:t xml:space="preserve">197</w:t>
      </w:r>
    </w:p>
    <w:p>
      <w:pPr>
        <w:pStyle w:val="CaseBody"/>
      </w:pPr>
      <w:r>
        <w:t xml:space="preserve">Applying the median 2005E EBITDA multiple for the comparable companies identified by Goldman to Minera’s 2005 EBITDA projections as adjusted by A &amp; S ($622 million)</w:t>
      </w:r>
      <w:r>
        <w:rPr>
          <w:rStyle w:val="FootnoteReference"/>
        </w:rPr>
        <w:footnoteReference w:customMarkFollows="1" w:id="1083"/>
        <w:t xml:space="preserve">198</w:t>
      </w:r>
      <w:r>
        <w:t xml:space="preserve"> </w:t>
      </w:r>
      <w:r>
        <w:t xml:space="preserve">was the reasonable and fair valuation approach. Doing so yields a result of $1.986 billion.</w:t>
      </w:r>
      <w:r>
        <w:rPr>
          <w:rStyle w:val="FootnoteReference"/>
        </w:rPr>
        <w:footnoteReference w:customMarkFollows="1" w:id="1084"/>
        <w:t xml:space="preserve">199</w:t>
      </w:r>
    </w:p>
    <w:p>
      <w:pPr>
        <w:pStyle w:val="CaseBody"/>
      </w:pPr>
      <w:r>
        <w:t xml:space="preserve">When using the comparable companies method, it is usually necessary to adjust for the fact that what is being sold is different (control of the entire company and thus over its business plan and full cash flows) than what is measured by the multiples (minority trades in which the buyer has no expectancy of full control over the company’s strategy and thus influence over the strategy to maximize and spend its cash flows).</w:t>
      </w:r>
      <w:r>
        <w:rPr>
          <w:rStyle w:val="FootnoteReference"/>
        </w:rPr>
        <w:footnoteReference w:customMarkFollows="1" w:id="1085"/>
        <w:t xml:space="preserve">200</w:t>
      </w:r>
      <w:r>
        <w:t xml:space="preserve"> </w:t>
      </w:r>
      <w:r>
        <w:t xml:space="preserve">That is, the comparable companies method of analysis produces an equity valuation that includes an inherent minority trading discount because all of the data used for purposes of comparison is derived from minority trading values of the companies being used.</w:t>
      </w:r>
      <w:r>
        <w:rPr>
          <w:rStyle w:val="FootnoteReference"/>
        </w:rPr>
        <w:footnoteReference w:customMarkFollows="1" w:id="1086"/>
        <w:t xml:space="preserve">201</w:t>
      </w:r>
      <w:r>
        <w:t xml:space="preserve"> </w:t>
      </w:r>
      <w:r>
        <w:t xml:space="preserve">In appraisal cases, the court, in determining the fair value of the equity under a comparable companies method, must correct this minority discount by adding back a premium.</w:t>
      </w:r>
      <w:r>
        <w:rPr>
          <w:rStyle w:val="FootnoteReference"/>
        </w:rPr>
        <w:footnoteReference w:customMarkFollows="1" w:id="1087"/>
        <w:t xml:space="preserve">202</w:t>
      </w:r>
    </w:p>
    <w:p>
      <w:pPr>
        <w:pStyle w:val="CaseBody"/>
      </w:pPr>
      <w:r>
        <w:t xml:space="preserve">An adjustment in the form of a control premium is generally applied to the equity value of the company being valued to take into account the reality that healthy, solvent public companies are usually sold at a premium to the unaffected trading price of everyday sales of the company’s stock. This method must be used with care, especially as to unlisted companies that have not proven themselves as standalone companies. For that reason, it is conservative that I add a control premium for Minera, given its financial problems and its lack of history as an independent public company. Using the median premium for merger transactions in 2004 calculated by Merg-erstat of 23.4%,</w:t>
      </w:r>
      <w:r>
        <w:rPr>
          <w:rStyle w:val="FootnoteReference"/>
        </w:rPr>
        <w:footnoteReference w:customMarkFollows="1" w:id="1088"/>
        <w:t xml:space="preserve">203</w:t>
      </w:r>
      <w:r>
        <w:t xml:space="preserve"> </w:t>
      </w:r>
      <w:r>
        <w:t xml:space="preserve">and applying that premium to the value derived from my comparable companies analysis yields a value of $2.45 billion.</w:t>
      </w:r>
    </w:p>
    <w:p>
      <w:pPr>
        <w:pStyle w:val="CaseBody"/>
      </w:pPr>
      <w:r>
        <w:t xml:space="preserve">4.</w:t>
      </w:r>
      <w:r>
        <w:t xml:space="preserve"> </w:t>
      </w:r>
      <w:r>
        <w:rPr>
          <w:iCs/>
          <w:i/>
        </w:rPr>
        <w:t xml:space="preserve">The Resulting Damages</w:t>
      </w:r>
    </w:p>
    <w:p>
      <w:pPr>
        <w:pStyle w:val="CaseBody"/>
      </w:pPr>
      <w:r>
        <w:t xml:space="preserve">Giving the values described above equal weight in my damages analysis (($2.452 billion + $2.388 billion -I- $2.45 billion) / 3), results in a value of $2.43 billion, which I then adjust to reflect the fact that Southern Peru bought 99.15%, not 100%, of Minera, which yields a value of $2.409 billion. The value of 67.2 million Southern Peru shares as of the Merger Date was $3.756 billion.</w:t>
      </w:r>
      <w:r>
        <w:rPr>
          <w:rStyle w:val="FootnoteReference"/>
        </w:rPr>
        <w:footnoteReference w:customMarkFollows="1" w:id="1089"/>
        <w:t xml:space="preserve">204</w:t>
      </w:r>
      <w:r>
        <w:t xml:space="preserve"> </w:t>
      </w:r>
      <w:r>
        <w:t xml:space="preserve">The remedy, therefore, amounts to $1.347 billion.</w:t>
      </w:r>
      <w:r>
        <w:rPr>
          <w:rStyle w:val="FootnoteReference"/>
        </w:rPr>
        <w:footnoteReference w:customMarkFollows="1" w:id="1090"/>
        <w:t xml:space="preserve">205</w:t>
      </w:r>
      <w:r>
        <w:t xml:space="preserve"> </w:t>
      </w:r>
      <w:r>
        <w:t xml:space="preserve">The parties shall implement my remedy as follows. They shall add interest at the statutory rate, without compounding, to the value of $1.347 billion from the Merger date, and that interest shall run until time of the judgment and until payment.</w:t>
      </w:r>
    </w:p>
    <w:p>
      <w:pPr>
        <w:pStyle w:val="CaseBody"/>
      </w:pPr>
      <w:r>
        <w:t xml:space="preserve">Grupo Mexico may satisfy the judgment by agreeing to return to Southern Peru such number of its shares as are necessary to satisfy this remedy. Any attorneys’ fees shall be paid out of the award.</w:t>
      </w:r>
      <w:r>
        <w:rPr>
          <w:rStyle w:val="FootnoteReference"/>
        </w:rPr>
        <w:footnoteReference w:customMarkFollows="1" w:id="1091"/>
        <w:t xml:space="preserve">206</w:t>
      </w:r>
    </w:p>
    <w:p>
      <w:pPr>
        <w:pStyle w:val="CaseBody"/>
      </w:pPr>
      <w:r>
        <w:t xml:space="preserve">Within fifteen days, the plaintiff shall present an implementing order, approved as to form, or the parties’ proposed plan to reach such an order. Too much delay has occurred in this case, and the parties are expected to bring this case to closure promptly, at least at the trial court level.</w:t>
      </w:r>
    </w:p>
    <w:p>
      <w:pPr>
        <w:pStyle w:val="CaseBody"/>
      </w:pPr>
      <w:r>
        <w:t xml:space="preserve">V.</w:t>
      </w:r>
      <w:r>
        <w:t xml:space="preserve"> </w:t>
      </w:r>
      <w:r>
        <w:rPr>
          <w:iCs/>
          <w:i/>
        </w:rPr>
        <w:t xml:space="preserve">Conclusion</w:t>
      </w:r>
    </w:p>
    <w:p>
      <w:pPr>
        <w:pStyle w:val="CaseBody"/>
      </w:pPr>
      <w:r>
        <w:t xml:space="preserve">For all these reasons, the defendants breached their fiduciary duty of loyalty and judgment will be entered against them on the basis outlined in this decision.</w:t>
      </w:r>
    </w:p>
    <w:p>
      <w:pPr>
        <w:pStyle w:val="CaseFootnoteText"/>
      </w:pPr>
      <w:r>
        <w:rPr>
          <w:rStyle w:val="FootnoteReference"/>
        </w:rPr>
        <w:t xml:space="preserve">61</w:t>
      </w:r>
      <w:r>
        <w:t xml:space="preserve">. Tr. at 187 ("Q. ... [b]efore the transaction closed at the end of April 2005, did the special committee do anything to determine whether the transaction was still fair? A. Well, I don’t know what the special committee did, but I called a representative at Goldman and said, Has anything happened since the transaction was approved by the board that would suggest to you that this transaction was not fair? And I got the answer, no, nothing like that has happened.”).</w:t>
      </w:r>
    </w:p>
    <w:bookmarkStart w:id="148" w:name="_auto_toc_148"/>
    <w:bookmarkEnd w:id="148"/>
    <w:p>
      <w:pPr>
        <w:pStyle w:val="ResourceNumber"/>
      </w:pPr>
      <w:r>
        <w:t xml:space="preserve">11.3.4</w:t>
      </w:r>
    </w:p>
    <w:p>
      <w:pPr>
        <w:pStyle w:val="ResourceTitle"/>
      </w:pPr>
      <w:r>
        <w:t xml:space="preserve">In re CNX Gas Corp. Shareholders Litigation</w:t>
      </w:r>
    </w:p>
    <w:p>
      <w:pPr>
        <w:pStyle w:val="HeadEnd"/>
      </w:pPr>
      <w:r>
        <w:t xml:space="preserve"> </w:t>
      </w:r>
    </w:p>
    <w:p>
      <w:pPr>
        <w:pStyle w:val="CaseHeader"/>
      </w:pPr>
      <w:r>
        <w:t xml:space="preserve">Delaware Court of Chancery</w:t>
      </w:r>
    </w:p>
    <w:p>
      <w:pPr>
        <w:pStyle w:val="CaseHeader"/>
      </w:pPr>
      <w:r>
        <w:t xml:space="preserve">4 A.3d 397</w:t>
      </w:r>
    </w:p>
    <w:p>
      <w:pPr>
        <w:pStyle w:val="CaseHeader"/>
      </w:pPr>
      <w:r>
        <w:t xml:space="preserve">C.A. No. 5377-VCL</w:t>
      </w:r>
    </w:p>
    <w:p>
      <w:pPr>
        <w:pStyle w:val="CaseHeader"/>
      </w:pPr>
      <w:r>
        <w:t xml:space="preserve">2010-05-25</w:t>
      </w:r>
    </w:p>
    <w:p>
      <w:pPr>
        <w:pStyle w:val="CaseBody"/>
      </w:pPr>
      <w:r>
        <w:t xml:space="preserve">Submitted: May 24, 2010.</w:t>
      </w:r>
    </w:p>
    <w:p>
      <w:pPr>
        <w:pStyle w:val="CaseBody"/>
      </w:pPr>
      <w:r>
        <w:t xml:space="preserve">Seth D. Rigrodsky, Brian D. Long, Rig-rodsky &amp; Long, P.A., Wilmington, Delaware; Daniel W. Kranser, Gregory M. Nespole, Scott J. Farrell, Rachel S. Po-plock, Wolf Haldenstein Adler Freeman &amp; Herz LLP, New York, New York, Co-Lead Counsel for Plaintiffs.</w:t>
      </w:r>
    </w:p>
    <w:p>
      <w:pPr>
        <w:pStyle w:val="CaseBody"/>
      </w:pPr>
      <w:r>
        <w:t xml:space="preserve">Donald J. Wolfe, Jr., Brian C. Ralston, Scott B. Czerwonka, Potter Anderson</w:t>
      </w:r>
      <w:r>
        <w:t xml:space="preserve"> </w:t>
      </w:r>
      <w:r>
        <w:rPr>
          <w:iCs/>
          <w:i/>
        </w:rPr>
        <w:t xml:space="preserve">&amp;</w:t>
      </w:r>
      <w:r>
        <w:t xml:space="preserve"> </w:t>
      </w:r>
      <w:r>
        <w:t xml:space="preserve">Corroon LLP, Wilmington, Delaware; Theodore N. Mirvis, Paul K. Rowe, Elaine P. Golin, Wachtell, Lipton, Rosen &amp; Katz, New York, New York, Attorneys for Defendants CONSOL Energy Inc., J. Brett Harvey, Phillip W. Baxter, and Raj K. Gupta.</w:t>
      </w:r>
    </w:p>
    <w:p>
      <w:pPr>
        <w:pStyle w:val="CaseBody"/>
      </w:pPr>
      <w:r>
        <w:t xml:space="preserve">Robert S. Saunders, Ronald N. Brown, III, Arthur R. Bookout, Skadden, Arps, Slate, Meagher &amp; Flom LLP, Wilmington, Delaware, Attorneys for Defendant John Pipski.</w:t>
      </w:r>
    </w:p>
    <w:p>
      <w:pPr>
        <w:pStyle w:val="CaseBody"/>
      </w:pPr>
      <w:r>
        <w:t xml:space="preserve">Collins J. Seitz, Jr., David E. Ross, Bradley R. Aronstam, Connolly Bove Lodge</w:t>
      </w:r>
      <w:r>
        <w:t xml:space="preserve"> </w:t>
      </w:r>
      <w:r>
        <w:rPr>
          <w:iCs/>
          <w:i/>
        </w:rPr>
        <w:t xml:space="preserve">&amp;</w:t>
      </w:r>
      <w:r>
        <w:t xml:space="preserve"> </w:t>
      </w:r>
      <w:r>
        <w:t xml:space="preserve">Hutz LLP, Wilmington, Delaware, Attorneys for Defendant CNX Gas Corporation.</w:t>
      </w:r>
    </w:p>
    <w:p>
      <w:pPr>
        <w:pStyle w:val="CaseBody"/>
      </w:pPr>
      <w:r>
        <w:t xml:space="preserve">OPINION</w:t>
      </w:r>
    </w:p>
    <w:p>
      <w:pPr>
        <w:pStyle w:val="CaseBody"/>
      </w:pPr>
      <w:r>
        <w:t xml:space="preserve">LASTER, Vice Chancellor.</w:t>
      </w:r>
    </w:p>
    <w:p>
      <w:pPr>
        <w:pStyle w:val="CaseBody"/>
      </w:pPr>
      <w:r>
        <w:t xml:space="preserve">Representatives of a putative class of minority stockholders have challenged a controlling stockholder freeze-out structured as a first-step tender offer to be followed by second-step short-form merger. The plaintiffs have sued the controlling stockholder, its controlled subsidiary, and the four members of the subsidiary board. Three of the subsidiary directors are also directors of the controller. The fourth is an independent outsider and the sole member of the special committee formed to respond to the controller’s tender offer. The plaintiffs have moved for a preliminary injunction against the transaction.</w:t>
      </w:r>
    </w:p>
    <w:p>
      <w:pPr>
        <w:pStyle w:val="CaseBody"/>
      </w:pPr>
      <w:r>
        <w:t xml:space="preserve">I apply the unified standard for reviewing controlling stockholder freeze-outs described in</w:t>
      </w:r>
      <w:r>
        <w:t xml:space="preserve"> </w:t>
      </w:r>
      <w:r>
        <w:rPr>
          <w:iCs/>
          <w:i/>
        </w:rPr>
        <w:t xml:space="preserve">In re Cox Communications, Inc. Shareholders Litigation,</w:t>
      </w:r>
      <w:r>
        <w:t xml:space="preserve"> </w:t>
      </w:r>
      <w:r>
        <w:t xml:space="preserve">879 A.2d 604</w:t>
      </w:r>
      <w:r>
        <w:t xml:space="preserve"> </w:t>
      </w:r>
      <w:r>
        <w:t xml:space="preserve">(Del.Ch.2005). Under that standard, the business judgment rule applies when a freeze-out is conditioned on</w:t>
      </w:r>
      <w:r>
        <w:t xml:space="preserve"> </w:t>
      </w:r>
      <w:r>
        <w:rPr>
          <w:iCs/>
          <w:i/>
        </w:rPr>
        <w:t xml:space="preserve">both</w:t>
      </w:r>
      <w:r>
        <w:t xml:space="preserve"> </w:t>
      </w:r>
      <w:r>
        <w:t xml:space="preserve">the affirmative recommendation of a special committee</w:t>
      </w:r>
      <w:r>
        <w:t xml:space="preserve"> </w:t>
      </w:r>
      <w:r>
        <w:rPr>
          <w:iCs/>
          <w:i/>
        </w:rPr>
        <w:t xml:space="preserve">and</w:t>
      </w:r>
      <w:r>
        <w:t xml:space="preserve"> </w:t>
      </w:r>
      <w:r>
        <w:t xml:space="preserve">the approval of a majority of the unaffiliated stockholders. Because the special committee did not recommend in favor of the tender offer, the transaction at issue in this case will be reviewed for entire fairness. Although the lack of an affirmative recommendation is sufficient to trigger fairness review under</w:t>
      </w:r>
      <w:r>
        <w:t xml:space="preserve"> </w:t>
      </w:r>
      <w:r>
        <w:rPr>
          <w:iCs/>
          <w:i/>
        </w:rPr>
        <w:t xml:space="preserve">Cox Communications,</w:t>
      </w:r>
      <w:r>
        <w:t xml:space="preserve"> </w:t>
      </w:r>
      <w:r>
        <w:t xml:space="preserve">the plaintiffs also have shown that the special committee was not provided with the authority to bargain with the controller on an arms’ length basis. The plaintiffs similarly have established a reasonable basis to question the effectiveness of the majority-of-the-minority tender condition.</w:t>
      </w:r>
    </w:p>
    <w:p>
      <w:pPr>
        <w:pStyle w:val="CaseBody"/>
      </w:pPr>
      <w:r>
        <w:t xml:space="preserve">Because a fairness standard applies to the challenged transaction, any harm to the putative class can be remedied through a post-closing damages action. There are no viable disclosure claims, and the tender offer is not coercive. I therefore decline to issue a preliminary injunction.</w:t>
      </w:r>
    </w:p>
    <w:p>
      <w:pPr>
        <w:pStyle w:val="CaseBody"/>
      </w:pPr>
      <w:r>
        <w:t xml:space="preserve">I. FACTUAL BACKGROUND</w:t>
      </w:r>
    </w:p>
    <w:p>
      <w:pPr>
        <w:pStyle w:val="CaseBody"/>
      </w:pPr>
      <w:r>
        <w:t xml:space="preserve">The record developed during expedited discovery is limited. I draw the facts from the public disclosures provided in connection with the freeze-out and the few documents and five deposition transcripts submitted by the parties.</w:t>
      </w:r>
    </w:p>
    <w:p>
      <w:pPr>
        <w:pStyle w:val="CaseBody"/>
      </w:pPr>
      <w:r>
        <w:t xml:space="preserve">A. CONSOL Forms CNX Gas.</w:t>
      </w:r>
    </w:p>
    <w:p>
      <w:pPr>
        <w:pStyle w:val="CaseBody"/>
      </w:pPr>
      <w:r>
        <w:t xml:space="preserve">Defendant CONSOL Energy, Inc. (“CONSOL”) is a Delaware corporation with its principal place of business in Can-onsburg, Pennsylvania. CONSOL is the largest producer of high-Btu bituminous coal in the United States. Its shares trade publicly on the New York Stock Exchange under the symbol “CNX.”</w:t>
      </w:r>
    </w:p>
    <w:p>
      <w:pPr>
        <w:pStyle w:val="CaseBody"/>
      </w:pPr>
      <w:r>
        <w:t xml:space="preserve">CONSOL is also a leader in the production of coalbed methane gas. In the early 1980s, CONSOL began extracting coalbed methane gas to reduce the gas content of its coal and enhance the safety and productivity of its mining operations. From these beginnings sprang a commercial coalbed methane gas business.</w:t>
      </w:r>
    </w:p>
    <w:p>
      <w:pPr>
        <w:pStyle w:val="CaseBody"/>
      </w:pPr>
      <w:r>
        <w:t xml:space="preserve">In June 2005, CONSOL formed defendant CNX Gas Corporation (“CNX Gas”), also a Delaware corporation, to conduct CONSOL’s natural gas operations. CON-SOL’S board of directors authorized a public offering of less than 20% of the common stock of CNX Gas as the first step towards a potential spin-off. In August 2005, CNX Gas sold approximately 27.9 million shares in a private placement. A registration statement for the shares was declared effective in January 2006, and shares of CNX Gas began trading publicly on the New York Stock Exchange under the symbol “CXG.”</w:t>
      </w:r>
    </w:p>
    <w:p>
      <w:pPr>
        <w:pStyle w:val="CaseBody"/>
      </w:pPr>
      <w:r>
        <w:t xml:space="preserve">In contemplation of the potential spinoff, CONSOL and CNX Gas entered into a number of agreements to govern their relationship, including a Master Separation Agreement, a Master Cooperation and Safety Agreement, a Tax Sharing Agreement, and a Services Agreement. Among other things, the Master Separation Agreement provides that as long as CON-SOL beneficially owns at least 50% of the CNX Gas common stock, CNX Gas will not (i) take any action to limit the ability of CONSOL to transfer its shares, (ii) take any action that could reasonably result in CONSOL defaulting under any contract or agreement, or (iii) issue any additional equity without CONSOL’s consent if the issuance would result in CONSOL owning less than 80% of CNX Gas’ outstanding shares. The Master Separation Agreement gives CONSOL the right to purchase additional shares of common stock in order to maintain at least 80% ownership in CNX Gas or to enable CONSOL to distribute its shares of CNX Gas in a tax-free spin-off. The exercise price under either option is the then-market price for CNX Gas common stock. CNX Gas further agreed not to buy or sell any assets, dispose of any assets, or acquire any equity or debt securities of a third party, in each case in excess of $30 million, without CON-SOL’s prior consent.</w:t>
      </w:r>
    </w:p>
    <w:p>
      <w:pPr>
        <w:pStyle w:val="CaseBody"/>
      </w:pPr>
      <w:r>
        <w:t xml:space="preserve">As of April 26, 2010, there were 151,-021,770 shares of CNX Gas common stock outstanding. CONSOL, its officers and directors, and the officers and directors of CNX Gas own 126,057,300 shares for an aggregate ownership stake of approximately 83.5%.</w:t>
      </w:r>
    </w:p>
    <w:p>
      <w:pPr>
        <w:pStyle w:val="CaseBody"/>
      </w:pPr>
      <w:r>
        <w:t xml:space="preserve">The remaining shares of CNX Gas are held principally by institutional investors, with the top twenty-five institutions holding over 87% of the public float. The largest minority stockholder of CNX Gas is T. Rowe Price Associates, Inc. (“T. Rowe Price”). The T. Rowe Price Capital Appreciation Fund and its clones (mirror image portfolios managed for insurance companies) hold approximately four million shares of CNX Gas. David Giroux manages the Capital Appreciation Fund. The T. Rowe Price Mid-Cap Growth Fund and its clones hold approximately five million shares of CNX Gas. John Wakeman and Brian Berghuis manage the Mid-Cap Growth Fund. Other funds in the T. Rowe Price family hold approximately 470,000 additional shares. In total, T. Rowe Price beneficially owns 9,474,116 shares of CNX Gas, representing 6.3% of the outstanding common stock and approximately 37% of the public float.</w:t>
      </w:r>
    </w:p>
    <w:p>
      <w:pPr>
        <w:pStyle w:val="CaseBody"/>
      </w:pPr>
      <w:r>
        <w:t xml:space="preserve">T. Rowe Price holds a slightly larger percentage stake in CONSOL, primarily through the Mid-Cap Growth Fund. In the aggregate, the T. Rowe Price fund family, including index funds, owns approximately 11,809,600 CONSOL shares. This represents approximately 6.5% of CONSOL’s outstanding common stock. T. Rowe Price also owns CONSOL debt. The Capital Appreciation Fund does not own any CONSOL stock or debt.</w:t>
      </w:r>
    </w:p>
    <w:p>
      <w:pPr>
        <w:pStyle w:val="CaseBody"/>
      </w:pPr>
      <w:r>
        <w:t xml:space="preserve">B. CONSOL’s 2008 Proposal</w:t>
      </w:r>
    </w:p>
    <w:p>
      <w:pPr>
        <w:pStyle w:val="CaseBody"/>
      </w:pPr>
      <w:r>
        <w:t xml:space="preserve">In January 2008, CONSOL proposed to acquire the public shares of CNX Gas through an exchange offer. On January 29, 2008, CONSOL publicly announced that it would exchange 0.4425 shares of CONSOL common stock for each share of CNX Gas it did not own. Based on the pre-announcement price of CONSOL common stock, the value of the consideration was $33.70. Various institutional investors, including T. Rowe Price, reacted negatively and indicated that they would not tender their shares. Although the board of CNX Gas formed a special committee to evaluate the exchange offer, CONSOL withdrew its proposal without ever formally commencing an exchange offer and before the special committee had a chance to consider it.</w:t>
      </w:r>
    </w:p>
    <w:p>
      <w:pPr>
        <w:pStyle w:val="CaseBody"/>
      </w:pPr>
      <w:r>
        <w:t xml:space="preserve">C. CONSOL Reorganizes The Board And Management Of CNX Gas.</w:t>
      </w:r>
    </w:p>
    <w:p>
      <w:pPr>
        <w:pStyle w:val="CaseBody"/>
      </w:pPr>
      <w:r>
        <w:t xml:space="preserve">In January 2009, CONSOL decided to revamp the corporate governance structure of CNX Gas. All board committees other than the audit committee were eliminated. The size of the board was decreased from eight directors to five. A subsequent resignation reduced its membership to four. The remaining directors are defendants J. Brett Harvey, the Chief Executive Officer of CONSOL; Philip W. Baxter and Raj K. Gupta, both directors of CONSOL; and John R. Pipski, the sole independent director of CNX Gas.</w:t>
      </w:r>
    </w:p>
    <w:p>
      <w:pPr>
        <w:pStyle w:val="CaseBody"/>
      </w:pPr>
      <w:r>
        <w:t xml:space="preserve">In addition to the board-level changes, Harvey took over as Chairman and CEO of CNX Gas. Nicholas Deluliis, who had been CEO of CNX Gas, became Chief Operating Officer of CONSOL and CNX Gas. Other senior executives of CONSOL and CNX Gas also hold dual roles. William J. Lyons is Chief Financial Officer of both CONSOL and CNX Gas. F. Jerome Richey is General Counsel of both CON-SOL and CNX Gas. Robert P. King is Executive Vice President — Business Advancement and Support Services of both CONSOL and CNX Gas. Robert F. Pusa-teri is Executive Vice President — Energy Sales and Transportation Services of both CONSOL and CNX Gas. Daniel Zajdel is Vice President of Investor Relations for both CONSOL and CNX Gas.</w:t>
      </w:r>
    </w:p>
    <w:p>
      <w:pPr>
        <w:pStyle w:val="CaseBody"/>
      </w:pPr>
      <w:r>
        <w:t xml:space="preserve">D. The Tender Agreement With T. Rowe Price</w:t>
      </w:r>
    </w:p>
    <w:p>
      <w:pPr>
        <w:pStyle w:val="CaseBody"/>
      </w:pPr>
      <w:r>
        <w:t xml:space="preserve">In September 2009, CONSOL approached T. Rowe Price about potentially acquiring its CNX Gas shares. Harvey contacted Wakeman, a co-manager of the Mid-Cap Growth Fund, and asked him whether T. Rowe Price would consider exchanging its CNX Gas shares for CON-SOL shares. Wakeman said he would get back to Harvey, but did not, and the discussions lay dormant for six months.</w:t>
      </w:r>
    </w:p>
    <w:p>
      <w:pPr>
        <w:pStyle w:val="CaseBody"/>
      </w:pPr>
      <w:r>
        <w:t xml:space="preserve">On March 9, 2010, Wakeman and Ber-ghuis, the co-managers of the Mid-Cap Growth Fund, met with Deluliis and Zaj-del while attending an investor conference in Orlando, Florida. None of these gentlemen were deposed. A faxed memo dated March 11 and an email dated March 12, both from Wakeman to Deluliis, indicate that the meeting participants discussed having CONSOL acquire T. Rowe Price’s shares of CNX Gas in connection with a freeze-out transaction. During the meeting, the T. Rowe Price representatives suggested a price in the mid-$40s, and Deluliis indicated that a price of up to $40 per share could be acceptable. That same day, T. Rowe Price put CONSOL and CNX Gas on its restricted list. This permitted T. Rowe Price to negotiate with CONSOL over a potential sale.</w:t>
      </w:r>
    </w:p>
    <w:p>
      <w:pPr>
        <w:pStyle w:val="CaseBody"/>
      </w:pPr>
      <w:r>
        <w:t xml:space="preserve">In his March 11 memo, Wakeman followed up on these discussions. Wakeman stated that he viewed the CONSOL strategy as “pretty smart” and listed ten reasons why a freeze-out at $40 to $42.50 per share “ma[de] sense” for CONSOL. His reasons included the following:</w:t>
      </w:r>
    </w:p>
    <w:p>
      <w:pPr>
        <w:pStyle w:val="BlockText"/>
      </w:pPr>
      <w:r>
        <w:t xml:space="preserve">(3) [CONSOL]’s management team A/K/A [CNX Gas]’s management has done a nice job of working down growth expectations for [CNX Gas] in 2010-2012 so [CNX Gas]’s #’s are too low on the production side.</w:t>
      </w:r>
    </w:p>
    <w:p>
      <w:pPr>
        <w:pStyle w:val="BlockText"/>
      </w:pPr>
      <w:r>
        <w:rPr>
          <w:iCs/>
          <w:i/>
        </w:rPr>
        <w:t xml:space="preserve">%</w:t>
      </w:r>
      <w:r>
        <w:t xml:space="preserve"> </w:t>
      </w:r>
      <w:r>
        <w:t xml:space="preserve">* *</w:t>
      </w:r>
    </w:p>
    <w:p>
      <w:pPr>
        <w:pStyle w:val="BlockText"/>
      </w:pPr>
      <w:r>
        <w:t xml:space="preserve">(6) Given the low expectations for [CNX Gas], your new growth strategy for [CNX Gas] is not in street models for post 2011. As you ramp up production here starting in the 2H-2010 and into 2011-12 this is upside to the [CONSOL] story.</w:t>
      </w:r>
    </w:p>
    <w:p>
      <w:pPr>
        <w:pStyle w:val="BlockText"/>
      </w:pPr>
      <w:r>
        <w:t xml:space="preserve">(7) It is interesting to note that a buy in price of $40 or $42.50 really has minimal impact on the initial deal dilution so the purchase price should almost be a non-event.</w:t>
      </w:r>
    </w:p>
    <w:p>
      <w:pPr>
        <w:pStyle w:val="CaseBody"/>
      </w:pPr>
      <w:r>
        <w:t xml:space="preserve">The defendants portray the fax as Wake-man’s friendly way of pushing for a price in excess of $40 for the CNX Gas shares. I regard it (at least at this preliminary stage) as suggesting Wakeman supported a freeze-out because of the benefits to CONSOL.</w:t>
      </w:r>
    </w:p>
    <w:p>
      <w:pPr>
        <w:pStyle w:val="CaseBody"/>
      </w:pPr>
      <w:r>
        <w:t xml:space="preserve">On March 15, 2010, CONSOL announced that it had agreed to acquire the gas assets of Dominion Resources, Inc., a CNX Gas competitor, for approximately $3.475 billion in cash (the “Dominion Transaction”). Many of Dominion’s assets are located near CNX Gas properties. Under the Master Separation Agreement, CNX Gas has a right of first refusal on any corporate opportunity involving future gas rights that CONSOL proposes to pursue. The CONSOL board determined not to offer the Dominion Transaction to CNX Gas pursuant to the right of first refusal because it concluded that CNX Gas lacked the financial resources and could not access the capital markets. CNX Gas could not raise sufficient equity financing without CONSOL’s consent, and CONSOL was unwilling to permit the necessary issuance. Nevertheless, the long term benefits of consolidating the Dominion and CNX Gas assets were obvious, and CONSOL announced publicly that it was “evaluating a range of structural alternatives to facilitate the operation and development of the acquired assets including, among other things, consideration of the acquisition by CONSOL of the shares of CNX Gas common stock that it does not already own.”</w:t>
      </w:r>
    </w:p>
    <w:p>
      <w:pPr>
        <w:pStyle w:val="CaseBody"/>
      </w:pPr>
      <w:r>
        <w:t xml:space="preserve">On March 16, 2010, one day after the announcement of the Dominion Transaction, Shawn Driscoll, the analyst at T. Rowe Price who covered CNX Gas, contacted Zajdel to schedule a meeting with CONSOL management. A meeting was set for March 19. On March 17, Wakeman e-mailed Deluliis “to advance the ball in our discussions.” He wrote that “based on the belief that you would prefer an all-stock transaction in light of the recent development involving the asset purchase with Dominion Resources we feel that a $42.50 price along with a small collar of 5-10% of deal price support would allow us to support any purposed [sic.] transaction with [CNX Gas].”</w:t>
      </w:r>
    </w:p>
    <w:p>
      <w:pPr>
        <w:pStyle w:val="CaseBody"/>
      </w:pPr>
      <w:r>
        <w:t xml:space="preserve">The attendees for CONSOL at the March 19 meeting were Harvey, CEO of both CONSOL and CNX Gas, and Richey, General Counsel of both CONSOL and CNX Gas. The attendees for T. Rowe Price were Driscoll, the analyst; Giroux from the Capital Appreciation Fund; John Linehan, T. Rowe Price’s director of equities; and T. Rowe Price’s counsel. Wake-man and Berghuis from the Mid-Cap Growth Fund did not attend. They gave Giroux their proxy to negotiate on their behalf.</w:t>
      </w:r>
    </w:p>
    <w:p>
      <w:pPr>
        <w:pStyle w:val="CaseBody"/>
      </w:pPr>
      <w:r>
        <w:t xml:space="preserve">The meeting was divided into two phases: a negotiation session and an informational meeting about the Dominion Transaction. During the negotiation session, Driscoll presented T. Rowe Price’s views on valuation, which relied in part on the Dominion Transaction as a comparable arms’ length transaction involving similar assets. Giroux then suggested a range of $42 to $50 per share. Harvey responded by offering $35 per share in cash. Giroux rejected this as “not realistic.” A long discussion ensued. Harvey then asked for a break-out room and met with Richey in private. After they returned, Harvey raised his offer to $37 per share in cash. Giroux responded, “we need $40.” Harvey rejected that figure and regarded the negotiations as over.</w:t>
      </w:r>
    </w:p>
    <w:p>
      <w:pPr>
        <w:pStyle w:val="CaseBody"/>
      </w:pPr>
      <w:r>
        <w:t xml:space="preserve">With the negotiation session finished, Giroux departed. The record suggests that he called Berghuis, although the point is undeveloped. The remaining participants, including Linehan, discussed the Dominion Transaction. The plaintiffs assert that at the conclusion of the Dominion discussion, Linehan retrieved Giroux. Upon returning, Giroux stated that his “final offer” was now $38.25 in cash. Harvey agreed to $38.25, subject to the approval of the CONSOL board.</w:t>
      </w:r>
    </w:p>
    <w:p>
      <w:pPr>
        <w:pStyle w:val="CaseBody"/>
      </w:pPr>
      <w:r>
        <w:t xml:space="preserve">The CONSOL board signed off on the transaction with T. Rowe Price on March 20, 2010. On March 21, CONSOL and T. Rowe Price executed a tender agreement, and CONSOL issued a press release announcing the agreement and the contemplated tender offer. The tender agreement provided that, subject to certain conditions, CONSOL would commence the tender offer no later than May 5, 2010, at a price of no less than $38.25 per share in cash. The tender agreement obligated T. Rowe Price to tender its shares of CNX Gas no later than 10 business days after the commencement of the offer and to not withdraw its shares.</w:t>
      </w:r>
    </w:p>
    <w:p>
      <w:pPr>
        <w:pStyle w:val="CaseBody"/>
      </w:pPr>
      <w:r>
        <w:t xml:space="preserve">E. The Tender Offer</w:t>
      </w:r>
    </w:p>
    <w:p>
      <w:pPr>
        <w:pStyle w:val="CaseBody"/>
      </w:pPr>
      <w:r>
        <w:t xml:space="preserve">On April 28, 2010, CONSOL commenced a tender offer to acquire the outstanding public shares of CNX Gas at a price of $38.25 per share in cash (the “Tender Offer”). The price represents a premium of 45.83% over the closing price of CNX Gas’s common stock on the day before CONSOL announced the Dominion Transaction and its intent to acquire the shares of CNX Gas that it did not already own ($26.23). The Tender Offer price represents a 24.19% premium over the closing price of CNX Gas’s common stock on the day before CONSOL announced the T. Rowe Price agreement ($30.80).</w:t>
      </w:r>
    </w:p>
    <w:p>
      <w:pPr>
        <w:pStyle w:val="CaseBody"/>
      </w:pPr>
      <w:r>
        <w:t xml:space="preserve">CONSOL has committed to effect a short-form merger promptly after the successful consummation of the Tender Offer. In the merger, remaining stockholders will receive the same consideration of $38.25 per share in cash. Consummation of the Tender Offer is subject to a non-waivable condition that a majority of the outstanding minority shares be tendered, excluding shares owned by directors or officers of CONSOL or CNX Gas. The T. Rowe Price shares are included in the majority-of-the-minority calculation. With the T. Rowe Price shares locked up, CONSOL only needs to obtain an additional 3,006,316 shares, or approximately 12% of the outstanding stock, to satisfy the condition.</w:t>
      </w:r>
    </w:p>
    <w:p>
      <w:pPr>
        <w:pStyle w:val="CaseBody"/>
      </w:pPr>
      <w:r>
        <w:t xml:space="preserve">F. The Special Committee</w:t>
      </w:r>
    </w:p>
    <w:p>
      <w:pPr>
        <w:pStyle w:val="CaseBody"/>
      </w:pPr>
      <w:r>
        <w:t xml:space="preserve">After the public announcement of the tender agreement with T. Rowe Price, Lyons, the CFO of CONSOL and CNX Gas, discussed with Pipski, the lone independent director of CNX Gas, the possibility that the CNX Gas board might form a special committee in connection with the CONSOL Tender Offer. On April 9, 2010, Pipski met with Harvey and delivered a letter asking that CNX Gas form a special committee to evaluate the proposed Tender Offer and elect an additional director who could join Pipski on the special committee. At a special meeting held on April 15, the CNX Gas board unanimously approved the formation of a special committee consisting of Pipski (the “Special Committee”). The board did not act on Pipski’s request for an additional director.</w:t>
      </w:r>
    </w:p>
    <w:p>
      <w:pPr>
        <w:pStyle w:val="CaseBody"/>
      </w:pPr>
      <w:r>
        <w:t xml:space="preserve">The scope of the authority that the CNX Gas board provided to the Special Committee was limited. The Special Committee was authorized only to review and evaluate the Tender Offer, to prepare a Schedule 14D-9, and to engage legal and financial advisors for those purposes. The resolution did</w:t>
      </w:r>
      <w:r>
        <w:t xml:space="preserve"> </w:t>
      </w:r>
      <w:r>
        <w:rPr>
          <w:iCs/>
          <w:i/>
        </w:rPr>
        <w:t xml:space="preserve">not</w:t>
      </w:r>
      <w:r>
        <w:t xml:space="preserve"> </w:t>
      </w:r>
      <w:r>
        <w:t xml:space="preserve">authorize the Special Committee to negotiate the terms of the Tender Offer or to consider alternatives. Pipski asked for the authority to consider alternatives, but the CNX Gas board declined his request. The CNX Gas board majority grounded its decision on CONSOL’s unwillingness to sell its CNX Gas shares.</w:t>
      </w:r>
    </w:p>
    <w:p>
      <w:pPr>
        <w:pStyle w:val="CaseBody"/>
      </w:pPr>
      <w:r>
        <w:t xml:space="preserve">After the April 15 board meeting, the Special Committee retained Skadden, Arps, Slate, Meagher</w:t>
      </w:r>
      <w:r>
        <w:t xml:space="preserve"> </w:t>
      </w:r>
      <w:r>
        <w:rPr>
          <w:iCs/>
          <w:i/>
        </w:rPr>
        <w:t xml:space="preserve">&amp;</w:t>
      </w:r>
      <w:r>
        <w:t xml:space="preserve"> </w:t>
      </w:r>
      <w:r>
        <w:t xml:space="preserve">Flom LLP (“Skadden”) as its legal advisor and La-zard, Ltd. (“Lazard”) as its financial advis- or. The next day, Pipski delivered a letter to his fellow directors asking that they expand the Special Committee’s authority to include “the full powers and authority of the board of directors” with respect to the Tender Offer. On April 21, the CNX Gas board declined this request, again because CONSOL was unwilling to sell its CNX Gas shares.</w:t>
      </w:r>
    </w:p>
    <w:p>
      <w:pPr>
        <w:pStyle w:val="CaseBody"/>
      </w:pPr>
      <w:r>
        <w:t xml:space="preserve">On April 22, 2010, CONSOL provided the Special Committee and its advisors with financial information, including projections for CNX Gas. On April 26, representatives from Skadden and Lazard met with executives of CONSOL and CNX Gas, including Harvey, Deluliis, and Lyons. The Special Committee’s advisors also spoke with T. Rowe Price.</w:t>
      </w:r>
    </w:p>
    <w:p>
      <w:pPr>
        <w:pStyle w:val="CaseBody"/>
      </w:pPr>
      <w:r>
        <w:t xml:space="preserve">On May 5, 2010, Pipski and his advisors met in person to determine how to respond to the Tender Offer. Lazard advised Pip-ski that it would be able to opine that an offer price of $38.25 per share was fair from a financial point of view to holders of CNX Gas common stock other than CON-SOL. But Pipski and his advisors believed that CONSOL was not paying the highest price it was prepared to pay.</w:t>
      </w:r>
    </w:p>
    <w:p>
      <w:pPr>
        <w:pStyle w:val="CaseBody"/>
      </w:pPr>
      <w:r>
        <w:t xml:space="preserve">Even though the Special Committee was technically not authorized to negotiate, Pipski decided to seek a price increase. On May 5, 2010, Skadden advised CONSOLE counsel that Pipski could not recommend the Tender Offer at a price of $38.25 but likely could do so at $41.20. Five days later, on May 10, the day before the Schedule 14D-9 was due, the CNX Gas board retroactively granted the Special Committee authority to negotiate. On the next day, May 11, Pipski and his advisors held a call with CONSOL senior executives and their advisors. CONSOL declined to increase the price.</w:t>
      </w:r>
    </w:p>
    <w:p>
      <w:pPr>
        <w:pStyle w:val="CaseBody"/>
      </w:pPr>
      <w:r>
        <w:t xml:space="preserve">Later on May 11, the Special Committee issued the Schedule 14D-9. The Special Committee stated in the Schedule 14D-9 that it “determined not to express an opinion on the offer and to remain neutral with respect to the offer.” The Special Committee cited its “concerns about the process by which CONSOL determined the offer price” and its “view that CONSOL was unwilling to negotiate the offer price.” The Schedule 14D-9 noted that a member of CONSOL management (apparently Deluliis) previously suggested that CNX Gas stock was worth more than $38.25. The Schedule 14D-9 also reported that the CNX Gas board refused to expand the size of the Special Committee or grant it the full power of the board in connection with the offer.</w:t>
      </w:r>
    </w:p>
    <w:p>
      <w:pPr>
        <w:pStyle w:val="CaseBody"/>
      </w:pPr>
      <w:r>
        <w:t xml:space="preserve">The Schedule 14D-9 specifically cited the tender agreement with T. Rowe Price as a “potentially negative factor[]” that the Special Committee considered when evaluating the Tender Offer. The Schedule 14D-9 states:</w:t>
      </w:r>
    </w:p>
    <w:p>
      <w:pPr>
        <w:pStyle w:val="BlockText"/>
      </w:pPr>
      <w:r>
        <w:t xml:space="preserve">The Tender Agreement with T. Rowe Price increases the certainty of the offer being successful and, as a result, reduces the likelihood of any increase in the offer price by reducing the negotiation leverage of the “majority of the minority” condition. The Special Committee considered that T. Rowe Price’s interests may not be the same as the other minority shareholders due to the fact that T. Rowe Price beneficially owned 6.51% of the outstanding common stock of CONSOL. In addition, the offer price was determined through relatively short negotiations with T. Rowe Price without the input from any other minority shareholders or the Special Committee.</w:t>
      </w:r>
    </w:p>
    <w:p>
      <w:pPr>
        <w:pStyle w:val="CaseBody"/>
      </w:pPr>
      <w:r>
        <w:t xml:space="preserve">Trading in CNX Gas stock suggests a market consensus that a price bump was unlikely. Since the announcement of the tender offer agreement, CNX Gas shares have not traded more than a couple of pennies above the $38.25 per share agreed to by T. Rowe Price. The plaintiffs argue that by entering into the agreement with T. Rowe Price and announcing it on March 21, CONSOL capped the price of the CNX Gas stock and hamstrung the Special Committee.</w:t>
      </w:r>
    </w:p>
    <w:p>
      <w:pPr>
        <w:pStyle w:val="CaseBody"/>
      </w:pPr>
      <w:r>
        <w:t xml:space="preserve">The Tender Offer is scheduled to close tomorrow, May 26, 2010, at 5:00 p.m.</w:t>
      </w:r>
    </w:p>
    <w:p>
      <w:pPr>
        <w:pStyle w:val="CaseBody"/>
      </w:pPr>
      <w:r>
        <w:t xml:space="preserve">II. LEGAL ANALYSIS</w:t>
      </w:r>
    </w:p>
    <w:p>
      <w:pPr>
        <w:pStyle w:val="CaseBody"/>
      </w:pPr>
      <w:r>
        <w:t xml:space="preserve">A preliminary injunction will issue if the plaintiffs demonstrate “(1) a reasonable probability of ultimate success on the merits at trial; (2) that the failure to issue a preliminary injunction will result in immediate and irreparable injury before the final hearing; and (3) that the balance of hardships weighs in the movant’s favor.”</w:t>
      </w:r>
      <w:r>
        <w:t xml:space="preserve"> </w:t>
      </w:r>
      <w:r>
        <w:rPr>
          <w:iCs/>
          <w:i/>
        </w:rPr>
        <w:t xml:space="preserve">La. Mun. Police Employees’ Ret. Sys. v. Crawford,</w:t>
      </w:r>
      <w:r>
        <w:t xml:space="preserve"> </w:t>
      </w:r>
      <w:r>
        <w:t xml:space="preserve">918 A.2d 1172</w:t>
      </w:r>
      <w:r>
        <w:t xml:space="preserve">, 1185 (Del.Ch.2007).</w:t>
      </w:r>
    </w:p>
    <w:p>
      <w:pPr>
        <w:pStyle w:val="CaseBody"/>
      </w:pPr>
      <w:r>
        <w:t xml:space="preserve">A. The Plaintiffs Have Shown A Reasonable Likelihood Of Success On The Merits Of Their Fairness Claim.</w:t>
      </w:r>
    </w:p>
    <w:p>
      <w:pPr>
        <w:pStyle w:val="CaseBody"/>
      </w:pPr>
      <w:r>
        <w:t xml:space="preserve">The plaintiffs contend that the Tender Offer should be reviewed for entire fairness. This argument requires that I weigh in on a critical and much debated issue of Delaware law: the appropriate standard of review for a controlling stockholder freeze-out.</w:t>
      </w:r>
    </w:p>
    <w:p>
      <w:pPr>
        <w:pStyle w:val="CaseBody"/>
      </w:pPr>
      <w:r>
        <w:t xml:space="preserve">1. The Appropriate Standard Of Review For The Tender Offer</w:t>
      </w:r>
    </w:p>
    <w:p>
      <w:pPr>
        <w:pStyle w:val="CaseBody"/>
      </w:pPr>
      <w:r>
        <w:t xml:space="preserve">As knowledgeable readers understand all too well, Delaware law applies a different standard of review depending on how a controlling stockholder freeze-out is structured. Under</w:t>
      </w:r>
      <w:r>
        <w:t xml:space="preserve"> </w:t>
      </w:r>
      <w:r>
        <w:rPr>
          <w:iCs/>
          <w:i/>
        </w:rPr>
        <w:t xml:space="preserve">Kahn v. Lynch Communication Systems, Inc.,</w:t>
      </w:r>
      <w:r>
        <w:t xml:space="preserve"> </w:t>
      </w:r>
      <w:r>
        <w:t xml:space="preserve">638 A.2d 1110</w:t>
      </w:r>
      <w:r>
        <w:t xml:space="preserve"> </w:t>
      </w:r>
      <w:r>
        <w:t xml:space="preserve">(Del.1994) [hereinafter,</w:t>
      </w:r>
      <w:r>
        <w:t xml:space="preserve"> </w:t>
      </w:r>
      <w:r>
        <w:rPr>
          <w:iCs/>
          <w:i/>
        </w:rPr>
        <w:t xml:space="preserve">“Lynch</w:t>
      </w:r>
      <w:r>
        <w:t xml:space="preserve"> </w:t>
      </w:r>
      <w:r>
        <w:t xml:space="preserve">”], a negotiated merger between a controlling stockholder and its subsidiary is reviewed for entire fairness.</w:t>
      </w:r>
      <w:r>
        <w:rPr>
          <w:rStyle w:val="FootnoteReference"/>
        </w:rPr>
        <w:footnoteReference w:customMarkFollows="1" w:id="40"/>
        <w:t xml:space="preserve">1</w:t>
      </w:r>
      <w:r>
        <w:t xml:space="preserve"> </w:t>
      </w:r>
      <w:r>
        <w:t xml:space="preserve">But under</w:t>
      </w:r>
      <w:r>
        <w:t xml:space="preserve"> </w:t>
      </w:r>
      <w:r>
        <w:rPr>
          <w:iCs/>
          <w:i/>
        </w:rPr>
        <w:t xml:space="preserve">In re Siliconix Inc. Shareholders Litigation,</w:t>
      </w:r>
      <w:r>
        <w:t xml:space="preserve"> </w:t>
      </w:r>
      <w:r>
        <w:t xml:space="preserve">2001 WL 716787</w:t>
      </w:r>
      <w:r>
        <w:t xml:space="preserve"> </w:t>
      </w:r>
      <w:r>
        <w:t xml:space="preserve">(Del.Ch. June 19, 2001), a controller’s unilateral tender offer followed by a short-form merger is reviewed under an evolving standard far less onerous than</w:t>
      </w:r>
      <w:r>
        <w:t xml:space="preserve"> </w:t>
      </w:r>
      <w:r>
        <w:rPr>
          <w:iCs/>
          <w:i/>
        </w:rPr>
        <w:t xml:space="preserve">Lynch</w:t>
      </w:r>
      <w:r>
        <w:t xml:space="preserve"> </w:t>
      </w:r>
      <w:r>
        <w:t xml:space="preserve"> </w:t>
      </w:r>
      <w:r>
        <w:t xml:space="preserve"> </w:t>
      </w:r>
      <w:r>
        <w:t xml:space="preserve">The tension created by the different fiduciary standards has been discussed at length by Vice Chancellor Strine</w:t>
      </w:r>
      <w:r>
        <w:rPr>
          <w:rStyle w:val="FootnoteReference"/>
        </w:rPr>
        <w:footnoteReference w:customMarkFollows="1" w:id="94"/>
        <w:t xml:space="preserve">3</w:t>
      </w:r>
      <w:r>
        <w:t xml:space="preserve"> </w:t>
      </w:r>
      <w:r>
        <w:t xml:space="preserve">and generated reams of scholarly and practitioner commentary.</w:t>
      </w:r>
      <w:r>
        <w:rPr>
          <w:rStyle w:val="FootnoteReference"/>
        </w:rPr>
        <w:footnoteReference w:customMarkFollows="1" w:id="117"/>
        <w:t xml:space="preserve">4</w:t>
      </w:r>
      <w:r>
        <w:t xml:space="preserve"> </w:t>
      </w:r>
      <w:r>
        <w:t xml:space="preserve">I will set forth my own views in more abbreviated fashion.</w:t>
      </w:r>
    </w:p>
    <w:p>
      <w:pPr>
        <w:pStyle w:val="CaseBody"/>
      </w:pPr>
      <w:r>
        <w:t xml:space="preserve">I question the soundness of the twin cornerstones on which</w:t>
      </w:r>
      <w:r>
        <w:t xml:space="preserve"> </w:t>
      </w:r>
      <w:r>
        <w:rPr>
          <w:iCs/>
          <w:i/>
        </w:rPr>
        <w:t xml:space="preserve">Siliconix</w:t>
      </w:r>
      <w:r>
        <w:t xml:space="preserve"> </w:t>
      </w:r>
      <w:r>
        <w:t xml:space="preserve">rests. The first cornerstone is the statutory distinction between mergers and tender offers and the lack of any explicit role in the General Corporation Law for a target board of directors responding to a tender offer. For reasons explained at length in</w:t>
      </w:r>
      <w:r>
        <w:t xml:space="preserve"> </w:t>
      </w:r>
      <w:r>
        <w:rPr>
          <w:iCs/>
          <w:i/>
        </w:rPr>
        <w:t xml:space="preserve">Pure Resources,</w:t>
      </w:r>
      <w:r>
        <w:t xml:space="preserve"> </w:t>
      </w:r>
      <w:r>
        <w:t xml:space="preserve">the statutory distinction fails to justify adequately the divergent fiduciary approaches.</w:t>
      </w:r>
      <w:r>
        <w:t xml:space="preserve"> </w:t>
      </w:r>
      <w:r>
        <w:rPr>
          <w:iCs/>
          <w:i/>
        </w:rPr>
        <w:t xml:space="preserve">See Pure Resources,</w:t>
      </w:r>
      <w:r>
        <w:t xml:space="preserve"> </w:t>
      </w:r>
      <w:r>
        <w:t xml:space="preserve">808 A.2d at 433-44, 439-41. Scholars have joined in criticizing the statutory distinction.</w:t>
      </w:r>
      <w:r>
        <w:t xml:space="preserve"> </w:t>
      </w:r>
      <w:r>
        <w:rPr>
          <w:iCs/>
          <w:i/>
        </w:rPr>
        <w:t xml:space="preserve">See, e.g., Fixing Freezeouts, supra,</w:t>
      </w:r>
      <w:r>
        <w:t xml:space="preserve"> </w:t>
      </w:r>
      <w:r>
        <w:t xml:space="preserve">at 24-25; Gilson &amp; Gordon,</w:t>
      </w:r>
      <w:r>
        <w:t xml:space="preserve"> </w:t>
      </w:r>
      <w:r>
        <w:rPr>
          <w:iCs/>
          <w:i/>
        </w:rPr>
        <w:t xml:space="preserve">supra,</w:t>
      </w:r>
      <w:r>
        <w:t xml:space="preserve"> </w:t>
      </w:r>
      <w:r>
        <w:t xml:space="preserve">at 820-21.</w:t>
      </w:r>
    </w:p>
    <w:p>
      <w:pPr>
        <w:pStyle w:val="CaseBody"/>
      </w:pPr>
      <w:r>
        <w:t xml:space="preserve">The second cornerstone has been</w:t>
      </w:r>
      <w:r>
        <w:t xml:space="preserve"> </w:t>
      </w:r>
      <w:r>
        <w:rPr>
          <w:iCs/>
          <w:i/>
        </w:rPr>
        <w:t xml:space="preserve">Solomon v. Pathe Communications Corp.,</w:t>
      </w:r>
      <w:r>
        <w:t xml:space="preserve"> </w:t>
      </w:r>
      <w:r>
        <w:t xml:space="preserve">672 A.2d 35</w:t>
      </w:r>
      <w:r>
        <w:t xml:space="preserve"> </w:t>
      </w:r>
      <w:r>
        <w:t xml:space="preserve">(Del.1996) [hereinafter,</w:t>
      </w:r>
      <w:r>
        <w:t xml:space="preserve"> </w:t>
      </w:r>
      <w:r>
        <w:rPr>
          <w:iCs/>
          <w:i/>
        </w:rPr>
        <w:t xml:space="preserve">“Solomon II”],</w:t>
      </w:r>
      <w:r>
        <w:t xml:space="preserve"> </w:t>
      </w:r>
      <w:r>
        <w:t xml:space="preserve">which has been cited repeatedly for the rule that a tender offeror has no duty to provide a fair price. But</w:t>
      </w:r>
      <w:r>
        <w:t xml:space="preserve"> </w:t>
      </w:r>
      <w:r>
        <w:rPr>
          <w:iCs/>
          <w:i/>
        </w:rPr>
        <w:t xml:space="preserve">Solomon II</w:t>
      </w:r>
      <w:r>
        <w:t xml:space="preserve"> </w:t>
      </w:r>
      <w:r>
        <w:t xml:space="preserve">did not involve a freeze-out. Chancellor Allen, whose decision granting a motion to dismiss was affirmed by the Delaware Supreme Court in</w:t>
      </w:r>
      <w:r>
        <w:t xml:space="preserve"> </w:t>
      </w:r>
      <w:r>
        <w:rPr>
          <w:iCs/>
          <w:i/>
        </w:rPr>
        <w:t xml:space="preserve">Solomon II,</w:t>
      </w:r>
      <w:r>
        <w:t xml:space="preserve"> </w:t>
      </w:r>
      <w:r>
        <w:t xml:space="preserve">described the case as follows:</w:t>
      </w:r>
    </w:p>
    <w:p>
      <w:pPr>
        <w:pStyle w:val="CaseBody"/>
      </w:pPr>
      <w:r>
        <w:t xml:space="preserve">The suit grows out of the tail-end of a commercial debacle in which Credit Lyonnais Banque Nederland N.V. (“CLBN”) on its way to losing a huge sum, was forced to exercise</w:t>
      </w:r>
      <w:r>
        <w:t xml:space="preserve"> </w:t>
      </w:r>
      <w:r>
        <w:rPr>
          <w:iCs/>
          <w:i/>
        </w:rPr>
        <w:t xml:space="preserve">certain contractual rights and its rights as a secured party,</w:t>
      </w:r>
      <w:r>
        <w:t xml:space="preserve"> </w:t>
      </w:r>
      <w:r>
        <w:t xml:space="preserve">first to take over the management and later the legal ownership of MGM/UA Communications Corporation (“MGM”) and, incidentally thereto, of Pathe Communications Corporation [“Pathe”].</w:t>
      </w:r>
    </w:p>
    <w:p>
      <w:pPr>
        <w:pStyle w:val="CaseBody"/>
      </w:pPr>
      <w:r>
        <w:rPr>
          <w:iCs/>
          <w:i/>
        </w:rPr>
        <w:t xml:space="preserve">Solomon v. Pathe Communications Corp.,</w:t>
      </w:r>
      <w:r>
        <w:t xml:space="preserve"> </w:t>
      </w:r>
      <w:r>
        <w:t xml:space="preserve">1995 WL 250374</w:t>
      </w:r>
      <w:r>
        <w:t xml:space="preserve">, at *1 (Del.Ch. Apr. 21, 1995) [hereinafter,</w:t>
      </w:r>
      <w:r>
        <w:t xml:space="preserve"> </w:t>
      </w:r>
      <w:r>
        <w:rPr>
          <w:iCs/>
          <w:i/>
        </w:rPr>
        <w:t xml:space="preserve">“Solomon I”]</w:t>
      </w:r>
      <w:r>
        <w:t xml:space="preserve"> </w:t>
      </w:r>
      <w:r>
        <w:t xml:space="preserve">(emphasis added).</w:t>
      </w:r>
    </w:p>
    <w:p>
      <w:pPr>
        <w:pStyle w:val="CaseBody"/>
      </w:pPr>
      <w:r>
        <w:t xml:space="preserve">The facts giving rise to</w:t>
      </w:r>
      <w:r>
        <w:t xml:space="preserve"> </w:t>
      </w:r>
      <w:r>
        <w:rPr>
          <w:iCs/>
          <w:i/>
        </w:rPr>
        <w:t xml:space="preserve">Solomon II</w:t>
      </w:r>
      <w:r>
        <w:t xml:space="preserve"> </w:t>
      </w:r>
      <w:r>
        <w:t xml:space="preserve">lead away from</w:t>
      </w:r>
      <w:r>
        <w:t xml:space="preserve"> </w:t>
      </w:r>
      <w:r>
        <w:rPr>
          <w:iCs/>
          <w:i/>
        </w:rPr>
        <w:t xml:space="preserve">Siliconix.</w:t>
      </w:r>
      <w:r>
        <w:t xml:space="preserve"> </w:t>
      </w:r>
      <w:r>
        <w:t xml:space="preserve">CLBN obtained its contractual and secured party rights when it financed Pathe’s purchase of 98.5% of the common stock of MGM, years before the tender offer. As security for the loan, Pathe pledged the MGM shares and Pathe’s controlling stockholder (the notorious Giancarlo Paretti) pledged his 89.5% interest in Pathe. CLBN also acquired the right to vote the MGM and Pathe shares as the trustee of two voting trusts. When Pathe and MGM defaulted on the debt, CLBN exercised its voting power to take control of the Pathe and MGM boards. Paretti contested those actions, leading to Chancellor Allen’s decision in the resulting Section 225 proceeding and his famous footnote 55.</w:t>
      </w:r>
      <w:r>
        <w:t xml:space="preserve"> </w:t>
      </w:r>
      <w:r>
        <w:rPr>
          <w:iCs/>
          <w:i/>
        </w:rPr>
        <w:t xml:space="preserve">See Credit Lyonnais Bank Nederland, N.V. v. Pathe Commc’ns Corp.,</w:t>
      </w:r>
      <w:r>
        <w:t xml:space="preserve"> </w:t>
      </w:r>
      <w:r>
        <w:t xml:space="preserve">1991 WL 277613</w:t>
      </w:r>
      <w:r>
        <w:t xml:space="preserve"> </w:t>
      </w:r>
      <w:r>
        <w:t xml:space="preserve">(Del.Ch. Dec. 30,1991).</w:t>
      </w:r>
    </w:p>
    <w:p>
      <w:pPr>
        <w:pStyle w:val="CaseBody"/>
      </w:pPr>
      <w:r>
        <w:t xml:space="preserve">Despite losing the Section 225 action, “Paretti and his associates ... continued in Italian courts to challenge CLBN’s attempt to exercise control over Pathe and MGM” to the point of obtaining an order from an Italian court purporting to restore Paretti to power.</w:t>
      </w:r>
      <w:r>
        <w:t xml:space="preserve"> </w:t>
      </w:r>
      <w:r>
        <w:rPr>
          <w:iCs/>
          <w:i/>
        </w:rPr>
        <w:t xml:space="preserve">Solomon I,</w:t>
      </w:r>
      <w:r>
        <w:t xml:space="preserve"> </w:t>
      </w:r>
      <w:r>
        <w:t xml:space="preserve">1995 WL 250374</w:t>
      </w:r>
      <w:r>
        <w:t xml:space="preserve">, at *3. At that point, CLBN gave notice that it was foreclosing on its security interests in the Pathe and MGM shares.</w:t>
      </w:r>
      <w:r>
        <w:t xml:space="preserve"> </w:t>
      </w:r>
      <w:r>
        <w:rPr>
          <w:iCs/>
          <w:i/>
        </w:rPr>
        <w:t xml:space="preserve">Id.</w:t>
      </w:r>
    </w:p>
    <w:p>
      <w:pPr>
        <w:pStyle w:val="BlockText"/>
      </w:pPr>
      <w:r>
        <w:t xml:space="preserve">To help ensure that Pathe would not attempt to delay the foreclosure, CLBN offered to make a tender offer for an unspecified number of Pathe’s publicly held shares of common stock. In response, Pathe appointed a special committee to review the proposal with the assistance of its own legal and financial advisors.</w:t>
      </w:r>
    </w:p>
    <w:p>
      <w:pPr>
        <w:pStyle w:val="BlockText"/>
      </w:pPr>
      <w:r>
        <w:t xml:space="preserve">On May 1, 1992, Pathe and CLBN executed an agreement in which Pathe agreed not to delay the foreclosure. In turn, CLBN agreed to make a public tender offer of $1.50 per share for up to 5.8 million of Pathe’s publicly held shares.</w:t>
      </w:r>
    </w:p>
    <w:p>
      <w:pPr>
        <w:pStyle w:val="CaseBody"/>
      </w:pPr>
      <w:r>
        <w:rPr>
          <w:iCs/>
          <w:i/>
        </w:rPr>
        <w:t xml:space="preserve">Solomon II,</w:t>
      </w:r>
      <w:r>
        <w:t xml:space="preserve"> </w:t>
      </w:r>
      <w:r>
        <w:t xml:space="preserve">672 A.2d at 37</w:t>
      </w:r>
      <w:r>
        <w:t xml:space="preserve">;</w:t>
      </w:r>
      <w:r>
        <w:t xml:space="preserve"> </w:t>
      </w:r>
      <w:r>
        <w:rPr>
          <w:iCs/>
          <w:i/>
        </w:rPr>
        <w:t xml:space="preserve">accord Solomon I,</w:t>
      </w:r>
      <w:r>
        <w:t xml:space="preserve"> </w:t>
      </w:r>
      <w:r>
        <w:t xml:space="preserve">1995 WL 250374</w:t>
      </w:r>
      <w:r>
        <w:t xml:space="preserve">, at *3-4. CLBN also agreed to purchase outstanding Pathe bonds at discounted prices and to provide credit support for a portion of the principal and interest on the outstanding bonds.</w:t>
      </w:r>
      <w:r>
        <w:t xml:space="preserve"> </w:t>
      </w:r>
      <w:r>
        <w:rPr>
          <w:iCs/>
          <w:i/>
        </w:rPr>
        <w:t xml:space="preserve">Solomon I,</w:t>
      </w:r>
      <w:r>
        <w:t xml:space="preserve"> </w:t>
      </w:r>
      <w:r>
        <w:t xml:space="preserve">1995 WL 250374</w:t>
      </w:r>
      <w:r>
        <w:t xml:space="preserve">, at *4.</w:t>
      </w:r>
    </w:p>
    <w:p>
      <w:pPr>
        <w:pStyle w:val="CaseBody"/>
      </w:pPr>
      <w:r>
        <w:t xml:space="preserve">When the tender offer was announced, a stockholder plaintiff filed suit. The complaint challenged the tender offer as “coercive” and alleged various breaches of fiduciary duty by CLBN in its capacity as controlling stockholder of Pathe and MGM and by the directors of Pathe and CLBN. As Chancellor Allen observed,</w:t>
      </w:r>
    </w:p>
    <w:p>
      <w:pPr>
        <w:pStyle w:val="BlockText"/>
      </w:pPr>
      <w:r>
        <w:t xml:space="preserve">Owning a 10% minority share in a corporation (Pathe) that shortly would own practically no assets, no doubt would strike most of us as an unattractive option. Plaintiff however sees the option to tender all shares to CLBN as an equitable wrong. He brought suit immediately (May 1992) but did not seek to enjoin the transaction, and until March 14, 1994 when he filed an amended complaint, plaintiff did essentially nothing to pursue the case.</w:t>
      </w:r>
    </w:p>
    <w:p>
      <w:pPr>
        <w:pStyle w:val="CaseBody"/>
      </w:pPr>
      <w:r>
        <w:rPr>
          <w:iCs/>
          <w:i/>
        </w:rPr>
        <w:t xml:space="preserve">Solomon I,</w:t>
      </w:r>
      <w:r>
        <w:t xml:space="preserve"> </w:t>
      </w:r>
      <w:r>
        <w:t xml:space="preserve">1995 WL 250374</w:t>
      </w:r>
      <w:r>
        <w:t xml:space="preserve">, at *1. The defendants moved to dismiss the amended complaint for failure to state a claim on which relief could be granted. Chancellor Allen granted the motion, and the Delaware Supreme Court affirmed.</w:t>
      </w:r>
    </w:p>
    <w:p>
      <w:pPr>
        <w:pStyle w:val="CaseBody"/>
      </w:pPr>
      <w:r>
        <w:t xml:space="preserve">In holding that the complaint failed to state a claim, Chancellor Allen ruled that “the adequacy of the price in a tender offer does not raise a triable issue unless price is connected to valid claims of breach of fiduciary duty, such as disclosure problems or actionable coercion.”</w:t>
      </w:r>
      <w:r>
        <w:t xml:space="preserve"> </w:t>
      </w:r>
      <w:r>
        <w:rPr>
          <w:iCs/>
          <w:i/>
        </w:rPr>
        <w:t xml:space="preserve">Solomon I,</w:t>
      </w:r>
      <w:r>
        <w:t xml:space="preserve"> </w:t>
      </w:r>
      <w:r>
        <w:t xml:space="preserve">1995 WL 250374</w:t>
      </w:r>
      <w:r>
        <w:t xml:space="preserve">, at *5. On appeal, the Delaware Supreme Court remarked similarly that “[i]n the case of totally voluntary tender offers, as here, courts do not impose any right of the shareholders to receive a particular price.”</w:t>
      </w:r>
      <w:r>
        <w:t xml:space="preserve"> </w:t>
      </w:r>
      <w:r>
        <w:rPr>
          <w:iCs/>
          <w:i/>
        </w:rPr>
        <w:t xml:space="preserve">Solomon II,</w:t>
      </w:r>
      <w:r>
        <w:t xml:space="preserve"> </w:t>
      </w:r>
      <w:r>
        <w:t xml:space="preserve">672 A.2d at 39</w:t>
      </w:r>
      <w:r>
        <w:t xml:space="preserve">.</w:t>
      </w:r>
    </w:p>
    <w:p>
      <w:pPr>
        <w:pStyle w:val="CaseBody"/>
      </w:pPr>
      <w:r>
        <w:t xml:space="preserve">Neither Chancellor Allen nor the Delaware Supreme Court delved into the particulars of a controlling stockholder tender offer, much less a tender offer made unilaterally by a controller as the front-end of a squeeze-out transaction. Nor was there any reason to. CLBN did not make its tender offer unilaterally. The transaction was part of an agreement CLBN negotiated with Pathe and MGM in which the debtors agreed not to contest CLBN’s rights as a secured lender and, in return, CLBN made accommodations to the debtors that included the tender offer. The transaction did not contemplate any form of back-end squeeze-out. It provided protection against the minority stockholders being left owning 10% of a corporation with no assets. Nothing about CLBN’s actions resembled those of a controller in a squeeze-out scenario. CLBN was acting primarily in its role as a third-party lender. When a controller exercises contractual or statutory rights as a third-party lender, its actions are not subject to fiduciary review.</w:t>
      </w:r>
      <w:r>
        <w:t xml:space="preserve"> </w:t>
      </w:r>
      <w:r>
        <w:rPr>
          <w:iCs/>
          <w:i/>
        </w:rPr>
        <w:t xml:space="preserve">See Odyssey Partners, L.P. v. Fleming Cos.,</w:t>
      </w:r>
      <w:r>
        <w:t xml:space="preserve"> </w:t>
      </w:r>
      <w:r>
        <w:t xml:space="preserve">735 A.2d 386</w:t>
      </w:r>
      <w:r>
        <w:t xml:space="preserve">, 414-15 (Del.Ch.1999) (rejecting argument that fiduciary review applied to controlling stockholder’s exercise of creditor rights at statutory foreclosure sale);</w:t>
      </w:r>
      <w:r>
        <w:t xml:space="preserve"> </w:t>
      </w:r>
      <w:r>
        <w:rPr>
          <w:iCs/>
          <w:i/>
        </w:rPr>
        <w:t xml:space="preserve">see also Nemec v. Shrader,</w:t>
      </w:r>
      <w:r>
        <w:t xml:space="preserve"> </w:t>
      </w:r>
      <w:r>
        <w:t xml:space="preserve">991 A.2d 1120</w:t>
      </w:r>
      <w:r>
        <w:t xml:space="preserve">, 1129 (Del.2010) (“It is a well-settled principle that where a dispute arises from obligations that are expressly addressed by contract, that dispute will be treated as a breach of contract claim. In that specific context, any fiduciary claims arising out of the same facts that underlie the contract obligations would be foreclosed as superfluous.”).</w:t>
      </w:r>
    </w:p>
    <w:p>
      <w:pPr>
        <w:pStyle w:val="CaseBody"/>
      </w:pPr>
      <w:r>
        <w:t xml:space="preserve">Moreover, despite starting from the premise that Pathe’s stockholders did not have “any right to receive a ‘fair price’ in a tender offer,”</w:t>
      </w:r>
      <w:r>
        <w:t xml:space="preserve"> </w:t>
      </w:r>
      <w:r>
        <w:rPr>
          <w:iCs/>
          <w:i/>
        </w:rPr>
        <w:t xml:space="preserve">Solomon I,</w:t>
      </w:r>
      <w:r>
        <w:t xml:space="preserve"> </w:t>
      </w:r>
      <w:r>
        <w:t xml:space="preserve">1995 WL 250374</w:t>
      </w:r>
      <w:r>
        <w:t xml:space="preserve">, at *5, Chancellor Allen considered the plaintiffs allegations that the $1.50 tender offer price was unfair,</w:t>
      </w:r>
      <w:r>
        <w:t xml:space="preserve"> </w:t>
      </w:r>
      <w:r>
        <w:rPr>
          <w:iCs/>
          <w:i/>
        </w:rPr>
        <w:t xml:space="preserve">id.</w:t>
      </w:r>
      <w:r>
        <w:t xml:space="preserve"> </w:t>
      </w:r>
      <w:r>
        <w:t xml:space="preserve">at *5 n. 5. He rejected each argument as resting on the premise, no longer valid, that Pathe owned a valuable asset in the form of its MGM stock.</w:t>
      </w:r>
      <w:r>
        <w:t xml:space="preserve"> </w:t>
      </w:r>
      <w:r>
        <w:rPr>
          <w:iCs/>
          <w:i/>
        </w:rPr>
        <w:t xml:space="preserve">Id.</w:t>
      </w:r>
      <w:r>
        <w:t xml:space="preserve"> </w:t>
      </w:r>
      <w:r>
        <w:t xml:space="preserve">(“Insofar as the facts alleged show, Pathe has no legitimate claim to those assets, as it was in default of its obligations secured by its MGM stock.”). The Delaware Supreme Court affirmed “[t]he Chancellor’s holding that none of the facts cited by Solomon ‘can be said to arouse as much as a fleeting doubt of the fairness of the foreclosure or the $1.50 tender offer’ price.”</w:t>
      </w:r>
      <w:r>
        <w:t xml:space="preserve"> </w:t>
      </w:r>
      <w:r>
        <w:rPr>
          <w:iCs/>
          <w:i/>
        </w:rPr>
        <w:t xml:space="preserve">Solomon II,</w:t>
      </w:r>
      <w:r>
        <w:t xml:space="preserve"> </w:t>
      </w:r>
      <w:r>
        <w:t xml:space="preserve">672 A.2d at 39</w:t>
      </w:r>
      <w:r>
        <w:t xml:space="preserve"> </w:t>
      </w:r>
      <w:r>
        <w:t xml:space="preserve">(quoting</w:t>
      </w:r>
      <w:r>
        <w:t xml:space="preserve"> </w:t>
      </w:r>
      <w:r>
        <w:rPr>
          <w:iCs/>
          <w:i/>
        </w:rPr>
        <w:t xml:space="preserve">Solomon I,</w:t>
      </w:r>
      <w:r>
        <w:t xml:space="preserve"> </w:t>
      </w:r>
      <w:r>
        <w:t xml:space="preserve">1995 WL 250374</w:t>
      </w:r>
      <w:r>
        <w:t xml:space="preserve">, at *5 n. 5). Both Chancellor Allen and the Delaware Supreme Court thus considered, but ultimately rejected on the facts, challenges to the fairness of the tender offer.</w:t>
      </w:r>
    </w:p>
    <w:p>
      <w:pPr>
        <w:pStyle w:val="CaseBody"/>
      </w:pPr>
      <w:r>
        <w:t xml:space="preserve">The unique facts of</w:t>
      </w:r>
      <w:r>
        <w:t xml:space="preserve"> </w:t>
      </w:r>
      <w:r>
        <w:rPr>
          <w:iCs/>
          <w:i/>
        </w:rPr>
        <w:t xml:space="preserve">Solomon II</w:t>
      </w:r>
      <w:r>
        <w:t xml:space="preserve"> </w:t>
      </w:r>
      <w:r>
        <w:t xml:space="preserve">make it an odd and unsatisfactory cornerstone for the</w:t>
      </w:r>
      <w:r>
        <w:t xml:space="preserve"> </w:t>
      </w:r>
      <w:r>
        <w:rPr>
          <w:iCs/>
          <w:i/>
        </w:rPr>
        <w:t xml:space="preserve">Siliconix</w:t>
      </w:r>
      <w:r>
        <w:t xml:space="preserve"> </w:t>
      </w:r>
      <w:r>
        <w:t xml:space="preserve">line of authority.</w:t>
      </w:r>
      <w:r>
        <w:t xml:space="preserve"> </w:t>
      </w:r>
      <w:r>
        <w:rPr>
          <w:iCs/>
          <w:i/>
        </w:rPr>
        <w:t xml:space="preserve">See</w:t>
      </w:r>
      <w:r>
        <w:t xml:space="preserve"> </w:t>
      </w:r>
      <w:r>
        <w:t xml:space="preserve">Letsou &amp; Haas,</w:t>
      </w:r>
      <w:r>
        <w:t xml:space="preserve"> </w:t>
      </w:r>
      <w:r>
        <w:rPr>
          <w:iCs/>
          <w:i/>
        </w:rPr>
        <w:t xml:space="preserve">supra,</w:t>
      </w:r>
      <w:r>
        <w:t xml:space="preserve"> </w:t>
      </w:r>
      <w:r>
        <w:t xml:space="preserve">at 42-44, 57-68 (arguing that</w:t>
      </w:r>
      <w:r>
        <w:t xml:space="preserve"> </w:t>
      </w:r>
      <w:r>
        <w:rPr>
          <w:iCs/>
          <w:i/>
        </w:rPr>
        <w:t xml:space="preserve">Solomon II</w:t>
      </w:r>
      <w:r>
        <w:t xml:space="preserve"> </w:t>
      </w:r>
      <w:r>
        <w:t xml:space="preserve">does not provide support for Siliconix); Gilson &amp; Gordon,</w:t>
      </w:r>
      <w:r>
        <w:t xml:space="preserve"> </w:t>
      </w:r>
      <w:r>
        <w:rPr>
          <w:iCs/>
          <w:i/>
        </w:rPr>
        <w:t xml:space="preserve">supra,</w:t>
      </w:r>
      <w:r>
        <w:t xml:space="preserve"> </w:t>
      </w:r>
      <w:r>
        <w:t xml:space="preserve">at 818 n. 122 (same);</w:t>
      </w:r>
      <w:r>
        <w:t xml:space="preserve"> </w:t>
      </w:r>
      <w:r>
        <w:rPr>
          <w:iCs/>
          <w:i/>
        </w:rPr>
        <w:t xml:space="preserve">see also</w:t>
      </w:r>
      <w:r>
        <w:t xml:space="preserve"> </w:t>
      </w:r>
      <w:r>
        <w:t xml:space="preserve">Stevelman,</w:t>
      </w:r>
      <w:r>
        <w:t xml:space="preserve"> </w:t>
      </w:r>
      <w:r>
        <w:rPr>
          <w:iCs/>
          <w:i/>
        </w:rPr>
        <w:t xml:space="preserve">supra,</w:t>
      </w:r>
      <w:r>
        <w:t xml:space="preserve"> </w:t>
      </w:r>
      <w:r>
        <w:t xml:space="preserve">at 818-22 (distinguishing</w:t>
      </w:r>
      <w:r>
        <w:t xml:space="preserve"> </w:t>
      </w:r>
      <w:r>
        <w:rPr>
          <w:iCs/>
          <w:i/>
        </w:rPr>
        <w:t xml:space="preserve">Solomon II</w:t>
      </w:r>
      <w:r>
        <w:t xml:space="preserve"> </w:t>
      </w:r>
      <w:r>
        <w:t xml:space="preserve">).</w:t>
      </w:r>
      <w:r>
        <w:rPr>
          <w:rStyle w:val="FootnoteReference"/>
        </w:rPr>
        <w:footnoteReference w:customMarkFollows="1" w:id="140"/>
        <w:t xml:space="preserve">5</w:t>
      </w:r>
      <w:r>
        <w:t xml:space="preserve"> </w:t>
      </w:r>
      <w:r>
        <w:t xml:space="preserve">Further undercutting</w:t>
      </w:r>
      <w:r>
        <w:t xml:space="preserve"> </w:t>
      </w:r>
      <w:r>
        <w:rPr>
          <w:iCs/>
          <w:i/>
        </w:rPr>
        <w:t xml:space="preserve">Solomon II</w:t>
      </w:r>
      <w:r>
        <w:t xml:space="preserve"> </w:t>
      </w:r>
      <w:r>
        <w:t xml:space="preserve">as a source of freeze-out law is the fact that the decision was authored by Justice Hart-nett, because to read</w:t>
      </w:r>
      <w:r>
        <w:t xml:space="preserve"> </w:t>
      </w:r>
      <w:r>
        <w:rPr>
          <w:iCs/>
          <w:i/>
        </w:rPr>
        <w:t xml:space="preserve">Solomon II</w:t>
      </w:r>
      <w:r>
        <w:t xml:space="preserve"> </w:t>
      </w:r>
      <w:r>
        <w:t xml:space="preserve">as governing controlling stockholder freeze-outs renders the decision inconsistent with opinions Justice Hartnett wrote while serving on the Court of Chancery.</w:t>
      </w:r>
      <w:r>
        <w:t xml:space="preserve"> </w:t>
      </w:r>
      <w:r>
        <w:rPr>
          <w:iCs/>
          <w:i/>
        </w:rPr>
        <w:t xml:space="preserve">See</w:t>
      </w:r>
      <w:r>
        <w:t xml:space="preserve"> </w:t>
      </w:r>
      <w:r>
        <w:t xml:space="preserve">Letsou &amp; Haas,</w:t>
      </w:r>
      <w:r>
        <w:t xml:space="preserve"> </w:t>
      </w:r>
      <w:r>
        <w:rPr>
          <w:iCs/>
          <w:i/>
        </w:rPr>
        <w:t xml:space="preserve">supra,</w:t>
      </w:r>
      <w:r>
        <w:t xml:space="preserve"> </w:t>
      </w:r>
      <w:r>
        <w:t xml:space="preserve">at 61-62.</w:t>
      </w:r>
    </w:p>
    <w:p>
      <w:pPr>
        <w:pStyle w:val="CaseBody"/>
      </w:pPr>
      <w:r>
        <w:t xml:space="preserve">For example, in</w:t>
      </w:r>
      <w:r>
        <w:t xml:space="preserve"> </w:t>
      </w:r>
      <w:r>
        <w:rPr>
          <w:iCs/>
          <w:i/>
        </w:rPr>
        <w:t xml:space="preserve">Lewis v. Fuqua Industries, Inc.,</w:t>
      </w:r>
      <w:r>
        <w:t xml:space="preserve"> </w:t>
      </w:r>
      <w:r>
        <w:t xml:space="preserve">1982 WL 8783</w:t>
      </w:r>
      <w:r>
        <w:t xml:space="preserve"> </w:t>
      </w:r>
      <w:r>
        <w:t xml:space="preserve">(Del.Ch. Feb. 16, 1982), then-Vice Chancellor Hartnett held that a party making a tender offer “had no duty to offer any particular sum to the stockholders as long as they complied with the requirements of full disclosure with complete candor.”</w:t>
      </w:r>
      <w:r>
        <w:t xml:space="preserve"> </w:t>
      </w:r>
      <w:r>
        <w:rPr>
          <w:iCs/>
          <w:i/>
        </w:rPr>
        <w:t xml:space="preserve">Id.</w:t>
      </w:r>
      <w:r>
        <w:t xml:space="preserve"> </w:t>
      </w:r>
      <w:r>
        <w:t xml:space="preserve">at *3. He was careful to point out that “[a]lthough the Corporation originally proposed a going private freeze out plan, it was withdrawn and the defendants have assured the Court that no freeze out plan is now contemplated.”</w:t>
      </w:r>
      <w:r>
        <w:t xml:space="preserve"> </w:t>
      </w:r>
      <w:r>
        <w:rPr>
          <w:iCs/>
          <w:i/>
        </w:rPr>
        <w:t xml:space="preserve">Id.</w:t>
      </w:r>
      <w:r>
        <w:t xml:space="preserve"> </w:t>
      </w:r>
      <w:r>
        <w:t xml:space="preserve">at *1. He later noted that the rule rejecting an “obligation to pay a fair price” applied in a “non-freeze out Tender Offer.”</w:t>
      </w:r>
      <w:r>
        <w:t xml:space="preserve"> </w:t>
      </w:r>
      <w:r>
        <w:rPr>
          <w:iCs/>
          <w:i/>
        </w:rPr>
        <w:t xml:space="preserve">Id.</w:t>
      </w:r>
      <w:r>
        <w:t xml:space="preserve"> </w:t>
      </w:r>
      <w:r>
        <w:t xml:space="preserve">at *3.</w:t>
      </w:r>
    </w:p>
    <w:p>
      <w:pPr>
        <w:pStyle w:val="CaseBody"/>
      </w:pPr>
      <w:r>
        <w:t xml:space="preserve">In</w:t>
      </w:r>
      <w:r>
        <w:t xml:space="preserve"> </w:t>
      </w:r>
      <w:r>
        <w:rPr>
          <w:iCs/>
          <w:i/>
        </w:rPr>
        <w:t xml:space="preserve">Joseph v. Shell Oil Co.,</w:t>
      </w:r>
      <w:r>
        <w:t xml:space="preserve"> </w:t>
      </w:r>
      <w:r>
        <w:t xml:space="preserve">482 A.2d 335</w:t>
      </w:r>
      <w:r>
        <w:t xml:space="preserve"> </w:t>
      </w:r>
      <w:r>
        <w:t xml:space="preserve">(Del.Ch.1984), Vice Chancellor Hartnett considered a controlling stockholder tender offer that actually was the first step of a planned freeze-out. Royal Duty Petroleum Company owned approximately 69.5% of the common stock of Shell Oil Company. After an independent committee of Shell directors rejected a Royal Dutch transaction proposal at $55 per share, Royal Dutch launched a tender offer at $58 per share and disclosed that “it intended to eventually obtain all the shares of Shell” through a short-form merger after the tender offer or, if it did not obtain 90% of the shares, through open market purchases to reach the 90% ownership level.</w:t>
      </w:r>
      <w:r>
        <w:t xml:space="preserve"> </w:t>
      </w:r>
      <w:r>
        <w:rPr>
          <w:iCs/>
          <w:i/>
        </w:rPr>
        <w:t xml:space="preserve">Id.</w:t>
      </w:r>
      <w:r>
        <w:rPr>
          <w:iCs/>
          <w:i/>
        </w:rPr>
        <w:t xml:space="preserve"> </w:t>
      </w:r>
      <w:r>
        <w:t xml:space="preserve">at 340</w:t>
      </w:r>
      <w:r>
        <w:t xml:space="preserve">. Various stockholder plaintiffs sought to enjoin the transaction. Citing</w:t>
      </w:r>
      <w:r>
        <w:t xml:space="preserve"> </w:t>
      </w:r>
      <w:r>
        <w:rPr>
          <w:iCs/>
          <w:i/>
        </w:rPr>
        <w:t xml:space="preserve">Lynch v. Vickers Energy Corp.</w:t>
      </w:r>
      <w:r>
        <w:t xml:space="preserve"> </w:t>
      </w:r>
      <w:r>
        <w:t xml:space="preserve">383 A.2d 278</w:t>
      </w:r>
      <w:r>
        <w:t xml:space="preserve"> </w:t>
      </w:r>
      <w:r>
        <w:t xml:space="preserve">(Del.1977), and other tender offer precedents, the defendants argued that Royal Dutch had “no legal duty to offer a fair price.”</w:t>
      </w:r>
      <w:r>
        <w:t xml:space="preserve"> </w:t>
      </w:r>
      <w:r>
        <w:rPr>
          <w:iCs/>
          <w:i/>
        </w:rPr>
        <w:t xml:space="preserve">Joseph,</w:t>
      </w:r>
      <w:r>
        <w:t xml:space="preserve"> </w:t>
      </w:r>
      <w:r>
        <w:t xml:space="preserve">482 A.2d at 341</w:t>
      </w:r>
      <w:r>
        <w:t xml:space="preserve">. Vice Chancellor Hartnett rejected that argument, holding instead that “the plaintiffs met their burden of showing ... a reasonable probability” that the defendants had not complied with their duties under</w:t>
      </w:r>
      <w:r>
        <w:t xml:space="preserve"> </w:t>
      </w:r>
      <w:r>
        <w:rPr>
          <w:iCs/>
          <w:i/>
        </w:rPr>
        <w:t xml:space="preserve">Weinberger v. UOP, Inc.,</w:t>
      </w:r>
      <w:r>
        <w:t xml:space="preserve"> </w:t>
      </w:r>
      <w:r>
        <w:t xml:space="preserve">457 A.2d 701</w:t>
      </w:r>
      <w:r>
        <w:t xml:space="preserve"> </w:t>
      </w:r>
      <w:r>
        <w:t xml:space="preserve">(Del.1983), the landmark entire fairness case.</w:t>
      </w:r>
      <w:r>
        <w:t xml:space="preserve"> </w:t>
      </w:r>
      <w:r>
        <w:rPr>
          <w:iCs/>
          <w:i/>
        </w:rPr>
        <w:t xml:space="preserve">Joseph,</w:t>
      </w:r>
      <w:r>
        <w:t xml:space="preserve"> </w:t>
      </w:r>
      <w:r>
        <w:t xml:space="preserve">482 A.2d at 340</w:t>
      </w:r>
      <w:r>
        <w:t xml:space="preserve">.</w:t>
      </w:r>
    </w:p>
    <w:p>
      <w:pPr>
        <w:pStyle w:val="CaseBody"/>
      </w:pPr>
      <w:r>
        <w:rPr>
          <w:iCs/>
          <w:i/>
        </w:rPr>
        <w:t xml:space="preserve">Fuqua</w:t>
      </w:r>
      <w:r>
        <w:t xml:space="preserve"> </w:t>
      </w:r>
      <w:r>
        <w:t xml:space="preserve">and</w:t>
      </w:r>
      <w:r>
        <w:t xml:space="preserve"> </w:t>
      </w:r>
      <w:r>
        <w:rPr>
          <w:iCs/>
          <w:i/>
        </w:rPr>
        <w:t xml:space="preserve">Joseph</w:t>
      </w:r>
      <w:r>
        <w:t xml:space="preserve"> </w:t>
      </w:r>
      <w:r>
        <w:t xml:space="preserve">indicate that Justice Hartnett believed entire fairness would apply to a controlling stockholder tender offer that was the first step in a freeze-out. In</w:t>
      </w:r>
      <w:r>
        <w:t xml:space="preserve"> </w:t>
      </w:r>
      <w:r>
        <w:rPr>
          <w:iCs/>
          <w:i/>
        </w:rPr>
        <w:t xml:space="preserve">Solomon II,</w:t>
      </w:r>
      <w:r>
        <w:t xml:space="preserve"> </w:t>
      </w:r>
      <w:r>
        <w:t xml:space="preserve">Justice Hartnett cited both</w:t>
      </w:r>
      <w:r>
        <w:t xml:space="preserve"> </w:t>
      </w:r>
      <w:r>
        <w:rPr>
          <w:iCs/>
          <w:i/>
        </w:rPr>
        <w:t xml:space="preserve">Lynch v. Vickers</w:t>
      </w:r>
      <w:r>
        <w:t xml:space="preserve"> </w:t>
      </w:r>
      <w:r>
        <w:t xml:space="preserve">and</w:t>
      </w:r>
      <w:r>
        <w:t xml:space="preserve"> </w:t>
      </w:r>
      <w:r>
        <w:rPr>
          <w:iCs/>
          <w:i/>
        </w:rPr>
        <w:t xml:space="preserve">Weinberger.</w:t>
      </w:r>
      <w:r>
        <w:t xml:space="preserve"> </w:t>
      </w:r>
      <w:r>
        <w:t xml:space="preserve">Justice Hartnett did not mention, much less distinguish, his decisions in</w:t>
      </w:r>
      <w:r>
        <w:t xml:space="preserve"> </w:t>
      </w:r>
      <w:r>
        <w:rPr>
          <w:iCs/>
          <w:i/>
        </w:rPr>
        <w:t xml:space="preserve">Fuqua</w:t>
      </w:r>
      <w:r>
        <w:t xml:space="preserve"> </w:t>
      </w:r>
      <w:r>
        <w:t xml:space="preserve">and</w:t>
      </w:r>
      <w:r>
        <w:t xml:space="preserve"> </w:t>
      </w:r>
      <w:r>
        <w:rPr>
          <w:iCs/>
          <w:i/>
        </w:rPr>
        <w:t xml:space="preserve">Joseph.</w:t>
      </w:r>
      <w:r>
        <w:t xml:space="preserve"> </w:t>
      </w:r>
      <w:r>
        <w:t xml:space="preserve">Given his prior rulings, it hardly seems likely that Justice Hartnett regarded</w:t>
      </w:r>
      <w:r>
        <w:t xml:space="preserve"> </w:t>
      </w:r>
      <w:r>
        <w:rPr>
          <w:iCs/>
          <w:i/>
        </w:rPr>
        <w:t xml:space="preserve">Solomon II</w:t>
      </w:r>
      <w:r>
        <w:t xml:space="preserve"> </w:t>
      </w:r>
      <w:r>
        <w:t xml:space="preserve">as establishing a principle of non-review for a controller’s first-step tender offer.</w:t>
      </w:r>
    </w:p>
    <w:p>
      <w:pPr>
        <w:pStyle w:val="CaseBody"/>
      </w:pPr>
      <w:r>
        <w:t xml:space="preserve">The</w:t>
      </w:r>
      <w:r>
        <w:t xml:space="preserve"> </w:t>
      </w:r>
      <w:r>
        <w:rPr>
          <w:iCs/>
          <w:i/>
        </w:rPr>
        <w:t xml:space="preserve">Siliconix</w:t>
      </w:r>
      <w:r>
        <w:t xml:space="preserve"> </w:t>
      </w:r>
      <w:r>
        <w:t xml:space="preserve">line of cases has assumed</w:t>
      </w:r>
      <w:r>
        <w:t xml:space="preserve"> </w:t>
      </w:r>
      <w:r>
        <w:rPr>
          <w:iCs/>
          <w:i/>
        </w:rPr>
        <w:t xml:space="preserve">Solomon II</w:t>
      </w:r>
      <w:r>
        <w:t xml:space="preserve"> </w:t>
      </w:r>
      <w:r>
        <w:t xml:space="preserve">applies to a controller’s first-step tender offer without grappling with the fundamentally different nature of the</w:t>
      </w:r>
      <w:r>
        <w:t xml:space="preserve"> </w:t>
      </w:r>
      <w:r>
        <w:rPr>
          <w:iCs/>
          <w:i/>
        </w:rPr>
        <w:t xml:space="preserve">Solomon II</w:t>
      </w:r>
      <w:r>
        <w:t xml:space="preserve"> </w:t>
      </w:r>
      <w:r>
        <w:t xml:space="preserve">precedent.</w:t>
      </w:r>
      <w:r>
        <w:t xml:space="preserve"> </w:t>
      </w:r>
      <w:r>
        <w:rPr>
          <w:iCs/>
          <w:i/>
        </w:rPr>
        <w:t xml:space="preserve">Solomon II</w:t>
      </w:r>
      <w:r>
        <w:t xml:space="preserve"> </w:t>
      </w:r>
      <w:r>
        <w:t xml:space="preserve">simply did not speak to controlling stockholder squeeze-outs. The decision rested on the case-specific reality that CLBN was not standing on both sides of the transaction.</w:t>
      </w:r>
      <w:r>
        <w:t xml:space="preserve"> </w:t>
      </w:r>
      <w:r>
        <w:t xml:space="preserve">When a controlling stockholder does not stand on both sides of the transaction, the entire fairness standard does not apply.</w:t>
      </w:r>
      <w:r>
        <w:t xml:space="preserve"> </w:t>
      </w:r>
      <w:r>
        <w:rPr>
          <w:iCs/>
          <w:i/>
        </w:rPr>
        <w:t xml:space="preserve">In re John Q. Hammons Hotels Inc. S’holder Litig.,</w:t>
      </w:r>
      <w:r>
        <w:t xml:space="preserve"> </w:t>
      </w:r>
      <w:r>
        <w:t xml:space="preserve">2009 WL 3165613</w:t>
      </w:r>
      <w:r>
        <w:t xml:space="preserve">, at *10 (Del.Ch. Oct. 2, 2009);</w:t>
      </w:r>
      <w:r>
        <w:t xml:space="preserve"> </w:t>
      </w:r>
      <w:r>
        <w:rPr>
          <w:iCs/>
          <w:i/>
        </w:rPr>
        <w:t xml:space="preserve">see Sinclair Oil Corp. v. Levien,</w:t>
      </w:r>
      <w:r>
        <w:t xml:space="preserve"> </w:t>
      </w:r>
      <w:r>
        <w:t xml:space="preserve">280 A.2d 717</w:t>
      </w:r>
      <w:r>
        <w:t xml:space="preserve">, 720 (Del.1971) (“[Entire fairness] will be applied only when the fiduciary duty is accompanied by self-dealing — the situation when a parent is on both sides of a transaction with its subsidiary.”). This principle held true in</w:t>
      </w:r>
      <w:r>
        <w:t xml:space="preserve"> </w:t>
      </w:r>
      <w:r>
        <w:rPr>
          <w:iCs/>
          <w:i/>
        </w:rPr>
        <w:t xml:space="preserve">Solomon II,</w:t>
      </w:r>
      <w:r>
        <w:t xml:space="preserve"> </w:t>
      </w:r>
      <w:r>
        <w:t xml:space="preserve">but not in the generic sense that a tender offer always is made directly to stockholders. The principle rather held true in the specific sense of CLBN’s third party role on the facts alleged in the case.</w:t>
      </w:r>
    </w:p>
    <w:p>
      <w:pPr>
        <w:pStyle w:val="CaseBody"/>
      </w:pPr>
      <w:r>
        <w:rPr>
          <w:iCs/>
          <w:i/>
        </w:rPr>
        <w:t xml:space="preserve">Solomon II</w:t>
      </w:r>
      <w:r>
        <w:t xml:space="preserve"> </w:t>
      </w:r>
      <w:r>
        <w:t xml:space="preserve">therefore does not hold that controllers never owe fiduciary duties when making tender offers, nor does it eliminate the possibility of entire fairness review for a two-step freeze-out transaction. “[T]he</w:t>
      </w:r>
      <w:r>
        <w:t xml:space="preserve"> </w:t>
      </w:r>
      <w:r>
        <w:rPr>
          <w:iCs/>
          <w:i/>
        </w:rPr>
        <w:t xml:space="preserve">Solomon</w:t>
      </w:r>
      <w:r>
        <w:t xml:space="preserve"> </w:t>
      </w:r>
      <w:r>
        <w:t xml:space="preserve">line of cases does not eliminate the fiduciary duties of controlling stockholder or target boards in connection with tender offers made by controlling stockholders. Rather, the question is the contextual extent and nature of those duties....”</w:t>
      </w:r>
      <w:r>
        <w:t xml:space="preserve"> </w:t>
      </w:r>
      <w:r>
        <w:rPr>
          <w:iCs/>
          <w:i/>
        </w:rPr>
        <w:t xml:space="preserve">Pure Resources,</w:t>
      </w:r>
      <w:r>
        <w:t xml:space="preserve"> </w:t>
      </w:r>
      <w:r>
        <w:t xml:space="preserve">808 A.2d at 444. Put differently, the question is: What transactional structures result in the controlling stockholder not standing on both sides of a two-step freeze-out?</w:t>
      </w:r>
    </w:p>
    <w:p>
      <w:pPr>
        <w:pStyle w:val="CaseBody"/>
      </w:pPr>
      <w:r>
        <w:rPr>
          <w:iCs/>
          <w:i/>
        </w:rPr>
        <w:t xml:space="preserve">Pure Resources</w:t>
      </w:r>
      <w:r>
        <w:t xml:space="preserve"> </w:t>
      </w:r>
      <w:r>
        <w:t xml:space="preserve">sought to answer this question and move towards harmonizing the</w:t>
      </w:r>
      <w:r>
        <w:t xml:space="preserve"> </w:t>
      </w:r>
      <w:r>
        <w:rPr>
          <w:iCs/>
          <w:i/>
        </w:rPr>
        <w:t xml:space="preserve">Siliconix</w:t>
      </w:r>
      <w:r>
        <w:t xml:space="preserve"> </w:t>
      </w:r>
      <w:r>
        <w:t xml:space="preserve">and</w:t>
      </w:r>
      <w:r>
        <w:t xml:space="preserve"> </w:t>
      </w:r>
      <w:r>
        <w:rPr>
          <w:iCs/>
          <w:i/>
        </w:rPr>
        <w:t xml:space="preserve">Lynch</w:t>
      </w:r>
      <w:r>
        <w:t xml:space="preserve"> </w:t>
      </w:r>
      <w:r>
        <w:t xml:space="preserve">lines of authority. The decision did not establish immutable rules for tender offer freeze-outs, as the defendants contend. Vice Chancellor Strine explicitly addressed the doctrinal issues “tentatively, and incompletely,” and in a manner which “befits the development of the common law in expedited decisions.” 808 A.2d at 445. As confirmed by his subsequent decision in</w:t>
      </w:r>
      <w:r>
        <w:t xml:space="preserve"> </w:t>
      </w:r>
      <w:r>
        <w:rPr>
          <w:iCs/>
          <w:i/>
        </w:rPr>
        <w:t xml:space="preserve">Cox Communications,</w:t>
      </w:r>
      <w:r>
        <w:t xml:space="preserve"> </w:t>
      </w:r>
      <w:r>
        <w:t xml:space="preserve">Vice Chancellor Strine did not regard</w:t>
      </w:r>
      <w:r>
        <w:t xml:space="preserve"> </w:t>
      </w:r>
      <w:r>
        <w:rPr>
          <w:iCs/>
          <w:i/>
        </w:rPr>
        <w:t xml:space="preserve">Pure Resources</w:t>
      </w:r>
      <w:r>
        <w:t xml:space="preserve"> </w:t>
      </w:r>
      <w:r>
        <w:t xml:space="preserve">as the final word on</w:t>
      </w:r>
      <w:r>
        <w:t xml:space="preserve"> </w:t>
      </w:r>
      <w:r>
        <w:rPr>
          <w:iCs/>
          <w:i/>
        </w:rPr>
        <w:t xml:space="preserve">Siliconix</w:t>
      </w:r>
      <w:r>
        <w:t xml:space="preserve"> </w:t>
      </w:r>
      <w:r>
        <w:t xml:space="preserve">tender offers.</w:t>
      </w:r>
      <w:r>
        <w:t xml:space="preserve"> </w:t>
      </w:r>
      <w:r>
        <w:rPr>
          <w:iCs/>
          <w:i/>
        </w:rPr>
        <w:t xml:space="preserve">See also Next Level,</w:t>
      </w:r>
      <w:r>
        <w:t xml:space="preserve"> </w:t>
      </w:r>
      <w:r>
        <w:t xml:space="preserve">834 A.2d at 854 n. 106 (“The court agrees that this area of the law</w:t>
      </w:r>
      <w:r>
        <w:t xml:space="preserve"> </w:t>
      </w:r>
      <w:r>
        <w:rPr>
          <w:iCs/>
          <w:i/>
        </w:rPr>
        <w:t xml:space="preserve">[i.e.,</w:t>
      </w:r>
      <w:r>
        <w:t xml:space="preserve"> </w:t>
      </w:r>
      <w:r>
        <w:t xml:space="preserve">review of</w:t>
      </w:r>
      <w:r>
        <w:t xml:space="preserve"> </w:t>
      </w:r>
      <w:r>
        <w:rPr>
          <w:iCs/>
          <w:i/>
        </w:rPr>
        <w:t xml:space="preserve">Siliconix</w:t>
      </w:r>
      <w:r>
        <w:t xml:space="preserve"> </w:t>
      </w:r>
      <w:r>
        <w:t xml:space="preserve">transactions] is developing....”).</w:t>
      </w:r>
    </w:p>
    <w:p>
      <w:pPr>
        <w:pStyle w:val="CaseBody"/>
      </w:pPr>
      <w:r>
        <w:rPr>
          <w:iCs/>
          <w:i/>
        </w:rPr>
        <w:t xml:space="preserve">Pure Resources</w:t>
      </w:r>
      <w:r>
        <w:t xml:space="preserve"> </w:t>
      </w:r>
      <w:r>
        <w:t xml:space="preserve">set out a series of requirements for a controlling stockholder tender offer.</w:t>
      </w:r>
    </w:p>
    <w:p>
      <w:pPr>
        <w:pStyle w:val="BlockText"/>
      </w:pPr>
      <w:r>
        <w:t xml:space="preserve">In order to address the prisoner’s dilemma problem, our law should consider an acquisition tender offer by a controlling stockholder non-coercive only when: 1) it is subject to a non-waivable majority of the minority tender condition; 2) the controlling stockholder promises to consummate a prompt § 253 merger at the same price if it obtains more than 90% of the shares; and 3) the controlling stockholder has made no retributive threats.</w:t>
      </w:r>
    </w:p>
    <w:p>
      <w:pPr>
        <w:pStyle w:val="CaseBody"/>
      </w:pPr>
      <w:r>
        <w:t xml:space="preserve">808 A.2d at 445. The decision also imposed a duty on the controlling stockholder</w:t>
      </w:r>
    </w:p>
    <w:p>
      <w:pPr>
        <w:pStyle w:val="BlockText"/>
      </w:pPr>
      <w:r>
        <w:t xml:space="preserve">to permit the independent directors on the target board both free rein and adequate time to react to the tender offer, by (at the very least) hiring their own advisors, providing the minority with a recommendation as to the advisability of the offer, and disclosing adequate information for the minority to make an informed judgment.</w:t>
      </w:r>
    </w:p>
    <w:p>
      <w:pPr>
        <w:pStyle w:val="CaseBody"/>
      </w:pPr>
      <w:r>
        <w:rPr>
          <w:iCs/>
          <w:i/>
        </w:rPr>
        <w:t xml:space="preserve">Id.</w:t>
      </w:r>
    </w:p>
    <w:p>
      <w:pPr>
        <w:pStyle w:val="CaseBody"/>
      </w:pPr>
      <w:r>
        <w:rPr>
          <w:iCs/>
          <w:i/>
        </w:rPr>
        <w:t xml:space="preserve">Pure Resources</w:t>
      </w:r>
      <w:r>
        <w:t xml:space="preserve"> </w:t>
      </w:r>
      <w:r>
        <w:t xml:space="preserve">was an evolutionary decision that raised the bar for two-step squeeze-outs. The transaction structures approved in the two preceding Court of Chancery</w:t>
      </w:r>
      <w:r>
        <w:t xml:space="preserve"> </w:t>
      </w:r>
      <w:r>
        <w:rPr>
          <w:iCs/>
          <w:i/>
        </w:rPr>
        <w:t xml:space="preserve">decisions</w:t>
      </w:r>
      <w:r>
        <w:t xml:space="preserve"> </w:t>
      </w:r>
      <w:r>
        <w:t xml:space="preserve">— Siliconix and</w:t>
      </w:r>
      <w:r>
        <w:t xml:space="preserve"> </w:t>
      </w:r>
      <w:r>
        <w:rPr>
          <w:iCs/>
          <w:i/>
        </w:rPr>
        <w:t xml:space="preserve">Agui-la</w:t>
      </w:r>
      <w:r>
        <w:t xml:space="preserve"> </w:t>
      </w:r>
      <w:r>
        <w:t xml:space="preserve">— would not have passed muster under the</w:t>
      </w:r>
      <w:r>
        <w:t xml:space="preserve"> </w:t>
      </w:r>
      <w:r>
        <w:rPr>
          <w:iCs/>
          <w:i/>
        </w:rPr>
        <w:t xml:space="preserve">Pure Resources</w:t>
      </w:r>
      <w:r>
        <w:t xml:space="preserve"> </w:t>
      </w:r>
      <w:r>
        <w:t xml:space="preserve">test. In</w:t>
      </w:r>
      <w:r>
        <w:t xml:space="preserve"> </w:t>
      </w:r>
      <w:r>
        <w:rPr>
          <w:iCs/>
          <w:i/>
        </w:rPr>
        <w:t xml:space="preserve">Siliconix,</w:t>
      </w:r>
      <w:r>
        <w:t xml:space="preserve"> </w:t>
      </w:r>
      <w:r>
        <w:t xml:space="preserve">the controller did not commit to a prompt back-end merger; it merely stated that it would “consider” a follow-on short-form merger.</w:t>
      </w:r>
      <w:r>
        <w:t xml:space="preserve"> </w:t>
      </w:r>
      <w:r>
        <w:t xml:space="preserve">2001 WL 716787</w:t>
      </w:r>
      <w:r>
        <w:t xml:space="preserve">, at *2. The</w:t>
      </w:r>
      <w:r>
        <w:t xml:space="preserve"> </w:t>
      </w:r>
      <w:r>
        <w:rPr>
          <w:iCs/>
          <w:i/>
        </w:rPr>
        <w:t xml:space="preserve">Sili-conix</w:t>
      </w:r>
      <w:r>
        <w:t xml:space="preserve"> </w:t>
      </w:r>
      <w:r>
        <w:t xml:space="preserve">court declined to impose a fairness duty in part because the Court regarded a tender offer followed by a short-form merger “as separate events.”</w:t>
      </w:r>
      <w:r>
        <w:t xml:space="preserve"> </w:t>
      </w:r>
      <w:r>
        <w:rPr>
          <w:iCs/>
          <w:i/>
        </w:rPr>
        <w:t xml:space="preserve">Id.</w:t>
      </w:r>
      <w:r>
        <w:t xml:space="preserve"> </w:t>
      </w:r>
      <w:r>
        <w:t xml:space="preserve">at *8 n. 35. In</w:t>
      </w:r>
      <w:r>
        <w:t xml:space="preserve"> </w:t>
      </w:r>
      <w:r>
        <w:rPr>
          <w:iCs/>
          <w:i/>
        </w:rPr>
        <w:t xml:space="preserve">Aguila,</w:t>
      </w:r>
      <w:r>
        <w:t xml:space="preserve"> </w:t>
      </w:r>
      <w:r>
        <w:t xml:space="preserve">the tender offeror made a back-end commitment, but the target subsidiary board lacked any independent directors. 805 A.2d at 186. The target board did not attempt to negotiate with the controller or make a recommendation on how to tender; it merely hired an investment banker and disseminated the banker’s opinion and analysis.</w:t>
      </w:r>
      <w:r>
        <w:t xml:space="preserve"> </w:t>
      </w:r>
      <w:r>
        <w:rPr>
          <w:iCs/>
          <w:i/>
        </w:rPr>
        <w:t xml:space="preserve">Id.</w:t>
      </w:r>
      <w:r>
        <w:t xml:space="preserve"> </w:t>
      </w:r>
      <w:r>
        <w:t xml:space="preserve">at 191. The controller in</w:t>
      </w:r>
      <w:r>
        <w:t xml:space="preserve"> </w:t>
      </w:r>
      <w:r>
        <w:rPr>
          <w:iCs/>
          <w:i/>
        </w:rPr>
        <w:t xml:space="preserve">Aguila</w:t>
      </w:r>
      <w:r>
        <w:t xml:space="preserve"> </w:t>
      </w:r>
      <w:r>
        <w:t xml:space="preserve">could not have satisfied its</w:t>
      </w:r>
      <w:r>
        <w:t xml:space="preserve"> </w:t>
      </w:r>
      <w:r>
        <w:rPr>
          <w:iCs/>
          <w:i/>
        </w:rPr>
        <w:t xml:space="preserve">Pure Resources</w:t>
      </w:r>
      <w:r>
        <w:t xml:space="preserve"> </w:t>
      </w:r>
      <w:r>
        <w:t xml:space="preserve">duty “to permit the independent directors on the target board both free rein and adequate time to react to the tender offer....” 808 A.2d at 445.</w:t>
      </w:r>
    </w:p>
    <w:p>
      <w:pPr>
        <w:pStyle w:val="CaseBody"/>
      </w:pPr>
      <w:r>
        <w:t xml:space="preserve">Three years after</w:t>
      </w:r>
      <w:r>
        <w:t xml:space="preserve"> </w:t>
      </w:r>
      <w:r>
        <w:rPr>
          <w:iCs/>
          <w:i/>
        </w:rPr>
        <w:t xml:space="preserve">Pure Resources,</w:t>
      </w:r>
      <w:r>
        <w:t xml:space="preserve"> </w:t>
      </w:r>
      <w:r>
        <w:t xml:space="preserve">Vice Chancellor Strine revisited the tension between</w:t>
      </w:r>
      <w:r>
        <w:t xml:space="preserve"> </w:t>
      </w:r>
      <w:r>
        <w:rPr>
          <w:iCs/>
          <w:i/>
        </w:rPr>
        <w:t xml:space="preserve">Lynch</w:t>
      </w:r>
      <w:r>
        <w:t xml:space="preserve"> </w:t>
      </w:r>
      <w:r>
        <w:t xml:space="preserve">and</w:t>
      </w:r>
      <w:r>
        <w:t xml:space="preserve"> </w:t>
      </w:r>
      <w:r>
        <w:rPr>
          <w:iCs/>
          <w:i/>
        </w:rPr>
        <w:t xml:space="preserve">Siliconix</w:t>
      </w:r>
      <w:r>
        <w:t xml:space="preserve"> </w:t>
      </w:r>
      <w:r>
        <w:t xml:space="preserve">in</w:t>
      </w:r>
      <w:r>
        <w:t xml:space="preserve"> </w:t>
      </w:r>
      <w:r>
        <w:rPr>
          <w:iCs/>
          <w:i/>
        </w:rPr>
        <w:t xml:space="preserve">Cox Communications.</w:t>
      </w:r>
      <w:r>
        <w:t xml:space="preserve"> </w:t>
      </w:r>
      <w:r>
        <w:t xml:space="preserve">Commenting on</w:t>
      </w:r>
      <w:r>
        <w:t xml:space="preserve"> </w:t>
      </w:r>
      <w:r>
        <w:rPr>
          <w:iCs/>
          <w:i/>
        </w:rPr>
        <w:t xml:space="preserve">Pure Resources,</w:t>
      </w:r>
      <w:r>
        <w:t xml:space="preserve"> </w:t>
      </w:r>
      <w:r>
        <w:t xml:space="preserve">he recalled that in that decision</w:t>
      </w:r>
    </w:p>
    <w:p>
      <w:pPr>
        <w:pStyle w:val="BlockText"/>
      </w:pPr>
      <w:r>
        <w:t xml:space="preserve">the court decided that it was better to formulate protective standards that were more flexible, with the hope that at a later stage the two strands could be made more coherent, in a manner that addressed not only the need to protect minority stockholders but also the utility of providing a non-litigious route to effecting transactions that often were economically efficient both for the minority who received a premium and in the sense of creating more rationally organized corporations.</w:t>
      </w:r>
    </w:p>
    <w:p>
      <w:pPr>
        <w:pStyle w:val="CaseBody"/>
      </w:pPr>
      <w:r>
        <w:rPr>
          <w:iCs/>
          <w:i/>
        </w:rPr>
        <w:t xml:space="preserve">Cox Commc’ns,</w:t>
      </w:r>
      <w:r>
        <w:t xml:space="preserve"> </w:t>
      </w:r>
      <w:r>
        <w:t xml:space="preserve">879 A.2d at 624</w:t>
      </w:r>
      <w:r>
        <w:t xml:space="preserve">.</w:t>
      </w:r>
    </w:p>
    <w:p>
      <w:pPr>
        <w:pStyle w:val="CaseBody"/>
      </w:pPr>
      <w:r>
        <w:rPr>
          <w:iCs/>
          <w:i/>
        </w:rPr>
        <w:t xml:space="preserve">Cox Communications</w:t>
      </w:r>
      <w:r>
        <w:t xml:space="preserve"> </w:t>
      </w:r>
      <w:r>
        <w:t xml:space="preserve">rendered the</w:t>
      </w:r>
      <w:r>
        <w:t xml:space="preserve"> </w:t>
      </w:r>
      <w:r>
        <w:rPr>
          <w:iCs/>
          <w:i/>
        </w:rPr>
        <w:t xml:space="preserve">Lynch</w:t>
      </w:r>
      <w:r>
        <w:t xml:space="preserve"> </w:t>
      </w:r>
      <w:r>
        <w:t xml:space="preserve">and</w:t>
      </w:r>
      <w:r>
        <w:t xml:space="preserve"> </w:t>
      </w:r>
      <w:r>
        <w:rPr>
          <w:iCs/>
          <w:i/>
        </w:rPr>
        <w:t xml:space="preserve">Siliconix</w:t>
      </w:r>
      <w:r>
        <w:t xml:space="preserve"> </w:t>
      </w:r>
      <w:r>
        <w:t xml:space="preserve">standards coherent by explaining that the business judgment rule should apply to any freeze-out transaction that is structured to mirror</w:t>
      </w:r>
      <w:r>
        <w:t xml:space="preserve"> </w:t>
      </w:r>
      <w:r>
        <w:rPr>
          <w:iCs/>
          <w:i/>
        </w:rPr>
        <w:t xml:space="preserve">both</w:t>
      </w:r>
      <w:r>
        <w:t xml:space="preserve"> </w:t>
      </w:r>
      <w:r>
        <w:t xml:space="preserve">elements of an arms’ length merger,</w:t>
      </w:r>
      <w:r>
        <w:t xml:space="preserve"> </w:t>
      </w:r>
      <w:r>
        <w:rPr>
          <w:iCs/>
          <w:i/>
        </w:rPr>
        <w:t xml:space="preserve">viz.</w:t>
      </w:r>
      <w:r>
        <w:t xml:space="preserve"> </w:t>
      </w:r>
      <w:r>
        <w:t xml:space="preserve">approval by disinterested directors</w:t>
      </w:r>
      <w:r>
        <w:t xml:space="preserve"> </w:t>
      </w:r>
      <w:r>
        <w:rPr>
          <w:iCs/>
          <w:i/>
        </w:rPr>
        <w:t xml:space="preserve">and</w:t>
      </w:r>
      <w:r>
        <w:t xml:space="preserve"> </w:t>
      </w:r>
      <w:r>
        <w:t xml:space="preserve">approval by disinterested stockholders.</w:t>
      </w:r>
      <w:r>
        <w:t xml:space="preserve"> </w:t>
      </w:r>
      <w:r>
        <w:rPr>
          <w:iCs/>
          <w:i/>
        </w:rPr>
        <w:t xml:space="preserve">Id.</w:t>
      </w:r>
      <w:r>
        <w:rPr>
          <w:iCs/>
          <w:i/>
        </w:rPr>
        <w:t xml:space="preserve"> </w:t>
      </w:r>
      <w:r>
        <w:t xml:space="preserve">at 606</w:t>
      </w:r>
      <w:r>
        <w:t xml:space="preserve">.</w:t>
      </w:r>
    </w:p>
    <w:p>
      <w:pPr>
        <w:pStyle w:val="BlockText"/>
      </w:pPr>
      <w:r>
        <w:t xml:space="preserve">These steps are in important ways complements and not substitutes. A good board is best positioned to extract a price at the highest possible level because it does not suffer from the collective action problem of disaggregated stockholders.... Although stockholders are not well positioned to use the voting process to get the last nickel out of a purchaser, they are well positioned to police bad deals in which the board did not at least obtain something in the amorphous “range” of financial fairness.</w:t>
      </w:r>
    </w:p>
    <w:p>
      <w:pPr>
        <w:pStyle w:val="CaseBody"/>
      </w:pPr>
      <w:r>
        <w:rPr>
          <w:iCs/>
          <w:i/>
        </w:rPr>
        <w:t xml:space="preserve">Id.</w:t>
      </w:r>
      <w:r>
        <w:rPr>
          <w:iCs/>
          <w:i/>
        </w:rPr>
        <w:t xml:space="preserve"> </w:t>
      </w:r>
      <w:r>
        <w:t xml:space="preserve">at 619</w:t>
      </w:r>
      <w:r>
        <w:t xml:space="preserve">.</w:t>
      </w:r>
      <w:r>
        <w:t xml:space="preserve"> </w:t>
      </w:r>
      <w:r>
        <w:rPr>
          <w:iCs/>
          <w:i/>
        </w:rPr>
        <w:t xml:space="preserve">Accord Fixing Freezeouts, supra,</w:t>
      </w:r>
      <w:r>
        <w:t xml:space="preserve"> </w:t>
      </w:r>
      <w:r>
        <w:t xml:space="preserve">at 63-64; Letsou &amp; Haas,</w:t>
      </w:r>
      <w:r>
        <w:t xml:space="preserve"> </w:t>
      </w:r>
      <w:r>
        <w:rPr>
          <w:iCs/>
          <w:i/>
        </w:rPr>
        <w:t xml:space="preserve">supra,</w:t>
      </w:r>
      <w:r>
        <w:t xml:space="preserve"> </w:t>
      </w:r>
      <w:r>
        <w:t xml:space="preserve">at 81-94; Gilson &amp; Gordon,</w:t>
      </w:r>
      <w:r>
        <w:t xml:space="preserve"> </w:t>
      </w:r>
      <w:r>
        <w:rPr>
          <w:iCs/>
          <w:i/>
        </w:rPr>
        <w:t xml:space="preserve">supra,</w:t>
      </w:r>
      <w:r>
        <w:t xml:space="preserve"> </w:t>
      </w:r>
      <w:r>
        <w:t xml:space="preserve">at 838-40. Doctrinally, the use of both structural protections results in the controller standing only on one side of the transaction — as the buyer — and renders entire fairness inapplicable.</w:t>
      </w:r>
      <w:r>
        <w:t xml:space="preserve"> </w:t>
      </w:r>
      <w:r>
        <w:rPr>
          <w:iCs/>
          <w:i/>
        </w:rPr>
        <w:t xml:space="preserve">John Q. Hammons,</w:t>
      </w:r>
      <w:r>
        <w:t xml:space="preserve"> </w:t>
      </w:r>
      <w:r>
        <w:t xml:space="preserve">2009 WL 3165613</w:t>
      </w:r>
      <w:r>
        <w:t xml:space="preserve">, at *10.</w:t>
      </w:r>
    </w:p>
    <w:p>
      <w:pPr>
        <w:pStyle w:val="CaseBody"/>
      </w:pPr>
      <w:r>
        <w:t xml:space="preserve">Under the</w:t>
      </w:r>
      <w:r>
        <w:t xml:space="preserve"> </w:t>
      </w:r>
      <w:r>
        <w:rPr>
          <w:iCs/>
          <w:i/>
        </w:rPr>
        <w:t xml:space="preserve">Cox Communications</w:t>
      </w:r>
      <w:r>
        <w:t xml:space="preserve"> </w:t>
      </w:r>
      <w:r>
        <w:t xml:space="preserve">framework, if a freeze-out merger is both (i) negotiated and approved by a special committee of independent directors and (ii) conditioned on an affirmative vote of a majority of the minority stockholders, then the business judgment standard of review presumptively applies.</w:t>
      </w:r>
      <w:r>
        <w:t xml:space="preserve"> </w:t>
      </w:r>
      <w:r>
        <w:t xml:space="preserve">879 A.2d at 606</w:t>
      </w:r>
      <w:r>
        <w:t xml:space="preserve">. If the transaction does not incorporate both protective devices, or if a plaintiff can plead particularized facts sufficient to raise a litigable question about the effectiveness of one of the devices, then the transaction is subject to entire fairness review.</w:t>
      </w:r>
      <w:r>
        <w:t xml:space="preserve"> </w:t>
      </w:r>
      <w:r>
        <w:rPr>
          <w:iCs/>
          <w:i/>
        </w:rPr>
        <w:t xml:space="preserve">Id.</w:t>
      </w:r>
      <w:r>
        <w:t xml:space="preserve"> </w:t>
      </w:r>
      <w:r>
        <w:t xml:space="preserve">The viability of a challenge to a controlling stockholder merger in which both protective devices are used thus can be assessed prior to trial, either on the pleadings or via motion for summary judgment.</w:t>
      </w:r>
      <w:r>
        <w:t xml:space="preserve"> </w:t>
      </w:r>
      <w:r>
        <w:rPr>
          <w:iCs/>
          <w:i/>
        </w:rPr>
        <w:t xml:space="preserve">Id.</w:t>
      </w:r>
      <w:r>
        <w:rPr>
          <w:iCs/>
          <w:i/>
        </w:rPr>
        <w:t xml:space="preserve"> </w:t>
      </w:r>
      <w:r>
        <w:t xml:space="preserve">at 607</w:t>
      </w:r>
      <w:r>
        <w:t xml:space="preserve">, 643^5.</w:t>
      </w:r>
    </w:p>
    <w:p>
      <w:pPr>
        <w:pStyle w:val="CaseBody"/>
      </w:pPr>
      <w:r>
        <w:t xml:space="preserve">Likewise under the</w:t>
      </w:r>
      <w:r>
        <w:t xml:space="preserve"> </w:t>
      </w:r>
      <w:r>
        <w:rPr>
          <w:iCs/>
          <w:i/>
        </w:rPr>
        <w:t xml:space="preserve">Cox Communications</w:t>
      </w:r>
      <w:r>
        <w:t xml:space="preserve"> </w:t>
      </w:r>
      <w:r>
        <w:t xml:space="preserve">framework, if a first-step tender offer is both (i) negotiated and recommended by a special committee of independent directors and (ii) conditioned on the affirmative tender of a majority of the minority shares, then the business judgment standard of review presumptively applies to the freeze-out transaction.</w:t>
      </w:r>
      <w:r>
        <w:t xml:space="preserve"> </w:t>
      </w:r>
      <w:r>
        <w:rPr>
          <w:iCs/>
          <w:i/>
        </w:rPr>
        <w:t xml:space="preserve">Id.</w:t>
      </w:r>
      <w:r>
        <w:rPr>
          <w:iCs/>
          <w:i/>
        </w:rPr>
        <w:t xml:space="preserve"> </w:t>
      </w:r>
      <w:r>
        <w:t xml:space="preserve">at 607</w:t>
      </w:r>
      <w:r>
        <w:t xml:space="preserve">. As with a merger, if both requirements are not met, then the transaction is reviewed for entire fairness.</w:t>
      </w:r>
      <w:r>
        <w:t xml:space="preserve"> </w:t>
      </w:r>
      <w:r>
        <w:rPr>
          <w:iCs/>
          <w:i/>
        </w:rPr>
        <w:t xml:space="preserve">Id.</w:t>
      </w:r>
      <w:r>
        <w:t xml:space="preserve"> </w:t>
      </w:r>
    </w:p>
    <w:p>
      <w:pPr>
        <w:pStyle w:val="CaseBody"/>
      </w:pPr>
      <w:r>
        <w:rPr>
          <w:iCs/>
          <w:i/>
        </w:rPr>
        <w:t xml:space="preserve">Post-Lynch</w:t>
      </w:r>
      <w:r>
        <w:t xml:space="preserve"> </w:t>
      </w:r>
      <w:r>
        <w:t xml:space="preserve">experience shows that special committees can negotiate effectively with controllers and that both special committees and minority stockholders can reject squeeze-out proposals. The 2008 exchange offer in this case was withdrawn when minority stockholders responded negatively. I am currently presiding over a challenge to a controlling transaction in which the majority-of-the-minority tender condition failed twice.</w:t>
      </w:r>
      <w:r>
        <w:t xml:space="preserve"> </w:t>
      </w:r>
      <w:r>
        <w:rPr>
          <w:iCs/>
          <w:i/>
        </w:rPr>
        <w:t xml:space="preserve">See Revlon II,</w:t>
      </w:r>
      <w:r>
        <w:t xml:space="preserve"> </w:t>
      </w:r>
      <w:r>
        <w:t xml:space="preserve">990 A.2d at 957. Last fall the directors of iBasis adopted a rights plan in response to a tender offer by its controlling stockholder, Royal KPN. The iBasis directors filed two lawsuits against Royal KPN, took one of the lawsuits through trial, and ultimately extracted a price increase from $2.25 to $3 per share. In 2005, minority stockholders at Cablevision Systems Corporation rejected a going private transaction proposed by the Dolan family, which controlled 74% of the company’s voting power, despite its 51% premium over market. In 2003, the outside directors of Next Level Communications, Inc. resisted a</w:t>
      </w:r>
      <w:r>
        <w:t xml:space="preserve"> </w:t>
      </w:r>
      <w:r>
        <w:rPr>
          <w:iCs/>
          <w:i/>
        </w:rPr>
        <w:t xml:space="preserve">Siliconix</w:t>
      </w:r>
      <w:r>
        <w:t xml:space="preserve"> </w:t>
      </w:r>
      <w:r>
        <w:t xml:space="preserve">tender offer and filed suit against the controlling stockholder to enjoin the transaction.</w:t>
      </w:r>
      <w:r>
        <w:t xml:space="preserve"> </w:t>
      </w:r>
      <w:r>
        <w:rPr>
          <w:iCs/>
          <w:i/>
        </w:rPr>
        <w:t xml:space="preserve">Next Level,</w:t>
      </w:r>
      <w:r>
        <w:t xml:space="preserve"> </w:t>
      </w:r>
      <w:r>
        <w:t xml:space="preserve">834 A.2d at 846-47. In</w:t>
      </w:r>
      <w:r>
        <w:t xml:space="preserve"> </w:t>
      </w:r>
      <w:r>
        <w:rPr>
          <w:iCs/>
          <w:i/>
        </w:rPr>
        <w:t xml:space="preserve">Siliconix</w:t>
      </w:r>
      <w:r>
        <w:t xml:space="preserve"> </w:t>
      </w:r>
      <w:r>
        <w:t xml:space="preserve">itself, the exchange offer that was the subject of the decision ultimately failed to satisfy its majority-of-the-minority condition. These examples augur in favor of a unified standard under which independent directors and unaffiliated stockholders are given the tools to negotiate with controllers, backstopped by meaningful judicial review for fairness when those tools are withheld.</w:t>
      </w:r>
    </w:p>
    <w:p>
      <w:pPr>
        <w:pStyle w:val="CaseBody"/>
      </w:pPr>
      <w:r>
        <w:t xml:space="preserve">I recognize that by applying the unified standard, I reach a different conclusion than the recent</w:t>
      </w:r>
      <w:r>
        <w:t xml:space="preserve"> </w:t>
      </w:r>
      <w:r>
        <w:rPr>
          <w:iCs/>
          <w:i/>
        </w:rPr>
        <w:t xml:space="preserve">Cox Radio</w:t>
      </w:r>
      <w:r>
        <w:t xml:space="preserve"> </w:t>
      </w:r>
      <w:r>
        <w:t xml:space="preserve">decision, which opted to follow</w:t>
      </w:r>
      <w:r>
        <w:t xml:space="preserve"> </w:t>
      </w:r>
      <w:r>
        <w:rPr>
          <w:iCs/>
          <w:i/>
        </w:rPr>
        <w:t xml:space="preserve">Pure Resources. See Cox Radio,</w:t>
      </w:r>
      <w:r>
        <w:t xml:space="preserve"> </w:t>
      </w:r>
      <w:r>
        <w:t xml:space="preserve">2010 WL 1806616</w:t>
      </w:r>
      <w:r>
        <w:t xml:space="preserve">, at *10-12 (approving settlement of litigation challenging</w:t>
      </w:r>
      <w:r>
        <w:t xml:space="preserve"> </w:t>
      </w:r>
      <w:r>
        <w:rPr>
          <w:iCs/>
          <w:i/>
        </w:rPr>
        <w:t xml:space="preserve">Siliconix</w:t>
      </w:r>
      <w:r>
        <w:t xml:space="preserve"> </w:t>
      </w:r>
      <w:r>
        <w:t xml:space="preserve">transaction). The choice among</w:t>
      </w:r>
      <w:r>
        <w:t xml:space="preserve"> </w:t>
      </w:r>
      <w:r>
        <w:rPr>
          <w:iCs/>
          <w:i/>
        </w:rPr>
        <w:t xml:space="preserve">Lynch, Pure Resources,</w:t>
      </w:r>
      <w:r>
        <w:t xml:space="preserve"> </w:t>
      </w:r>
      <w:r>
        <w:t xml:space="preserve">and</w:t>
      </w:r>
      <w:r>
        <w:t xml:space="preserve"> </w:t>
      </w:r>
      <w:r>
        <w:rPr>
          <w:iCs/>
          <w:i/>
        </w:rPr>
        <w:t xml:space="preserve">Cox Communications</w:t>
      </w:r>
      <w:r>
        <w:t xml:space="preserve"> </w:t>
      </w:r>
      <w:r>
        <w:t xml:space="preserve">implicates fundamental issues of Delaware law and public policy that only the Delaware Supreme Court can resolve. Until the Delaware Supreme Court has the opportunity to address</w:t>
      </w:r>
      <w:r>
        <w:t xml:space="preserve"> </w:t>
      </w:r>
      <w:r>
        <w:rPr>
          <w:iCs/>
          <w:i/>
        </w:rPr>
        <w:t xml:space="preserve">Lynch</w:t>
      </w:r>
      <w:r>
        <w:t xml:space="preserve"> </w:t>
      </w:r>
      <w:r>
        <w:t xml:space="preserve">and</w:t>
      </w:r>
      <w:r>
        <w:t xml:space="preserve"> </w:t>
      </w:r>
      <w:r>
        <w:rPr>
          <w:iCs/>
          <w:i/>
        </w:rPr>
        <w:t xml:space="preserve">Silico-nix</w:t>
      </w:r>
      <w:r>
        <w:t xml:space="preserve"> </w:t>
      </w:r>
      <w:r>
        <w:t xml:space="preserve">definitively, I believe the unified standard from</w:t>
      </w:r>
      <w:r>
        <w:t xml:space="preserve"> </w:t>
      </w:r>
      <w:r>
        <w:rPr>
          <w:iCs/>
          <w:i/>
        </w:rPr>
        <w:t xml:space="preserve">Cox Communications</w:t>
      </w:r>
      <w:r>
        <w:t xml:space="preserve"> </w:t>
      </w:r>
      <w:r>
        <w:t xml:space="preserve">offers the coherent and correct approach.</w:t>
      </w:r>
    </w:p>
    <w:p>
      <w:pPr>
        <w:pStyle w:val="CaseBody"/>
      </w:pPr>
      <w:r>
        <w:t xml:space="preserve">2. Applying The Unified Standard To This Case</w:t>
      </w:r>
    </w:p>
    <w:p>
      <w:pPr>
        <w:pStyle w:val="CaseBody"/>
      </w:pPr>
      <w:r>
        <w:t xml:space="preserve">The Tender Offer does not pass muster under the unified standard. First and most obviously, the Special Committee did not recommend in favor of the transaction. That fact alone is sufficient to end the analysis and impose an obligation on CONSOL to pay a fair price.</w:t>
      </w:r>
    </w:p>
    <w:p>
      <w:pPr>
        <w:pStyle w:val="CaseBody"/>
      </w:pPr>
      <w:r>
        <w:t xml:space="preserve">Second, the Special Committee was not provided with authority comparable to what a board would possess in a third-party transaction. Initially, the Special Committee was authorized only to review and evaluate the Tender Offer, to prepare a Schedule 14D-9, and to engage legal and financial advisors for those purposes. The Special Committee was not authorized to negotiate or to consider other alternatives. When Pipski asked for the authority to consider alternatives, the CNX Gas board declined his request. Later, when Pipski requested full board authority to respond to the Tender Offer, the CNX Gas board again declined his request.</w:t>
      </w:r>
    </w:p>
    <w:p>
      <w:pPr>
        <w:pStyle w:val="CaseBody"/>
      </w:pPr>
      <w:r>
        <w:t xml:space="preserve">The CNX Gas board majority grounded its decision on CONSOL’s unwillingness to sell its CNX Gas shares. Given CON-SOL’s position as a controlling stockholder and the additional rights CONSOL possessed under its various agreements with CNX Gas, any effort to explore strategic alternatives likely would have been an exercise in futility. But that was a decision for Pipski and his advisors to make. Armed with an appropriate delegation of authority, Pipski and the creative minds at Skadden and Lazard might have devised ways to increase the Special Committee’s leverage. They might have filed litigation against CONSOL. Or they might have considered some form of rights plan.</w:t>
      </w:r>
    </w:p>
    <w:p>
      <w:pPr>
        <w:pStyle w:val="CaseBody"/>
      </w:pPr>
      <w:r>
        <w:t xml:space="preserve">The defendants have pointed out that</w:t>
      </w:r>
      <w:r>
        <w:t xml:space="preserve"> </w:t>
      </w:r>
      <w:r>
        <w:rPr>
          <w:iCs/>
          <w:i/>
        </w:rPr>
        <w:t xml:space="preserve">Pure Resources</w:t>
      </w:r>
      <w:r>
        <w:t xml:space="preserve"> </w:t>
      </w:r>
      <w:r>
        <w:t xml:space="preserve">rejected an argument that the subsidiary board breached its fiduciary duties “by not giving the Special Committee the power to block the Offer by, among other means, deploying a poison pill.” 808 A.2d at 446. Vice Chancellor Strine decided that at that point in the evolution of the</w:t>
      </w:r>
      <w:r>
        <w:t xml:space="preserve"> </w:t>
      </w:r>
      <w:r>
        <w:rPr>
          <w:iCs/>
          <w:i/>
        </w:rPr>
        <w:t xml:space="preserve">Siliconix</w:t>
      </w:r>
      <w:r>
        <w:t xml:space="preserve"> </w:t>
      </w:r>
      <w:r>
        <w:t xml:space="preserve">standard, it was unnecessary:</w:t>
      </w:r>
    </w:p>
    <w:p>
      <w:pPr>
        <w:pStyle w:val="BlockText"/>
      </w:pPr>
      <w:r>
        <w:t xml:space="preserve">to burden the common law of corporations with a new rule that would tend to compel the use of a device that our statutory law only obliquely sanctions and that in other contexts is subject to misuse, especially when used to block a high value bid that is not structurally coercive. When a controlling stockholder makes a tender offer that is not coercive in the sense I have articulated, therefore, the better rule is that there is no duty on its part to permit the target board to block the bid through use of the pill. Nor is there any duty on the part of the independent directors to seek blocking power.</w:t>
      </w:r>
    </w:p>
    <w:p>
      <w:pPr>
        <w:pStyle w:val="CaseBody"/>
      </w:pPr>
      <w:r>
        <w:rPr>
          <w:iCs/>
          <w:i/>
        </w:rPr>
        <w:t xml:space="preserve">Id.</w:t>
      </w:r>
      <w:r>
        <w:t xml:space="preserve"> </w:t>
      </w:r>
      <w:r>
        <w:t xml:space="preserve">(footnotes omitted).</w:t>
      </w:r>
    </w:p>
    <w:p>
      <w:pPr>
        <w:pStyle w:val="CaseBody"/>
      </w:pPr>
      <w:r>
        <w:t xml:space="preserve">Since</w:t>
      </w:r>
      <w:r>
        <w:t xml:space="preserve"> </w:t>
      </w:r>
      <w:r>
        <w:rPr>
          <w:iCs/>
          <w:i/>
        </w:rPr>
        <w:t xml:space="preserve">Pure Resources,</w:t>
      </w:r>
      <w:r>
        <w:t xml:space="preserve"> </w:t>
      </w:r>
      <w:r>
        <w:t xml:space="preserve">Vice Chancellor Strine approved the deployment of a rights plan against a controlling stockholder, and the Delaware Supreme Court affirmed this decision.</w:t>
      </w:r>
      <w:r>
        <w:t xml:space="preserve"> </w:t>
      </w:r>
      <w:r>
        <w:rPr>
          <w:iCs/>
          <w:i/>
        </w:rPr>
        <w:t xml:space="preserve">Hollinger Int’l v. Black,</w:t>
      </w:r>
      <w:r>
        <w:t xml:space="preserve"> </w:t>
      </w:r>
      <w:r>
        <w:t xml:space="preserve">844 A.2d 1022</w:t>
      </w:r>
      <w:r>
        <w:t xml:space="preserve"> </w:t>
      </w:r>
      <w:r>
        <w:t xml:space="preserve">(Del.Ch.2004)</w:t>
      </w:r>
      <w:r>
        <w:t xml:space="preserve"> </w:t>
      </w:r>
      <w:r>
        <w:rPr>
          <w:iCs/>
          <w:i/>
        </w:rPr>
        <w:t xml:space="preserve">(“Hollinger</w:t>
      </w:r>
      <w:r>
        <w:t xml:space="preserve"> </w:t>
      </w:r>
      <w:r>
        <w:t xml:space="preserve">I”),</w:t>
      </w:r>
      <w:r>
        <w:t xml:space="preserve"> </w:t>
      </w:r>
      <w:r>
        <w:rPr>
          <w:iCs/>
          <w:i/>
        </w:rPr>
        <w:t xml:space="preserve">aff'd,</w:t>
      </w:r>
      <w:r>
        <w:t xml:space="preserve"> </w:t>
      </w:r>
      <w:r>
        <w:t xml:space="preserve">872 A.2d 559</w:t>
      </w:r>
      <w:r>
        <w:t xml:space="preserve"> </w:t>
      </w:r>
      <w:r>
        <w:t xml:space="preserve">(Del.2005). In</w:t>
      </w:r>
      <w:r>
        <w:t xml:space="preserve"> </w:t>
      </w:r>
      <w:r>
        <w:rPr>
          <w:iCs/>
          <w:i/>
        </w:rPr>
        <w:t xml:space="preserve">Hollinger I,</w:t>
      </w:r>
      <w:r>
        <w:t xml:space="preserve"> </w:t>
      </w:r>
      <w:r>
        <w:t xml:space="preserve">the subsidiary board used the rights plan to prevent the controller from selling his control block to a third party.</w:t>
      </w:r>
      <w:r>
        <w:t xml:space="preserve"> </w:t>
      </w:r>
      <w:r>
        <w:rPr>
          <w:iCs/>
          <w:i/>
        </w:rPr>
        <w:t xml:space="preserve">Id.</w:t>
      </w:r>
      <w:r>
        <w:t xml:space="preserve"> </w:t>
      </w:r>
      <w:r>
        <w:t xml:space="preserve">at 1088. The rights plan was deemed appropriate “as an inhibition on alienation or additional purchases” by the controller.</w:t>
      </w:r>
      <w:r>
        <w:t xml:space="preserve"> </w:t>
      </w:r>
      <w:r>
        <w:rPr>
          <w:iCs/>
          <w:i/>
        </w:rPr>
        <w:t xml:space="preserve">Id.</w:t>
      </w:r>
      <w:r>
        <w:t xml:space="preserve"> </w:t>
      </w:r>
      <w:r>
        <w:t xml:space="preserve">“[T]he board seeks to use the Rights Plan in a manner analogous to that articulated by Chancellor Allen in</w:t>
      </w:r>
      <w:r>
        <w:t xml:space="preserve"> </w:t>
      </w:r>
      <w:r>
        <w:rPr>
          <w:iCs/>
          <w:i/>
        </w:rPr>
        <w:t xml:space="preserve">Interco,</w:t>
      </w:r>
      <w:r>
        <w:t xml:space="preserve"> </w:t>
      </w:r>
      <w:r>
        <w:t xml:space="preserve">giving the board the breathing room to identify value-maximizing transactions.”</w:t>
      </w:r>
      <w:r>
        <w:t xml:space="preserve"> </w:t>
      </w:r>
      <w:r>
        <w:rPr>
          <w:iCs/>
          <w:i/>
        </w:rPr>
        <w:t xml:space="preserve">Id.</w:t>
      </w:r>
      <w:r>
        <w:t xml:space="preserve"> </w:t>
      </w:r>
      <w:r>
        <w:t xml:space="preserve">at 1088-89 (footnote omitted) (citing</w:t>
      </w:r>
      <w:r>
        <w:t xml:space="preserve"> </w:t>
      </w:r>
      <w:r>
        <w:rPr>
          <w:iCs/>
          <w:i/>
        </w:rPr>
        <w:t xml:space="preserve">City Capital Assocs. Ltd. P’ship v. Interco Inc.,</w:t>
      </w:r>
      <w:r>
        <w:t xml:space="preserve"> </w:t>
      </w:r>
      <w:r>
        <w:t xml:space="preserve">551 A.2d 787</w:t>
      </w:r>
      <w:r>
        <w:t xml:space="preserve">, 797-99 (Del.Ch.1988) and Ronald J. Gilson &amp; Reinier Kraakman,</w:t>
      </w:r>
      <w:r>
        <w:t xml:space="preserve"> </w:t>
      </w:r>
      <w:r>
        <w:rPr>
          <w:iCs/>
          <w:i/>
        </w:rPr>
        <w:t xml:space="preserve">Delaware’s Intermediate Standard for Defensive Tactics: Is There Substance to Proportionality Review?,</w:t>
      </w:r>
      <w:r>
        <w:t xml:space="preserve"> </w:t>
      </w:r>
      <w:r>
        <w:t xml:space="preserve">44 Bus. Law. 247 (1989) [hereinafter,</w:t>
      </w:r>
      <w:r>
        <w:t xml:space="preserve"> </w:t>
      </w:r>
      <w:r>
        <w:rPr>
          <w:iCs/>
          <w:i/>
        </w:rPr>
        <w:t xml:space="preserve">“Delaware’s Intermediate Standard</w:t>
      </w:r>
      <w:r>
        <w:t xml:space="preserve"> </w:t>
      </w:r>
      <w:r>
        <w:t xml:space="preserve">”]).</w:t>
      </w:r>
    </w:p>
    <w:p>
      <w:pPr>
        <w:pStyle w:val="CaseBody"/>
      </w:pPr>
      <w:r>
        <w:t xml:space="preserve">A subsequent decision involving the same controlling stockholder recognizes that director primacy remains the centerpiece of Delaware law, even when a controlling stockholder is present:</w:t>
      </w:r>
    </w:p>
    <w:p>
      <w:pPr>
        <w:pStyle w:val="BlockText"/>
      </w:pPr>
      <w:r>
        <w:t xml:space="preserve">The reality is that controlling stockholders have no inalienable right to usurp the authority of boards of directors that they elect. That the majority of a company’s voting power is concentrated in one stockholder does not mean that that stockholder must be given a veto over board decisions when such a veto would not also be afforded to dispersed stockholders who collectively own a majority of the votes. Like other stockholders, a controlling stockholder must live with the informed (i.e., sufficiently careful) and good faith (i.e., loyal) business decisions of the directors unless the DGCL requires a vote. That is a central premise of our law, which vests most managerial power over the corporation in the board, and not in the stockholders.</w:t>
      </w:r>
    </w:p>
    <w:p>
      <w:pPr>
        <w:pStyle w:val="CaseBody"/>
      </w:pPr>
      <w:r>
        <w:rPr>
          <w:iCs/>
          <w:i/>
        </w:rPr>
        <w:t xml:space="preserve">Hollinger Inc. v. Hollinger Int’l, Inc.,</w:t>
      </w:r>
      <w:r>
        <w:t xml:space="preserve"> </w:t>
      </w:r>
      <w:r>
        <w:t xml:space="preserve">858 A.2d 342</w:t>
      </w:r>
      <w:r>
        <w:t xml:space="preserve">, 387 (Del.Ch.2004) [hereinafter,</w:t>
      </w:r>
      <w:r>
        <w:t xml:space="preserve"> </w:t>
      </w:r>
      <w:r>
        <w:rPr>
          <w:iCs/>
          <w:i/>
        </w:rPr>
        <w:t xml:space="preserve">“Hollinger II</w:t>
      </w:r>
      <w:r>
        <w:t xml:space="preserve"> </w:t>
      </w:r>
      <w:r>
        <w:t xml:space="preserve">”],</w:t>
      </w:r>
      <w:r>
        <w:t xml:space="preserve"> </w:t>
      </w:r>
      <w:r>
        <w:rPr>
          <w:iCs/>
          <w:i/>
        </w:rPr>
        <w:t xml:space="preserve">appeal refused,</w:t>
      </w:r>
      <w:r>
        <w:t xml:space="preserve"> </w:t>
      </w:r>
      <w:r>
        <w:t xml:space="preserve">871 A.2d 1128</w:t>
      </w:r>
      <w:r>
        <w:t xml:space="preserve">,</w:t>
      </w:r>
      <w:r>
        <w:t xml:space="preserve"> </w:t>
      </w:r>
      <w:r>
        <w:t xml:space="preserve">2004 WL 1732185</w:t>
      </w:r>
      <w:r>
        <w:t xml:space="preserve"> </w:t>
      </w:r>
      <w:r>
        <w:t xml:space="preserve">(Del.2004) (TABLE).</w:t>
      </w:r>
    </w:p>
    <w:p>
      <w:pPr>
        <w:pStyle w:val="CaseBody"/>
      </w:pPr>
      <w:r>
        <w:t xml:space="preserve">These principles apply directly here. A controller making a tender offer does not have an inalienable right to usurp or restrict the authority of the subsidiary board of directors. A subsidiary board, acting directly or through a special committee, can deploy a rights plan legitimately against a controller’s tender offer, just as against a third-party tender offer, to provide the subsidiary with time to respond, negotiate, and develop alternatives. The fact that the subsidiary’s alternatives may be limited as a practical matter does not require that the controller be given a veto over the board decision-making process. Prolonged and inequitable use of the rights plan by the subsidiary remains subject to traditional review under</w:t>
      </w:r>
      <w:r>
        <w:t xml:space="preserve"> </w:t>
      </w:r>
      <w:r>
        <w:rPr>
          <w:iCs/>
          <w:i/>
        </w:rPr>
        <w:t xml:space="preserve">Unocal Corp. v. Mesa Petroleum Co.,</w:t>
      </w:r>
      <w:r>
        <w:t xml:space="preserve"> </w:t>
      </w:r>
      <w:r>
        <w:t xml:space="preserve">493 A.2d 946</w:t>
      </w:r>
      <w:r>
        <w:t xml:space="preserve"> </w:t>
      </w:r>
      <w:r>
        <w:t xml:space="preserve">(Del.1985). Unlike dispersed stockholders, a controller typically also will have the ability to use its voting power to remove and replace incumbent directors and, if it wishes, force through its chosen transaction via merger.</w:t>
      </w:r>
    </w:p>
    <w:p>
      <w:pPr>
        <w:pStyle w:val="CaseBody"/>
      </w:pPr>
      <w:r>
        <w:t xml:space="preserve">Because a board in a third-party transaction would have the power to respond effectively to a tender offer, including by deploying a rights plan, a subsidiary board should have the same power if the freeze-out is to receive business judgment review. This does not mean that a special committee must use that power. The shadow of pill adoption alone may be sufficient to prompt a controller to give a special committee more time to negotiate or to evaluate how to proceed. What matters is that the special committee fulfills its contextualized duty to obtain the best transaction reasonably available for the minority stockholders. Here, the Special Committee was deprived of authority that a board would have in a third-party transaction. Under</w:t>
      </w:r>
      <w:r>
        <w:t xml:space="preserve"> </w:t>
      </w:r>
      <w:r>
        <w:rPr>
          <w:iCs/>
          <w:i/>
        </w:rPr>
        <w:t xml:space="preserve">Cox Communications,</w:t>
      </w:r>
      <w:r>
        <w:t xml:space="preserve"> </w:t>
      </w:r>
      <w:r>
        <w:t xml:space="preserve">this fact provides a separate and independent basis to review a controlling stockholder freeze-out for entire fairness.</w:t>
      </w:r>
    </w:p>
    <w:p>
      <w:pPr>
        <w:pStyle w:val="CaseBody"/>
      </w:pPr>
      <w:r>
        <w:t xml:space="preserve">Third, the plaintiffs have raised sufficient questions about the role of T. Rowe Price to undercut the effectiveness of the majority-of-the-minority tender condition. Economic incentives matter, particularly for the effectiveness of a legitimizing mechanism like a majority-of-the-minority tender condition or a stockholder vote.</w:t>
      </w:r>
      <w:r>
        <w:t xml:space="preserve"> </w:t>
      </w:r>
      <w:r>
        <w:rPr>
          <w:iCs/>
          <w:i/>
        </w:rPr>
        <w:t xml:space="preserve">See Crown EMAK Partners, LLC v. Kurz,</w:t>
      </w:r>
      <w:r>
        <w:t xml:space="preserve"> </w:t>
      </w:r>
      <w:r>
        <w:t xml:space="preserve">992 A.2d 377</w:t>
      </w:r>
      <w:r>
        <w:t xml:space="preserve">, 388 (Del.2010) (“[W]hat legitimizes the stockholder vote as a decision-making mechanism is the premise that stockholders with economic ownership are expressing their collective view as to whether a particular course of action serves the corporate goal of stockholder wealth maximization.”) (citation and internal quotation omitted). In</w:t>
      </w:r>
      <w:r>
        <w:t xml:space="preserve"> </w:t>
      </w:r>
      <w:r>
        <w:rPr>
          <w:iCs/>
          <w:i/>
        </w:rPr>
        <w:t xml:space="preserve">Pure Resources,</w:t>
      </w:r>
      <w:r>
        <w:t xml:space="preserve"> </w:t>
      </w:r>
      <w:r>
        <w:t xml:space="preserve">the holders of shares subject to put agreements were excluded from the majority-of-the-minority calculation because “it is clear that the Put Agreements can create materially different incentives for the holders than if they were simply holders of Pure common stock.” 808 A.2d at 426.</w:t>
      </w:r>
    </w:p>
    <w:p>
      <w:pPr>
        <w:pStyle w:val="CaseBody"/>
      </w:pPr>
      <w:r>
        <w:t xml:space="preserve">T. Rowe Price as a whole owns 6.5% of CONSOL’s outstanding common stock versus 6.3% of CNX Gas. T. Rowe Price’s roughly equivalent equity interests leave it fully hedged and indifferent to the allocation of value between CONSOL and CNX Gas. To the extent the Tender Offer shortchanges CNX Gas holders, T. Rowe Price gains proportionately through its CON-SOL ownership. To the extent CONSOL overpays, T. Rowe Price gains proportionately through its CNX Gas ownership. T. Rowe Price arguably has an incentive to favor CONSOL because of its slightly larger percentage equity ownership and holdings in CONSOL debt. T. Rowe Price’s has materially different incentives than a holder of CNX Gas common stock, thereby calling into question the effectiveness of the majority-of-the-minority condition.</w:t>
      </w:r>
    </w:p>
    <w:p>
      <w:pPr>
        <w:pStyle w:val="CaseBody"/>
      </w:pPr>
      <w:r>
        <w:t xml:space="preserve">The defendants respond to this problem by saying I should not consider T. Rowe Price’s buy-side interest at all because considering the economic incentives of stockholders “would be unworkable as well as unwarranted.” CONSOL Defendants’ Answering Br. 26. They continue:</w:t>
      </w:r>
    </w:p>
    <w:p>
      <w:pPr>
        <w:pStyle w:val="BlockText"/>
      </w:pPr>
      <w:r>
        <w:t xml:space="preserve">Sophisticated institutional investors ... often have diverse holdings that could include shares of both parent and subsidiary; they often own derivatives, have complex hedging arrangements, possess holdings in competitor corporations, and/or have made directional sector bets that could have some conceivable impact on their decision to tender. In most cases, Delaware courts will simply have no way of knowing the extent of institutional stockholders’ other investments or of discerning their true motivations for tendering.</w:t>
      </w:r>
    </w:p>
    <w:p>
      <w:pPr>
        <w:pStyle w:val="CaseBody"/>
      </w:pPr>
      <w:r>
        <w:rPr>
          <w:iCs/>
          <w:i/>
        </w:rPr>
        <w:t xml:space="preserve">Id.</w:t>
      </w:r>
      <w:r>
        <w:t xml:space="preserve"> </w:t>
      </w:r>
      <w:r>
        <w:t xml:space="preserve">at 26-27. But nothing about this case requires that Delaware courts conduct generalized inquiries into “the extent of institutional stockholders’ other investments” or “their true motivations for tendering.”</w:t>
      </w:r>
    </w:p>
    <w:p>
      <w:pPr>
        <w:pStyle w:val="CaseBody"/>
      </w:pPr>
      <w:r>
        <w:t xml:space="preserve">It was neither the plaintiffs nor this Court that put the focus on T. Rowe Price and its cross-ownership. It was CONSOL who elected to pre-negotiate the terms of the Tender Offer with T. Rowe Price, a third-party non-fiduciary, rather than negotiating with the Special Committee. It was CONSOL and T. Rowe Price who chose to enter into the tender agreement. T. Rowe Price’s incentives are at issue because of decisions that CONSOL and T. Rowe Price chose to make.</w:t>
      </w:r>
    </w:p>
    <w:p>
      <w:pPr>
        <w:pStyle w:val="CaseBody"/>
      </w:pPr>
      <w:r>
        <w:t xml:space="preserve">This case also is not the result of, nor should it be read to encourage, generalized fishing expeditions into stockholder motives. T. Rowe Price is the largest minority holder of CNX Gas. It controls 37% of the public float. As the Special Committee itself concluded in the Schedule 14D-9, the tender agreement with T. Rowe Price “increases the certainty of the offer being successful and, as a result, reduces the likelihood of any increase in the offer price by reducing the negotiation leverage of the ‘majority of the minority’ condition.” As the Special Committee also observed, “T. Rowe Price’s interests may not be the same as the other minority shareholders due to the fact that T. Rowe Price beneficially owned 6.51% of the outstanding common stock of CONSOL.” This case is not about “holdings in competitor corporations” or “directional sector bets.” It is about a direct economic conflict that at best renders T. Rowe Price indifferent to the allocation of value between CONSOL and CNX Gas and at worst gives T. Rowe Price reason to favor CONSOL.</w:t>
      </w:r>
    </w:p>
    <w:p>
      <w:pPr>
        <w:pStyle w:val="CaseBody"/>
      </w:pPr>
      <w:r>
        <w:t xml:space="preserve">The defendants next argue that I cannot consider T. Rowe Price as a whole but rather must look through T. Rowe Price’s ownership block to consider the separate ownership stakes of the Capital Appreciation Fund and the Mid-Cap Growth Fund. The defendants argue that Giroux, who negotiated -with CONSOL, managed the Capital Appreciation Fund, which did not own any CONSOL shares. They observe that Giroux is a fiduciary for his investors and that he testified in deposition about his desire and efforts to obtain the highest price possible for T. Rowe Price’s shares of CNX Gas.</w:t>
      </w:r>
    </w:p>
    <w:p>
      <w:pPr>
        <w:pStyle w:val="CaseBody"/>
      </w:pPr>
      <w:r>
        <w:t xml:space="preserve">While this argument has significant force, it runs up against CONSOL’s decision to enter into the tender agreement with T. Rowe Price for all of its shares, not just the shares owned by the Capital Appreciation Fund. And CONSOL structured the majority-of-the-minority condition to include all of T. Rowe Price’s shares in the denominator, not just the shares owned by the Capital Appreciation Fund. CONSOL thus chose to deal with T. Rowe Price as a whole.</w:t>
      </w:r>
    </w:p>
    <w:p>
      <w:pPr>
        <w:pStyle w:val="CaseBody"/>
      </w:pPr>
      <w:r>
        <w:t xml:space="preserve">There are also serious fact issues that cloud the T. Rowe Price picture. Wake-man was an ardent backer of CONSOL and its management before, during, and after the negotiations over the tender agreement. On March 26, 2010, one week after T. Rowe Price and CONSOL struck the deal on price and five days after they announced the tender agreement, Wake-man emailed Deluliis to express his strong support:</w:t>
      </w:r>
    </w:p>
    <w:p>
      <w:pPr>
        <w:pStyle w:val="BlockText"/>
      </w:pPr>
      <w:r>
        <w:t xml:space="preserve">Now that you guys have all the M/A and funding behind you, [CONSOL] can focus on running the business after 2 weeks on the road.... I just wanted to reach out to you and let you know that [the Mid-Cap Growth Fund], who was/is your largest shareholder in [CNX Gas] and [CONSOL] at T. Rowe Price, is still very positive on the management and value creation potential of a [CONSOL] investment going forward. [The Mid-Cap Growth Fund] was the majority of the $42.50 order in the [CNX equity raise]. It is interesting to note that another large portfolio manager is very interested in owning [CONSOL] and he might be another 3 million shares [sic.] at some point (limit on the deal was $42). [The Mid-Cap Growth Fund] would also be interested in rounding up our increased position size further at the right price. I realize there was a lot of emotions [sic.] surrounding the [CONSOL] buy-in of [CNX Gas] from numerous parties at our firm and your company. At this point it is water over the dam and the key point is making sure [CON-SOL] continues to be a successful company going forward. [The Mid-Cap Growth Fund] remains a large supporter of you, your management team and the [CONSOL] strategy. I hope [CONSOL] remains comfortable with T. Rowe Price as a very large shareholder. Thanks again for all your hope and we look forward to speaking with you going forward to talk about the next chapter of [CONSOLES growth!</w:t>
      </w:r>
    </w:p>
    <w:p>
      <w:pPr>
        <w:pStyle w:val="CaseBody"/>
      </w:pPr>
      <w:r>
        <w:t xml:space="preserve">Giroux testified that he spoke to Beekhuis, Wakeman’s co-manager of the Mid-Cap Growth Fund, during the March 19 negotiations over the tender agreement. The plaintiffs also point to evidence suggesting that T. Rowe Price viewed $40 as its bottom line number, arguing that the firm caved in to pressure from CONSOL. The defendants answer that the higher figure assumed a stock deal, and T. Rowe Price was happy with less cash.</w:t>
      </w:r>
    </w:p>
    <w:p>
      <w:pPr>
        <w:pStyle w:val="CaseBody"/>
      </w:pPr>
      <w:r>
        <w:t xml:space="preserve">It is frankly difficult for me to evaluate the parties’ competing positions on a preliminary record. It is difficult to assess the vibrancy of the negotiation process from reading Giroux and Harvey’s depositions. Key T. Rowe Price participants like Linehan, Wakeman, and Beekhuis were not deposed. I have not been provided with meaningful information about Gir-oux’s compensation or incentives. Giroux reports to Linehan, the head of global equities, who the plaintiffs say orchestrated the ultimate deal on price. I have even less information about Linehan than I do about Giroux.</w:t>
      </w:r>
    </w:p>
    <w:p>
      <w:pPr>
        <w:pStyle w:val="CaseBody"/>
      </w:pPr>
      <w:r>
        <w:t xml:space="preserve">Were I evaluating the Tender Offer under the</w:t>
      </w:r>
      <w:r>
        <w:t xml:space="preserve"> </w:t>
      </w:r>
      <w:r>
        <w:rPr>
          <w:iCs/>
          <w:i/>
        </w:rPr>
        <w:t xml:space="preserve">Pure Resources</w:t>
      </w:r>
      <w:r>
        <w:t xml:space="preserve"> </w:t>
      </w:r>
      <w:r>
        <w:t xml:space="preserve">standard, I would incline toward (i) enjoining the transaction preliminarily until CONSOL modified the Tender Offer to exclude the Mid-Cap Growth Fund shares from the majority-of-the-minority calculation and (ii) requiring disclosure of the change followed by sufficient time for CNX Gas stockholders to consider its implications and respond. But because I am evaluating the Tender Offer under the</w:t>
      </w:r>
      <w:r>
        <w:t xml:space="preserve"> </w:t>
      </w:r>
      <w:r>
        <w:rPr>
          <w:iCs/>
          <w:i/>
        </w:rPr>
        <w:t xml:space="preserve">Cox Communications</w:t>
      </w:r>
      <w:r>
        <w:t xml:space="preserve"> </w:t>
      </w:r>
      <w:r>
        <w:t xml:space="preserve">unified standard, I do not need to rule definitively on the effectiveness of the majority-of-the-minority condition.</w:t>
      </w:r>
    </w:p>
    <w:p>
      <w:pPr>
        <w:pStyle w:val="CaseBody"/>
      </w:pPr>
      <w:r>
        <w:t xml:space="preserve">The absence of Special Committee approval imposes an obligation on the defendants to show that the Tender Offer price is fair. The defendants are free to argue at a later stage of the proceeding and on a fuller record that (i) the negotiations with T. Rowe Price were truly at arms’ length and untainted by cross-ownership, and (ii) the majority-of-the-minority condition was effective.</w:t>
      </w:r>
    </w:p>
    <w:p>
      <w:pPr>
        <w:pStyle w:val="CaseBody"/>
      </w:pPr>
      <w:r>
        <w:t xml:space="preserve">B. The Plaintiffs’ Disclosure Claims Are Meritless.</w:t>
      </w:r>
    </w:p>
    <w:p>
      <w:pPr>
        <w:pStyle w:val="CaseBody"/>
      </w:pPr>
      <w:r>
        <w:t xml:space="preserve">In contrast to their fairness claim, where the plaintiffs have shown a probability of success on the merits, the plaintiffs’ disclosure claims are meritless. The existence and scope of the duty of disclosure is not disputed. See,</w:t>
      </w:r>
      <w:r>
        <w:t xml:space="preserve"> </w:t>
      </w:r>
      <w:r>
        <w:rPr>
          <w:iCs/>
          <w:i/>
        </w:rPr>
        <w:t xml:space="preserve">e.g., Pure Resources,</w:t>
      </w:r>
      <w:r>
        <w:t xml:space="preserve"> </w:t>
      </w:r>
      <w:r>
        <w:t xml:space="preserve">808 A.2d at 447-52 (describing applicable legal principles).</w:t>
      </w:r>
    </w:p>
    <w:p>
      <w:pPr>
        <w:pStyle w:val="CaseBody"/>
      </w:pPr>
      <w:r>
        <w:t xml:space="preserve">First, the plaintiffs cite a sentence in the Offer to Purchase in which CONSOL disclosed that between 2008 and 2010, “from time to time, representatives of CONSOL and/or its senior management held meetings with certain significant stockholders of CNX Gas, and also attended social occasions at which significant stockholders of CNX Gas were present.” Plaintiffs claim CONSOL did not describe the nature of those discussions. The Offer to Purchase states that the discussions concerned “the businesses of CONSOL and CNX Gas.” The plaintiffs were free to explore this issue in discovery. They have not identified any potentially material information about the discussions.</w:t>
      </w:r>
    </w:p>
    <w:p>
      <w:pPr>
        <w:pStyle w:val="CaseBody"/>
      </w:pPr>
      <w:r>
        <w:t xml:space="preserve">Second, plaintiffs claim that the Offer to Purchase does not disclose whether any large shareholders other than T. Rowe Price entered into any sort of agreement with CONSOL to tender their shares. The absence of a disclosure means there is nothing to disclose. If the plaintiffs had identified an agreement during discovery, the result obviously would be different.</w:t>
      </w:r>
    </w:p>
    <w:p>
      <w:pPr>
        <w:pStyle w:val="CaseBody"/>
      </w:pPr>
      <w:r>
        <w:t xml:space="preserve">Third, the plaintiffs assert that the EBITDA figures from CONSOL’s management projections do not match up with those used in a presentation by Stifel Financial, CONSOL’s investment banker. The Stifel EBITDA figures that the plaintiffs cite did not come from management projections, but rather from Bloomberg consensus estimates. Elsewhere in its analysis, Stifel used management’s EBIT-DA projections, and they correspond to the EBITDA numbers disclosed in the Offer to Purchase. Stifel’s complete presentation is disclosed as an exhibit to the CONSOL Schedule 13E-3.</w:t>
      </w:r>
    </w:p>
    <w:p>
      <w:pPr>
        <w:pStyle w:val="CaseBody"/>
      </w:pPr>
      <w:r>
        <w:t xml:space="preserve">Relatedly, plaintiffs argue that the Offer to Purchase does not provide updated and realistic financial projections. The plaintiffs have not identified any additional projections, and the defendants cannot disclose projections that do not exist. The Offer to Purchase and the Schedule 14D-9 already disclose the projections that were provided to Stifel and Lazard. The plaintiffs have not convinced me that anything more is needed in this case, such as the “price deck” underlying the projections.</w:t>
      </w:r>
    </w:p>
    <w:p>
      <w:pPr>
        <w:pStyle w:val="CaseBody"/>
      </w:pPr>
      <w:r>
        <w:t xml:space="preserve">Fourth, the plaintiffs object that Stifel’s valuation multiples for CNX Gas differ depending on whether the multiples are calculated based on earnings or based on proven reserves. When different valuation metrics are employed, different multiples frequently result. The plaintiffs also object that Lazard derived EBITDA multiples for CNX Gas using a comparable companies analysis and then used different and lower EBITDA multiples when determining the terminal value of CNX Gas in its discounted cash flow analysis. Using the lower EBITDA multiples decreases the value of the DCF range. The Lazard representative provided a plausible explanation for using lower multiples, namely that at the point when the terminal value is calculated in 2019, CNX Gas will be a mature company, will have depleted more of its reserves, and therefore should command a lower multiple. Regardless, the debate does not give rise to a disclosure claim. What matters is that the Schedule 14D-9 accurately summarizes the valuation methodologies used by Lazard. The plaintiffs have not offered any evidence suggesting bad faith or an improper manipulation of the valuation methodology.</w:t>
      </w:r>
    </w:p>
    <w:p>
      <w:pPr>
        <w:pStyle w:val="CaseBody"/>
      </w:pPr>
      <w:r>
        <w:t xml:space="preserve">Finally, the plaintiffs contend that the Schedule 14D-9 does not disclose the amount or nature of investment banking or other financial services that Lazard is currently providing or expects to provide to CONSOL or the anticipated fees and revenues to Lazard for the provision of these services. The Schedule 14D-9 is silent as to any work that Lazard is currently doing for CONSOL because Lazard is not currently doing any work for CONSOL. The Schedule 14D-9 discloses that Lazard “may provide investment banking services to [CNX Gas] or CONSOL in the future, for which Lazard may receive compensation.” The plaintiffs had the opportunity to take discovery and have not identified anything that would suggest that Lazard in fact is performing any financial services for CONSOL now or expects to in the future.</w:t>
      </w:r>
    </w:p>
    <w:p>
      <w:pPr>
        <w:pStyle w:val="CaseBody"/>
      </w:pPr>
      <w:r>
        <w:t xml:space="preserve">C. Irreparable Harm And The Balance Of Hardships</w:t>
      </w:r>
    </w:p>
    <w:p>
      <w:pPr>
        <w:pStyle w:val="CaseBody"/>
      </w:pPr>
      <w:r>
        <w:t xml:space="preserve">If I had evaluated the Tender Offer under the</w:t>
      </w:r>
      <w:r>
        <w:t xml:space="preserve"> </w:t>
      </w:r>
      <w:r>
        <w:rPr>
          <w:iCs/>
          <w:i/>
        </w:rPr>
        <w:t xml:space="preserve">Pure Resources</w:t>
      </w:r>
      <w:r>
        <w:t xml:space="preserve"> </w:t>
      </w:r>
      <w:r>
        <w:t xml:space="preserve">standard, I would face difficult tasks in assessing irreparable harm and balancing hardships. As noted, I harbor serious concern about the structure of the majority-of-the-minority tender condition. I also question whether the limitations CONSOL put on the Special Committee violated its</w:t>
      </w:r>
      <w:r>
        <w:t xml:space="preserve"> </w:t>
      </w:r>
      <w:r>
        <w:rPr>
          <w:iCs/>
          <w:i/>
        </w:rPr>
        <w:t xml:space="preserve">Pure Resources</w:t>
      </w:r>
      <w:r>
        <w:t xml:space="preserve"> </w:t>
      </w:r>
      <w:r>
        <w:t xml:space="preserve">duty “to permit the independent directors on the target board both free rein and adequate time to react to the tender offer.” 808 A.2d at 445;</w:t>
      </w:r>
      <w:r>
        <w:t xml:space="preserve"> </w:t>
      </w:r>
      <w:r>
        <w:rPr>
          <w:iCs/>
          <w:i/>
        </w:rPr>
        <w:t xml:space="preserve">see Cox Radio,</w:t>
      </w:r>
      <w:r>
        <w:t xml:space="preserve"> </w:t>
      </w:r>
      <w:r>
        <w:t xml:space="preserve">2010 WL 1806616</w:t>
      </w:r>
      <w:r>
        <w:t xml:space="preserve">, at *12 (noting that if a special committee were not granted negotiating power, “the Transaction probably would not be entitled to protection under</w:t>
      </w:r>
      <w:r>
        <w:t xml:space="preserve"> </w:t>
      </w:r>
      <w:r>
        <w:rPr>
          <w:iCs/>
          <w:i/>
        </w:rPr>
        <w:t xml:space="preserve">Pure Resources,</w:t>
      </w:r>
      <w:r>
        <w:t xml:space="preserve"> </w:t>
      </w:r>
      <w:r>
        <w:t xml:space="preserve">as the Special Committee would have lacked the requisite free rein to provide the minority with a meaningful recommendation on the Transaction”). Under</w:t>
      </w:r>
      <w:r>
        <w:t xml:space="preserve"> </w:t>
      </w:r>
      <w:r>
        <w:rPr>
          <w:iCs/>
          <w:i/>
        </w:rPr>
        <w:t xml:space="preserve">Pure Resources,</w:t>
      </w:r>
      <w:r>
        <w:t xml:space="preserve"> </w:t>
      </w:r>
      <w:r>
        <w:t xml:space="preserve">these problems would weigh in favor of an injunction.</w:t>
      </w:r>
    </w:p>
    <w:p>
      <w:pPr>
        <w:pStyle w:val="CaseBody"/>
      </w:pPr>
      <w:r>
        <w:t xml:space="preserve">Otherwise, the Tender Offer is not coercive in any traditional</w:t>
      </w:r>
      <w:r>
        <w:t xml:space="preserve"> </w:t>
      </w:r>
      <w:r>
        <w:rPr>
          <w:iCs/>
          <w:i/>
        </w:rPr>
        <w:t xml:space="preserve">non-Lynch</w:t>
      </w:r>
      <w:r>
        <w:t xml:space="preserve"> </w:t>
      </w:r>
      <w:r>
        <w:t xml:space="preserve">sense. It is not structurally coercive because of the prompt back-end merger commitment at the same Tender Offer price.</w:t>
      </w:r>
      <w:r>
        <w:t xml:space="preserve"> </w:t>
      </w:r>
      <w:r>
        <w:rPr>
          <w:iCs/>
          <w:i/>
        </w:rPr>
        <w:t xml:space="preserve">Pure Resources,</w:t>
      </w:r>
      <w:r>
        <w:t xml:space="preserve"> </w:t>
      </w:r>
      <w:r>
        <w:t xml:space="preserve">808 A.2d at 438. No one argues that the Tender Offer is substantively coercive.</w:t>
      </w:r>
      <w:r>
        <w:t xml:space="preserve"> </w:t>
      </w:r>
      <w:r>
        <w:rPr>
          <w:iCs/>
          <w:i/>
        </w:rPr>
        <w:t xml:space="preserve">See Chesapeake Corp. v. Shore,</w:t>
      </w:r>
      <w:r>
        <w:t xml:space="preserve"> </w:t>
      </w:r>
      <w:r>
        <w:t xml:space="preserve">771 A.2d 293</w:t>
      </w:r>
      <w:r>
        <w:t xml:space="preserve">, 324-25 (Del.Ch.2000) (discussing substantive coercion as conceived in</w:t>
      </w:r>
      <w:r>
        <w:t xml:space="preserve"> </w:t>
      </w:r>
      <w:r>
        <w:rPr>
          <w:iCs/>
          <w:i/>
        </w:rPr>
        <w:t xml:space="preserve">Delaware’s Intermediate Standard,</w:t>
      </w:r>
      <w:r>
        <w:t xml:space="preserve"> </w:t>
      </w:r>
      <w:r>
        <w:t xml:space="preserve">supra). The plaintiffs half-heartedly contend that the Schedule TO contains retributive threats, but the Schedule TO’s descriptions about actions CONSOL may consider if the Tender Offer fails are facially neutral, balanced, and informative, not threatening.</w:t>
      </w:r>
      <w:r>
        <w:t xml:space="preserve"> </w:t>
      </w:r>
      <w:r>
        <w:rPr>
          <w:iCs/>
          <w:i/>
        </w:rPr>
        <w:t xml:space="preserve">See Next Level,</w:t>
      </w:r>
      <w:r>
        <w:t xml:space="preserve"> </w:t>
      </w:r>
      <w:r>
        <w:t xml:space="preserve">834 A.2d at 853 (“Generally, reports of factual matters that are neutrally stated and not threatening do not amount to wrongful coercion.”);</w:t>
      </w:r>
      <w:r>
        <w:t xml:space="preserve"> </w:t>
      </w:r>
      <w:r>
        <w:rPr>
          <w:iCs/>
          <w:i/>
        </w:rPr>
        <w:t xml:space="preserve">compare Eisenberg v. Chicago Milwaukee Corp.,</w:t>
      </w:r>
      <w:r>
        <w:t xml:space="preserve"> </w:t>
      </w:r>
      <w:r>
        <w:t xml:space="preserve">537 A.2d 1051</w:t>
      </w:r>
      <w:r>
        <w:t xml:space="preserve">, 1062 (Del.Ch.1987) (describing explicit threat by controller to delist shares). The Tender Offer is an all-cash, premium transaction. No transactional alternative has been identified. Typically such a transaction will not be enjoined absent “not only a special conviction about the strength of the legal claim asserted, but also a strong sense that the risks in granting the preliminary relief of a[n] untoward financial result from the stockholders’ point of view [are] small.”</w:t>
      </w:r>
      <w:r>
        <w:t xml:space="preserve"> </w:t>
      </w:r>
      <w:r>
        <w:rPr>
          <w:iCs/>
          <w:i/>
        </w:rPr>
        <w:t xml:space="preserve">Solash v. Telex Corp.,</w:t>
      </w:r>
      <w:r>
        <w:t xml:space="preserve"> </w:t>
      </w:r>
      <w:r>
        <w:t xml:space="preserve">1988 WL 3587</w:t>
      </w:r>
      <w:r>
        <w:t xml:space="preserve">, at *13 (Del.Ch. Jan. 19, 1988) (Allen, C.). CONSOL reserved the right in its Schedule TO to withdraw its Tender Offer if an injunction issues. I would be forced to balance the benefits of fuller compliance with the</w:t>
      </w:r>
      <w:r>
        <w:t xml:space="preserve"> </w:t>
      </w:r>
      <w:r>
        <w:rPr>
          <w:iCs/>
          <w:i/>
        </w:rPr>
        <w:t xml:space="preserve">Pure Resources</w:t>
      </w:r>
      <w:r>
        <w:t xml:space="preserve"> </w:t>
      </w:r>
      <w:r>
        <w:t xml:space="preserve">framework against the risk of transactional jeopardy.</w:t>
      </w:r>
    </w:p>
    <w:p>
      <w:pPr>
        <w:pStyle w:val="CaseBody"/>
      </w:pPr>
      <w:r>
        <w:t xml:space="preserve">My decision to apply the</w:t>
      </w:r>
      <w:r>
        <w:t xml:space="preserve"> </w:t>
      </w:r>
      <w:r>
        <w:rPr>
          <w:iCs/>
          <w:i/>
        </w:rPr>
        <w:t xml:space="preserve">Cox Communications</w:t>
      </w:r>
      <w:r>
        <w:t xml:space="preserve"> </w:t>
      </w:r>
      <w:r>
        <w:t xml:space="preserve">unified standard simplifies matters. A plaintiff seeking to enjoin a tender offer must show that a post-trial award of money damages would not be a sufficient remedy.</w:t>
      </w:r>
      <w:r>
        <w:t xml:space="preserve"> </w:t>
      </w:r>
      <w:r>
        <w:rPr>
          <w:iCs/>
          <w:i/>
        </w:rPr>
        <w:t xml:space="preserve">Gradient OC Master, Ltd. v. NBC Universal, Inc.,</w:t>
      </w:r>
      <w:r>
        <w:t xml:space="preserve"> </w:t>
      </w:r>
      <w:r>
        <w:t xml:space="preserve">930 A.2d 104</w:t>
      </w:r>
      <w:r>
        <w:t xml:space="preserve">, 132 (Del.Ch.2007). If the defendants fail to establish that the tender price is fair, an award of money damages can be fashioned. No question has been raised, much less evidence presented, to cast doubt on CONSOLE solvency or ability to satisfy a damages award. The plaintiffs therefore have not shown any threat of irreparable harm. Given the availability of monetary relief, the balance of the equities favors the denial of the motion for preliminary injunction.</w:t>
      </w:r>
      <w:r>
        <w:t xml:space="preserve"> </w:t>
      </w:r>
      <w:r>
        <w:rPr>
          <w:iCs/>
          <w:i/>
        </w:rPr>
        <w:t xml:space="preserve">Abrons v. Marée,</w:t>
      </w:r>
      <w:r>
        <w:t xml:space="preserve"> </w:t>
      </w:r>
      <w:r>
        <w:t xml:space="preserve">911 A.2d 805</w:t>
      </w:r>
      <w:r>
        <w:t xml:space="preserve">, 810-11 (Del.Ch.2006).</w:t>
      </w:r>
    </w:p>
    <w:p>
      <w:pPr>
        <w:pStyle w:val="CaseBody"/>
      </w:pPr>
      <w:r>
        <w:t xml:space="preserve">III. CONCLUSION</w:t>
      </w:r>
    </w:p>
    <w:p>
      <w:pPr>
        <w:pStyle w:val="CaseBody"/>
      </w:pPr>
      <w:r>
        <w:t xml:space="preserve">For the foregoing reasons, I deny the plaintiffs’ motion for a preliminary injunction. IT IS SO ORDERED.</w:t>
      </w:r>
    </w:p>
    <w:p>
      <w:pPr>
        <w:pStyle w:val="CaseFootnoteText"/>
      </w:pPr>
      <w:r>
        <w:rPr>
          <w:rStyle w:val="FootnoteReference"/>
        </w:rPr>
        <w:t xml:space="preserve">5</w:t>
      </w:r>
      <w:r>
        <w:t xml:space="preserve">. Professor Guhan Subramanian has discovered that during an approximately four year period prior to</w:t>
      </w:r>
      <w:r>
        <w:t xml:space="preserve"> </w:t>
      </w:r>
      <w:r>
        <w:rPr>
          <w:iCs/>
          <w:i/>
        </w:rPr>
        <w:t xml:space="preserve">Siliconix,</w:t>
      </w:r>
      <w:r>
        <w:t xml:space="preserve"> </w:t>
      </w:r>
      <w:r>
        <w:t xml:space="preserve">only 13% of freeze-outs (14 out of 108) were implemented using a</w:t>
      </w:r>
      <w:r>
        <w:t xml:space="preserve"> </w:t>
      </w:r>
      <w:r>
        <w:rPr>
          <w:iCs/>
          <w:i/>
        </w:rPr>
        <w:t xml:space="preserve">Siliconix</w:t>
      </w:r>
      <w:r>
        <w:t xml:space="preserve"> </w:t>
      </w:r>
      <w:r>
        <w:t xml:space="preserve">structure, while during a similar period after</w:t>
      </w:r>
      <w:r>
        <w:t xml:space="preserve"> </w:t>
      </w:r>
      <w:r>
        <w:rPr>
          <w:iCs/>
          <w:i/>
        </w:rPr>
        <w:t xml:space="preserve">Siliconix,</w:t>
      </w:r>
      <w:r>
        <w:t xml:space="preserve"> </w:t>
      </w:r>
      <w:r>
        <w:t xml:space="preserve">33% of freeze-outs (24 out of 76) employed the structure. He finds the increase to be statistically significant at a 5% confidence level. Professor Subramanian infers that practitioners did not understand</w:t>
      </w:r>
      <w:r>
        <w:t xml:space="preserve"> </w:t>
      </w:r>
      <w:r>
        <w:rPr>
          <w:iCs/>
          <w:i/>
        </w:rPr>
        <w:t xml:space="preserve">Solomon II</w:t>
      </w:r>
      <w:r>
        <w:t xml:space="preserve"> </w:t>
      </w:r>
      <w:r>
        <w:t xml:space="preserve">to have addressed squeeze-out transactions; it was rather the combination of</w:t>
      </w:r>
      <w:r>
        <w:t xml:space="preserve"> </w:t>
      </w:r>
      <w:r>
        <w:rPr>
          <w:iCs/>
          <w:i/>
        </w:rPr>
        <w:t xml:space="preserve">Siliconix</w:t>
      </w:r>
      <w:r>
        <w:t xml:space="preserve"> </w:t>
      </w:r>
      <w:r>
        <w:t xml:space="preserve">and</w:t>
      </w:r>
      <w:r>
        <w:t xml:space="preserve"> </w:t>
      </w:r>
      <w:r>
        <w:rPr>
          <w:iCs/>
          <w:i/>
        </w:rPr>
        <w:t xml:space="preserve">Glassman</w:t>
      </w:r>
      <w:r>
        <w:t xml:space="preserve"> </w:t>
      </w:r>
      <w:r>
        <w:t xml:space="preserve">in 2001 that established a different standard of review.</w:t>
      </w:r>
      <w:r>
        <w:t xml:space="preserve"> </w:t>
      </w:r>
      <w:r>
        <w:rPr>
          <w:iCs/>
          <w:i/>
        </w:rPr>
        <w:t xml:space="preserve">See</w:t>
      </w:r>
      <w:r>
        <w:t xml:space="preserve"> </w:t>
      </w:r>
      <w:r>
        <w:t xml:space="preserve">Guhan Subramanian, Posi-Siliconix</w:t>
      </w:r>
      <w:r>
        <w:t xml:space="preserve"> </w:t>
      </w:r>
      <w:r>
        <w:rPr>
          <w:iCs/>
          <w:i/>
        </w:rPr>
        <w:t xml:space="preserve">Freeze-Outs: Theory and Evidence,</w:t>
      </w:r>
      <w:r>
        <w:t xml:space="preserve"> </w:t>
      </w:r>
      <w:r>
        <w:t xml:space="preserve">36 J. Legal Stud. 1</w:t>
      </w:r>
      <w:r>
        <w:t xml:space="preserve">, 10-11 (2007).</w:t>
      </w:r>
    </w:p>
    <w:bookmarkStart w:id="149" w:name="_auto_toc_149"/>
    <w:bookmarkEnd w:id="149"/>
    <w:p>
      <w:pPr>
        <w:pStyle w:val="ResourceNumber"/>
      </w:pPr>
      <w:r>
        <w:t xml:space="preserve">11.3.5</w:t>
      </w:r>
    </w:p>
    <w:p>
      <w:pPr>
        <w:pStyle w:val="ResourceTitle"/>
      </w:pPr>
      <w:r>
        <w:t xml:space="preserve">Glassman v. Unocal Exploration Corp.</w:t>
      </w:r>
    </w:p>
    <w:p>
      <w:pPr>
        <w:pStyle w:val="HeadEnd"/>
      </w:pPr>
      <w:r>
        <w:t xml:space="preserve"> </w:t>
      </w:r>
    </w:p>
    <w:p>
      <w:pPr>
        <w:pStyle w:val="CaseHeader"/>
      </w:pPr>
      <w:r>
        <w:t xml:space="preserve">Delaware Supreme Court</w:t>
      </w:r>
    </w:p>
    <w:p>
      <w:pPr>
        <w:pStyle w:val="CaseHeader"/>
      </w:pPr>
      <w:r>
        <w:t xml:space="preserve">777 A.2d 242</w:t>
      </w:r>
    </w:p>
    <w:p>
      <w:pPr>
        <w:pStyle w:val="CaseHeader"/>
      </w:pPr>
      <w:r>
        <w:t xml:space="preserve">No. 390, 2000</w:t>
      </w:r>
    </w:p>
    <w:p>
      <w:pPr>
        <w:pStyle w:val="CaseHeader"/>
      </w:pPr>
      <w:r>
        <w:t xml:space="preserve">2001-07-25</w:t>
      </w:r>
    </w:p>
    <w:p>
      <w:pPr>
        <w:pStyle w:val="CaseBody"/>
      </w:pPr>
      <w:r>
        <w:t xml:space="preserve">777 A.2d 242 (2001)</w:t>
      </w:r>
    </w:p>
    <w:p>
      <w:pPr>
        <w:pStyle w:val="CaseHeader"/>
      </w:pPr>
      <w:r>
        <w:t xml:space="preserve">Morris I. GLASSMAN and William Steiner, Plaintiffs Below, Appellants,</w:t>
      </w:r>
      <w:r>
        <w:br/>
      </w:r>
      <w:r>
        <w:t xml:space="preserve">v.</w:t>
      </w:r>
      <w:r>
        <w:br/>
      </w:r>
      <w:r>
        <w:t xml:space="preserve">UNOCAL EXPLORATION CORPORATION, Unocal Corporation, John W. Amerman, Roger C. Beach, MacDonald G. Becket, Claude S. Brinegar, Malcolm R. Currie, Richard K. Eamer, Frank C. Herringer, John F. Imle, Jr., Donald P. Jacobs, Ann McLaughlin, Neal E. Schmale, Thomas B. Sleeman, Richard J. Stegemeier, and Charles R. Weaver, Defendants Below, Appellees.</w:t>
      </w:r>
      <w:r>
        <w:br/>
      </w:r>
      <w:r>
        <w:t xml:space="preserve">In re Unocal Exploration Corporation Shareholders Litigation.</w:t>
      </w:r>
    </w:p>
    <w:p>
      <w:pPr>
        <w:pStyle w:val="CaseBody"/>
      </w:pPr>
      <w:r>
        <w:t xml:space="preserve">No. 390, 2000.</w:t>
      </w:r>
    </w:p>
    <w:p>
      <w:pPr>
        <w:pStyle w:val="CaseBody"/>
      </w:pPr>
      <w:r>
        <w:t xml:space="preserve">Supreme Court of Delaware.</w:t>
      </w:r>
    </w:p>
    <w:p>
      <w:pPr>
        <w:pStyle w:val="CaseBody"/>
      </w:pPr>
      <w:r>
        <w:t xml:space="preserve">Submitted: April 3, 2001.</w:t>
      </w:r>
    </w:p>
    <w:p>
      <w:pPr>
        <w:pStyle w:val="CaseBody"/>
      </w:pPr>
      <w:r>
        <w:t xml:space="preserve">Decided: July 25, 2001.</w:t>
      </w:r>
    </w:p>
    <w:p>
      <w:pPr>
        <w:pStyle w:val="CaseBody"/>
      </w:pPr>
      <w:r>
        <w:t xml:space="preserve">R. Bruce McNew, Esquire (argued), of Taylor &amp; McNew, LLP, Greenville, Delaware, and Pamela S. Tikellis, Esquire, Robert J. Kriner, Jr., Esquire, and Timothy R. Dudderar, Esquire, of Chimicles &amp; [243] Tikellis, LLP, Wilmington, Delaware, for Appellants.</w:t>
      </w:r>
    </w:p>
    <w:p>
      <w:pPr>
        <w:pStyle w:val="CaseBody"/>
      </w:pPr>
      <w:r>
        <w:t xml:space="preserve">Kenneth J. Nachbar, Esquire (argued) and Jon E. Abramczyk, Esquire, of Morris, Nichols, Arsht &amp; Tunnell, Wilmington, Delaware, for Appellees Unocal Corporation, John W. Amerman, Roger C. Beach, Claude S. Brinegar, Malcolm R. Currie, Richard K. Eamer, Frank C. Herringer, John F. Imle, Jr., Donald P. Jacobs, Neal E. Schmale, Thomas B. Sleeman and Richard J. Stegemeier; and Brett D. Fallon, Esquire, of Morris, James, Hitchens &amp; Williams, Wilmington, Delaware, for Appellees Unocal Exploration Corporation, MacDonald G. Becket, Ann McLaughlin and Charles R. Weaver.</w:t>
      </w:r>
    </w:p>
    <w:p>
      <w:pPr>
        <w:pStyle w:val="CaseBody"/>
      </w:pPr>
      <w:r>
        <w:t xml:space="preserve">Before VEASEY, Chief Justice, WALSH, HOLLAND, BERGER and STEELE, Justices, constituting the Court en Banc.</w:t>
      </w:r>
    </w:p>
    <w:bookmarkStart w:id="359" w:name="berger-justice."/>
    <w:p>
      <w:pPr>
        <w:pStyle w:val="Heading2"/>
      </w:pPr>
      <w:r>
        <w:t xml:space="preserve">BERGER, Justice.</w:t>
      </w:r>
    </w:p>
    <w:p>
      <w:pPr>
        <w:pStyle w:val="CaseBody"/>
      </w:pPr>
      <w:r>
        <w:t xml:space="preserve">In this appeal, we consider the fiduciary duties owed by a parent corporation to the subsidiary's minority stockholders in the context of a "short-form" merger. Specifically, we take this opportunity to reconcile a fiduciary's seemingly absolute duty to establish the entire fairness of any self-dealing transaction with the less demanding requirements of the short-form merger statute. The statute authorizes the elimination of minority stockholders by a summary process that does not involve the "fair dealing" component of entire fairness. Indeed, the statute does not contemplate any "dealing" at all. Thus, a parent corporation cannot satisfy the entire fairness standard if it follows the terms of the short-form merger statute without more.</w:t>
      </w:r>
    </w:p>
    <w:p>
      <w:pPr>
        <w:pStyle w:val="CaseBody"/>
      </w:pPr>
      <w:r>
        <w:t xml:space="preserve">Unocal Corporation addressed this dilemma by establishing a special negotiating committee and engaging in a process that it believed would pass muster under traditional entire fairness review. We find that such steps were unnecessary. By enacting a statute that authorizes the elimination of the minority without notice, vote, or other traditional indicia of procedural fairness, the General Assembly effectively circumscribed the parent corporation's obligations to the minority in a short-form merger. The parent corporation does not have to establish entire fairness, and, absent fraud or illegality, the only recourse for a minority stockholder who is dissatisfied with the merger consideration is appraisal.</w:t>
      </w:r>
    </w:p>
    <w:bookmarkEnd w:id="359"/>
    <w:bookmarkStart w:id="360" w:name="i.-factual-and-procedural-background"/>
    <w:p>
      <w:pPr>
        <w:pStyle w:val="Heading2"/>
      </w:pPr>
      <w:r>
        <w:t xml:space="preserve">I. Factual and Procedural Background</w:t>
      </w:r>
    </w:p>
    <w:p>
      <w:pPr>
        <w:pStyle w:val="CaseBody"/>
      </w:pPr>
      <w:r>
        <w:t xml:space="preserve">Unocal Corporation is an earth resources company primarily engaged in the exploration for and production of crude oil and natural gas. At the time of the merger at issue, Unocal owned approximately 96% of the stock of Unocal Exploration Corporation ("UXC"), an oil and gas company operating in and around the Gulf of Mexico. In 1991, low natural gas prices caused a drop in both companies' revenues and earnings. Unocal investigated areas of possible cost savings and decided that, by eliminating the UXC minority, it would reduce taxes and overhead expenses.</w:t>
      </w:r>
    </w:p>
    <w:p>
      <w:pPr>
        <w:pStyle w:val="CaseBody"/>
      </w:pPr>
      <w:r>
        <w:t xml:space="preserve">In December 1991 the boards of Unocal and UXC appointed special committees to consider a possible merger. The UXC committee consisted of three directors who, although also directors of Unocal, were not officers or employees of the parent company. The UXC committee retained financial and legal advisors and met four times before agreeing to a merger exchange ratio of .54 shares of Unocal stock for each share of UXC. Unocal and UXC announced the merger on February 24, 1992, and it was effected, pursuant to 8</w:t>
      </w:r>
      <w:r>
        <w:t xml:space="preserve"> </w:t>
      </w:r>
      <w:r>
        <w:rPr>
          <w:iCs/>
          <w:i/>
        </w:rPr>
        <w:t xml:space="preserve">Del.C.</w:t>
      </w:r>
      <w:r>
        <w:t xml:space="preserve"> </w:t>
      </w:r>
      <w:r>
        <w:t xml:space="preserve">§ 253, on May 2, 1992. The Notice of Merger and Prospectus stated the terms of the merger and advised the former [244] UXC stockholders of their appraisal rights.</w:t>
      </w:r>
    </w:p>
    <w:p>
      <w:pPr>
        <w:pStyle w:val="CaseBody"/>
      </w:pPr>
      <w:r>
        <w:t xml:space="preserve">Plaintiffs filed this class action, on behalf of UXC's minority stockholders, on the day the merger was announced. They asserted, among other claims, that Unocal and its directors breached their fiduciary duties of entire fairness and full disclosure. The Court of Chancery conducted a two day trial and held that: (i) the Prospectus did not contain any material misstatements or omissions; (ii) the entire fairness standard does not control in a short-form merger; and (iii) plaintiffs' exclusive remedy in this case was appraisal. The decision of the Court of Chancery is affirmed.</w:t>
      </w:r>
    </w:p>
    <w:bookmarkEnd w:id="360"/>
    <w:bookmarkStart w:id="361" w:name="ii.-discussion"/>
    <w:p>
      <w:pPr>
        <w:pStyle w:val="Heading2"/>
      </w:pPr>
      <w:r>
        <w:t xml:space="preserve">II. Discussion</w:t>
      </w:r>
    </w:p>
    <w:p>
      <w:pPr>
        <w:pStyle w:val="CaseBody"/>
      </w:pPr>
      <w:r>
        <w:t xml:space="preserve">The short-form merger statute, as enacted in 1937, authorized a parent corporation to merge with its wholly-owned subsidiary by filing and recording a certificate evidencing the parent's ownership and its merger resolution. In 1957, the statute was expanded to include parent/subsidiary mergers where the parent company owns at least 90% of the stock of the subsidiary. The 1957 amendment also made it possible, for the first time and only in a short-form merger, to pay the minority cash for their shares, thereby eliminating their ownership interest in the company. In its current form, which has not changed significantly since 1957, 8</w:t>
      </w:r>
      <w:r>
        <w:t xml:space="preserve"> </w:t>
      </w:r>
      <w:r>
        <w:rPr>
          <w:iCs/>
          <w:i/>
        </w:rPr>
        <w:t xml:space="preserve">Del.C.</w:t>
      </w:r>
      <w:r>
        <w:t xml:space="preserve"> </w:t>
      </w:r>
      <w:r>
        <w:t xml:space="preserve">§ 253 provides in relevant part:</w:t>
      </w:r>
    </w:p>
    <w:p>
      <w:pPr>
        <w:pStyle w:val="BlockText"/>
      </w:pPr>
      <w:r>
        <w:t xml:space="preserve">(a) In any case in which at least 90 percent of the outstanding shares of each class of the stock of a corporation... is owned by another corporation..., the corporation having such stock ownership may ... merge the other corporation ... into itself... by executing, acknowledging and filing, in accordance with § 103 of this title, a certificate of such ownership and merger setting forth a copy of the resolution of its board of directors to so merge and the date of the adoption; provided, however, that in case the parent corporation shall not own all the outstanding stock of ... the subsidiary corporation[ ],... the resolution ... shall state the terms and conditions of the merger, including the securities, cash, property or rights to be issued, paid delivered or granted by the surviving corporation upon surrender of each share of the subsidiary corporation....</w:t>
      </w:r>
    </w:p>
    <w:p>
      <w:pPr>
        <w:pStyle w:val="BlockText"/>
      </w:pPr>
      <w:r>
        <w:t xml:space="preserve">* * *</w:t>
      </w:r>
    </w:p>
    <w:p>
      <w:pPr>
        <w:pStyle w:val="BlockText"/>
      </w:pPr>
      <w:r>
        <w:t xml:space="preserve">(d) In the event that all of the stock of a subsidiary Delaware corporation... is not owned by the parent corporation immediately prior to the merger, the stockholders of the subsidiary Delaware corporation party to the merger shall have appraisal rights as set forth in Section 262 of this Title.</w:t>
      </w:r>
    </w:p>
    <w:p>
      <w:pPr>
        <w:pStyle w:val="CaseBody"/>
      </w:pPr>
      <w:r>
        <w:t xml:space="preserve">This Court first reviewed § 253 in</w:t>
      </w:r>
      <w:r>
        <w:t xml:space="preserve"> </w:t>
      </w:r>
      <w:r>
        <w:rPr>
          <w:iCs/>
          <w:i/>
        </w:rPr>
        <w:t xml:space="preserve">Coyne v. Park &amp; Tilford Distillers Corporation.</w:t>
      </w:r>
      <w:hyperlink w:anchor="X37baac810f6e192310ba28cffc267bf2be1ac2a">
        <w:r>
          <w:rPr>
            <w:rStyle w:val="Hyperlink"/>
            <w:vertAlign w:val="superscript"/>
          </w:rPr>
          <w:t xml:space="preserve">[1]</w:t>
        </w:r>
      </w:hyperlink>
      <w:r>
        <w:t xml:space="preserve"> </w:t>
      </w:r>
      <w:r>
        <w:t xml:space="preserve">There, minority stockholders of the merged-out subsidiary argued that the statute could not mean what it says because Delaware law "never has permitted, and does not now permit, the payment of cash for whole shares surrendered in a merger and the consequent expulsion of a stockholder from the enterprise in which he has invested."</w:t>
      </w:r>
      <w:hyperlink w:anchor="X504829b0f76df949f903242221ab2f839b0b7f4">
        <w:r>
          <w:rPr>
            <w:rStyle w:val="Hyperlink"/>
            <w:vertAlign w:val="superscript"/>
          </w:rPr>
          <w:t xml:space="preserve">[2]</w:t>
        </w:r>
      </w:hyperlink>
      <w:r>
        <w:t xml:space="preserve"> </w:t>
      </w:r>
      <w:r>
        <w:t xml:space="preserve">The</w:t>
      </w:r>
      <w:r>
        <w:t xml:space="preserve"> </w:t>
      </w:r>
      <w:r>
        <w:rPr>
          <w:iCs/>
          <w:i/>
        </w:rPr>
        <w:t xml:space="preserve">Coyne</w:t>
      </w:r>
      <w:r>
        <w:t xml:space="preserve"> </w:t>
      </w:r>
      <w:r>
        <w:t xml:space="preserve">court held that § 253 plainly does permit such a result and that the statute is constitutional.</w:t>
      </w:r>
    </w:p>
    <w:p>
      <w:pPr>
        <w:pStyle w:val="CaseBody"/>
      </w:pPr>
      <w:r>
        <w:t xml:space="preserve">The next question presented to this Court was whether any equitable relief is available to minority stockholders who object to a short-form merger. In</w:t>
      </w:r>
      <w:r>
        <w:t xml:space="preserve"> </w:t>
      </w:r>
      <w:r>
        <w:rPr>
          <w:iCs/>
          <w:i/>
        </w:rPr>
        <w:t xml:space="preserve">Stauffer v. Standard Brands Incorporated,</w:t>
      </w:r>
      <w:hyperlink w:anchor="Xefb5dab2ca1e19a1ba75b3f6ad35456fdc7bfa0">
        <w:r>
          <w:rPr>
            <w:rStyle w:val="Hyperlink"/>
            <w:vertAlign w:val="superscript"/>
          </w:rPr>
          <w:t xml:space="preserve">[3]</w:t>
        </w:r>
      </w:hyperlink>
      <w:r>
        <w:t xml:space="preserve"> </w:t>
      </w:r>
      <w:r>
        <w:t xml:space="preserve">minority [245] stockholders sued to set aside the contested merger or, in the alternative, for damages. They alleged that the merger consideration was so grossly inadequate as to constitute constructive fraud and that Standard Brands breached its fiduciary duty to the minority by failing to set a fair price for their stock. The Court of Chancery held that appraisal was the stockholders' exclusive remedy, and dismissed the complaint. This Court affirmed, but explained that appraisal would not be the exclusive remedy in a short-form merger tainted by fraud or illegality:</w:t>
      </w:r>
    </w:p>
    <w:p>
      <w:pPr>
        <w:pStyle w:val="BlockText"/>
      </w:pPr>
      <w:r>
        <w:t xml:space="preserve">[T]he exception [to appraisal's exclusivity]... refers generally to all mergers, and is nothing but a reaffirmation of the ever-present power of equity to deal with illegality or fraud. But it has no bearing here. No illegality or overreaching is shown. The dispute reduces to nothing but a difference of opinion as to value. Indeed it is difficult to imagine a case under the short merger statute in which there could be such actual fraud as would entitle a minority to set aside the merger. This is so because the very purpose of the statute is to provide the parent corporation with a means of eliminating the minority shareholder's interest in the enterprise. Thereafter the former stockholder has only a monetary claim.</w:t>
      </w:r>
      <w:hyperlink w:anchor="X98838af31bc117590ef158358c63bb1d865fd24">
        <w:r>
          <w:rPr>
            <w:rStyle w:val="Hyperlink"/>
            <w:vertAlign w:val="superscript"/>
          </w:rPr>
          <w:t xml:space="preserve">[4]</w:t>
        </w:r>
      </w:hyperlink>
    </w:p>
    <w:p>
      <w:pPr>
        <w:pStyle w:val="CaseBody"/>
      </w:pPr>
      <w:r>
        <w:t xml:space="preserve">The</w:t>
      </w:r>
      <w:r>
        <w:t xml:space="preserve"> </w:t>
      </w:r>
      <w:r>
        <w:rPr>
          <w:iCs/>
          <w:i/>
        </w:rPr>
        <w:t xml:space="preserve">Stauffer</w:t>
      </w:r>
      <w:r>
        <w:t xml:space="preserve"> </w:t>
      </w:r>
      <w:r>
        <w:t xml:space="preserve">doctrine's viability rose and fell over the next four decades. Its holding on the exclusivity of appraisal took on added significance in 1967, when the long-form merger statute — § 251 — was amended to allow cash-out mergers. In</w:t>
      </w:r>
      <w:r>
        <w:t xml:space="preserve"> </w:t>
      </w:r>
      <w:r>
        <w:rPr>
          <w:iCs/>
          <w:i/>
        </w:rPr>
        <w:t xml:space="preserve">David J. Greene &amp; Co. v. Schenley Industries, Inc.,</w:t>
      </w:r>
      <w:hyperlink w:anchor="X6196e19a81ad9a048da953623c77a2cdfe79e26">
        <w:r>
          <w:rPr>
            <w:rStyle w:val="Hyperlink"/>
            <w:vertAlign w:val="superscript"/>
          </w:rPr>
          <w:t xml:space="preserve">[5]</w:t>
        </w:r>
      </w:hyperlink>
      <w:r>
        <w:t xml:space="preserve"> </w:t>
      </w:r>
      <w:r>
        <w:t xml:space="preserve">the Court of Chancery applied</w:t>
      </w:r>
      <w:r>
        <w:t xml:space="preserve"> </w:t>
      </w:r>
      <w:r>
        <w:rPr>
          <w:iCs/>
          <w:i/>
        </w:rPr>
        <w:t xml:space="preserve">Stauffer</w:t>
      </w:r>
      <w:r>
        <w:t xml:space="preserve"> </w:t>
      </w:r>
      <w:r>
        <w:t xml:space="preserve">to a long-form cash-out merger.</w:t>
      </w:r>
      <w:r>
        <w:t xml:space="preserve"> </w:t>
      </w:r>
      <w:r>
        <w:rPr>
          <w:iCs/>
          <w:i/>
        </w:rPr>
        <w:t xml:space="preserve">Schenley</w:t>
      </w:r>
      <w:r>
        <w:t xml:space="preserve"> </w:t>
      </w:r>
      <w:r>
        <w:t xml:space="preserve">recognized that the corporate fiduciaries had to establish entire fairness, but concluded that fair value was the plaintiff's only real concern and that appraisal was an adequate remedy. The court explained:</w:t>
      </w:r>
    </w:p>
    <w:p>
      <w:pPr>
        <w:pStyle w:val="BlockText"/>
      </w:pPr>
      <w:r>
        <w:t xml:space="preserve">While a court of equity should stand ready to prevent corporate fraud and any overreaching by fiduciaries of the rights of stockholders, by the same token this Court should not impede the consummation of an orderly merger under the Delaware statutes, an efficient and fair method having been furnished which permits a judicially protected withdrawal from a merger by a disgruntled stockholder.</w:t>
      </w:r>
      <w:hyperlink w:anchor="X051ff9dfd6b8f6637f85761bbb69aafa2fb8d30">
        <w:r>
          <w:rPr>
            <w:rStyle w:val="Hyperlink"/>
            <w:vertAlign w:val="superscript"/>
          </w:rPr>
          <w:t xml:space="preserve">[6]</w:t>
        </w:r>
      </w:hyperlink>
    </w:p>
    <w:p>
      <w:pPr>
        <w:pStyle w:val="CaseBody"/>
      </w:pPr>
      <w:r>
        <w:t xml:space="preserve">In 1977, this Court started retreating from</w:t>
      </w:r>
      <w:r>
        <w:t xml:space="preserve"> </w:t>
      </w:r>
      <w:r>
        <w:rPr>
          <w:iCs/>
          <w:i/>
        </w:rPr>
        <w:t xml:space="preserve">Stauffer</w:t>
      </w:r>
      <w:r>
        <w:t xml:space="preserve"> </w:t>
      </w:r>
      <w:r>
        <w:t xml:space="preserve">(and</w:t>
      </w:r>
      <w:r>
        <w:t xml:space="preserve"> </w:t>
      </w:r>
      <w:r>
        <w:rPr>
          <w:iCs/>
          <w:i/>
        </w:rPr>
        <w:t xml:space="preserve">Schenley</w:t>
      </w:r>
      <w:r>
        <w:t xml:space="preserve">).</w:t>
      </w:r>
      <w:r>
        <w:t xml:space="preserve"> </w:t>
      </w:r>
      <w:r>
        <w:rPr>
          <w:iCs/>
          <w:i/>
        </w:rPr>
        <w:t xml:space="preserve">Singer v. Magnavox Co.</w:t>
      </w:r>
      <w:hyperlink w:anchor="Xecd29c6b4218f11907cc8a80430560bb1bc5225">
        <w:r>
          <w:rPr>
            <w:rStyle w:val="Hyperlink"/>
            <w:vertAlign w:val="superscript"/>
          </w:rPr>
          <w:t xml:space="preserve">[7]</w:t>
        </w:r>
      </w:hyperlink>
      <w:r>
        <w:t xml:space="preserve"> </w:t>
      </w:r>
      <w:r>
        <w:t xml:space="preserve">held that a controlling stockholder breaches its fiduciary duty if it effects a cash-out merger under § 251 for the sole purpose of eliminating the minority stockholders. The</w:t>
      </w:r>
      <w:r>
        <w:t xml:space="preserve"> </w:t>
      </w:r>
      <w:r>
        <w:rPr>
          <w:iCs/>
          <w:i/>
        </w:rPr>
        <w:t xml:space="preserve">Singer</w:t>
      </w:r>
      <w:r>
        <w:t xml:space="preserve"> </w:t>
      </w:r>
      <w:r>
        <w:t xml:space="preserve">court distinguished</w:t>
      </w:r>
      <w:r>
        <w:t xml:space="preserve"> </w:t>
      </w:r>
      <w:r>
        <w:rPr>
          <w:iCs/>
          <w:i/>
        </w:rPr>
        <w:t xml:space="preserve">Stauffer</w:t>
      </w:r>
      <w:r>
        <w:t xml:space="preserve"> </w:t>
      </w:r>
      <w:r>
        <w:t xml:space="preserve">as being a case where the only complaint was about the value of the converted shares. Nonetheless, the Court cautioned:</w:t>
      </w:r>
    </w:p>
    <w:p>
      <w:pPr>
        <w:pStyle w:val="BlockText"/>
      </w:pPr>
      <w:r>
        <w:t xml:space="preserve">[T]he fiduciary obligation of the majority to the minority stockholders remains and proof of a purpose, other than such freeze-out, without more, will not necessarily discharge it. In such case the Court will scrutinize the circumstances for compliance with the</w:t>
      </w:r>
      <w:r>
        <w:t xml:space="preserve"> </w:t>
      </w:r>
      <w:r>
        <w:rPr>
          <w:iCs/>
          <w:i/>
        </w:rPr>
        <w:t xml:space="preserve">Sterling [v. Mayflower Hotel Corp.,</w:t>
      </w:r>
      <w:r>
        <w:t xml:space="preserve"> </w:t>
      </w:r>
      <w:r>
        <w:t xml:space="preserve">Del.Supr., 93 A.2d 107 (1952)</w:t>
      </w:r>
      <w:r>
        <w:rPr>
          <w:iCs/>
          <w:i/>
        </w:rPr>
        <w:t xml:space="preserve">]</w:t>
      </w:r>
      <w:r>
        <w:t xml:space="preserve"> </w:t>
      </w:r>
      <w:r>
        <w:t xml:space="preserve">rule of "entire fairness" and, if it finds a violation thereof, will grant such relief as equity may require. Any statement in</w:t>
      </w:r>
      <w:r>
        <w:t xml:space="preserve"> </w:t>
      </w:r>
      <w:r>
        <w:rPr>
          <w:iCs/>
          <w:i/>
        </w:rPr>
        <w:t xml:space="preserve">Stauffer</w:t>
      </w:r>
      <w:r>
        <w:t xml:space="preserve"> </w:t>
      </w:r>
      <w:r>
        <w:t xml:space="preserve">inconsistent herewith is held inapplicable to a § 251 merger.</w:t>
      </w:r>
      <w:hyperlink w:anchor="X525be37a6e95b199c1472b9629ad378d5e79f5c">
        <w:r>
          <w:rPr>
            <w:rStyle w:val="Hyperlink"/>
            <w:vertAlign w:val="superscript"/>
          </w:rPr>
          <w:t xml:space="preserve">[8]</w:t>
        </w:r>
      </w:hyperlink>
    </w:p>
    <w:p>
      <w:pPr>
        <w:pStyle w:val="CaseBody"/>
      </w:pPr>
      <w:r>
        <w:t xml:space="preserve">[246]</w:t>
      </w:r>
      <w:r>
        <w:t xml:space="preserve"> </w:t>
      </w:r>
      <w:r>
        <w:rPr>
          <w:iCs/>
          <w:i/>
        </w:rPr>
        <w:t xml:space="preserve">Singer's</w:t>
      </w:r>
      <w:r>
        <w:t xml:space="preserve"> </w:t>
      </w:r>
      <w:r>
        <w:t xml:space="preserve">business purpose test was extended to short-form mergers two years later in</w:t>
      </w:r>
      <w:r>
        <w:t xml:space="preserve"> </w:t>
      </w:r>
      <w:r>
        <w:rPr>
          <w:iCs/>
          <w:i/>
        </w:rPr>
        <w:t xml:space="preserve">Roland International Corporation v. Najjar.</w:t>
      </w:r>
      <w:hyperlink w:anchor="Xbd109e0451d5b42b8567165339fd2a3546a621c">
        <w:r>
          <w:rPr>
            <w:rStyle w:val="Hyperlink"/>
            <w:vertAlign w:val="superscript"/>
          </w:rPr>
          <w:t xml:space="preserve">[9]</w:t>
        </w:r>
      </w:hyperlink>
      <w:r>
        <w:t xml:space="preserve"> </w:t>
      </w:r>
      <w:r>
        <w:t xml:space="preserve">The</w:t>
      </w:r>
      <w:r>
        <w:t xml:space="preserve"> </w:t>
      </w:r>
      <w:r>
        <w:rPr>
          <w:iCs/>
          <w:i/>
        </w:rPr>
        <w:t xml:space="preserve">Roland</w:t>
      </w:r>
      <w:r>
        <w:t xml:space="preserve"> </w:t>
      </w:r>
      <w:r>
        <w:t xml:space="preserve">majority wrote:</w:t>
      </w:r>
    </w:p>
    <w:p>
      <w:pPr>
        <w:pStyle w:val="BlockText"/>
      </w:pPr>
      <w:r>
        <w:t xml:space="preserve">The short form permitted by § 253 does simplify the steps necessary to effect a merger, and does give a parent corporation some certainty as to result and control as to timing. But we find nothing magic about a 90% ownership of outstanding shares which would eliminate the fiduciary duty owed by the majority to the minority.</w:t>
      </w:r>
    </w:p>
    <w:p>
      <w:pPr>
        <w:pStyle w:val="BlockText"/>
      </w:pPr>
      <w:r>
        <w:t xml:space="preserve">* * *</w:t>
      </w:r>
    </w:p>
    <w:p>
      <w:pPr>
        <w:pStyle w:val="BlockText"/>
      </w:pPr>
      <w:r>
        <w:t xml:space="preserve">As to</w:t>
      </w:r>
      <w:r>
        <w:t xml:space="preserve"> </w:t>
      </w:r>
      <w:r>
        <w:rPr>
          <w:iCs/>
          <w:i/>
        </w:rPr>
        <w:t xml:space="preserve">Stauffer,</w:t>
      </w:r>
      <w:r>
        <w:t xml:space="preserve"> </w:t>
      </w:r>
      <w:r>
        <w:t xml:space="preserve">we agree that the purpose of § 253 is to provide the parent with a means of eliminating minority shareholders in the subsidiary but, as we observed in</w:t>
      </w:r>
      <w:r>
        <w:t xml:space="preserve"> </w:t>
      </w:r>
      <w:r>
        <w:rPr>
          <w:iCs/>
          <w:i/>
        </w:rPr>
        <w:t xml:space="preserve">Singer,</w:t>
      </w:r>
      <w:r>
        <w:t xml:space="preserve"> </w:t>
      </w:r>
      <w:r>
        <w:t xml:space="preserve">we did "not read the decision [</w:t>
      </w:r>
      <w:r>
        <w:rPr>
          <w:iCs/>
          <w:i/>
        </w:rPr>
        <w:t xml:space="preserve">Stauffer</w:t>
      </w:r>
      <w:r>
        <w:t xml:space="preserve">] as approving a merger accomplished solely to freeze-out the minority without a valid business purpose." We held that any statement in</w:t>
      </w:r>
      <w:r>
        <w:t xml:space="preserve"> </w:t>
      </w:r>
      <w:r>
        <w:rPr>
          <w:iCs/>
          <w:i/>
        </w:rPr>
        <w:t xml:space="preserve">Stauffer</w:t>
      </w:r>
      <w:r>
        <w:t xml:space="preserve"> </w:t>
      </w:r>
      <w:r>
        <w:t xml:space="preserve">inconsistent with the principles restated in</w:t>
      </w:r>
      <w:r>
        <w:t xml:space="preserve"> </w:t>
      </w:r>
      <w:r>
        <w:rPr>
          <w:iCs/>
          <w:i/>
        </w:rPr>
        <w:t xml:space="preserve">Singer</w:t>
      </w:r>
      <w:r>
        <w:t xml:space="preserve"> </w:t>
      </w:r>
      <w:r>
        <w:t xml:space="preserve">was inapplicable to a § 251 merger. Here we hold that the principles announced in</w:t>
      </w:r>
      <w:r>
        <w:t xml:space="preserve"> </w:t>
      </w:r>
      <w:r>
        <w:rPr>
          <w:iCs/>
          <w:i/>
        </w:rPr>
        <w:t xml:space="preserve">Singer</w:t>
      </w:r>
      <w:r>
        <w:t xml:space="preserve"> </w:t>
      </w:r>
      <w:r>
        <w:t xml:space="preserve">with respect to a § 251 merger apply to a § 253 merger. It follows that any statement in</w:t>
      </w:r>
      <w:r>
        <w:t xml:space="preserve"> </w:t>
      </w:r>
      <w:r>
        <w:rPr>
          <w:iCs/>
          <w:i/>
        </w:rPr>
        <w:t xml:space="preserve">Stauffer</w:t>
      </w:r>
      <w:r>
        <w:t xml:space="preserve"> </w:t>
      </w:r>
      <w:r>
        <w:t xml:space="preserve">inconsistent with that holding is overruled.</w:t>
      </w:r>
      <w:hyperlink w:anchor="Xa86c8273a66531e4c08fbb079d9d0b3a8ebeff7">
        <w:r>
          <w:rPr>
            <w:rStyle w:val="Hyperlink"/>
            <w:vertAlign w:val="superscript"/>
          </w:rPr>
          <w:t xml:space="preserve">[10]</w:t>
        </w:r>
      </w:hyperlink>
    </w:p>
    <w:p>
      <w:pPr>
        <w:pStyle w:val="CaseBody"/>
      </w:pPr>
      <w:r>
        <w:t xml:space="preserve">After</w:t>
      </w:r>
      <w:r>
        <w:t xml:space="preserve"> </w:t>
      </w:r>
      <w:r>
        <w:rPr>
          <w:iCs/>
          <w:i/>
        </w:rPr>
        <w:t xml:space="preserve">Roland,</w:t>
      </w:r>
      <w:r>
        <w:t xml:space="preserve"> </w:t>
      </w:r>
      <w:r>
        <w:t xml:space="preserve">there was not much of</w:t>
      </w:r>
      <w:r>
        <w:t xml:space="preserve"> </w:t>
      </w:r>
      <w:r>
        <w:rPr>
          <w:iCs/>
          <w:i/>
        </w:rPr>
        <w:t xml:space="preserve">Stauffer</w:t>
      </w:r>
      <w:r>
        <w:t xml:space="preserve"> </w:t>
      </w:r>
      <w:r>
        <w:t xml:space="preserve">that safely could be considered good law. But that changed in 1983, in</w:t>
      </w:r>
      <w:r>
        <w:t xml:space="preserve"> </w:t>
      </w:r>
      <w:r>
        <w:rPr>
          <w:iCs/>
          <w:i/>
        </w:rPr>
        <w:t xml:space="preserve">Weinberger v. UOP, Inc.,</w:t>
      </w:r>
      <w:hyperlink w:anchor="X50f78b2bdcae711bc26360324fa9535cf8bb3cd">
        <w:r>
          <w:rPr>
            <w:rStyle w:val="Hyperlink"/>
            <w:vertAlign w:val="superscript"/>
          </w:rPr>
          <w:t xml:space="preserve">[11]</w:t>
        </w:r>
      </w:hyperlink>
      <w:r>
        <w:t xml:space="preserve"> </w:t>
      </w:r>
      <w:r>
        <w:t xml:space="preserve">when the Court dropped the business purpose test, made appraisal a more adequate remedy, and said that it was "return[ing] to the well established principles of</w:t>
      </w:r>
      <w:r>
        <w:t xml:space="preserve"> </w:t>
      </w:r>
      <w:r>
        <w:rPr>
          <w:iCs/>
          <w:i/>
        </w:rPr>
        <w:t xml:space="preserve">Stauffer</w:t>
      </w:r>
      <w:r>
        <w:t xml:space="preserve"> </w:t>
      </w:r>
      <w:r>
        <w:t xml:space="preserve">... and</w:t>
      </w:r>
      <w:r>
        <w:t xml:space="preserve"> </w:t>
      </w:r>
      <w:r>
        <w:rPr>
          <w:iCs/>
          <w:i/>
        </w:rPr>
        <w:t xml:space="preserve">Schenley</w:t>
      </w:r>
      <w:r>
        <w:t xml:space="preserve"> </w:t>
      </w:r>
      <w:r>
        <w:t xml:space="preserve">... mandating a stockholder's recourse to the basic remedy of an appraisal."</w:t>
      </w:r>
      <w:hyperlink w:anchor="Xcab675a72bb3268c0839bd99cbb10e23c227218">
        <w:r>
          <w:rPr>
            <w:rStyle w:val="Hyperlink"/>
            <w:vertAlign w:val="superscript"/>
          </w:rPr>
          <w:t xml:space="preserve">[12]</w:t>
        </w:r>
      </w:hyperlink>
      <w:r>
        <w:rPr>
          <w:iCs/>
          <w:i/>
        </w:rPr>
        <w:t xml:space="preserve">Weinberger</w:t>
      </w:r>
      <w:r>
        <w:t xml:space="preserve"> </w:t>
      </w:r>
      <w:r>
        <w:t xml:space="preserve">focused on two subjects — the "unflinching" duty of entire fairness owed by self-dealing fiduciaries, and the "more liberalized appraisal" it established.</w:t>
      </w:r>
    </w:p>
    <w:p>
      <w:pPr>
        <w:pStyle w:val="CaseBody"/>
      </w:pPr>
      <w:r>
        <w:t xml:space="preserve">With respect to entire fairness, the Court explained that the concept includes fair dealing (how the transaction was timed, initiated, structured, negotiated, disclosed and approved) and fair price (all elements of value); and that the test for fairness is not bifurcated. On the subject of appraisal, the Court made several important statements: (i) courts may consider "proof of value by any techniques or methods which are generally considered acceptable in the financial community and otherwise admissible in court....;"</w:t>
      </w:r>
      <w:hyperlink w:anchor="Xfc7aaa01c530f1ad557d23505a147704519313d">
        <w:r>
          <w:rPr>
            <w:rStyle w:val="Hyperlink"/>
            <w:vertAlign w:val="superscript"/>
          </w:rPr>
          <w:t xml:space="preserve">[13]</w:t>
        </w:r>
      </w:hyperlink>
      <w:r>
        <w:t xml:space="preserve"> </w:t>
      </w:r>
      <w:r>
        <w:t xml:space="preserve">(ii) fair value must be based on "all relevant factors," which include not only "elements of future value ... which are known or susceptible of proof as of the date of the merger"</w:t>
      </w:r>
      <w:hyperlink w:anchor="Xf071ba6fb4c4038767960c8d5199b9dddd74b84">
        <w:r>
          <w:rPr>
            <w:rStyle w:val="Hyperlink"/>
            <w:vertAlign w:val="superscript"/>
          </w:rPr>
          <w:t xml:space="preserve">[14]</w:t>
        </w:r>
      </w:hyperlink>
      <w:r>
        <w:t xml:space="preserve"> </w:t>
      </w:r>
      <w:r>
        <w:t xml:space="preserve">but also, when the court finds it appropriate, "damages, resulting from the taking, which the stockholders sustain as a class;"</w:t>
      </w:r>
      <w:hyperlink w:anchor="X75cf1c057d0a766f0b040a925d71c261d40870b">
        <w:r>
          <w:rPr>
            <w:rStyle w:val="Hyperlink"/>
            <w:vertAlign w:val="superscript"/>
          </w:rPr>
          <w:t xml:space="preserve">[15]</w:t>
        </w:r>
      </w:hyperlink>
      <w:r>
        <w:t xml:space="preserve"> </w:t>
      </w:r>
      <w:r>
        <w:t xml:space="preserve">and (iii) "a plaintiff's monetary remedy ordinarily should be confined to the more liberalized appraisal proceeding herein established...."</w:t>
      </w:r>
      <w:hyperlink w:anchor="Xfcead2822ae745aa6272afb0617e2b96705025a">
        <w:r>
          <w:rPr>
            <w:rStyle w:val="Hyperlink"/>
            <w:vertAlign w:val="superscript"/>
          </w:rPr>
          <w:t xml:space="preserve">[16]</w:t>
        </w:r>
      </w:hyperlink>
    </w:p>
    <w:p>
      <w:pPr>
        <w:pStyle w:val="CaseBody"/>
      </w:pPr>
      <w:r>
        <w:t xml:space="preserve">By referencing both</w:t>
      </w:r>
      <w:r>
        <w:t xml:space="preserve"> </w:t>
      </w:r>
      <w:r>
        <w:rPr>
          <w:iCs/>
          <w:i/>
        </w:rPr>
        <w:t xml:space="preserve">Stauffer</w:t>
      </w:r>
      <w:r>
        <w:t xml:space="preserve"> </w:t>
      </w:r>
      <w:r>
        <w:t xml:space="preserve">and</w:t>
      </w:r>
      <w:r>
        <w:t xml:space="preserve"> </w:t>
      </w:r>
      <w:r>
        <w:rPr>
          <w:iCs/>
          <w:i/>
        </w:rPr>
        <w:t xml:space="preserve">Schenley,</w:t>
      </w:r>
      <w:r>
        <w:t xml:space="preserve"> </w:t>
      </w:r>
      <w:r>
        <w:t xml:space="preserve">one might have thought that the</w:t>
      </w:r>
      <w:r>
        <w:t xml:space="preserve"> </w:t>
      </w:r>
      <w:r>
        <w:rPr>
          <w:iCs/>
          <w:i/>
        </w:rPr>
        <w:t xml:space="preserve">Weinberger</w:t>
      </w:r>
      <w:r>
        <w:t xml:space="preserve"> </w:t>
      </w:r>
      <w:r>
        <w:t xml:space="preserve">court intended appraisal to be the exclusive remedy "ordinarily" in nonfraudulent [247] mergers where "price ... [is] the preponderant consideration outweighing other features of the merger."</w:t>
      </w:r>
      <w:hyperlink w:anchor="Xcbdb053f6a40a3c8f9d6fcfb2bb4971756b804a">
        <w:r>
          <w:rPr>
            <w:rStyle w:val="Hyperlink"/>
            <w:vertAlign w:val="superscript"/>
          </w:rPr>
          <w:t xml:space="preserve">[17]</w:t>
        </w:r>
      </w:hyperlink>
      <w:r>
        <w:t xml:space="preserve"> </w:t>
      </w:r>
      <w:r>
        <w:t xml:space="preserve">In</w:t>
      </w:r>
      <w:r>
        <w:t xml:space="preserve"> </w:t>
      </w:r>
      <w:r>
        <w:rPr>
          <w:iCs/>
          <w:i/>
        </w:rPr>
        <w:t xml:space="preserve">Rabkin v. Philip A. Hunt Chemical Corp.,</w:t>
      </w:r>
      <w:hyperlink w:anchor="Xa2daefcf98fb16293f60368b5ebed1dc6a396c7">
        <w:r>
          <w:rPr>
            <w:rStyle w:val="Hyperlink"/>
            <w:vertAlign w:val="superscript"/>
          </w:rPr>
          <w:t xml:space="preserve">[18]</w:t>
        </w:r>
      </w:hyperlink>
      <w:r>
        <w:t xml:space="preserve"> </w:t>
      </w:r>
      <w:r>
        <w:t xml:space="preserve">however, the Court dispelled that view. The</w:t>
      </w:r>
      <w:r>
        <w:t xml:space="preserve"> </w:t>
      </w:r>
      <w:r>
        <w:rPr>
          <w:iCs/>
          <w:i/>
        </w:rPr>
        <w:t xml:space="preserve">Rabkin</w:t>
      </w:r>
      <w:r>
        <w:t xml:space="preserve"> </w:t>
      </w:r>
      <w:r>
        <w:t xml:space="preserve">plaintiffs claimed that the majority stockholder breached its fiduciary duty of fair dealing by waiting until a one year commitment to pay $25 per share had expired before effecting a cash-out merger at $20 per share. The Court of Chancery dismissed the complaint, reasoning that, under</w:t>
      </w:r>
      <w:r>
        <w:t xml:space="preserve"> </w:t>
      </w:r>
      <w:r>
        <w:rPr>
          <w:iCs/>
          <w:i/>
        </w:rPr>
        <w:t xml:space="preserve">Weinberger,</w:t>
      </w:r>
      <w:r>
        <w:t xml:space="preserve"> </w:t>
      </w:r>
      <w:r>
        <w:t xml:space="preserve">plaintiffs could obtain full relief for the alleged unfair dealing in an appraisal proceeding. This Court reversed, holding that the trial court read</w:t>
      </w:r>
      <w:r>
        <w:t xml:space="preserve"> </w:t>
      </w:r>
      <w:r>
        <w:rPr>
          <w:iCs/>
          <w:i/>
        </w:rPr>
        <w:t xml:space="preserve">Weinberger</w:t>
      </w:r>
      <w:r>
        <w:t xml:space="preserve"> </w:t>
      </w:r>
      <w:r>
        <w:t xml:space="preserve">too narrowly and that appraisal is the exclusive remedy only if stockholders' complaints are limited to "judgmental factors of valuation."</w:t>
      </w:r>
      <w:hyperlink w:anchor="Xa7bac5f6e4ee1d09311c46cf9e317139e7a271f">
        <w:r>
          <w:rPr>
            <w:rStyle w:val="Hyperlink"/>
            <w:vertAlign w:val="superscript"/>
          </w:rPr>
          <w:t xml:space="preserve">[19]</w:t>
        </w:r>
      </w:hyperlink>
    </w:p>
    <w:p>
      <w:pPr>
        <w:pStyle w:val="CaseBody"/>
      </w:pPr>
      <w:r>
        <w:rPr>
          <w:iCs/>
          <w:i/>
        </w:rPr>
        <w:t xml:space="preserve">Rabkin,</w:t>
      </w:r>
      <w:r>
        <w:t xml:space="preserve"> </w:t>
      </w:r>
      <w:r>
        <w:t xml:space="preserve">through its interpretation of</w:t>
      </w:r>
      <w:r>
        <w:t xml:space="preserve"> </w:t>
      </w:r>
      <w:r>
        <w:rPr>
          <w:iCs/>
          <w:i/>
        </w:rPr>
        <w:t xml:space="preserve">Weinberger,</w:t>
      </w:r>
      <w:r>
        <w:t xml:space="preserve"> </w:t>
      </w:r>
      <w:r>
        <w:t xml:space="preserve">effectively eliminated appraisal as the exclusive remedy for any claim alleging breach of the duty of entire fairness. But</w:t>
      </w:r>
      <w:r>
        <w:t xml:space="preserve"> </w:t>
      </w:r>
      <w:r>
        <w:rPr>
          <w:iCs/>
          <w:i/>
        </w:rPr>
        <w:t xml:space="preserve">Rabkin</w:t>
      </w:r>
      <w:r>
        <w:t xml:space="preserve"> </w:t>
      </w:r>
      <w:r>
        <w:t xml:space="preserve">involved a long-form merger, and the Court did not discuss, in that case or any others, how its refinement of</w:t>
      </w:r>
      <w:r>
        <w:t xml:space="preserve"> </w:t>
      </w:r>
      <w:r>
        <w:rPr>
          <w:iCs/>
          <w:i/>
        </w:rPr>
        <w:t xml:space="preserve">Weinberger</w:t>
      </w:r>
      <w:r>
        <w:t xml:space="preserve"> </w:t>
      </w:r>
      <w:r>
        <w:t xml:space="preserve">impacted short-form mergers. Two of this Court's more recent decisions that arguably touch on the subject are</w:t>
      </w:r>
      <w:r>
        <w:t xml:space="preserve"> </w:t>
      </w:r>
      <w:r>
        <w:rPr>
          <w:iCs/>
          <w:i/>
        </w:rPr>
        <w:t xml:space="preserve">Bershad v. Curtiss-Wright Corp.</w:t>
      </w:r>
      <w:hyperlink w:anchor="Xbca0e55f50e04217800c59d8b81c34813852592">
        <w:r>
          <w:rPr>
            <w:rStyle w:val="Hyperlink"/>
            <w:vertAlign w:val="superscript"/>
          </w:rPr>
          <w:t xml:space="preserve">[20]</w:t>
        </w:r>
      </w:hyperlink>
      <w:r>
        <w:t xml:space="preserve"> </w:t>
      </w:r>
      <w:r>
        <w:t xml:space="preserve">and</w:t>
      </w:r>
      <w:r>
        <w:t xml:space="preserve"> </w:t>
      </w:r>
      <w:r>
        <w:rPr>
          <w:iCs/>
          <w:i/>
        </w:rPr>
        <w:t xml:space="preserve">Kahn v. Lynch Communication Systems, Inc.,</w:t>
      </w:r>
      <w:hyperlink w:anchor="X97fc114271bfa4f204b69166f8114728b1973a2">
        <w:r>
          <w:rPr>
            <w:rStyle w:val="Hyperlink"/>
            <w:vertAlign w:val="superscript"/>
          </w:rPr>
          <w:t xml:space="preserve">[21]</w:t>
        </w:r>
      </w:hyperlink>
      <w:r>
        <w:t xml:space="preserve"> </w:t>
      </w:r>
      <w:r>
        <w:t xml:space="preserve">both long-form merger cases. In</w:t>
      </w:r>
      <w:r>
        <w:t xml:space="preserve"> </w:t>
      </w:r>
      <w:r>
        <w:rPr>
          <w:iCs/>
          <w:i/>
        </w:rPr>
        <w:t xml:space="preserve">Bershad,</w:t>
      </w:r>
      <w:r>
        <w:t xml:space="preserve"> </w:t>
      </w:r>
      <w:r>
        <w:t xml:space="preserve">the Court included § 253 when it identified statutory merger provisions from which fairness issues flow:</w:t>
      </w:r>
    </w:p>
    <w:p>
      <w:pPr>
        <w:pStyle w:val="BlockText"/>
      </w:pPr>
      <w:r>
        <w:t xml:space="preserve">In parent-subsidiary merger transactions the issues are those of fairness — fair price and fair dealing. These flow from the statutory provisions permitting mergers, 8</w:t>
      </w:r>
      <w:r>
        <w:t xml:space="preserve"> </w:t>
      </w:r>
      <w:r>
        <w:rPr>
          <w:iCs/>
          <w:i/>
        </w:rPr>
        <w:t xml:space="preserve">Del.C.</w:t>
      </w:r>
      <w:r>
        <w:t xml:space="preserve"> </w:t>
      </w:r>
      <w:r>
        <w:t xml:space="preserve">§§ 251-253 (1983), and those designed to ensure fair value by an appraisal, 8</w:t>
      </w:r>
      <w:r>
        <w:t xml:space="preserve"> </w:t>
      </w:r>
      <w:r>
        <w:rPr>
          <w:iCs/>
          <w:i/>
        </w:rPr>
        <w:t xml:space="preserve">Del.C.</w:t>
      </w:r>
      <w:r>
        <w:t xml:space="preserve"> </w:t>
      </w:r>
      <w:r>
        <w:t xml:space="preserve">§ 262 (1983)...;"</w:t>
      </w:r>
      <w:hyperlink w:anchor="X3ff6291628161d60531c490610107dc0a106b5f">
        <w:r>
          <w:rPr>
            <w:rStyle w:val="Hyperlink"/>
            <w:vertAlign w:val="superscript"/>
          </w:rPr>
          <w:t xml:space="preserve">[22]</w:t>
        </w:r>
      </w:hyperlink>
    </w:p>
    <w:p>
      <w:pPr>
        <w:pStyle w:val="CaseBody"/>
      </w:pPr>
      <w:r>
        <w:t xml:space="preserve">and in</w:t>
      </w:r>
      <w:r>
        <w:t xml:space="preserve"> </w:t>
      </w:r>
      <w:r>
        <w:rPr>
          <w:iCs/>
          <w:i/>
        </w:rPr>
        <w:t xml:space="preserve">Lynch,</w:t>
      </w:r>
      <w:r>
        <w:t xml:space="preserve"> </w:t>
      </w:r>
      <w:r>
        <w:t xml:space="preserve">the Court described entire fairness as the "exclusive" standard of review in a cash-out, parent/subsidiary merger.</w:t>
      </w:r>
      <w:hyperlink w:anchor="X2da7569c1ab7956246d05820dbd3cf0af40607f">
        <w:r>
          <w:rPr>
            <w:rStyle w:val="Hyperlink"/>
            <w:vertAlign w:val="superscript"/>
          </w:rPr>
          <w:t xml:space="preserve">[23]</w:t>
        </w:r>
      </w:hyperlink>
    </w:p>
    <w:p>
      <w:pPr>
        <w:pStyle w:val="CaseBody"/>
      </w:pPr>
      <w:r>
        <w:t xml:space="preserve">Mindful of this history, we must decide whether a minority stockholder may challenge a short-form merger by seeking equitable relief through an entire fairness claim. Under settled principles, a parent corporation and its directors undertaking a short-form merger are self-dealing fiduciaries who should be required to establish entire fairness, including fair dealing and fair price. The problem is that § 253 authorizes a summary procedure that is inconsistent with any reasonable notion of fair dealing. In a short-form merger, there is no agreement of merger negotiated by two companies; there is only a unilateral act — a decision by the parent company that its 90% owned subsidiary shall no longer exist as a separate entity. The minority stockholders receive no advance notice of the merger; their directors do not consider or approve it; and there is no vote. Those who object are given the right to obtain fair value for their shares through appraisal.</w:t>
      </w:r>
    </w:p>
    <w:p>
      <w:pPr>
        <w:pStyle w:val="CaseBody"/>
      </w:pPr>
      <w:r>
        <w:t xml:space="preserve">The equitable claim plainly conflicts with the statute. If a corporate fiduciary follows the truncated process authorized by § 253, it will not be able to establish the fair dealing prong of entire fairness. If, instead, the corporate fiduciary sets up negotiating committees, hires independent [248] financial and legal experts, etc., then it will have lost the very benefit provided by the statute — a simple, fast and inexpensive process for accomplishing a merger. We resolve this conflict by giving effect the intent of the General Assembly.</w:t>
      </w:r>
      <w:hyperlink w:anchor="X0926236d1a6be3be7d037e2fd28f3a20eb106be">
        <w:r>
          <w:rPr>
            <w:rStyle w:val="Hyperlink"/>
            <w:vertAlign w:val="superscript"/>
          </w:rPr>
          <w:t xml:space="preserve">[24]</w:t>
        </w:r>
      </w:hyperlink>
      <w:r>
        <w:t xml:space="preserve"> </w:t>
      </w:r>
      <w:r>
        <w:t xml:space="preserve">In order to serve its purpose, § 253 must be construed to obviate the requirement to establish entire fairness.</w:t>
      </w:r>
      <w:hyperlink w:anchor="X396d70af9633637cefb6b6199e43ce88e8ff3b7">
        <w:r>
          <w:rPr>
            <w:rStyle w:val="Hyperlink"/>
            <w:vertAlign w:val="superscript"/>
          </w:rPr>
          <w:t xml:space="preserve">[25]</w:t>
        </w:r>
      </w:hyperlink>
    </w:p>
    <w:p>
      <w:pPr>
        <w:pStyle w:val="CaseBody"/>
      </w:pPr>
      <w:r>
        <w:t xml:space="preserve">Thus, we again return to</w:t>
      </w:r>
      <w:r>
        <w:t xml:space="preserve"> </w:t>
      </w:r>
      <w:r>
        <w:rPr>
          <w:iCs/>
          <w:i/>
        </w:rPr>
        <w:t xml:space="preserve">Stauffer,</w:t>
      </w:r>
      <w:r>
        <w:t xml:space="preserve"> </w:t>
      </w:r>
      <w:r>
        <w:t xml:space="preserve">and hold that, absent fraud or illegality, appraisal is the exclusive remedy available to a minority stockholder who objects to a short-form merger. In doing so, we also reaffirm</w:t>
      </w:r>
      <w:r>
        <w:t xml:space="preserve"> </w:t>
      </w:r>
      <w:r>
        <w:rPr>
          <w:iCs/>
          <w:i/>
        </w:rPr>
        <w:t xml:space="preserve">Weinberger's</w:t>
      </w:r>
      <w:r>
        <w:t xml:space="preserve"> </w:t>
      </w:r>
      <w:r>
        <w:t xml:space="preserve">statements about the scope of appraisal. The determination of fair value must be based on</w:t>
      </w:r>
      <w:r>
        <w:t xml:space="preserve"> </w:t>
      </w:r>
      <w:r>
        <w:rPr>
          <w:iCs/>
          <w:i/>
        </w:rPr>
        <w:t xml:space="preserve">all</w:t>
      </w:r>
      <w:r>
        <w:t xml:space="preserve"> </w:t>
      </w:r>
      <w:r>
        <w:t xml:space="preserve">relevant factors, including damages and elements of future value, where appropriate. So, for example, if the merger was timed to take advantage of a depressed market, or a low point in the company's cyclical earnings, or to precede an anticipated positive development, the appraised value may be adjusted to account for those factors. We recognize that these are the types of issues frequently raised in entire fairness claims, and we have held that claims for unfair dealing cannot be litigated in an appraisal.</w:t>
      </w:r>
      <w:hyperlink w:anchor="Xb4f1339cb1811f5db0c56bb20b1a24e1b922330">
        <w:r>
          <w:rPr>
            <w:rStyle w:val="Hyperlink"/>
            <w:vertAlign w:val="superscript"/>
          </w:rPr>
          <w:t xml:space="preserve">[26]</w:t>
        </w:r>
      </w:hyperlink>
      <w:r>
        <w:t xml:space="preserve"> </w:t>
      </w:r>
      <w:r>
        <w:t xml:space="preserve">But our prior holdings simply explained that equitable claims may not be engrafted onto a statutory appraisal proceeding; stockholders may not receive rescissionary relief in an appraisal. Those decisions should not be read to restrict the elements of value that properly may be considered in an appraisal.</w:t>
      </w:r>
    </w:p>
    <w:p>
      <w:pPr>
        <w:pStyle w:val="CaseBody"/>
      </w:pPr>
      <w:r>
        <w:t xml:space="preserve">Although fiduciaries are not required to establish entire fairness in a short-form merger, the duty of full disclosure remains, in the context of this request for stockholder action.</w:t>
      </w:r>
      <w:hyperlink w:anchor="Xd36ef80e984a361ede3a18520c428b9b02d17cd">
        <w:r>
          <w:rPr>
            <w:rStyle w:val="Hyperlink"/>
            <w:vertAlign w:val="superscript"/>
          </w:rPr>
          <w:t xml:space="preserve">[27]</w:t>
        </w:r>
      </w:hyperlink>
      <w:r>
        <w:t xml:space="preserve"> </w:t>
      </w:r>
      <w:r>
        <w:t xml:space="preserve">Where the only choice for the minority stockholders is whether to accept the merger consideration or seek appraisal, they must be given all the factual information that is material to that decision.</w:t>
      </w:r>
      <w:hyperlink w:anchor="Xba42c20c3139ac670ec2fe623133336454b10cf">
        <w:r>
          <w:rPr>
            <w:rStyle w:val="Hyperlink"/>
            <w:vertAlign w:val="superscript"/>
          </w:rPr>
          <w:t xml:space="preserve">[28]</w:t>
        </w:r>
      </w:hyperlink>
      <w:r>
        <w:t xml:space="preserve"> </w:t>
      </w:r>
      <w:r>
        <w:t xml:space="preserve">The Court of Chancery carefully considered plaintiffs' disclosure claims and applied settled law in rejecting them. We affirm this aspect of the appeal on the basis of the trial court's decision.</w:t>
      </w:r>
      <w:hyperlink w:anchor="Xa59d17049dfc1f0a6965e199cc711273ad58ba2">
        <w:r>
          <w:rPr>
            <w:rStyle w:val="Hyperlink"/>
            <w:vertAlign w:val="superscript"/>
          </w:rPr>
          <w:t xml:space="preserve">[29]</w:t>
        </w:r>
      </w:hyperlink>
    </w:p>
    <w:bookmarkEnd w:id="361"/>
    <w:bookmarkStart w:id="362" w:name="iii.-conclusion"/>
    <w:p>
      <w:pPr>
        <w:pStyle w:val="Heading2"/>
      </w:pPr>
      <w:r>
        <w:t xml:space="preserve">III. Conclusion</w:t>
      </w:r>
    </w:p>
    <w:p>
      <w:pPr>
        <w:pStyle w:val="CaseBody"/>
      </w:pPr>
      <w:r>
        <w:t xml:space="preserve">Based on the foregoing, we affirm the Court of Chancery and hold that plaintiffs' only remedy in connection with the short-form merger of UXC into Unocal was appraisal.</w:t>
      </w:r>
    </w:p>
    <w:p>
      <w:pPr>
        <w:pStyle w:val="CaseBody"/>
      </w:pPr>
      <w:hyperlink w:anchor="Xca7c9121e709ea5e2e22044fb02487b0679daa8">
        <w:r>
          <w:rPr>
            <w:rStyle w:val="Hyperlink"/>
          </w:rPr>
          <w:t xml:space="preserve">[1]</w:t>
        </w:r>
      </w:hyperlink>
      <w:r>
        <w:t xml:space="preserve"> </w:t>
      </w:r>
      <w:r>
        <w:t xml:space="preserve">Del.Supr., 154 A.2d 893 (1959).</w:t>
      </w:r>
    </w:p>
    <w:p>
      <w:pPr>
        <w:pStyle w:val="CaseBody"/>
      </w:pPr>
      <w:hyperlink w:anchor="X12067bf45866aa5bd9e12c8feaa6bbb5a4174a9">
        <w:r>
          <w:rPr>
            <w:rStyle w:val="Hyperlink"/>
          </w:rPr>
          <w:t xml:space="preserve">[2]</w:t>
        </w:r>
      </w:hyperlink>
      <w:r>
        <w:t xml:space="preserve"> </w:t>
      </w:r>
      <w:r>
        <w:rPr>
          <w:iCs/>
          <w:i/>
        </w:rPr>
        <w:t xml:space="preserve">Id.</w:t>
      </w:r>
      <w:r>
        <w:t xml:space="preserve"> </w:t>
      </w:r>
      <w:r>
        <w:t xml:space="preserve">at 895.</w:t>
      </w:r>
    </w:p>
    <w:p>
      <w:pPr>
        <w:pStyle w:val="CaseBody"/>
      </w:pPr>
      <w:hyperlink w:anchor="X9d88ab110dbcec7aaf6b17fdd144016f1aead15">
        <w:r>
          <w:rPr>
            <w:rStyle w:val="Hyperlink"/>
          </w:rPr>
          <w:t xml:space="preserve">[3]</w:t>
        </w:r>
      </w:hyperlink>
      <w:r>
        <w:t xml:space="preserve"> </w:t>
      </w:r>
      <w:r>
        <w:t xml:space="preserve">Del.Supr., 187 A.2d 78 (1962).</w:t>
      </w:r>
    </w:p>
    <w:p>
      <w:pPr>
        <w:pStyle w:val="CaseBody"/>
      </w:pPr>
      <w:hyperlink w:anchor="X194e4e5ce85a9ac5a5137cefd7616b225e79655">
        <w:r>
          <w:rPr>
            <w:rStyle w:val="Hyperlink"/>
          </w:rPr>
          <w:t xml:space="preserve">[4]</w:t>
        </w:r>
      </w:hyperlink>
      <w:r>
        <w:t xml:space="preserve"> </w:t>
      </w:r>
      <w:r>
        <w:t xml:space="preserve">187 A.2d at 80.</w:t>
      </w:r>
    </w:p>
    <w:p>
      <w:pPr>
        <w:pStyle w:val="CaseBody"/>
      </w:pPr>
      <w:hyperlink w:anchor="Xaa08698a3c2872b4fc97ae33d68e7ec5bca139f">
        <w:r>
          <w:rPr>
            <w:rStyle w:val="Hyperlink"/>
          </w:rPr>
          <w:t xml:space="preserve">[5]</w:t>
        </w:r>
      </w:hyperlink>
      <w:r>
        <w:t xml:space="preserve"> </w:t>
      </w:r>
      <w:r>
        <w:t xml:space="preserve">Del.Ch., 281 A.2d 30 (1971).</w:t>
      </w:r>
    </w:p>
    <w:p>
      <w:pPr>
        <w:pStyle w:val="CaseBody"/>
      </w:pPr>
      <w:hyperlink w:anchor="X423a8c4b918fdc1da6ac126e7b28db864b99b46">
        <w:r>
          <w:rPr>
            <w:rStyle w:val="Hyperlink"/>
          </w:rPr>
          <w:t xml:space="preserve">[6]</w:t>
        </w:r>
      </w:hyperlink>
      <w:r>
        <w:t xml:space="preserve"> </w:t>
      </w:r>
      <w:r>
        <w:rPr>
          <w:iCs/>
          <w:i/>
        </w:rPr>
        <w:t xml:space="preserve">Id.</w:t>
      </w:r>
      <w:r>
        <w:t xml:space="preserve"> </w:t>
      </w:r>
      <w:r>
        <w:t xml:space="preserve">at 36. (Citations omitted.)</w:t>
      </w:r>
    </w:p>
    <w:p>
      <w:pPr>
        <w:pStyle w:val="CaseBody"/>
      </w:pPr>
      <w:hyperlink w:anchor="X9f4c8e660b57bc7f2a40d37e30ab3b91f4e4368">
        <w:r>
          <w:rPr>
            <w:rStyle w:val="Hyperlink"/>
          </w:rPr>
          <w:t xml:space="preserve">[7]</w:t>
        </w:r>
      </w:hyperlink>
      <w:r>
        <w:t xml:space="preserve"> </w:t>
      </w:r>
      <w:r>
        <w:t xml:space="preserve">Del.Supr., 380 A.2d 969 (1977).</w:t>
      </w:r>
    </w:p>
    <w:p>
      <w:pPr>
        <w:pStyle w:val="CaseBody"/>
      </w:pPr>
      <w:hyperlink w:anchor="Xd3f753f667c7550b3db894139ae5118a9d896c4">
        <w:r>
          <w:rPr>
            <w:rStyle w:val="Hyperlink"/>
          </w:rPr>
          <w:t xml:space="preserve">[8]</w:t>
        </w:r>
      </w:hyperlink>
      <w:r>
        <w:t xml:space="preserve"> </w:t>
      </w:r>
      <w:r>
        <w:t xml:space="preserve">380 A.2d at 980.</w:t>
      </w:r>
    </w:p>
    <w:p>
      <w:pPr>
        <w:pStyle w:val="CaseBody"/>
      </w:pPr>
      <w:hyperlink w:anchor="X335ec71157bd0ba9ee6579bbcea138c232e8ba0">
        <w:r>
          <w:rPr>
            <w:rStyle w:val="Hyperlink"/>
          </w:rPr>
          <w:t xml:space="preserve">[9]</w:t>
        </w:r>
      </w:hyperlink>
      <w:r>
        <w:t xml:space="preserve"> </w:t>
      </w:r>
      <w:r>
        <w:t xml:space="preserve">Del.Supr., 407 A.2d 1032 (1979).</w:t>
      </w:r>
    </w:p>
    <w:p>
      <w:pPr>
        <w:pStyle w:val="CaseBody"/>
      </w:pPr>
      <w:hyperlink w:anchor="Xa5d9ad5742e1e32e499f87464db3b30ce8dabaf">
        <w:r>
          <w:rPr>
            <w:rStyle w:val="Hyperlink"/>
          </w:rPr>
          <w:t xml:space="preserve">[10]</w:t>
        </w:r>
      </w:hyperlink>
      <w:r>
        <w:t xml:space="preserve"> </w:t>
      </w:r>
      <w:r>
        <w:t xml:space="preserve">407 A.2d at 1036 (Citations omitted). Justice Quillen dissented, saying that the majority created "an unnecessary damage forum" for a plaintiff whose complaint demonstrated that appraisal would have been an adequate remedy.</w:t>
      </w:r>
      <w:r>
        <w:t xml:space="preserve"> </w:t>
      </w:r>
      <w:r>
        <w:rPr>
          <w:iCs/>
          <w:i/>
        </w:rPr>
        <w:t xml:space="preserve">Id.</w:t>
      </w:r>
      <w:r>
        <w:t xml:space="preserve"> </w:t>
      </w:r>
      <w:r>
        <w:t xml:space="preserve">at 1039-40.</w:t>
      </w:r>
    </w:p>
    <w:p>
      <w:pPr>
        <w:pStyle w:val="CaseBody"/>
      </w:pPr>
      <w:hyperlink w:anchor="X893b56c4b3887d0fbbb5ebfed05ef50009b9059">
        <w:r>
          <w:rPr>
            <w:rStyle w:val="Hyperlink"/>
          </w:rPr>
          <w:t xml:space="preserve">[11]</w:t>
        </w:r>
      </w:hyperlink>
      <w:r>
        <w:t xml:space="preserve"> </w:t>
      </w:r>
      <w:r>
        <w:t xml:space="preserve">Del.Supr., 457 A.2d 701 (1983).</w:t>
      </w:r>
    </w:p>
    <w:p>
      <w:pPr>
        <w:pStyle w:val="CaseBody"/>
      </w:pPr>
      <w:hyperlink w:anchor="X41387ea2644b30bb8db95eb89eedbd52fb60491">
        <w:r>
          <w:rPr>
            <w:rStyle w:val="Hyperlink"/>
          </w:rPr>
          <w:t xml:space="preserve">[12]</w:t>
        </w:r>
      </w:hyperlink>
      <w:r>
        <w:t xml:space="preserve"> </w:t>
      </w:r>
      <w:r>
        <w:rPr>
          <w:iCs/>
          <w:i/>
        </w:rPr>
        <w:t xml:space="preserve">Id.</w:t>
      </w:r>
      <w:r>
        <w:t xml:space="preserve"> </w:t>
      </w:r>
      <w:r>
        <w:t xml:space="preserve">at 715.</w:t>
      </w:r>
    </w:p>
    <w:p>
      <w:pPr>
        <w:pStyle w:val="CaseBody"/>
      </w:pPr>
      <w:hyperlink w:anchor="X75ea74be54096a716f04cd7f50f7228e0e0dfd3">
        <w:r>
          <w:rPr>
            <w:rStyle w:val="Hyperlink"/>
          </w:rPr>
          <w:t xml:space="preserve">[13]</w:t>
        </w:r>
      </w:hyperlink>
      <w:r>
        <w:t xml:space="preserve"> </w:t>
      </w:r>
      <w:r>
        <w:rPr>
          <w:iCs/>
          <w:i/>
        </w:rPr>
        <w:t xml:space="preserve">Id.</w:t>
      </w:r>
      <w:r>
        <w:t xml:space="preserve"> </w:t>
      </w:r>
      <w:r>
        <w:t xml:space="preserve">at 713.</w:t>
      </w:r>
    </w:p>
    <w:p>
      <w:pPr>
        <w:pStyle w:val="CaseBody"/>
      </w:pPr>
      <w:hyperlink w:anchor="Xec6d411cd770061afb9a29d7044ff74c6f94e25">
        <w:r>
          <w:rPr>
            <w:rStyle w:val="Hyperlink"/>
          </w:rPr>
          <w:t xml:space="preserve">[14]</w:t>
        </w:r>
      </w:hyperlink>
      <w:r>
        <w:t xml:space="preserve"> </w:t>
      </w:r>
      <w:r>
        <w:rPr>
          <w:iCs/>
          <w:i/>
        </w:rPr>
        <w:t xml:space="preserve">Ibid.</w:t>
      </w:r>
    </w:p>
    <w:p>
      <w:pPr>
        <w:pStyle w:val="CaseBody"/>
      </w:pPr>
      <w:hyperlink w:anchor="X9aeccec1924bd78d0808a357315a1a8664119b3">
        <w:r>
          <w:rPr>
            <w:rStyle w:val="Hyperlink"/>
          </w:rPr>
          <w:t xml:space="preserve">[15]</w:t>
        </w:r>
      </w:hyperlink>
      <w:r>
        <w:t xml:space="preserve"> </w:t>
      </w:r>
      <w:r>
        <w:rPr>
          <w:iCs/>
          <w:i/>
        </w:rPr>
        <w:t xml:space="preserve">Ibid.</w:t>
      </w:r>
    </w:p>
    <w:p>
      <w:pPr>
        <w:pStyle w:val="CaseBody"/>
      </w:pPr>
      <w:hyperlink w:anchor="Xcdd3da7a465d012dfe8dfedfadea8d3fc50f712">
        <w:r>
          <w:rPr>
            <w:rStyle w:val="Hyperlink"/>
          </w:rPr>
          <w:t xml:space="preserve">[16]</w:t>
        </w:r>
      </w:hyperlink>
      <w:r>
        <w:t xml:space="preserve"> </w:t>
      </w:r>
      <w:r>
        <w:rPr>
          <w:iCs/>
          <w:i/>
        </w:rPr>
        <w:t xml:space="preserve">Id.</w:t>
      </w:r>
      <w:r>
        <w:t xml:space="preserve"> </w:t>
      </w:r>
      <w:r>
        <w:t xml:space="preserve">at 714.</w:t>
      </w:r>
    </w:p>
    <w:p>
      <w:pPr>
        <w:pStyle w:val="CaseBody"/>
      </w:pPr>
      <w:hyperlink w:anchor="X2b3f63a377010c24a4a973f7fcb72f27e4be07b">
        <w:r>
          <w:rPr>
            <w:rStyle w:val="Hyperlink"/>
          </w:rPr>
          <w:t xml:space="preserve">[17]</w:t>
        </w:r>
      </w:hyperlink>
      <w:r>
        <w:t xml:space="preserve"> </w:t>
      </w:r>
      <w:r>
        <w:rPr>
          <w:iCs/>
          <w:i/>
        </w:rPr>
        <w:t xml:space="preserve">Id.</w:t>
      </w:r>
      <w:r>
        <w:t xml:space="preserve"> </w:t>
      </w:r>
      <w:r>
        <w:t xml:space="preserve">at 711.</w:t>
      </w:r>
    </w:p>
    <w:p>
      <w:pPr>
        <w:pStyle w:val="CaseBody"/>
      </w:pPr>
      <w:hyperlink w:anchor="X6b35906fe15051eb61b56d01370f52d48e86405">
        <w:r>
          <w:rPr>
            <w:rStyle w:val="Hyperlink"/>
          </w:rPr>
          <w:t xml:space="preserve">[18]</w:t>
        </w:r>
      </w:hyperlink>
      <w:r>
        <w:t xml:space="preserve"> </w:t>
      </w:r>
      <w:r>
        <w:t xml:space="preserve">Del.Supr., 498 A.2d 1099 (1985).</w:t>
      </w:r>
    </w:p>
    <w:p>
      <w:pPr>
        <w:pStyle w:val="CaseBody"/>
      </w:pPr>
      <w:hyperlink w:anchor="Xd38e3555d3b8652cf82ff8dd0ab5fc5b9edc463">
        <w:r>
          <w:rPr>
            <w:rStyle w:val="Hyperlink"/>
          </w:rPr>
          <w:t xml:space="preserve">[19]</w:t>
        </w:r>
      </w:hyperlink>
      <w:r>
        <w:t xml:space="preserve"> </w:t>
      </w:r>
      <w:r>
        <w:t xml:space="preserve">498 A.2d at 1108.</w:t>
      </w:r>
    </w:p>
    <w:p>
      <w:pPr>
        <w:pStyle w:val="CaseBody"/>
      </w:pPr>
      <w:hyperlink w:anchor="X4c0c47d525c3e434dd36817b5c57a57e7137517">
        <w:r>
          <w:rPr>
            <w:rStyle w:val="Hyperlink"/>
          </w:rPr>
          <w:t xml:space="preserve">[20]</w:t>
        </w:r>
      </w:hyperlink>
      <w:r>
        <w:t xml:space="preserve"> </w:t>
      </w:r>
      <w:r>
        <w:t xml:space="preserve">Del.Supr., 535 A.2d 840 (1987).</w:t>
      </w:r>
    </w:p>
    <w:p>
      <w:pPr>
        <w:pStyle w:val="CaseBody"/>
      </w:pPr>
      <w:hyperlink w:anchor="Xbb64d50bfcd05afb580446a5828fbe70d42353f">
        <w:r>
          <w:rPr>
            <w:rStyle w:val="Hyperlink"/>
          </w:rPr>
          <w:t xml:space="preserve">[21]</w:t>
        </w:r>
      </w:hyperlink>
      <w:r>
        <w:t xml:space="preserve"> </w:t>
      </w:r>
      <w:r>
        <w:t xml:space="preserve">Del.Supr., 638 A.2d 1110 (1994).</w:t>
      </w:r>
    </w:p>
    <w:p>
      <w:pPr>
        <w:pStyle w:val="CaseBody"/>
      </w:pPr>
      <w:hyperlink w:anchor="X7a720ff2bb9bdb1e1e88a0c7c20b247e35b3063">
        <w:r>
          <w:rPr>
            <w:rStyle w:val="Hyperlink"/>
          </w:rPr>
          <w:t xml:space="preserve">[22]</w:t>
        </w:r>
      </w:hyperlink>
      <w:r>
        <w:t xml:space="preserve"> </w:t>
      </w:r>
      <w:r>
        <w:t xml:space="preserve">535 A.2d at 845.</w:t>
      </w:r>
    </w:p>
    <w:p>
      <w:pPr>
        <w:pStyle w:val="CaseBody"/>
      </w:pPr>
      <w:hyperlink w:anchor="X2089fa65b8b4f39af0593e9292f22aabd0fd78c">
        <w:r>
          <w:rPr>
            <w:rStyle w:val="Hyperlink"/>
          </w:rPr>
          <w:t xml:space="preserve">[23]</w:t>
        </w:r>
      </w:hyperlink>
      <w:r>
        <w:t xml:space="preserve"> </w:t>
      </w:r>
      <w:r>
        <w:t xml:space="preserve">638 A.2d at 1117.</w:t>
      </w:r>
    </w:p>
    <w:p>
      <w:pPr>
        <w:pStyle w:val="CaseBody"/>
      </w:pPr>
      <w:hyperlink w:anchor="X37899fc7bfde28db8dd7b4850055fe8cbd17723">
        <w:r>
          <w:rPr>
            <w:rStyle w:val="Hyperlink"/>
          </w:rPr>
          <w:t xml:space="preserve">[24]</w:t>
        </w:r>
      </w:hyperlink>
      <w:r>
        <w:t xml:space="preserve"> </w:t>
      </w:r>
      <w:r>
        <w:rPr>
          <w:iCs/>
          <w:i/>
        </w:rPr>
        <w:t xml:space="preserve">Klotz v. Warner Communications, Inc.,</w:t>
      </w:r>
      <w:r>
        <w:t xml:space="preserve"> </w:t>
      </w:r>
      <w:r>
        <w:t xml:space="preserve">Del. Supr., 674 A.2d 878, 879 (1995).</w:t>
      </w:r>
    </w:p>
    <w:p>
      <w:pPr>
        <w:pStyle w:val="CaseBody"/>
      </w:pPr>
      <w:hyperlink w:anchor="Xa06ce6565df49fb1a273cd0633a1fb984c30dc3">
        <w:r>
          <w:rPr>
            <w:rStyle w:val="Hyperlink"/>
          </w:rPr>
          <w:t xml:space="preserve">[25]</w:t>
        </w:r>
      </w:hyperlink>
      <w:r>
        <w:t xml:space="preserve"> </w:t>
      </w:r>
      <w:r>
        <w:t xml:space="preserve">We do not read</w:t>
      </w:r>
      <w:r>
        <w:t xml:space="preserve"> </w:t>
      </w:r>
      <w:r>
        <w:rPr>
          <w:iCs/>
          <w:i/>
        </w:rPr>
        <w:t xml:space="preserve">Lynch</w:t>
      </w:r>
      <w:r>
        <w:t xml:space="preserve"> </w:t>
      </w:r>
      <w:r>
        <w:t xml:space="preserve">as holding otherwise; this issue was not before the Court in</w:t>
      </w:r>
      <w:r>
        <w:t xml:space="preserve"> </w:t>
      </w:r>
      <w:r>
        <w:rPr>
          <w:iCs/>
          <w:i/>
        </w:rPr>
        <w:t xml:space="preserve">Lynch.</w:t>
      </w:r>
    </w:p>
    <w:p>
      <w:pPr>
        <w:pStyle w:val="CaseBody"/>
      </w:pPr>
      <w:hyperlink w:anchor="Xbecf6a52dca03b27037ea14d36d333334dc50e2">
        <w:r>
          <w:rPr>
            <w:rStyle w:val="Hyperlink"/>
          </w:rPr>
          <w:t xml:space="preserve">[26]</w:t>
        </w:r>
      </w:hyperlink>
      <w:r>
        <w:t xml:space="preserve"> </w:t>
      </w:r>
      <w:r>
        <w:rPr>
          <w:iCs/>
          <w:i/>
        </w:rPr>
        <w:t xml:space="preserve">Alabama By-Products Corporation v. Neal,</w:t>
      </w:r>
      <w:r>
        <w:t xml:space="preserve"> </w:t>
      </w:r>
      <w:r>
        <w:t xml:space="preserve">Del.Supr., 588 A.2d 255, 257 (1991).</w:t>
      </w:r>
    </w:p>
    <w:p>
      <w:pPr>
        <w:pStyle w:val="CaseBody"/>
      </w:pPr>
      <w:hyperlink w:anchor="Xef231565b71cd847beee8de34a2e68f0f4ee859">
        <w:r>
          <w:rPr>
            <w:rStyle w:val="Hyperlink"/>
          </w:rPr>
          <w:t xml:space="preserve">[27]</w:t>
        </w:r>
      </w:hyperlink>
      <w:r>
        <w:t xml:space="preserve"> </w:t>
      </w:r>
      <w:r>
        <w:rPr>
          <w:iCs/>
          <w:i/>
        </w:rPr>
        <w:t xml:space="preserve">See:</w:t>
      </w:r>
      <w:r>
        <w:t xml:space="preserve"> </w:t>
      </w:r>
      <w:r>
        <w:rPr>
          <w:iCs/>
          <w:i/>
        </w:rPr>
        <w:t xml:space="preserve">Malone v. Brincat,</w:t>
      </w:r>
      <w:r>
        <w:t xml:space="preserve"> </w:t>
      </w:r>
      <w:r>
        <w:t xml:space="preserve">Del.Supr., 722 A.2d 5 (1998) (No stockholder action was requested, but Court recognized that even in such a case, directors breach duty of loyalty and good faith by knowingly disseminating false information to stockholders.)</w:t>
      </w:r>
    </w:p>
    <w:p>
      <w:pPr>
        <w:pStyle w:val="CaseBody"/>
      </w:pPr>
      <w:hyperlink w:anchor="X18f588dc6b95df99482301b4af5f2e4ec51325a">
        <w:r>
          <w:rPr>
            <w:rStyle w:val="Hyperlink"/>
          </w:rPr>
          <w:t xml:space="preserve">[28]</w:t>
        </w:r>
      </w:hyperlink>
      <w:r>
        <w:t xml:space="preserve"> </w:t>
      </w:r>
      <w:r>
        <w:rPr>
          <w:iCs/>
          <w:i/>
        </w:rPr>
        <w:t xml:space="preserve">McMullin v. Beran,</w:t>
      </w:r>
      <w:r>
        <w:t xml:space="preserve"> </w:t>
      </w:r>
      <w:r>
        <w:t xml:space="preserve">Del.Supr., 765 A.2d 910 (2000).</w:t>
      </w:r>
    </w:p>
    <w:p>
      <w:pPr>
        <w:pStyle w:val="CaseBody"/>
      </w:pPr>
      <w:hyperlink w:anchor="X589e41940f4ca9f867ac92811f71b3acf5fb1e0">
        <w:r>
          <w:rPr>
            <w:rStyle w:val="Hyperlink"/>
          </w:rPr>
          <w:t xml:space="preserve">[29]</w:t>
        </w:r>
      </w:hyperlink>
      <w:r>
        <w:t xml:space="preserve"> </w:t>
      </w:r>
      <w:r>
        <w:rPr>
          <w:iCs/>
          <w:i/>
        </w:rPr>
        <w:t xml:space="preserve">In Re Unocal Exploration Corporation Shareholders Litigation,</w:t>
      </w:r>
      <w:r>
        <w:t xml:space="preserve"> </w:t>
      </w:r>
      <w:r>
        <w:t xml:space="preserve">Del.Ch., 2001 WL 823376 (2000).</w:t>
      </w:r>
    </w:p>
    <w:bookmarkEnd w:id="362"/>
    <w:p>
      <w:pPr>
        <w:pStyle w:val="NodeEnd"/>
      </w:pPr>
      <w:r>
        <w:t xml:space="preserve"> </w:t>
      </w:r>
    </w:p>
    <w:p>
      <w:r>
        <w:pict>
          <v:rect style="width:0;height:1.5pt" o:hralign="center" o:hrstd="t" o:hr="t"/>
        </w:pict>
      </w:r>
    </w:p>
    <w:p>
      <w:pPr>
        <w:pStyle w:val="AcknowledgementsTitle"/>
      </w:pPr>
      <w:r>
        <w:t xml:space="preserve">Acknowledgments</w:t>
      </w:r>
    </w:p>
    <w:p>
      <w:pPr>
        <w:pStyle w:val="AcknowledgementsSubtitle"/>
      </w:pPr>
      <w:r>
        <w:t xml:space="preserve">Some materials included in this export came from the following casebooks.</w:t>
      </w:r>
    </w:p>
    <w:p>
      <w:pPr>
        <w:numPr>
          <w:ilvl w:val="0"/>
          <w:numId w:val="1059"/>
        </w:numPr>
      </w:pPr>
      <w:hyperlink r:id="rId363">
        <w:r>
          <w:rPr>
            <w:rStyle w:val="CreditTitle"/>
          </w:rPr>
          <w:t xml:space="preserve"> </w:t>
        </w:r>
        <w:r>
          <w:rPr>
            <w:rStyle w:val="CreditTitle"/>
          </w:rPr>
          <w:t xml:space="preserve">Business Organizations</w:t>
        </w:r>
        <w:r>
          <w:rPr>
            <w:rStyle w:val="CreditTitle"/>
          </w:rPr>
          <w:t xml:space="preserve"> </w:t>
        </w:r>
      </w:hyperlink>
      <w:r>
        <w:t xml:space="preserve"> </w:t>
      </w:r>
      <w:r>
        <w:t xml:space="preserve">by</w:t>
      </w:r>
      <w:r>
        <w:t xml:space="preserve"> </w:t>
      </w:r>
      <w:r>
        <w:rPr>
          <w:rStyle w:val="CreditAuthors"/>
        </w:rPr>
        <w:t xml:space="preserve"> </w:t>
      </w:r>
      <w:r>
        <w:rPr>
          <w:rStyle w:val="CreditAuthors"/>
        </w:rPr>
        <w:t xml:space="preserve">Mary Whisner</w:t>
      </w:r>
      <w:r>
        <w:rPr>
          <w:rStyle w:val="CreditAuthors"/>
        </w:rPr>
        <w:t xml:space="preserve"> </w:t>
      </w:r>
      <w:r>
        <w:rPr>
          <w:rStyle w:val="CreditAuthors"/>
        </w:rPr>
        <w:t xml:space="preserve">,</w:t>
      </w:r>
      <w:r>
        <w:rPr>
          <w:rStyle w:val="CreditAuthors"/>
        </w:rPr>
        <w:t xml:space="preserve"> </w:t>
      </w:r>
      <w:r>
        <w:rPr>
          <w:rStyle w:val="CreditAuthors"/>
        </w:rPr>
        <w:t xml:space="preserve">Jennifer S. Fan</w:t>
      </w:r>
      <w:r>
        <w:rPr>
          <w:rStyle w:val="CreditAuthors"/>
        </w:rPr>
        <w:t xml:space="preserve"> </w:t>
      </w:r>
    </w:p>
    <w:p>
      <w:pPr>
        <w:numPr>
          <w:ilvl w:val="0"/>
          <w:numId w:val="1059"/>
        </w:numPr>
      </w:pPr>
      <w:hyperlink r:id="rId364">
        <w:r>
          <w:rPr>
            <w:rStyle w:val="CreditTitle"/>
          </w:rPr>
          <w:t xml:space="preserve"> </w:t>
        </w:r>
        <w:r>
          <w:rPr>
            <w:rStyle w:val="CreditTitle"/>
          </w:rPr>
          <w:t xml:space="preserve">Securities Regulation (Spring 2016)</w:t>
        </w:r>
        <w:r>
          <w:rPr>
            <w:rStyle w:val="CreditTitle"/>
          </w:rPr>
          <w:t xml:space="preserve"> </w:t>
        </w:r>
      </w:hyperlink>
      <w:r>
        <w:t xml:space="preserve"> </w:t>
      </w:r>
      <w:r>
        <w:t xml:space="preserve">by</w:t>
      </w:r>
      <w:r>
        <w:t xml:space="preserve"> </w:t>
      </w:r>
      <w:r>
        <w:rPr>
          <w:rStyle w:val="CreditAuthors"/>
        </w:rPr>
        <w:t xml:space="preserve"> </w:t>
      </w:r>
      <w:r>
        <w:rPr>
          <w:rStyle w:val="CreditAuthors"/>
        </w:rPr>
        <w:t xml:space="preserve">Howell E. Jackson</w:t>
      </w:r>
      <w:r>
        <w:rPr>
          <w:rStyle w:val="CreditAuthors"/>
        </w:rPr>
        <w:t xml:space="preserve"> </w:t>
      </w:r>
    </w:p>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Baskerville">
    <w:panose1 w:val="02020502070401020303"/>
    <w:charset w:val="00"/>
    <w:family w:val="roman"/>
    <w:pitch w:val="variable"/>
    <w:sig w:usb0="80000067" w:usb1="02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Headings CS)">
    <w:altName w:val="Arial"/>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auto"/>
    <w:pitch w:val="variable"/>
    <w:sig w:usb0="00000003" w:usb1="00000000" w:usb2="00000000" w:usb3="00000000" w:csb0="00000001" w:csb1="00000000"/>
  </w:font>
</w:fonts>
</file>

<file path=word/footer_blank.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Footer"/>
    </w:pPr>
  </w:p>
</w:ftr>
</file>

<file path=word/footer_title.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CasebookAuthor"/>
    </w:pPr>
    <w:r>
      <w:t xml:space="preserve">[author name]</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
    <w:p>
      <w:pPr>
        <w:pStyle w:val="FootnoteText"/>
      </w:pPr>
      <w:r>
        <w:rPr>
          <w:rStyle w:val="FootnoteReference"/>
        </w:rPr>
        <w:t xml:space="preserve">*  </w:t>
      </w:r>
      <w:r>
        <w:t xml:space="preserve"/>
      </w:r>
      <w:r>
        <w:t xml:space="preserve">http://tomtoro.com/cartoons/#jp-carousel-135</w:t>
      </w:r>
    </w:p>
  </w:footnote>
  <w:footnote w:id="3">
    <w:p>
      <w:pPr>
        <w:pStyle w:val="FootnoteText"/>
      </w:pPr>
      <w:r>
        <w:rPr>
          <w:rStyle w:val="FootnoteReference"/>
        </w:rPr>
        <w:t xml:space="preserve">*  </w:t>
      </w:r>
      <w:r>
        <w:t xml:space="preserve"/>
      </w:r>
      <w:r>
        <w:t xml:space="preserve">Aronson, then Rales</w:t>
      </w:r>
    </w:p>
  </w:footnote>
  <w:footnote w:id="4">
    <w:p>
      <w:pPr>
        <w:pStyle w:val="FootnoteText"/>
      </w:pPr>
      <w:r>
        <w:rPr>
          <w:rStyle w:val="FootnoteReference"/>
        </w:rPr>
        <w:t xml:space="preserve">*  </w:t>
      </w:r>
      <w:r>
        <w:t xml:space="preserve"/>
      </w:r>
      <w:r>
        <w:t xml:space="preserve">This description is outdated. In 2000, the SEC adopted Regulation FD. It requires the corporation to make simultaneous public disclosure of any information it discloses to analysts and certain others in private meetings. In practice, this is done by having meetings only via publicly accessible telephone conference.</w:t>
      </w:r>
    </w:p>
  </w:footnote>
  <w:footnote w:id="5">
    <w:p>
      <w:pPr>
        <w:pStyle w:val="FootnoteText"/>
      </w:pPr>
      <w:r>
        <w:rPr>
          <w:rStyle w:val="FootnoteReference"/>
        </w:rPr>
        <w:t xml:space="preserve">*  </w:t>
      </w:r>
      <w:r>
        <w:t xml:space="preserve"/>
      </w:r>
      <w:r>
        <w:t xml:space="preserve">In other words, Transunion's "problem" was that it could not make full use of the available massive tax breaks. These tax breaks would reduce the corporate income tax. But Transunion benefitted from so many tax breaks that it was already not paying corporate income tax. The remaining tax breaks were thus "wasted," unless Transunion could persuade Congress to pay out those breaks in cash (i.e., to allow income taxes to be negative in this case -- from the Treasury to firms) or find other taxable income to use the tax breaks on.</w:t>
      </w:r>
    </w:p>
  </w:footnote>
  <w:footnote w:id="6">
    <w:p>
      <w:pPr>
        <w:pStyle w:val="FootnoteText"/>
      </w:pPr>
      <w:r>
        <w:rPr>
          <w:rStyle w:val="FootnoteReference"/>
        </w:rPr>
        <w:t xml:space="preserve">*  </w:t>
      </w:r>
      <w:r>
        <w:t xml:space="preserve"/>
      </w:r>
      <w:r>
        <w:t xml:space="preserve">The opinion here refers to the old version of DGCL 203, which was completely overhauled in 1988.</w:t>
      </w:r>
    </w:p>
  </w:footnote>
  <w:footnote w:id="7">
    <w:p>
      <w:pPr>
        <w:pStyle w:val="FootnoteText"/>
      </w:pPr>
      <w:r>
        <w:rPr>
          <w:rStyle w:val="FootnoteReference"/>
        </w:rPr>
        <w:t xml:space="preserve">*  </w:t>
      </w:r>
      <w:r>
        <w:t xml:space="preserve"/>
      </w:r>
      <w:r>
        <w:t xml:space="preserve">i.e., a transaction to cash out public shareholders, delist from the stock exchange, and vest exclusive ownership in the controlling stockholder</w:t>
      </w:r>
    </w:p>
  </w:footnote>
  <w:footnote w:id="8">
    <w:p>
      <w:pPr>
        <w:pStyle w:val="FootnoteText"/>
      </w:pPr>
      <w:r>
        <w:rPr>
          <w:rStyle w:val="FootnoteReference"/>
        </w:rPr>
        <w:t xml:space="preserve">**  </w:t>
      </w:r>
      <w:r>
        <w:t xml:space="preserve"/>
      </w:r>
      <w:r>
        <w:t xml:space="preserve">The rights issued under Crown Zellerbach's pill became exercisable only in the event of a merger or the acquisition of 100% of Crown's shares. Goldsmith acquired only 51%, replaced the board, and did not pursue a merger, thus avoiding dilution. See http://www.nytimes.com/1985/07/27/business/crown-defeat-casts-pall-on-poison-pill-defense.html.</w:t>
      </w:r>
    </w:p>
  </w:footnote>
  <w:footnote w:id="9">
    <w:p>
      <w:pPr>
        <w:pStyle w:val="CaseFootnoteText"/>
      </w:pPr>
      <w:r>
        <w:rPr>
          <w:rStyle w:val="FootnoteReference"/>
        </w:rPr>
        <w:t xml:space="preserve">1  </w:t>
      </w:r>
      <w:r>
        <w:t xml:space="preserve">Prior to this time, Atwood Larson had provided working capital for Warren, and Warren had used Atwood Larson as its commission agent for the sale of market grain on the grain exchange.</w:t>
      </w:r>
    </w:p>
  </w:footnote>
  <w:footnote w:id="10">
    <w:p>
      <w:pPr>
        <w:pStyle w:val="CaseFootnoteText"/>
      </w:pPr>
      <w:r>
        <w:rPr>
          <w:rStyle w:val="FootnoteReference"/>
        </w:rPr>
        <w:t xml:space="preserve">1  </w:t>
      </w:r>
      <w:r>
        <w:t xml:space="preserve"/>
      </w:r>
      <w:r>
        <w:t xml:space="preserve">Reported in</w:t>
      </w:r>
      <w:r>
        <w:t xml:space="preserve"> </w:t>
      </w:r>
      <w:r>
        <w:t xml:space="preserve">51 N. W. (2d) 801</w:t>
      </w:r>
      <w:r>
        <w:t xml:space="preserve">.</w:t>
      </w:r>
    </w:p>
  </w:footnote>
  <w:footnote w:id="11">
    <w:p>
      <w:pPr>
        <w:pStyle w:val="CaseFootnoteText"/>
      </w:pPr>
      <w:r>
        <w:rPr>
          <w:rStyle w:val="FootnoteReference"/>
        </w:rPr>
        <w:t xml:space="preserve">1  </w:t>
      </w:r>
      <w:r>
        <w:t xml:space="preserve">Food Lion cannot rely on</w:t>
      </w:r>
      <w:r>
        <w:t xml:space="preserve"> </w:t>
      </w:r>
      <w:r>
        <w:rPr>
          <w:iCs/>
          <w:i/>
        </w:rPr>
        <w:t xml:space="preserve">Daniel Boone Complex, Inc. v. Furst,</w:t>
      </w:r>
      <w:r>
        <w:t xml:space="preserve"> </w:t>
      </w:r>
      <w:r>
        <w:t xml:space="preserve">43 N.C.App. 95</w:t>
      </w:r>
      <w:r>
        <w:t xml:space="preserve">,</w:t>
      </w:r>
      <w:r>
        <w:t xml:space="preserve"> </w:t>
      </w:r>
      <w:r>
        <w:t xml:space="preserve">258 S.E.2d 379</w:t>
      </w:r>
      <w:r>
        <w:t xml:space="preserve"> </w:t>
      </w:r>
      <w:r>
        <w:t xml:space="preserve">(N.C.Ct.App.1979), to recover administrative costs and wages as fraud damages in this case. Food Lion argues that under</w:t>
      </w:r>
      <w:r>
        <w:t xml:space="preserve"> </w:t>
      </w:r>
      <w:r>
        <w:rPr>
          <w:iCs/>
          <w:i/>
        </w:rPr>
        <w:t xml:space="preserve">Daniel Boone</w:t>
      </w:r>
      <w:r>
        <w:t xml:space="preserve"> </w:t>
      </w:r>
      <w:r>
        <w:t xml:space="preserve">it can recover damages if it simply proves that it was fraudulently induced to hire Dale and Barnett. That is an oversimplification. In</w:t>
      </w:r>
      <w:r>
        <w:t xml:space="preserve"> </w:t>
      </w:r>
      <w:r>
        <w:rPr>
          <w:iCs/>
          <w:i/>
        </w:rPr>
        <w:t xml:space="preserve">Daniel Boone</w:t>
      </w:r>
      <w:r>
        <w:t xml:space="preserve"> </w:t>
      </w:r>
      <w:r>
        <w:t xml:space="preserve">the plaintiff-borrower was induced to enter into a loan agreement based on misrepresentations about the identity of the lenders. The Court of Appeals of North Carolina said the borrower had a choice of remedies:</w:t>
      </w:r>
    </w:p>
    <w:p>
      <w:pPr>
        <w:pStyle w:val="BlockText"/>
      </w:pPr>
      <w:r>
        <w:t xml:space="preserve">Ordinarily, a party who has been fraudulently induced to enter into a contract or sale has a choice of remedies. He may repudiate the contract, and tendering back what he has received under it, may recover what he had parted with or its value; or he may affirm the contract, keeping whatever property or advantage he has derived under it, and may recover in an action for deceit the damages caused by the fraud.</w:t>
      </w:r>
    </w:p>
    <w:p>
      <w:pPr>
        <w:pStyle w:val="CaseFootnoteText"/>
      </w:pPr>
      <w:r>
        <w:rPr>
          <w:iCs/>
          <w:i/>
        </w:rPr>
        <w:t xml:space="preserve">Id.</w:t>
      </w:r>
      <w:r>
        <w:rPr>
          <w:iCs/>
          <w:i/>
        </w:rPr>
        <w:t xml:space="preserve"/>
      </w:r>
      <w:r>
        <w:t xml:space="preserve">at 387</w:t>
      </w:r>
      <w:r>
        <w:t xml:space="preserve"> </w:t>
      </w:r>
      <w:r>
        <w:t xml:space="preserve">(citation omitted). Thus,</w:t>
      </w:r>
      <w:r>
        <w:t xml:space="preserve"> </w:t>
      </w:r>
      <w:r>
        <w:rPr>
          <w:iCs/>
          <w:i/>
        </w:rPr>
        <w:t xml:space="preserve">Daniel Boone</w:t>
      </w:r>
      <w:r>
        <w:t xml:space="preserve"> </w:t>
      </w:r>
      <w:r>
        <w:t xml:space="preserve">says that a party fraudulently induced to enter a contract in North Carolina has two' options. He may sue for money damages, keeping whatever benefits he received under the fraudulent contract. Or, he may repudiate the contract, tender back what he received under it, and seek the value of what he parted with. The latter</w:t>
      </w:r>
      <w:r>
        <w:t xml:space="preserve"> </w:t>
      </w:r>
      <w:r>
        <w:rPr>
          <w:iCs/>
          <w:i/>
        </w:rPr>
        <w:t xml:space="preserve">Daniel Boone</w:t>
      </w:r>
      <w:r>
        <w:t xml:space="preserve"> </w:t>
      </w:r>
      <w:r>
        <w:t xml:space="preserve">remedy cannot apply in this case. We are dealing with employment contracts, and it is impossible for Food Lion to tender back what it received under those contracts. In other words, Dale wrapped meat and Barnett worked at the deli counter. Food Lion kept those services, and there is no way to tender them back. Because Food Lion cannot satisfy the “tender back” element of</w:t>
      </w:r>
      <w:r>
        <w:t xml:space="preserve"> </w:t>
      </w:r>
      <w:r>
        <w:rPr>
          <w:iCs/>
          <w:i/>
        </w:rPr>
        <w:t xml:space="preserve">Daniel Boone’s</w:t>
      </w:r>
      <w:r>
        <w:t xml:space="preserve"> </w:t>
      </w:r>
      <w:r>
        <w:t xml:space="preserve">repudiation remedy, it is left with a basic fraud claim for money damages, which, as we have said, fails for lack of proof of injurious reliance.</w:t>
      </w:r>
    </w:p>
  </w:footnote>
  <w:footnote w:id="12">
    <w:p>
      <w:pPr>
        <w:pStyle w:val="CaseFootnoteText"/>
      </w:pPr>
      <w:r>
        <w:rPr>
          <w:rStyle w:val="FootnoteReference"/>
        </w:rPr>
        <w:t xml:space="preserve">1  </w:t>
      </w:r>
      <w:r>
        <w:rPr>
          <w:rStyle w:val="Elision"/>
        </w:rPr>
        <w:t xml:space="preserve">[ … ]</w:t>
      </w:r>
    </w:p>
  </w:footnote>
  <w:footnote w:id="13">
    <w:p>
      <w:pPr>
        <w:pStyle w:val="CaseFootnoteText"/>
      </w:pPr>
      <w:r>
        <w:rPr>
          <w:rStyle w:val="FootnoteReference"/>
        </w:rPr>
        <w:t xml:space="preserve">1  </w:t>
      </w:r>
      <w:r>
        <w:t xml:space="preserve">Like the Court of Chancery, for simplicity’s sake we collapse General Partner LP and General Partner LLC into one as the "General Partner” of Regency, recognizing that there were two layers of general partners.</w:t>
      </w:r>
    </w:p>
  </w:footnote>
  <w:footnote w:id="14">
    <w:p>
      <w:pPr>
        <w:pStyle w:val="CaseFootnoteText"/>
      </w:pPr>
      <w:r>
        <w:rPr>
          <w:rStyle w:val="FootnoteReference"/>
        </w:rPr>
        <w:t xml:space="preserve">1  </w:t>
      </w:r>
      <w:r>
        <w:t xml:space="preserve">The Koch Parties consist of Oxbow, Oxbow Carbon &amp; Minerals Holdings, Inc., William I. Koch, Oxbow Carbon Investment Company LLC, and Ingraham Investments LLC.</w:t>
      </w:r>
    </w:p>
  </w:footnote>
  <w:footnote w:id="15">
    <w:p>
      <w:pPr>
        <w:pStyle w:val="CaseFootnoteText"/>
      </w:pPr>
      <w:r>
        <w:rPr>
          <w:rStyle w:val="FootnoteReference"/>
        </w:rPr>
        <w:t xml:space="preserve">1  </w:t>
      </w:r>
      <w:r>
        <w:t xml:space="preserve"/>
      </w:r>
      <w:r>
        <w:t xml:space="preserve">Specifically, Part I,</w:t>
      </w:r>
      <w:r>
        <w:t xml:space="preserve"> </w:t>
      </w:r>
      <w:r>
        <w:rPr>
          <w:iCs/>
          <w:i/>
        </w:rPr>
        <w:t xml:space="preserve">infra,</w:t>
      </w:r>
      <w:r>
        <w:t xml:space="preserve"> </w:t>
      </w:r>
      <w:r>
        <w:t xml:space="preserve">at 396-408, addresses the procedural history of the case and the narrower grounds of decision the majority has bypassed. Part II,</w:t>
      </w:r>
      <w:r>
        <w:t xml:space="preserve"> </w:t>
      </w:r>
      <w:r>
        <w:rPr>
          <w:iCs/>
          <w:i/>
        </w:rPr>
        <w:t xml:space="preserve">infra,</w:t>
      </w:r>
      <w:r>
        <w:t xml:space="preserve"> </w:t>
      </w:r>
      <w:r>
        <w:t xml:space="preserve">at 408-414, addresses</w:t>
      </w:r>
      <w:r>
        <w:t xml:space="preserve"> </w:t>
      </w:r>
      <w:r>
        <w:rPr>
          <w:iCs/>
          <w:i/>
        </w:rPr>
        <w:t xml:space="preserve">stare decisis.</w:t>
      </w:r>
      <w:r>
        <w:t xml:space="preserve"> </w:t>
      </w:r>
      <w:r>
        <w:t xml:space="preserve">Part III,</w:t>
      </w:r>
      <w:r>
        <w:t xml:space="preserve"> </w:t>
      </w:r>
      <w:r>
        <w:rPr>
          <w:iCs/>
          <w:i/>
        </w:rPr>
        <w:t xml:space="preserve">infra,</w:t>
      </w:r>
      <w:r>
        <w:t xml:space="preserve"> </w:t>
      </w:r>
      <w:r>
        <w:t xml:space="preserve">at 414-446, addresses the Court’s assumptions that BCRA “bans” corporate speech, that identity-based distinctions may not be drawn in the political realm, and that</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were outliers in our First Amendment tradition. Part IV,</w:t>
      </w:r>
      <w:r>
        <w:t xml:space="preserve"> </w:t>
      </w:r>
      <w:r>
        <w:rPr>
          <w:iCs/>
          <w:i/>
        </w:rPr>
        <w:t xml:space="preserve">infra,</w:t>
      </w:r>
      <w:r>
        <w:t xml:space="preserve"> </w:t>
      </w:r>
      <w:r>
        <w:t xml:space="preserve">at 447-478, addresses the Court’s treatment of the anticorruption, antidistortion, and shareholder protection rationales for regulating corporate electioneering.</w:t>
      </w:r>
    </w:p>
  </w:footnote>
  <w:footnote w:id="16">
    <w:p>
      <w:pPr>
        <w:pStyle w:val="CaseFootnoteText"/>
      </w:pPr>
      <w:r>
        <w:rPr>
          <w:rStyle w:val="FootnoteReference"/>
        </w:rPr>
        <w:t xml:space="preserve">1  </w:t>
      </w:r>
      <w:r>
        <w:t xml:space="preserve"/>
      </w:r>
      <w:r>
        <w:t xml:space="preserve">BCRA imposes similar disclosure requirements. See,</w:t>
      </w:r>
      <w:r>
        <w:t xml:space="preserve"> </w:t>
      </w:r>
      <w:r>
        <w:rPr>
          <w:iCs/>
          <w:i/>
        </w:rPr>
        <w:t xml:space="preserve">e. g.,</w:t>
      </w:r>
      <w:r>
        <w:t xml:space="preserve"> </w:t>
      </w:r>
      <w:r>
        <w:t xml:space="preserve">2 U. S. C. § 434(f)(2)(F) (“Every person who makes a disbursement for the direct costs of producing and airing electioneering communications in an aggregate amount in excess of $10,000 during any calendar year” must disclose “the names and addresses of all contributors who contributed an aggregate amount of $1,000 or more to the person making the disbursement”).</w:t>
      </w:r>
    </w:p>
  </w:footnote>
  <w:footnote w:id="17">
    <w:p>
      <w:pPr>
        <w:pStyle w:val="CaseFootnoteText"/>
      </w:pPr>
      <w:r>
        <w:rPr>
          <w:rStyle w:val="FootnoteReference"/>
        </w:rPr>
        <w:t xml:space="preserve">1  </w:t>
      </w:r>
      <w:r>
        <w:t xml:space="preserve"/>
      </w:r>
      <w:r>
        <w:t xml:space="preserve">Section 10 of the Securities Exchange Act of 1934,</w:t>
      </w:r>
      <w:r>
        <w:t xml:space="preserve"> </w:t>
      </w:r>
      <w:r>
        <w:rPr>
          <w:iCs/>
          <w:i/>
        </w:rPr>
        <w:t xml:space="preserve">15</w:t>
      </w:r>
      <w:r>
        <w:t xml:space="preserve"> </w:t>
      </w:r>
      <w:r>
        <w:t xml:space="preserve">U. S. C. § 78j, provides in relevant part:</w:t>
      </w:r>
    </w:p>
    <w:p>
      <w:pPr>
        <w:pStyle w:val="BlockText"/>
      </w:pPr>
      <w:r>
        <w:t xml:space="preserve">“It shall be unlawful for any person, directly or indirectly, by the use of any means or instrumentality of interstate commerce or of the mails, or of any facility of any national securities exchange—</w:t>
      </w:r>
    </w:p>
    <w:p>
      <w:pPr>
        <w:pStyle w:val="BlockText"/>
      </w:pPr>
      <w:r>
        <w:drawing>
          <wp:inline>
            <wp:extent cx="5334000" cy="146590"/>
            <wp:effectExtent b="0" l="0" r="0" t="0"/>
            <wp:docPr descr="" title="" id="1" name="Picture"/>
            <a:graphic>
              <a:graphicData uri="http://schemas.openxmlformats.org/drawingml/2006/picture">
                <pic:pic>
                  <pic:nvPicPr>
                    <pic:cNvPr descr="data:image/png;base64,iVBORw0KGgoAAAANSUhEUgAABGgAAAAfAQAAAACTmcb3AAAAq0lEQVR4nO2Wuw3CQBAFx2sCMlqgDIcXUATlXEgRFEMphJRgS/wCSAhWz5IP2GAnHu2OdKezuweBsH8HfJA1PlnjkzU+WeMTreYincMPOl4YR+nU72e8aXJSt9JiCo1qrtKY5g2aU1OlcVbCKGdMFTB2ctdeGltpSEYAY1i+a7U8Bk40ujd9kUpVwhpavX5y10bPKEAX5b/4bgSqAeJ9pyKRNT5Z45M1PrFqnp6MErKkkHBcAAAAAElFTkSuQmCC" id="0" name="Picture"/>
                    <pic:cNvPicPr>
                      <a:picLocks noChangeArrowheads="1" noChangeAspect="1"/>
                    </pic:cNvPicPr>
                  </pic:nvPicPr>
                  <pic:blipFill>
                    <a:blip r:embed="rId105"/>
                    <a:stretch>
                      <a:fillRect/>
                    </a:stretch>
                  </pic:blipFill>
                  <pic:spPr bwMode="auto">
                    <a:xfrm>
                      <a:off x="0" y="0"/>
                      <a:ext cx="5334000" cy="146590"/>
                    </a:xfrm>
                    <a:prstGeom prst="rect">
                      <a:avLst/>
                    </a:prstGeom>
                    <a:noFill/>
                    <a:ln w="9525">
                      <a:noFill/>
                      <a:headEnd/>
                      <a:tailEnd/>
                    </a:ln>
                  </pic:spPr>
                </pic:pic>
              </a:graphicData>
            </a:graphic>
          </wp:inline>
        </w:drawing>
      </w:r>
    </w:p>
    <w:p>
      <w:pPr>
        <w:pStyle w:val="BlockText"/>
      </w:pPr>
      <w:r>
        <w:t xml:space="preserve">“(b) To use or employ, in connection with the purchase or sale of any security registered on a national securities exchange or any security not so registered, any manipulative or deceptive device or contrivance in contravention of such rules and regulations as the Commission may prescribe as necessary or appropriate in the public interest or for the protection of investors.”</w:t>
      </w:r>
    </w:p>
    <w:p>
      <w:pPr>
        <w:pStyle w:val="CaseFootnoteText"/>
      </w:pPr>
      <w:r>
        <w:t xml:space="preserve">Rule 10b-5,</w:t>
      </w:r>
      <w:r>
        <w:t xml:space="preserve"/>
      </w:r>
      <w:r>
        <w:t xml:space="preserve">17 CFR § 240</w:t>
      </w:r>
      <w:r>
        <w:t xml:space="preserve">.10b-5 (1976), provides:</w:t>
      </w:r>
    </w:p>
    <w:p>
      <w:pPr>
        <w:pStyle w:val="BlockText"/>
      </w:pPr>
      <w:r>
        <w:t xml:space="preserve">“Employment of manipulative and deceptive devices.</w:t>
      </w:r>
    </w:p>
    <w:p>
      <w:pPr>
        <w:pStyle w:val="BlockText"/>
      </w:pPr>
      <w:r>
        <w:t xml:space="preserve">“It shall be unlawful for any person, directly or indirectly, by the use of any means or instrumentality of interstate commerce, or of the mails or of any facility of any national securities exchange,</w:t>
      </w:r>
    </w:p>
    <w:p>
      <w:pPr>
        <w:pStyle w:val="BlockText"/>
      </w:pPr>
      <w:r>
        <w:t xml:space="preserve">“(a) To employ any device, scheme, or artifice to defraud,</w:t>
      </w:r>
    </w:p>
    <w:p>
      <w:pPr>
        <w:pStyle w:val="BlockText"/>
      </w:pPr>
      <w:r>
        <w:t xml:space="preserve">“(b) To make any untrue statement of a material fact or to omit to state a material fact necessary in order to make the statements made, in the light of the circumstances under which they were made, not misleading, or</w:t>
      </w:r>
    </w:p>
    <w:p>
      <w:pPr>
        <w:pStyle w:val="BlockText"/>
      </w:pPr>
      <w:r>
        <w:t xml:space="preserve">“(c) To engage in any act, practice, or course of business which operates or would operate as a fraud or deceit upon any person,</w:t>
      </w:r>
    </w:p>
    <w:p>
      <w:pPr>
        <w:pStyle w:val="BlockText"/>
      </w:pPr>
      <w:r>
        <w:t xml:space="preserve">“in connection with the purchase or sale of any security.”</w:t>
      </w:r>
    </w:p>
  </w:footnote>
  <w:footnote w:id="18">
    <w:p>
      <w:pPr>
        <w:pStyle w:val="CaseFootnoteText"/>
      </w:pPr>
      <w:r>
        <w:rPr>
          <w:rStyle w:val="FootnoteReference"/>
        </w:rPr>
        <w:t xml:space="preserve">1  </w:t>
      </w:r>
      <w:r>
        <w:t xml:space="preserve"/>
      </w:r>
      <w:r>
        <w:t xml:space="preserve">See also</w:t>
      </w:r>
      <w:r>
        <w:t xml:space="preserve"> </w:t>
      </w:r>
      <w:r>
        <w:rPr>
          <w:iCs/>
          <w:i/>
        </w:rPr>
        <w:t xml:space="preserve">Eason</w:t>
      </w:r>
      <w:r>
        <w:t xml:space="preserve"> </w:t>
      </w:r>
      <w:r>
        <w:t xml:space="preserve">v.</w:t>
      </w:r>
      <w:r>
        <w:t xml:space="preserve"> </w:t>
      </w:r>
      <w:r>
        <w:rPr>
          <w:iCs/>
          <w:i/>
        </w:rPr>
        <w:t xml:space="preserve">General Motors Acceptance Corp.,</w:t>
      </w:r>
      <w:r>
        <w:t xml:space="preserve"> </w:t>
      </w:r>
      <w:r>
        <w:t xml:space="preserve">490 F. 2d 654</w:t>
      </w:r>
      <w:r>
        <w:t xml:space="preserve"> </w:t>
      </w:r>
      <w:r>
        <w:t xml:space="preserve">(CA7 1973), cert. denied,</w:t>
      </w:r>
      <w:r>
        <w:t xml:space="preserve"> </w:t>
      </w:r>
      <w:r>
        <w:t xml:space="preserve">416 U. S. 960</w:t>
      </w:r>
      <w:r>
        <w:t xml:space="preserve">.</w:t>
      </w:r>
    </w:p>
  </w:footnote>
  <w:footnote w:id="19">
    <w:p>
      <w:pPr>
        <w:pStyle w:val="CaseFootnoteText"/>
      </w:pPr>
      <w:r>
        <w:rPr>
          <w:rStyle w:val="FootnoteReference"/>
        </w:rPr>
        <w:t xml:space="preserve">1  </w:t>
      </w:r>
      <w:r>
        <w:t xml:space="preserve"/>
      </w:r>
      <w:r>
        <w:t xml:space="preserve">Each share of TSC common stock brought .5 share of National Series B preferred stock and 1% National warrants. Each share of TSC Series 1 preferred stock brought .6 share of National Series B preferred stock and one National warrant. National Series B preferred stock is convertible into .75 share of National common stock. A National warrant entitles the holder to purchase one share of National common stock at a fixed price until October 1978.</w:t>
      </w:r>
    </w:p>
  </w:footnote>
  <w:footnote w:id="20">
    <w:p>
      <w:pPr>
        <w:pStyle w:val="CaseFootnoteText"/>
      </w:pPr>
      <w:r>
        <w:rPr>
          <w:rStyle w:val="FootnoteReference"/>
        </w:rPr>
        <w:t xml:space="preserve">1  </w:t>
      </w:r>
      <w:r>
        <w:t xml:space="preserve"/>
      </w:r>
      <w:r>
        <w:t xml:space="preserve">Neither respondent nor any of the members of its alleged class were parties to the antitrust action. The antitrust decree itself provided no plan for the reorganization of Old Blue Chip but instead merely directed the parties to the consent decree to present to the court such a plan. App. 27, 31.</w:t>
      </w:r>
    </w:p>
  </w:footnote>
  <w:footnote w:id="21">
    <w:p>
      <w:pPr>
        <w:pStyle w:val="CaseFootnoteText"/>
      </w:pPr>
      <w:r>
        <w:rPr>
          <w:rStyle w:val="FootnoteReference"/>
        </w:rPr>
        <w:t xml:space="preserve">1  </w:t>
      </w:r>
      <w:r>
        <w:t xml:space="preserve"/>
      </w:r>
      <w:r>
        <w:t xml:space="preserve">It is argued that the language “in connection with” justifies extending § 10 (b) to include offers which necessarily precede a purchase or sale. The short answer is that the statute requires a purchase or a sale of a security, and no offer was made to respondent in connection with either. Its complaint rests upon the</w:t>
      </w:r>
      <w:r>
        <w:t xml:space="preserve"> </w:t>
      </w:r>
      <w:r>
        <w:rPr>
          <w:iCs/>
          <w:i/>
        </w:rPr>
        <w:t xml:space="preserve">absence</w:t>
      </w:r>
      <w:r>
        <w:t xml:space="preserve"> </w:t>
      </w:r>
      <w:r>
        <w:t xml:space="preserve">of a sale to or purchase by it.</w:t>
      </w:r>
    </w:p>
  </w:footnote>
  <w:footnote w:id="22">
    <w:p>
      <w:pPr>
        <w:pStyle w:val="CaseFootnoteText"/>
      </w:pPr>
      <w:r>
        <w:rPr>
          <w:rStyle w:val="FootnoteReference"/>
        </w:rPr>
        <w:t xml:space="preserve">1  </w:t>
      </w:r>
      <w:r>
        <w:t xml:space="preserve"/>
      </w:r>
      <w:r>
        <w:rPr>
          <w:iCs/>
          <w:i/>
        </w:rPr>
        <w:t xml:space="preserve">Birnbaum</w:t>
      </w:r>
      <w:r>
        <w:t xml:space="preserve"> </w:t>
      </w:r>
      <w:r>
        <w:t xml:space="preserve">v.</w:t>
      </w:r>
      <w:r>
        <w:t xml:space="preserve"> </w:t>
      </w:r>
      <w:r>
        <w:rPr>
          <w:iCs/>
          <w:i/>
        </w:rPr>
        <w:t xml:space="preserve">Newport Steel Corp.,</w:t>
      </w:r>
      <w:r>
        <w:t xml:space="preserve"> </w:t>
      </w:r>
      <w:r>
        <w:t xml:space="preserve">193 F. 2d 461</w:t>
      </w:r>
      <w:r>
        <w:t xml:space="preserve"> </w:t>
      </w:r>
      <w:r>
        <w:t xml:space="preserve">(CA2), cert. denied,</w:t>
      </w:r>
      <w:r>
        <w:t xml:space="preserve"> </w:t>
      </w:r>
      <w:r>
        <w:t xml:space="preserve">343 U. S. 956</w:t>
      </w:r>
      <w:r>
        <w:t xml:space="preserve"> </w:t>
      </w:r>
      <w:r>
        <w:t xml:space="preserve">(1952).</w:t>
      </w:r>
    </w:p>
  </w:footnote>
  <w:footnote w:id="23">
    <w:p>
      <w:pPr>
        <w:pStyle w:val="CaseFootnoteText"/>
      </w:pPr>
      <w:r>
        <w:rPr>
          <w:rStyle w:val="FootnoteReference"/>
        </w:rPr>
        <w:t xml:space="preserve">1  </w:t>
      </w:r>
      <w:r>
        <w:t xml:space="preserve">He testified:</w:t>
      </w:r>
    </w:p>
    <w:p>
      <w:pPr>
        <w:pStyle w:val="BlockText"/>
      </w:pPr>
      <w:r>
        <w:t xml:space="preserve">“A. * * * In 1952, that same year, of about 124 companies in this particular line, the average ratio of turnover of net worth of capital to sales ranged between three and five times. On this basis here, on $6,000, with a sales of approximately $400,000, it would have better than 60, 65-time turnover which certainly is quite a contrast from a three to five-time turnover. Q. Is a sixty-times turnover feasible at all? A. Impossible strictly from the capitalization standpoint. * * ”</w:t>
      </w:r>
    </w:p>
  </w:footnote>
  <w:footnote w:id="24">
    <w:p>
      <w:pPr>
        <w:pStyle w:val="CaseFootnoteText"/>
      </w:pPr>
      <w:r>
        <w:rPr>
          <w:rStyle w:val="FootnoteReference"/>
        </w:rPr>
        <w:t xml:space="preserve">1  </w:t>
      </w:r>
      <w:r>
        <w:t xml:space="preserve">This last defendant is a partnership. Because Sea-Land served only one partner — Márchese— the district court did not consider or enter judgment on Sea-Land’s claims against this entity.</w:t>
      </w:r>
      <w:r>
        <w:t xml:space="preserve"> </w:t>
      </w:r>
      <w:r>
        <w:rPr>
          <w:iCs/>
          <w:i/>
        </w:rPr>
        <w:t xml:space="preserve">See Sea-Land Services, Inc.</w:t>
      </w:r>
      <w:r>
        <w:t xml:space="preserve"> </w:t>
      </w:r>
      <w:r>
        <w:t xml:space="preserve">v.</w:t>
      </w:r>
      <w:r>
        <w:t xml:space="preserve"> </w:t>
      </w:r>
      <w:r>
        <w:rPr>
          <w:iCs/>
          <w:i/>
        </w:rPr>
        <w:t xml:space="preserve">The Pepper Source,</w:t>
      </w:r>
      <w:r>
        <w:t xml:space="preserve"> </w:t>
      </w:r>
      <w:r>
        <w:t xml:space="preserve">No.</w:t>
      </w:r>
      <w:r>
        <w:t xml:space="preserve"> </w:t>
      </w:r>
      <w:r>
        <w:t xml:space="preserve">88 C 4861</w:t>
      </w:r>
      <w:r>
        <w:t xml:space="preserve">, slip op. at 2 n. 2,</w:t>
      </w:r>
      <w:r>
        <w:t xml:space="preserve"> </w:t>
      </w:r>
      <w:r>
        <w:t xml:space="preserve">1990 WL 91497</w:t>
      </w:r>
      <w:r>
        <w:t xml:space="preserve">,</w:t>
      </w:r>
      <w:r>
        <w:t xml:space="preserve"> </w:t>
      </w:r>
      <w:r>
        <w:t xml:space="preserve">1990 U.S. Dist. LEXIS 7676</w:t>
      </w:r>
      <w:r>
        <w:t xml:space="preserve"> </w:t>
      </w:r>
      <w:r>
        <w:t xml:space="preserve">(N.D.Ill. June 22, 1990) ("Dist.Ct.Op."). Thus, for all practical purposes, the entity of Márchese Fegan Associates is out of this case, and henceforth our references to "the defendants” do not include this entity.</w:t>
      </w:r>
    </w:p>
  </w:footnote>
  <w:footnote w:id="25">
    <w:p>
      <w:pPr>
        <w:pStyle w:val="CaseFootnoteText"/>
      </w:pPr>
      <w:r>
        <w:rPr>
          <w:rStyle w:val="FootnoteReference"/>
        </w:rPr>
        <w:t xml:space="preserve">1  </w:t>
      </w:r>
      <w:r>
        <w:t xml:space="preserve"/>
      </w:r>
      <w:r>
        <w:t xml:space="preserve"> </w:t>
      </w:r>
      <w:r>
        <w:rPr>
          <w:rStyle w:val="Elision"/>
        </w:rPr>
        <w:t xml:space="preserve">[ … ]</w:t>
      </w:r>
      <w:r>
        <w:t xml:space="preserve"> </w:t>
      </w:r>
      <w:r>
        <w:t xml:space="preserve">The aggregate of stock thus had amounted to 33% of the outstanding Newport stock and gave working control to the holder.</w:t>
      </w:r>
      <w:r>
        <w:rPr>
          <w:rStyle w:val="Elision"/>
        </w:rPr>
        <w:t xml:space="preserve">[ … ]</w:t>
      </w:r>
    </w:p>
  </w:footnote>
  <w:footnote w:id="26">
    <w:p>
      <w:pPr>
        <w:pStyle w:val="CaseFootnoteText"/>
      </w:pPr>
      <w:r>
        <w:rPr>
          <w:rStyle w:val="FootnoteReference"/>
        </w:rPr>
        <w:t xml:space="preserve">1  </w:t>
      </w:r>
      <w:r>
        <w:t xml:space="preserve">Health Med’s stock interest in Chem is treated as treasury stock on Chem’s books.</w:t>
      </w:r>
    </w:p>
  </w:footnote>
  <w:footnote w:id="27">
    <w:p>
      <w:pPr>
        <w:pStyle w:val="CaseFootnoteText"/>
      </w:pPr>
      <w:r>
        <w:rPr>
          <w:rStyle w:val="FootnoteReference"/>
        </w:rPr>
        <w:t xml:space="preserve">1  </w:t>
      </w:r>
      <w:r>
        <w:t xml:space="preserve">8</w:t>
      </w:r>
      <w:r>
        <w:t xml:space="preserve"> </w:t>
      </w:r>
      <w:r>
        <w:rPr>
          <w:iCs/>
          <w:i/>
        </w:rPr>
        <w:t xml:space="preserve">Del.C.</w:t>
      </w:r>
      <w:r>
        <w:t xml:space="preserve"> </w:t>
      </w:r>
      <w:r>
        <w:t xml:space="preserve">§ 327 states:</w:t>
      </w:r>
    </w:p>
    <w:p>
      <w:pPr>
        <w:pStyle w:val="BlockText"/>
      </w:pPr>
      <w:r>
        <w:t xml:space="preserve">“§ 327.</w:t>
      </w:r>
      <w:r>
        <w:t xml:space="preserve"/>
      </w:r>
      <w:r>
        <w:rPr>
          <w:iCs/>
          <w:i/>
        </w:rPr>
        <w:t xml:space="preserve">Stockholder’s derivative action; allegation of stock ownership.</w:t>
      </w:r>
    </w:p>
    <w:p>
      <w:pPr>
        <w:pStyle w:val="BlockText"/>
      </w:pPr>
      <w:r>
        <w:t xml:space="preserve">In any derivative suit instituted by a stockholder of a corporation, it shall be averred in the complaint that the plaintiff was a stockholder of the corporation at the time of the transaction of which he complains or that his stock thereafter devolved upon him by operation of law.”</w:t>
      </w:r>
    </w:p>
    <w:p>
      <w:pPr>
        <w:pStyle w:val="BlockText"/>
      </w:pPr>
      <w:r>
        <w:t xml:space="preserve">Rule 23.1 contains the same provision.</w:t>
      </w:r>
    </w:p>
    <w:p>
      <w:pPr>
        <w:pStyle w:val="NodeEnd"/>
      </w:pPr>
      <w:r>
        <w:t xml:space="preserve"> </w:t>
      </w:r>
    </w:p>
    <w:p>
      <w:pPr>
        <w:pStyle w:val="NodeStart"/>
      </w:pPr>
      <w:r>
        <w:t xml:space="preserve"> </w:t>
      </w:r>
    </w:p>
    <w:p>
      <w:pPr>
        <w:pStyle w:val="HeadSeparator"/>
      </w:pPr>
      <w:r>
        <w:t xml:space="preserve"> </w:t>
      </w:r>
    </w:p>
  </w:footnote>
  <w:footnote w:id="28">
    <w:p>
      <w:pPr>
        <w:pStyle w:val="CaseFootnoteText"/>
      </w:pPr>
      <w:r>
        <w:rPr>
          <w:rStyle w:val="FootnoteReference"/>
        </w:rPr>
        <w:t xml:space="preserve">1  </w:t>
      </w:r>
      <w:r>
        <w:t xml:space="preserve">During the latter part of March and the early days of April, Edper was involved in negotiations with two Canadian banks, the Bank of Montreal and the Toronto-Dominion Bank, to arrange financing for its acquisition of Brascan stock. The arrangement was formalized on April 6, 1979. Under the agreement utilization of this $210 million (Cdn.) credit would have required Edper to acquire at least 50.01% of Brascan’s stock within 90 days of its borrowing. Edper has not borrowed any money under this arrangement, and accordingly has incurred no obligations under the agreement.</w:t>
      </w:r>
    </w:p>
  </w:footnote>
  <w:footnote w:id="29">
    <w:p>
      <w:pPr>
        <w:pStyle w:val="CaseFootnoteText"/>
      </w:pPr>
      <w:r>
        <w:rPr>
          <w:rStyle w:val="FootnoteReference"/>
        </w:rPr>
        <w:t xml:space="preserve">1  </w:t>
      </w:r>
      <w:r>
        <w:t xml:space="preserve">In this Opinion, where I use the term "defendant” or "defendants,” I am referring to Intermedia and its agents. Where, however, I intend to refer to defendant WorldCom, I will refer to it specifically.</w:t>
      </w:r>
    </w:p>
  </w:footnote>
  <w:footnote w:id="30">
    <w:p>
      <w:pPr>
        <w:pStyle w:val="CaseFootnoteText"/>
      </w:pPr>
      <w:r>
        <w:rPr>
          <w:rStyle w:val="FootnoteReference"/>
        </w:rPr>
        <w:t xml:space="preserve">1  </w:t>
      </w:r>
      <w:r>
        <w:t xml:space="preserve">On the day that the 13D was made public, Lyondell’s stock went from $33 to $37 per share.</w:t>
      </w:r>
    </w:p>
  </w:footnote>
  <w:footnote w:id="31">
    <w:p>
      <w:pPr>
        <w:pStyle w:val="CaseFootnoteText"/>
      </w:pPr>
      <w:r>
        <w:rPr>
          <w:rStyle w:val="FootnoteReference"/>
        </w:rPr>
        <w:t xml:space="preserve">1  </w:t>
      </w:r>
      <w:r>
        <w:t xml:space="preserve"/>
      </w:r>
      <w:r>
        <w:rPr>
          <w:iCs/>
          <w:i/>
        </w:rPr>
        <w:t xml:space="preserve">.City of Miami General Employees' and Sanitation Employees' Retirement Trust v. C &amp; J Energy Services,</w:t>
      </w:r>
      <w:r>
        <w:t xml:space="preserve"> </w:t>
      </w:r>
      <w:r>
        <w:t xml:space="preserve">No. 9980-VCN,</w:t>
      </w:r>
      <w:r>
        <w:t xml:space="preserve"> </w:t>
      </w:r>
      <w:r>
        <w:t xml:space="preserve">2014 WL 6696435</w:t>
      </w:r>
      <w:r>
        <w:t xml:space="preserve"> </w:t>
      </w:r>
      <w:r>
        <w:t xml:space="preserve">(Del. Ch. Nov. 24, 2014) [hereinafter “Bench Opinion”]. The Court of Chancery certified its order for interlocutory appeal to this Court in accordance with Supreme Court Rule 42.</w:t>
      </w:r>
    </w:p>
  </w:footnote>
  <w:footnote w:id="32">
    <w:p>
      <w:pPr>
        <w:pStyle w:val="CaseFootnoteText"/>
      </w:pPr>
      <w:r>
        <w:rPr>
          <w:rStyle w:val="FootnoteReference"/>
        </w:rPr>
        <w:t xml:space="preserve">1  </w:t>
      </w:r>
      <w:r>
        <w:t xml:space="preserve">In saying that</w:t>
      </w:r>
      <w:r>
        <w:t xml:space="preserve"> </w:t>
      </w:r>
      <w:r>
        <w:rPr>
          <w:iCs/>
          <w:i/>
        </w:rPr>
        <w:t xml:space="preserve">Unocal</w:t>
      </w:r>
      <w:r>
        <w:t xml:space="preserve"> </w:t>
      </w:r>
      <w:r>
        <w:t xml:space="preserve">supplies the framework for decision of this aspect of the case, I reject plaintiffs’ argument that the'board bears a burden to demonstrate the entire fairness of its decision to keep the pill in place while its recapitalization is effectuated.</w:t>
      </w:r>
      <w:r>
        <w:t xml:space="preserve"> </w:t>
      </w:r>
      <w:r>
        <w:rPr>
          <w:iCs/>
          <w:i/>
        </w:rPr>
        <w:t xml:space="preserve">Ivanhoe Partners</w:t>
      </w:r>
      <w:r>
        <w:t xml:space="preserve"> </w:t>
      </w:r>
      <w:r>
        <w:t xml:space="preserve">v.</w:t>
      </w:r>
      <w:r>
        <w:t xml:space="preserve"> </w:t>
      </w:r>
      <w:r>
        <w:rPr>
          <w:iCs/>
          <w:i/>
        </w:rPr>
        <w:t xml:space="preserve">Newmont Mining Corp.,</w:t>
      </w:r>
      <w:r>
        <w:t xml:space="preserve"> </w:t>
      </w:r>
      <w:r>
        <w:t xml:space="preserve">Del.Supr.,</w:t>
      </w:r>
      <w:r>
        <w:t xml:space="preserve"> </w:t>
      </w:r>
      <w:r>
        <w:t xml:space="preserve">535 A.2d 1334</w:t>
      </w:r>
      <w:r>
        <w:t xml:space="preserve">, 1341 (1987). While the recapitalization does represent a transaction in which the 14 person board (and most intensely, its seven inside members) has an interest — in the sense referred to in</w:t>
      </w:r>
      <w:r>
        <w:t xml:space="preserve"> </w:t>
      </w:r>
      <w:r>
        <w:rPr>
          <w:iCs/>
          <w:i/>
        </w:rPr>
        <w:t xml:space="preserve">Unocal</w:t>
      </w:r>
      <w:r>
        <w:t xml:space="preserve"> </w:t>
      </w:r>
      <w:r>
        <w:t xml:space="preserve">— it does not represent a self-dealing transaction in the sense necessary to place upon the board the heavy burden of the intrinsic fairness test.</w:t>
      </w:r>
      <w:r>
        <w:t xml:space="preserve"> </w:t>
      </w:r>
      <w:r>
        <w:rPr>
          <w:iCs/>
          <w:i/>
        </w:rPr>
        <w:t xml:space="preserve">See Weinberger v. U.O.P., Inc.,</w:t>
      </w:r>
      <w:r>
        <w:t xml:space="preserve"> </w:t>
      </w:r>
      <w:r>
        <w:t xml:space="preserve">Del.Supr.,</w:t>
      </w:r>
      <w:r>
        <w:t xml:space="preserve"> </w:t>
      </w:r>
      <w:r>
        <w:t xml:space="preserve">457 A.2d 701</w:t>
      </w:r>
      <w:r>
        <w:t xml:space="preserve"> </w:t>
      </w:r>
      <w:r>
        <w:t xml:space="preserve">(1983);</w:t>
      </w:r>
      <w:r>
        <w:t xml:space="preserve"> </w:t>
      </w:r>
      <w:r>
        <w:rPr>
          <w:iCs/>
          <w:i/>
        </w:rPr>
        <w:t xml:space="preserve">Sinclair Oil Corp. v. Levien,</w:t>
      </w:r>
      <w:r>
        <w:t xml:space="preserve"> </w:t>
      </w:r>
      <w:r>
        <w:t xml:space="preserve">Del.Supr.,</w:t>
      </w:r>
      <w:r>
        <w:t xml:space="preserve"> </w:t>
      </w:r>
      <w:r>
        <w:t xml:space="preserve">280 A.2d 717</w:t>
      </w:r>
      <w:r>
        <w:t xml:space="preserve"> </w:t>
      </w:r>
      <w:r>
        <w:t xml:space="preserve">(1971).</w:t>
      </w:r>
    </w:p>
  </w:footnote>
  <w:footnote w:id="33">
    <w:p>
      <w:pPr>
        <w:pStyle w:val="CaseFootnoteText"/>
      </w:pPr>
      <w:r>
        <w:rPr>
          <w:rStyle w:val="FootnoteReference"/>
        </w:rPr>
        <w:t xml:space="preserve">1  </w:t>
      </w:r>
      <w:r>
        <w:t xml:space="preserve">8</w:t>
      </w:r>
      <w:r>
        <w:t xml:space="preserve"> </w:t>
      </w:r>
      <w:r>
        <w:rPr>
          <w:iCs/>
          <w:i/>
        </w:rPr>
        <w:t xml:space="preserve">Del. C.</w:t>
      </w:r>
      <w:r>
        <w:t xml:space="preserve"> </w:t>
      </w:r>
      <w:r>
        <w:t xml:space="preserve">§ 141(d) (emphasis added).</w:t>
      </w:r>
    </w:p>
  </w:footnote>
  <w:footnote w:id="34">
    <w:p>
      <w:pPr>
        <w:pStyle w:val="CaseFootnoteText"/>
      </w:pPr>
      <w:r>
        <w:rPr>
          <w:rStyle w:val="FootnoteReference"/>
        </w:rPr>
        <w:t xml:space="preserve">1  </w:t>
      </w:r>
      <w:r>
        <w:t xml:space="preserve">Plaintiff did not name as defendants Rudolph P. Arnold, Esq. (no relation to plaintiff), the Chairman of the board of directors of Bancorp (the "Chairman"), and director Robert Weiner-man ("Weinerman”), both of whom abstained from the Merger vote.</w:t>
      </w:r>
    </w:p>
  </w:footnote>
  <w:footnote w:id="35">
    <w:p>
      <w:pPr>
        <w:pStyle w:val="CaseFootnoteText"/>
      </w:pPr>
      <w:r>
        <w:rPr>
          <w:rStyle w:val="FootnoteReference"/>
        </w:rPr>
        <w:t xml:space="preserve">1  </w:t>
      </w:r>
      <w:r>
        <w:t xml:space="preserve"/>
      </w:r>
      <w:r>
        <w:t xml:space="preserve"> </w:t>
      </w:r>
      <w:r>
        <w:rPr>
          <w:iCs/>
          <w:i/>
        </w:rPr>
        <w:t xml:space="preserve">Unocal</w:t>
      </w:r>
      <w:r>
        <w:t xml:space="preserve"> </w:t>
      </w:r>
      <w:r>
        <w:t xml:space="preserve">v.</w:t>
      </w:r>
      <w:r>
        <w:t xml:space="preserve"> </w:t>
      </w:r>
      <w:r>
        <w:rPr>
          <w:iCs/>
          <w:i/>
        </w:rPr>
        <w:t xml:space="preserve">Mesa Petroleum Co.,</w:t>
      </w:r>
      <w:r>
        <w:t xml:space="preserve"> </w:t>
      </w:r>
      <w:r>
        <w:t xml:space="preserve">Del.Supr.,</w:t>
      </w:r>
      <w:r>
        <w:t xml:space="preserve"> </w:t>
      </w:r>
      <w:r>
        <w:t xml:space="preserve">493 A.2d 946</w:t>
      </w:r>
      <w:r>
        <w:t xml:space="preserve"> </w:t>
      </w:r>
      <w:r>
        <w:t xml:space="preserve">(1985).</w:t>
      </w:r>
    </w:p>
  </w:footnote>
  <w:footnote w:id="36">
    <w:p>
      <w:pPr>
        <w:pStyle w:val="CaseFootnoteText"/>
      </w:pPr>
      <w:r>
        <w:rPr>
          <w:rStyle w:val="FootnoteReference"/>
        </w:rPr>
        <w:t xml:space="preserve">1  </w:t>
      </w:r>
      <w:r>
        <w:t xml:space="preserve">Sam Hayes’ share of stock had been reissued to Hayes Oyster in order to allow Keypoint to attain a tax advantage.</w:t>
      </w:r>
    </w:p>
  </w:footnote>
  <w:footnote w:id="37">
    <w:p>
      <w:pPr>
        <w:pStyle w:val="CaseFootnoteText"/>
      </w:pPr>
      <w:r>
        <w:rPr>
          <w:rStyle w:val="FootnoteReference"/>
        </w:rPr>
        <w:t xml:space="preserve">1  </w:t>
      </w:r>
      <w:r>
        <w:t xml:space="preserve">"Alcatel” refers to Alcatel and its affiliates.</w:t>
      </w:r>
    </w:p>
  </w:footnote>
  <w:footnote w:id="38">
    <w:p>
      <w:pPr>
        <w:pStyle w:val="CaseFootnoteText"/>
      </w:pPr>
      <w:r>
        <w:rPr>
          <w:rStyle w:val="FootnoteReference"/>
        </w:rPr>
        <w:t xml:space="preserve">1  </w:t>
      </w:r>
      <w:r>
        <w:t xml:space="preserve">One of the parties, Dr. Armand Hammer, died on December 10, 1990 during the course of briefing this appeal. When this Court heard oral argument on January 23, 1991, the litigants were advised of the need to substitute Dr. Hammer’s estate as a party. Supr.Ct.R. 31(c). The announcement of a disposition in this appeal has been delayed until the estate of Dr. Armand Hammer was substituted as a party. The substitution occurred on July 9, 1991, following protracted proceedings in California.</w:t>
      </w:r>
    </w:p>
  </w:footnote>
  <w:footnote w:id="39">
    <w:p>
      <w:pPr>
        <w:pStyle w:val="CaseFootnoteText"/>
      </w:pPr>
      <w:r>
        <w:rPr>
          <w:rStyle w:val="FootnoteReference"/>
        </w:rPr>
        <w:t xml:space="preserve">1  </w:t>
      </w:r>
      <w:r>
        <w:t xml:space="preserve">On October 11, 2005, Southern Peru changed its name to "Southern Copper Corporation” and is currently traded on the NYSE under the symbol "SCCO.”</w:t>
      </w:r>
    </w:p>
  </w:footnote>
  <w:footnote w:id="40">
    <w:p>
      <w:pPr>
        <w:pStyle w:val="CaseFootnoteText"/>
      </w:pPr>
      <w:r>
        <w:rPr>
          <w:rStyle w:val="FootnoteReference"/>
        </w:rPr>
        <w:t xml:space="preserve">1  </w:t>
      </w:r>
      <w:r>
        <w:t xml:space="preserve"/>
      </w:r>
      <w:r>
        <w:t xml:space="preserve"> </w:t>
      </w:r>
      <w:r>
        <w:rPr>
          <w:iCs/>
          <w:i/>
        </w:rPr>
        <w:t xml:space="preserve">Lynch</w:t>
      </w:r>
      <w:r>
        <w:t xml:space="preserve"> </w:t>
      </w:r>
      <w:r>
        <w:t xml:space="preserve">typically is assumed to have involved a single-step, long-form merger.</w:t>
      </w:r>
      <w:r>
        <w:t xml:space="preserve"> </w:t>
      </w:r>
      <w:r>
        <w:rPr>
          <w:iCs/>
          <w:i/>
        </w:rPr>
        <w:t xml:space="preserve">See, e.g., Krasner v. Moffett,</w:t>
      </w:r>
      <w:r>
        <w:t xml:space="preserve"> </w:t>
      </w:r>
      <w:r>
        <w:t xml:space="preserve">826 A.2d 277</w:t>
      </w:r>
      <w:r>
        <w:t xml:space="preserve">, 287 (Del.2003);</w:t>
      </w:r>
      <w:r>
        <w:t xml:space="preserve"> </w:t>
      </w:r>
      <w:r>
        <w:rPr>
          <w:iCs/>
          <w:i/>
        </w:rPr>
        <w:t xml:space="preserve">Glassman v. Unocal Exploration Corp.,</w:t>
      </w:r>
      <w:r>
        <w:rPr>
          <w:iCs/>
          <w:i/>
        </w:rPr>
        <w:t xml:space="preserve"> </w:t>
      </w:r>
      <w:r>
        <w:rPr>
          <w:iCs/>
          <w:i/>
        </w:rPr>
        <w:t xml:space="preserve">777</w:t>
      </w:r>
      <w:r>
        <w:rPr>
          <w:iCs/>
          <w:i/>
        </w:rPr>
        <w:t xml:space="preserve"> </w:t>
      </w:r>
      <w:r>
        <w:t xml:space="preserve">A.2d 242</w:t>
      </w:r>
      <w:r>
        <w:t xml:space="preserve">, 247-48 n. 25 (Del.2001);</w:t>
      </w:r>
      <w:r>
        <w:t xml:space="preserve"> </w:t>
      </w:r>
      <w:r>
        <w:rPr>
          <w:iCs/>
          <w:i/>
        </w:rPr>
        <w:t xml:space="preserve">Kahn v. Tremont Corp.,</w:t>
      </w:r>
      <w:r>
        <w:t xml:space="preserve"> </w:t>
      </w:r>
      <w:r>
        <w:t xml:space="preserve">694 A.2d 422</w:t>
      </w:r>
      <w:r>
        <w:t xml:space="preserve">, 428-29, 432-33 (Del.1997). This assumption turns out to be incorrect;</w:t>
      </w:r>
      <w:r>
        <w:t xml:space="preserve"> </w:t>
      </w:r>
      <w:r>
        <w:rPr>
          <w:iCs/>
          <w:i/>
        </w:rPr>
        <w:t xml:space="preserve">Lynch</w:t>
      </w:r>
      <w:r>
        <w:t xml:space="preserve"> </w:t>
      </w:r>
      <w:r>
        <w:t xml:space="preserve">involved a two-step transaction, initially consisting of a consensual tender offer followed by a long form merger, but consummated as a tender offer followed by a short-form merger.</w:t>
      </w:r>
      <w:r>
        <w:t xml:space="preserve"> </w:t>
      </w:r>
      <w:r>
        <w:rPr>
          <w:iCs/>
          <w:i/>
        </w:rPr>
        <w:t xml:space="preserve">See</w:t>
      </w:r>
      <w:r>
        <w:t xml:space="preserve"> </w:t>
      </w:r>
      <w:r>
        <w:t xml:space="preserve">Peter V. Letsou &amp; Steven M. Haas,</w:t>
      </w:r>
      <w:r>
        <w:t xml:space="preserve"> </w:t>
      </w:r>
      <w:r>
        <w:rPr>
          <w:iCs/>
          <w:i/>
        </w:rPr>
        <w:t xml:space="preserve">The Dilemma That Should Never Have Been: Minority Freeze Outs in Delaware,</w:t>
      </w:r>
      <w:r>
        <w:t xml:space="preserve"> </w:t>
      </w:r>
      <w:r>
        <w:t xml:space="preserve">61 Bus. Law. 25, 37 n. 80, 44 n. 125, 47-48 (2005). Consistent with the actual transaction at issue in</w:t>
      </w:r>
      <w:r>
        <w:t xml:space="preserve"> </w:t>
      </w:r>
      <w:r>
        <w:rPr>
          <w:iCs/>
          <w:i/>
        </w:rPr>
        <w:t xml:space="preserve">Lynch,</w:t>
      </w:r>
      <w:r>
        <w:t xml:space="preserve"> </w:t>
      </w:r>
      <w:r>
        <w:t xml:space="preserve">the Court of Chancery has regarded an agreed-upon tender offer and squeeze-out merger as subject to entire fairness review under</w:t>
      </w:r>
      <w:r>
        <w:t xml:space="preserve"> </w:t>
      </w:r>
      <w:r>
        <w:rPr>
          <w:iCs/>
          <w:i/>
        </w:rPr>
        <w:t xml:space="preserve">Lynch. See, e.g., In re Revlon, Inc. S’holders Litig.,</w:t>
      </w:r>
      <w:r>
        <w:t xml:space="preserve"> </w:t>
      </w:r>
      <w:r>
        <w:t xml:space="preserve">990 A.2d 940</w:t>
      </w:r>
      <w:r>
        <w:t xml:space="preserve">, 956-57 (Del.Ch.2010) [hereinafter,</w:t>
      </w:r>
      <w:r>
        <w:t xml:space="preserve"> </w:t>
      </w:r>
      <w:r>
        <w:rPr>
          <w:iCs/>
          <w:i/>
        </w:rPr>
        <w:t xml:space="preserve">"Revlon</w:t>
      </w:r>
      <w:r>
        <w:t xml:space="preserve"> </w:t>
      </w:r>
      <w:r>
        <w:t xml:space="preserve">II"];</w:t>
      </w:r>
      <w:r>
        <w:t xml:space="preserve"> </w:t>
      </w:r>
      <w:r>
        <w:rPr>
          <w:iCs/>
          <w:i/>
        </w:rPr>
        <w:t xml:space="preserve">In re Unocal Exploration Corp. S’holders Litig.,</w:t>
      </w:r>
      <w:r>
        <w:t xml:space="preserve"> </w:t>
      </w:r>
      <w:r>
        <w:t xml:space="preserve">793 A.2d 329</w:t>
      </w:r>
      <w:r>
        <w:t xml:space="preserve">, 338 n. 26 (Del.Ch.2000), aff</w:t>
      </w:r>
      <w:r>
        <w:rPr>
          <w:iCs/>
          <w:i/>
        </w:rPr>
        <w:t xml:space="preserve">'d sub nom. Glassman v. Unocal Exploration Corp., Ill</w:t>
      </w:r>
      <w:r>
        <w:t xml:space="preserve"> </w:t>
      </w:r>
      <w:r>
        <w:t xml:space="preserve">A.2d 242 (Del.2001);</w:t>
      </w:r>
      <w:r>
        <w:t xml:space="preserve"> </w:t>
      </w:r>
      <w:r>
        <w:rPr>
          <w:iCs/>
          <w:i/>
        </w:rPr>
        <w:t xml:space="preserve">Andra v. Blount,</w:t>
      </w:r>
      <w:r>
        <w:t xml:space="preserve"> </w:t>
      </w:r>
      <w:r>
        <w:t xml:space="preserve">772 A.2d 183</w:t>
      </w:r>
      <w:r>
        <w:t xml:space="preserve">, 195 n. 30 (Del.Ch.2000);</w:t>
      </w:r>
      <w:r>
        <w:t xml:space="preserve"> </w:t>
      </w:r>
      <w:r>
        <w:rPr>
          <w:iCs/>
          <w:i/>
        </w:rPr>
        <w:t xml:space="preserve">Hartley v. Peapod, Inc.,</w:t>
      </w:r>
      <w:r>
        <w:t xml:space="preserve"> </w:t>
      </w:r>
      <w:r>
        <w:t xml:space="preserve">C.A. No. 19025,</w:t>
      </w:r>
      <w:r>
        <w:t xml:space="preserve"> </w:t>
      </w:r>
      <w:r>
        <w:t xml:space="preserve">2002 WL 31957458</w:t>
      </w:r>
      <w:r>
        <w:t xml:space="preserve"> </w:t>
      </w:r>
      <w:r>
        <w:t xml:space="preserve">(Del. Ch. Feb. 27, 2002) (TRANSCRIPT);</w:t>
      </w:r>
      <w:r>
        <w:t xml:space="preserve"> </w:t>
      </w:r>
      <w:r>
        <w:rPr>
          <w:iCs/>
          <w:i/>
        </w:rPr>
        <w:t xml:space="preserve">see generally</w:t>
      </w:r>
      <w:r>
        <w:t xml:space="preserve"> </w:t>
      </w:r>
      <w:r>
        <w:t xml:space="preserve">1 R. Franklin Balotti &amp; Jesse A. Finkelstein,</w:t>
      </w:r>
      <w:r>
        <w:t xml:space="preserve"> </w:t>
      </w:r>
      <w:r>
        <w:rPr>
          <w:iCs/>
          <w:i/>
        </w:rPr>
        <w:t xml:space="preserve">The Delaware Law of Corporations &amp; Business Organizations</w:t>
      </w:r>
      <w:r>
        <w:t xml:space="preserve"> </w:t>
      </w:r>
      <w:r>
        <w:t xml:space="preserve">§ 9.36A (3d ed. &amp; 2010 Supp.) (describing</w:t>
      </w:r>
      <w:r>
        <w:t xml:space="preserve"> </w:t>
      </w:r>
      <w:r>
        <w:rPr>
          <w:iCs/>
          <w:i/>
        </w:rPr>
        <w:t xml:space="preserve">Peapod</w:t>
      </w:r>
      <w:r>
        <w:t xml:space="preserve"> </w:t>
      </w:r>
      <w:r>
        <w:t xml:space="preserve">ruling).</w:t>
      </w:r>
    </w:p>
  </w:footnote>
  <w:footnote w:id="41">
    <w:p>
      <w:pPr>
        <w:pStyle w:val="CaseFootnoteText"/>
      </w:pPr>
      <w:r>
        <w:rPr>
          <w:rStyle w:val="FootnoteReference"/>
        </w:rPr>
        <w:t xml:space="preserve">2  </w:t>
      </w:r>
      <w:r>
        <w:t xml:space="preserve">Loans were secured by a second mortgage on Warren’s real estate and a first chattel mortgage on its inventories of grain and merchandise in the sum of $175,000 with 7% interest. Warren was to use the $175,000 to pay off the debt that it owed to Atwood Larson.</w:t>
      </w:r>
    </w:p>
  </w:footnote>
  <w:footnote w:id="42">
    <w:p>
      <w:pPr>
        <w:pStyle w:val="CaseFootnoteText"/>
      </w:pPr>
      <w:r>
        <w:rPr>
          <w:rStyle w:val="FootnoteReference"/>
        </w:rPr>
        <w:t xml:space="preserve">2  </w:t>
      </w:r>
      <w:r>
        <w:t xml:space="preserve">Our colleague, in partial dissent, argues that the administrative costs attributable to Dale and Barnett should be recoverable as fraud damages. To reach that result, the dissent would fundamentally alter the at-will employment doctrine by qualifying an employee's right to quit at any time. According to the dissent, Dale and Barnett induced Food Lion to hire them and spend money to train them by</w:t>
      </w:r>
      <w:r>
        <w:t xml:space="preserve"> </w:t>
      </w:r>
      <w:r>
        <w:rPr>
          <w:iCs/>
          <w:i/>
        </w:rPr>
        <w:t xml:space="preserve">impliedly</w:t>
      </w:r>
      <w:r>
        <w:t xml:space="preserve"> </w:t>
      </w:r>
      <w:r>
        <w:t xml:space="preserve">representing (as at-will job applicants) that (1) they "intend[ed] to work indefinitely, until [there was] a change in circumstances” and that (2) there was "a possibility that they would become long-term employees.”</w:t>
      </w:r>
      <w:r>
        <w:t xml:space="preserve"> </w:t>
      </w:r>
      <w:r>
        <w:rPr>
          <w:iCs/>
          <w:i/>
        </w:rPr>
        <w:t xml:space="preserve">Post</w:t>
      </w:r>
      <w:r>
        <w:t xml:space="preserve"> </w:t>
      </w:r>
      <w:r>
        <w:t xml:space="preserve">at 30. But these implied representations that the dissent would impute are in essence representations about the potential duration of employment, and here they would translate into an obligation to work longer than a week or two. Such an obligation is inconsistent with, and cannot be enforced under, the at-will employment doctrine. Thus, when Food Lion, as an at-will employer, incurred the administrative expenses, it took the full risk that Dale and Barnett might do what any at-will employee was free to do (and what many at Food Lion did) — quit within a very short time.</w:t>
      </w:r>
    </w:p>
    <w:p>
      <w:pPr>
        <w:pStyle w:val="CaseFootnoteText"/>
      </w:pPr>
      <w:r>
        <w:t xml:space="preserve">Nor can fraud damages be supported by the breach of duty of loyalty we confirm in the next subpart. The dissent argues that because Dale and Barnett (by silence) misrepresented their loyalty, Food Lion was willing to spend the money to train them on the chance they might become long-term employees.</w:t>
      </w:r>
      <w:r>
        <w:t xml:space="preserve"/>
      </w:r>
      <w:r>
        <w:rPr>
          <w:iCs/>
          <w:i/>
        </w:rPr>
        <w:t xml:space="preserve">See post</w:t>
      </w:r>
      <w:r>
        <w:t xml:space="preserve"> </w:t>
      </w:r>
      <w:r>
        <w:t xml:space="preserve">at 32. Missing out on that "chance” is too speculative to form a basis for damages. Even if Food Lion had spent the money on new hires who were loyal, there is no evidence that the hypothetical new hires would have stayed any longer than Dale and Barnett in these high turnover jobs. Indeed, Food Lion conceded at trial that it could not prove actual damages resulting from the breach of duty of loyalty.</w:t>
      </w:r>
    </w:p>
  </w:footnote>
  <w:footnote w:id="43">
    <w:p>
      <w:pPr>
        <w:pStyle w:val="CaseFootnoteText"/>
      </w:pPr>
      <w:r>
        <w:rPr>
          <w:rStyle w:val="FootnoteReference"/>
        </w:rPr>
        <w:t xml:space="preserve">2  </w:t>
      </w:r>
      <w:r>
        <w:t xml:space="preserve">The proxy statement incorporated into the complaint and relied on by the parties is properly considered on a motion to dismiss.</w:t>
      </w:r>
      <w:r>
        <w:t xml:space="preserve"> </w:t>
      </w:r>
      <w:r>
        <w:rPr>
          <w:iCs/>
          <w:i/>
        </w:rPr>
        <w:t xml:space="preserve">Allen v. Encore Energy Partners, L.P.,</w:t>
      </w:r>
      <w:r>
        <w:t xml:space="preserve"> </w:t>
      </w:r>
      <w:r>
        <w:t xml:space="preserve">72 A.3d 93</w:t>
      </w:r>
      <w:r>
        <w:t xml:space="preserve">, 96 n.2 (Del. 2013).</w:t>
      </w:r>
    </w:p>
  </w:footnote>
  <w:footnote w:id="44">
    <w:p>
      <w:pPr>
        <w:pStyle w:val="CaseFootnoteText"/>
      </w:pPr>
      <w:r>
        <w:rPr>
          <w:rStyle w:val="FootnoteReference"/>
        </w:rPr>
        <w:t xml:space="preserve">2  </w:t>
      </w:r>
      <w:r>
        <w:t xml:space="preserve">We rely primarily on the Court of Chancery's factual findings, most of which are not at issue in this appeal. Any disputed facts are noted in this Opinion.</w:t>
      </w:r>
    </w:p>
  </w:footnote>
  <w:footnote w:id="45">
    <w:p>
      <w:pPr>
        <w:pStyle w:val="CaseFootnoteText"/>
      </w:pPr>
      <w:r>
        <w:rPr>
          <w:rStyle w:val="FootnoteReference"/>
        </w:rPr>
        <w:t xml:space="preserve">2  </w:t>
      </w:r>
      <w:r>
        <w:t xml:space="preserve"/>
      </w:r>
      <w:r>
        <w:t xml:space="preserve">See</w:t>
      </w:r>
      <w:r>
        <w:t xml:space="preserve"> </w:t>
      </w:r>
      <w:r>
        <w:rPr>
          <w:iCs/>
          <w:i/>
        </w:rPr>
        <w:t xml:space="preserve">Yee</w:t>
      </w:r>
      <w:r>
        <w:t xml:space="preserve"> </w:t>
      </w:r>
      <w:r>
        <w:t xml:space="preserve">v.</w:t>
      </w:r>
      <w:r>
        <w:t xml:space="preserve"> </w:t>
      </w:r>
      <w:r>
        <w:rPr>
          <w:iCs/>
          <w:i/>
        </w:rPr>
        <w:t xml:space="preserve">Escondido,</w:t>
      </w:r>
      <w:r>
        <w:t xml:space="preserve"> </w:t>
      </w:r>
      <w:r>
        <w:t xml:space="preserve">503 U. S. 519, 535 (1992) (“[U]nder this Court’s Rule 14.1(a), only the questions set forth in the petition, or fairly included therein, will be considered by the Court” (internal quotation marks and alteration omitted));</w:t>
      </w:r>
      <w:r>
        <w:t xml:space="preserve"> </w:t>
      </w:r>
      <w:r>
        <w:rPr>
          <w:iCs/>
          <w:i/>
        </w:rPr>
        <w:t xml:space="preserve">Wood</w:t>
      </w:r>
      <w:r>
        <w:t xml:space="preserve"> </w:t>
      </w:r>
      <w:r>
        <w:t xml:space="preserve">v.</w:t>
      </w:r>
      <w:r>
        <w:t xml:space="preserve"> </w:t>
      </w:r>
      <w:r>
        <w:rPr>
          <w:iCs/>
          <w:i/>
        </w:rPr>
        <w:t xml:space="preserve">Allen, ante,</w:t>
      </w:r>
      <w:r>
        <w:t xml:space="preserve"> </w:t>
      </w:r>
      <w:r>
        <w:t xml:space="preserve">at 304 (“[T]he fact that petitioner discussed [an] issue in the text of his petition for certiorari does not bring it before us. Rule 14.1(a) requires that a subsidiary question be fairly included in the</w:t>
      </w:r>
      <w:r>
        <w:t xml:space="preserve"> </w:t>
      </w:r>
      <w:r>
        <w:rPr>
          <w:iCs/>
          <w:i/>
        </w:rPr>
        <w:t xml:space="preserve">question presented</w:t>
      </w:r>
      <w:r>
        <w:t xml:space="preserve"> </w:t>
      </w:r>
      <w:r>
        <w:t xml:space="preserve">for our review” (internal quotation marks and brackets omitted));</w:t>
      </w:r>
      <w:r>
        <w:t xml:space="preserve"> </w:t>
      </w:r>
      <w:r>
        <w:rPr>
          <w:iCs/>
          <w:i/>
        </w:rPr>
        <w:t xml:space="preserve">Cooper Industries, Inc.</w:t>
      </w:r>
      <w:r>
        <w:t xml:space="preserve"> </w:t>
      </w:r>
      <w:r>
        <w:t xml:space="preserve">v.</w:t>
      </w:r>
      <w:r>
        <w:t xml:space="preserve"> </w:t>
      </w:r>
      <w:r>
        <w:rPr>
          <w:iCs/>
          <w:i/>
        </w:rPr>
        <w:t xml:space="preserve">Aviall Services, Inc.,</w:t>
      </w:r>
      <w:r>
        <w:t xml:space="preserve"> </w:t>
      </w:r>
      <w:r>
        <w:t xml:space="preserve">543 U. S. 157, 168-169 (2004) (“We ordinarily do not decide in the first instance issues not decided below” (internal quotation marks omitted)).</w:t>
      </w:r>
    </w:p>
  </w:footnote>
  <w:footnote w:id="46">
    <w:p>
      <w:pPr>
        <w:pStyle w:val="CaseFootnoteText"/>
      </w:pPr>
      <w:r>
        <w:rPr>
          <w:rStyle w:val="FootnoteReference"/>
        </w:rPr>
        <w:t xml:space="preserve">2  </w:t>
      </w:r>
      <w:r>
        <w:t xml:space="preserve"/>
      </w:r>
      <w:r>
        <w:t xml:space="preserve">But cf.</w:t>
      </w:r>
      <w:r>
        <w:t xml:space="preserve"> </w:t>
      </w:r>
      <w:r>
        <w:rPr>
          <w:iCs/>
          <w:i/>
        </w:rPr>
        <w:t xml:space="preserve">Hill</w:t>
      </w:r>
      <w:r>
        <w:t xml:space="preserve"> </w:t>
      </w:r>
      <w:r>
        <w:t xml:space="preserve">v.</w:t>
      </w:r>
      <w:r>
        <w:t xml:space="preserve"> </w:t>
      </w:r>
      <w:r>
        <w:rPr>
          <w:iCs/>
          <w:i/>
        </w:rPr>
        <w:t xml:space="preserve">Colorado,</w:t>
      </w:r>
      <w:r>
        <w:t xml:space="preserve"> </w:t>
      </w:r>
      <w:r>
        <w:t xml:space="preserve">530 U.S. 703, 707-710 (2000) (approving a statute restricting speech “within 100 feet” of abortion clinics because it protected women seeking an abortion from “‘sidewalk counseling,”’ which “consists of efforts ‘to educate, counsel, persuade, or inform passersby about abortion and abortion alternatives by means of verbal or written speech,’” and which “sometimes” involved “strong and abusive language in face-to-face encounters”).</w:t>
      </w:r>
    </w:p>
    <w:p>
      <w:pPr>
        <w:pStyle w:val="NodeEnd"/>
      </w:pPr>
      <w:r>
        <w:t xml:space="preserve"> </w:t>
      </w:r>
    </w:p>
    <w:p>
      <w:pPr>
        <w:pStyle w:val="NodeStart"/>
      </w:pPr>
      <w:r>
        <w:t xml:space="preserve"> </w:t>
      </w:r>
    </w:p>
    <w:p>
      <w:pPr>
        <w:pStyle w:val="HeadSeparator"/>
      </w:pPr>
      <w:r>
        <w:t xml:space="preserve"> </w:t>
      </w:r>
    </w:p>
  </w:footnote>
  <w:footnote w:id="47">
    <w:p>
      <w:pPr>
        <w:pStyle w:val="CaseFootnoteText"/>
      </w:pPr>
      <w:r>
        <w:rPr>
          <w:rStyle w:val="FootnoteReference"/>
        </w:rPr>
        <w:t xml:space="preserve">2  </w:t>
      </w:r>
      <w:r>
        <w:t xml:space="preserve"/>
      </w:r>
      <w:r>
        <w:t xml:space="preserve">App. 33a (merger information statement, considered by parties and court below as part of the amended complaint). Sante Fe controlled Kirby through its wholly owned subsidiary, Santa Fe Natural Resources, Inc., which owned the Kirby stock.</w:t>
      </w:r>
    </w:p>
  </w:footnote>
  <w:footnote w:id="48">
    <w:p>
      <w:pPr>
        <w:pStyle w:val="CaseFootnoteText"/>
      </w:pPr>
      <w:r>
        <w:rPr>
          <w:rStyle w:val="FootnoteReference"/>
        </w:rPr>
        <w:t xml:space="preserve">2  </w:t>
      </w:r>
      <w:r>
        <w:t xml:space="preserve"/>
      </w:r>
      <w:r>
        <w:t xml:space="preserve">The motivation for the merger is a matter of indifference to the minority stockholders because they retain no interest in the corporation after the merger is consummated.</w:t>
      </w:r>
    </w:p>
    <w:p>
      <w:pPr>
        <w:pStyle w:val="NodeEnd"/>
      </w:pPr>
      <w:r>
        <w:t xml:space="preserve"> </w:t>
      </w:r>
    </w:p>
    <w:p>
      <w:pPr>
        <w:pStyle w:val="NodeStart"/>
      </w:pPr>
      <w:r>
        <w:t xml:space="preserve"> </w:t>
      </w:r>
    </w:p>
    <w:p>
      <w:pPr>
        <w:pStyle w:val="HeadSeparator"/>
      </w:pPr>
      <w:r>
        <w:t xml:space="preserve"> </w:t>
      </w:r>
    </w:p>
  </w:footnote>
  <w:footnote w:id="49">
    <w:p>
      <w:pPr>
        <w:pStyle w:val="CaseFootnoteText"/>
      </w:pPr>
      <w:r>
        <w:rPr>
          <w:rStyle w:val="FootnoteReference"/>
        </w:rPr>
        <w:t xml:space="preserve">2  </w:t>
      </w:r>
      <w:r>
        <w:t xml:space="preserve">The district court subsequently set the forfeiture amount at $1,382,217.</w:t>
      </w:r>
    </w:p>
  </w:footnote>
  <w:footnote w:id="50">
    <w:p>
      <w:pPr>
        <w:pStyle w:val="CaseFootnoteText"/>
      </w:pPr>
      <w:r>
        <w:rPr>
          <w:rStyle w:val="FootnoteReference"/>
        </w:rPr>
        <w:t xml:space="preserve">2  </w:t>
      </w:r>
      <w:r>
        <w:t xml:space="preserve"/>
      </w:r>
      <w:r>
        <w:t xml:space="preserve">Section 14 (a) provides:</w:t>
      </w:r>
    </w:p>
    <w:p>
      <w:pPr>
        <w:pStyle w:val="BlockText"/>
      </w:pPr>
      <w:r>
        <w:t xml:space="preserve">“It shall be unlawful for any person, by the use of the mails or by any means or instrumentality of interstate commerce or of any facility of a national securities exchange or otherwise, in contravention of such rules and regulations as the Commission may prescribe as necessary or appropriate in the public interest or for the protection of investors, to solicit or to permit the use of his name to solicit any proxy or consent or authorization in respect of any security (other than an exempted security) registered pursuant to section</w:t>
      </w:r>
      <w:r>
        <w:t xml:space="preserve"/>
      </w:r>
      <w:r>
        <w:rPr>
          <w:iCs/>
          <w:i/>
        </w:rPr>
        <w:t xml:space="preserve">781</w:t>
      </w:r>
      <w:r>
        <w:t xml:space="preserve"> </w:t>
      </w:r>
      <w:r>
        <w:t xml:space="preserve">of this title.”</w:t>
      </w:r>
    </w:p>
  </w:footnote>
  <w:footnote w:id="51">
    <w:p>
      <w:pPr>
        <w:pStyle w:val="CaseFootnoteText"/>
      </w:pPr>
      <w:r>
        <w:rPr>
          <w:rStyle w:val="FootnoteReference"/>
        </w:rPr>
        <w:t xml:space="preserve">2  </w:t>
      </w:r>
      <w:r>
        <w:t xml:space="preserve"/>
      </w:r>
      <w:r>
        <w:t xml:space="preserve">The District Court opinion is reported at</w:t>
      </w:r>
      <w:r>
        <w:t xml:space="preserve"> </w:t>
      </w:r>
      <w:r>
        <w:t xml:space="preserve">339 F. Supp. 35</w:t>
      </w:r>
      <w:r>
        <w:t xml:space="preserve"> </w:t>
      </w:r>
      <w:r>
        <w:t xml:space="preserve">(1971).</w:t>
      </w:r>
    </w:p>
  </w:footnote>
  <w:footnote w:id="52">
    <w:p>
      <w:pPr>
        <w:pStyle w:val="CaseFootnoteText"/>
      </w:pPr>
      <w:r>
        <w:rPr>
          <w:rStyle w:val="FootnoteReference"/>
        </w:rPr>
        <w:t xml:space="preserve">2  </w:t>
      </w:r>
      <w:r>
        <w:t xml:space="preserve"/>
      </w:r>
      <w:r>
        <w:t xml:space="preserve">Proving, after the fact, what “one would have done” encompasses a number of conjectural as well as subjective issues: would the offeree have bought at all; how many shares would he have bought; how long would he have held the shares; were there other “buys” on the market at the time that may have been more attractive even had the offeree known the facts; did he in fact use his available funds (if any) more advantageously by purchasing something else?</w:t>
      </w:r>
    </w:p>
  </w:footnote>
  <w:footnote w:id="53">
    <w:p>
      <w:pPr>
        <w:pStyle w:val="CaseFootnoteText"/>
      </w:pPr>
      <w:r>
        <w:rPr>
          <w:rStyle w:val="FootnoteReference"/>
        </w:rPr>
        <w:t xml:space="preserve">2  </w:t>
      </w:r>
      <w:r>
        <w:t xml:space="preserve"/>
      </w:r>
      <w:r>
        <w:t xml:space="preserve">Just this Term, however, we did not view with such tender regard another decision by the very same panel. See'</w:t>
      </w:r>
      <w:r>
        <w:t xml:space="preserve"> </w:t>
      </w:r>
      <w:r>
        <w:rPr>
          <w:iCs/>
          <w:i/>
        </w:rPr>
        <w:t xml:space="preserve">United States</w:t>
      </w:r>
      <w:r>
        <w:t xml:space="preserve"> </w:t>
      </w:r>
      <w:r>
        <w:t xml:space="preserve">v.</w:t>
      </w:r>
      <w:r>
        <w:t xml:space="preserve"> </w:t>
      </w:r>
      <w:r>
        <w:rPr>
          <w:iCs/>
          <w:i/>
        </w:rPr>
        <w:t xml:space="preserve">Feola,</w:t>
      </w:r>
      <w:r>
        <w:t xml:space="preserve"> </w:t>
      </w:r>
      <w:r>
        <w:t xml:space="preserve">420 U. S. 671</w:t>
      </w:r>
      <w:r>
        <w:t xml:space="preserve"> </w:t>
      </w:r>
      <w:r>
        <w:t xml:space="preserve">(1975), and its treatment of an analogy advanced in</w:t>
      </w:r>
      <w:r>
        <w:t xml:space="preserve"> </w:t>
      </w:r>
      <w:r>
        <w:rPr>
          <w:iCs/>
          <w:i/>
        </w:rPr>
        <w:t xml:space="preserve">United States</w:t>
      </w:r>
      <w:r>
        <w:t xml:space="preserve"> </w:t>
      </w:r>
      <w:r>
        <w:t xml:space="preserve">v.</w:t>
      </w:r>
      <w:r>
        <w:t xml:space="preserve"> </w:t>
      </w:r>
      <w:r>
        <w:rPr>
          <w:iCs/>
          <w:i/>
        </w:rPr>
        <w:t xml:space="preserve">Crimmins,</w:t>
      </w:r>
      <w:r>
        <w:t xml:space="preserve"> </w:t>
      </w:r>
      <w:r>
        <w:t xml:space="preserve">123 F. 2d 271</w:t>
      </w:r>
      <w:r>
        <w:t xml:space="preserve"> </w:t>
      </w:r>
      <w:r>
        <w:t xml:space="preserve">(CA2 1941).</w:t>
      </w:r>
    </w:p>
  </w:footnote>
  <w:footnote w:id="54">
    <w:p>
      <w:pPr>
        <w:pStyle w:val="CaseFootnoteText"/>
      </w:pPr>
      <w:r>
        <w:rPr>
          <w:rStyle w:val="FootnoteReference"/>
        </w:rPr>
        <w:t xml:space="preserve">2  </w:t>
      </w:r>
      <w:r>
        <w:t xml:space="preserve">Laborde was asked to state what “opinion” he gave the incorporators and whether he still entertained it. This question was not specifially referenced to adequacy of capital, and the answer given does not reveal the witness’ opinion on that subject. The following question was then asked and answered: “Q. And did you express an opinion as to whether or not the stated capital of $0,000.00, having in mind the execution of corporate notes for the remainder of what had been the capital accounts of the partners, would with the other assets of the business be sufficient in yonr opinion for the corporation to carry on successfully? A. Yes.” The witness was not thereafter asked to state what the opinion was that he had expressed, or what was his present opinion on the subject.</w:t>
      </w:r>
    </w:p>
  </w:footnote>
  <w:footnote w:id="55">
    <w:p>
      <w:pPr>
        <w:pStyle w:val="CaseFootnoteText"/>
      </w:pPr>
      <w:r>
        <w:rPr>
          <w:rStyle w:val="FootnoteReference"/>
        </w:rPr>
        <w:t xml:space="preserve">2  </w:t>
      </w:r>
      <w:r>
        <w:t xml:space="preserve">We note that the record evidence in this case, if true, establishes that for years Márchese flagrantly has disregarded the tax code concerning the treatment of corporate funds. Yet, when we inquired at oral argument whether Márchese currently is under investigation by the IRS, his counsel informed us that to his knowledge he is not. Márchese also stated in his deposition that he never has been audited by the IRS. If these statements are true, and the IRS has so far shown absolutely no interest in Marchese's financial shenanigans with his "corporations," how and why that has occurred may be the biggest puzzles in this litigation.</w:t>
      </w:r>
    </w:p>
  </w:footnote>
  <w:footnote w:id="56">
    <w:p>
      <w:pPr>
        <w:pStyle w:val="CaseFootnoteText"/>
      </w:pPr>
      <w:r>
        <w:rPr>
          <w:rStyle w:val="FootnoteReference"/>
        </w:rPr>
        <w:t xml:space="preserve">2  </w:t>
      </w:r>
      <w:r>
        <w:t xml:space="preserve">The application of the public shareholder to intervene will, I would think, he granted. Those persons have an obvious interest in this matter and to the extent defenses to the counterclaim personal to Mr. Baker have been raised, the intervenors’ presence may be necessary to fully protect their interests.</w:t>
      </w:r>
      <w:r>
        <w:t xml:space="preserve"> </w:t>
      </w:r>
      <w:r>
        <w:rPr>
          <w:iCs/>
          <w:i/>
        </w:rPr>
        <w:t xml:space="preserve">See</w:t>
      </w:r>
      <w:r>
        <w:t xml:space="preserve"> </w:t>
      </w:r>
      <w:r>
        <w:t xml:space="preserve">Chancery Court Rule 24(a). In any case, if the proposed intervenors are in fact Chem stockholders, I see no reason to deny the application even if it were deemed to be governed by the standards of permissive intervention.</w:t>
      </w:r>
      <w:r>
        <w:t xml:space="preserve"> </w:t>
      </w:r>
      <w:r>
        <w:rPr>
          <w:iCs/>
          <w:i/>
        </w:rPr>
        <w:t xml:space="preserve">See</w:t>
      </w:r>
      <w:r>
        <w:t xml:space="preserve"> </w:t>
      </w:r>
      <w:r>
        <w:t xml:space="preserve">Chancery Court Rule 24(b). The situation is not too dissimilar from that treated in</w:t>
      </w:r>
      <w:r>
        <w:t xml:space="preserve"> </w:t>
      </w:r>
      <w:r>
        <w:rPr>
          <w:iCs/>
          <w:i/>
        </w:rPr>
        <w:t xml:space="preserve">Campbell v. Loew’s, Inc.,</w:t>
      </w:r>
      <w:r>
        <w:t xml:space="preserve"> </w:t>
      </w:r>
      <w:r>
        <w:t xml:space="preserve">Del.Ch.,</w:t>
      </w:r>
      <w:r>
        <w:t xml:space="preserve"> </w:t>
      </w:r>
      <w:r>
        <w:t xml:space="preserve">136 A.2d 191</w:t>
      </w:r>
      <w:r>
        <w:t xml:space="preserve">, 192 (1957). However, plaintiff should be provided an opportunity to take limited discovery on this motion should they wish to do so. Therefore, I will not formally rule on the intervention application now; but, for purposes of mooting the estoppel claim, I assume that it will be granted.</w:t>
      </w:r>
    </w:p>
  </w:footnote>
  <w:footnote w:id="57">
    <w:p>
      <w:pPr>
        <w:pStyle w:val="CaseFootnoteText"/>
      </w:pPr>
      <w:r>
        <w:rPr>
          <w:rStyle w:val="FootnoteReference"/>
        </w:rPr>
        <w:t xml:space="preserve">2  </w:t>
      </w:r>
      <w:r>
        <w:t xml:space="preserve">Allegations have been made as to the motives of and the means by which the Brascan Board adopted its resolution to acquire the stock of Woolworth. This issue was not put before the Court, and in any event, such questions are not germane to this lawsuit. I neither make nor imply any findings concerning the motives behind the offer, the manner in which the Board decided to pursue the offer, or the advisability of the offer.</w:t>
      </w:r>
    </w:p>
  </w:footnote>
  <w:footnote w:id="58">
    <w:p>
      <w:pPr>
        <w:pStyle w:val="CaseFootnoteText"/>
      </w:pPr>
      <w:r>
        <w:rPr>
          <w:rStyle w:val="FootnoteReference"/>
        </w:rPr>
        <w:t xml:space="preserve">2  </w:t>
      </w:r>
      <w:r>
        <w:t xml:space="preserve">Most of the facts set forth here are not in dispute and were taken from the consolidated complaint and the briefs of the parties. Where facts are in dispute, I have cited to the specific deposition, affidavit, or other document that formed the basis for the particular statement.</w:t>
      </w:r>
    </w:p>
  </w:footnote>
  <w:footnote w:id="59">
    <w:p>
      <w:pPr>
        <w:pStyle w:val="CaseFootnoteText"/>
      </w:pPr>
      <w:r>
        <w:rPr>
          <w:rStyle w:val="FootnoteReference"/>
        </w:rPr>
        <w:t xml:space="preserve">2  </w:t>
      </w:r>
      <w:r>
        <w:t xml:space="preserve">A "go-shop” provision allows the seller to seek other buyers for a specified period after the agreement is signed.</w:t>
      </w:r>
    </w:p>
  </w:footnote>
  <w:footnote w:id="60">
    <w:p>
      <w:pPr>
        <w:pStyle w:val="CaseFootnoteText"/>
      </w:pPr>
      <w:r>
        <w:rPr>
          <w:rStyle w:val="FootnoteReference"/>
        </w:rPr>
        <w:t xml:space="preserve">2  </w:t>
      </w:r>
      <w:r>
        <w:t xml:space="preserve">Under Bermuda law, by-laws are spelled "bye-laws.”</w:t>
      </w:r>
    </w:p>
  </w:footnote>
  <w:footnote w:id="61">
    <w:p>
      <w:pPr>
        <w:pStyle w:val="CaseFootnoteText"/>
      </w:pPr>
      <w:r>
        <w:rPr>
          <w:rStyle w:val="FootnoteReference"/>
        </w:rPr>
        <w:t xml:space="preserve">2  </w:t>
      </w:r>
      <w:r>
        <w:t xml:space="preserve">Plaintiff City Capital Associates Limited Partnership ("CCA” or “City Capital”) is a Delaware limited partnership. The partnership is owned by two limited partners, Patrick W. Allender and Michael G. Ryan, each of whom owns a 1% interest, and two general partners, City GP I, Inc. and City GP II, Inc., each of which owns a 49% interest in City Capital. Steven M. Rales is the sole shareholder of GP I, and his brother, Mitchell P. Rales, is the sole shareholder of GP II. Moving down the business structure, City Capital owns 100% of Cardinal Holdings Corporation which, in turn, owns 100% of Cardinal Acquisition Corporation. Cardinal Acquisition is the entity extending the offer to purchase. Unless otherwise noted, references to CCA are meant to include the offeror.</w:t>
      </w:r>
    </w:p>
  </w:footnote>
  <w:footnote w:id="62">
    <w:p>
      <w:pPr>
        <w:pStyle w:val="CaseFootnoteText"/>
      </w:pPr>
      <w:r>
        <w:rPr>
          <w:rStyle w:val="FootnoteReference"/>
        </w:rPr>
        <w:t xml:space="preserve">2  </w:t>
      </w:r>
      <w:r>
        <w:t xml:space="preserve">Over the past twenty-four years, Airgas has held its annual meeting on the following dates: August 3, 1987; August 1, 1988; August 7, 1989; August 6, 1990; August 5, 1991; August 3, 1992; July 28, 1993; August 1, 1994; August 7, 1995; August 5, 1996; August 4, 1997; August 3, 1998; August 2, 1999; August 3, 2000; August 2, 2001; July 31, 2002; July 29, 2003; August 4, 2004; August 9, 2005; August 9, 2006; August 7, 2007; August 5, 2008; August 18, 2009; and September 15, 2010.</w:t>
      </w:r>
    </w:p>
  </w:footnote>
  <w:footnote w:id="63">
    <w:p>
      <w:pPr>
        <w:pStyle w:val="CaseFootnoteText"/>
      </w:pPr>
      <w:r>
        <w:rPr>
          <w:rStyle w:val="FootnoteReference"/>
        </w:rPr>
        <w:t xml:space="preserve">2  </w:t>
      </w:r>
      <w:r>
        <w:t xml:space="preserve"/>
      </w:r>
      <w:r>
        <w:t xml:space="preserve"> </w:t>
      </w:r>
      <w:r>
        <w:rPr>
          <w:iCs/>
          <w:i/>
        </w:rPr>
        <w:t xml:space="preserve">Revlon, Inc. v. MacAndrews &amp; Forbes Holdings, Inc.,</w:t>
      </w:r>
      <w:r>
        <w:t xml:space="preserve"> </w:t>
      </w:r>
      <w:r>
        <w:t xml:space="preserve">Del.Supr.,</w:t>
      </w:r>
      <w:r>
        <w:t xml:space="preserve"> </w:t>
      </w:r>
      <w:r>
        <w:t xml:space="preserve">506 A.2d 173</w:t>
      </w:r>
      <w:r>
        <w:t xml:space="preserve"> </w:t>
      </w:r>
      <w:r>
        <w:t xml:space="preserve">(1986).</w:t>
      </w:r>
    </w:p>
  </w:footnote>
  <w:footnote w:id="64">
    <w:p>
      <w:pPr>
        <w:pStyle w:val="CaseFootnoteText"/>
      </w:pPr>
      <w:r>
        <w:rPr>
          <w:rStyle w:val="FootnoteReference"/>
        </w:rPr>
        <w:t xml:space="preserve">2  </w:t>
      </w:r>
      <w:r>
        <w:t xml:space="preserve">In conformity with Chancery Rule 12(b)(6), the following facts have been drawn from the face of the complaint. To the extent that the Joint Proxy Statement is at issue in Plaintiffs' disclosure claim, it will be considered for purposes of assessing only that claim.</w:t>
      </w:r>
    </w:p>
  </w:footnote>
  <w:footnote w:id="65">
    <w:p>
      <w:pPr>
        <w:pStyle w:val="CaseFootnoteText"/>
      </w:pPr>
      <w:r>
        <w:rPr>
          <w:rStyle w:val="FootnoteReference"/>
        </w:rPr>
        <w:t xml:space="preserve">2  </w:t>
      </w:r>
      <w:r>
        <w:t xml:space="preserve">Hayes Oyster petitioned the Superior Court of King County for a writ of mandamus to compel the transfer. The case was not tried on the limited issues usually associated with a mandamus action, but as an action to determine ownership of 50 per cent of Keypoint stock by three contending parties,</w:t>
      </w:r>
      <w:r>
        <w:t xml:space="preserve"/>
      </w:r>
      <w:r>
        <w:rPr>
          <w:iCs/>
          <w:i/>
        </w:rPr>
        <w:t xml:space="preserve">viz.,</w:t>
      </w:r>
      <w:r>
        <w:t xml:space="preserve"> </w:t>
      </w:r>
      <w:r>
        <w:t xml:space="preserve">Engman, Coast and Hayes Oyster.</w:t>
      </w:r>
    </w:p>
    <w:p>
      <w:pPr>
        <w:pStyle w:val="NodeEnd"/>
      </w:pPr>
      <w:r>
        <w:t xml:space="preserve"> </w:t>
      </w:r>
    </w:p>
    <w:p>
      <w:pPr>
        <w:pStyle w:val="NodeStart"/>
      </w:pPr>
      <w:r>
        <w:t xml:space="preserve"> </w:t>
      </w:r>
    </w:p>
    <w:p>
      <w:pPr>
        <w:pStyle w:val="HeadSeparator"/>
      </w:pPr>
      <w:r>
        <w:t xml:space="preserve"> </w:t>
      </w:r>
    </w:p>
  </w:footnote>
  <w:footnote w:id="66">
    <w:p>
      <w:pPr>
        <w:pStyle w:val="CaseFootnoteText"/>
      </w:pPr>
      <w:r>
        <w:rPr>
          <w:rStyle w:val="FootnoteReference"/>
        </w:rPr>
        <w:t xml:space="preserve">2  </w:t>
      </w:r>
      <w:r>
        <w:t xml:space="preserve">The plaintiffs in</w:t>
      </w:r>
      <w:r>
        <w:t xml:space="preserve"> </w:t>
      </w:r>
      <w:r>
        <w:rPr>
          <w:iCs/>
          <w:i/>
        </w:rPr>
        <w:t xml:space="preserve">Ivanhoe</w:t>
      </w:r>
      <w:r>
        <w:t xml:space="preserve"> </w:t>
      </w:r>
      <w:r>
        <w:t xml:space="preserve">were vying for control of Newmont Mining Corp. and challenged a street sweep undertaken by a competitor for control, Consolidated Gold Fields PLC and its subsidiaries. This Court upheld the</w:t>
      </w:r>
      <w:r>
        <w:t xml:space="preserve"> </w:t>
      </w:r>
      <w:r>
        <w:rPr>
          <w:iCs/>
          <w:i/>
        </w:rPr>
        <w:t xml:space="preserve">Ivanhoe</w:t>
      </w:r>
      <w:r>
        <w:t xml:space="preserve"> </w:t>
      </w:r>
      <w:r>
        <w:t xml:space="preserve">trial court’s determination that the street sweep, which was undertaken in cooperation with the target’s management, did not constitute coercion. However, this Court analyzed the street sweep in narrower terms than the Court of Chancery, "viewfing] the street sweep as part of New-mont’s own comprehensive defensive strategy,” and thus under the guidelines of</w:t>
      </w:r>
      <w:r>
        <w:t xml:space="preserve"> </w:t>
      </w:r>
      <w:r>
        <w:rPr>
          <w:iCs/>
          <w:i/>
        </w:rPr>
        <w:t xml:space="preserve">Unocal. Ivanhoe Partners v. Newmont Min. Corp.,</w:t>
      </w:r>
      <w:r>
        <w:t xml:space="preserve"> </w:t>
      </w:r>
      <w:r>
        <w:t xml:space="preserve">Del.Supr.,</w:t>
      </w:r>
      <w:r>
        <w:t xml:space="preserve"> </w:t>
      </w:r>
      <w:r>
        <w:t xml:space="preserve">535 A.2d 1334</w:t>
      </w:r>
      <w:r>
        <w:t xml:space="preserve">, 1343-44 (1987).</w:t>
      </w:r>
    </w:p>
  </w:footnote>
  <w:footnote w:id="67">
    <w:p>
      <w:pPr>
        <w:pStyle w:val="CaseFootnoteText"/>
      </w:pPr>
      <w:r>
        <w:rPr>
          <w:rStyle w:val="FootnoteReference"/>
        </w:rPr>
        <w:t xml:space="preserve">2  </w:t>
      </w:r>
      <w:r>
        <w:t xml:space="preserve"/>
      </w:r>
      <w:r>
        <w:t xml:space="preserve"> </w:t>
      </w:r>
      <w:r>
        <w:rPr>
          <w:iCs/>
          <w:i/>
        </w:rPr>
        <w:t xml:space="preserve">Sullivan, et al.</w:t>
      </w:r>
      <w:r>
        <w:t xml:space="preserve"> </w:t>
      </w:r>
      <w:r>
        <w:t xml:space="preserve">v.</w:t>
      </w:r>
      <w:r>
        <w:t xml:space="preserve"> </w:t>
      </w:r>
      <w:r>
        <w:rPr>
          <w:iCs/>
          <w:i/>
        </w:rPr>
        <w:t xml:space="preserve">Hammer, et al.,</w:t>
      </w:r>
      <w:r>
        <w:t xml:space="preserve"> </w:t>
      </w:r>
      <w:r>
        <w:t xml:space="preserve">C.A. No. 10823 ("the</w:t>
      </w:r>
      <w:r>
        <w:t xml:space="preserve"> </w:t>
      </w:r>
      <w:r>
        <w:rPr>
          <w:iCs/>
          <w:i/>
        </w:rPr>
        <w:t xml:space="preserve">Sullivan</w:t>
      </w:r>
      <w:r>
        <w:t xml:space="preserve"> </w:t>
      </w:r>
      <w:r>
        <w:t xml:space="preserve">action”).</w:t>
      </w:r>
    </w:p>
  </w:footnote>
  <w:footnote w:id="68">
    <w:p>
      <w:pPr>
        <w:pStyle w:val="CaseFootnoteText"/>
      </w:pPr>
      <w:r>
        <w:rPr>
          <w:rStyle w:val="FootnoteReference"/>
        </w:rPr>
        <w:t xml:space="preserve">2  </w:t>
      </w:r>
      <w:r>
        <w:t xml:space="preserve">Grupo Mexico held — and still holds — its interest in Southern Peru through its wholly-owned subsidiary Americas Mining Corporation ("AMC”). Grupo Mexico also held its 99.15% stake in Minera through AMC. AMC, not Grupo Mexico, is a defendant to this action, but I refer to them collectively as Grupo Mexico in this opinion because that more accurately reflects the story as it happened.</w:t>
      </w:r>
    </w:p>
  </w:footnote>
  <w:footnote w:id="69">
    <w:p>
      <w:pPr>
        <w:pStyle w:val="CaseFootnoteText"/>
      </w:pPr>
      <w:r>
        <w:rPr>
          <w:rStyle w:val="FootnoteReference"/>
        </w:rPr>
        <w:t xml:space="preserve">2  </w:t>
      </w:r>
      <w:r>
        <w:t xml:space="preserve">For</w:t>
      </w:r>
      <w:r>
        <w:t xml:space="preserve"> </w:t>
      </w:r>
      <w:r>
        <w:rPr>
          <w:iCs/>
          <w:i/>
        </w:rPr>
        <w:t xml:space="preserve">post-Siliconix</w:t>
      </w:r>
      <w:r>
        <w:t xml:space="preserve"> </w:t>
      </w:r>
      <w:r>
        <w:t xml:space="preserve">decisions reviewing this transaction structure, see, for example,</w:t>
      </w:r>
      <w:r>
        <w:t xml:space="preserve"> </w:t>
      </w:r>
      <w:r>
        <w:rPr>
          <w:iCs/>
          <w:i/>
        </w:rPr>
        <w:t xml:space="preserve">In re Cox Radio, Inc. S’holders Litig.,</w:t>
      </w:r>
      <w:r>
        <w:t xml:space="preserve"> </w:t>
      </w:r>
      <w:r>
        <w:t xml:space="preserve">2010 WL 1806616</w:t>
      </w:r>
      <w:r>
        <w:t xml:space="preserve"> </w:t>
      </w:r>
      <w:r>
        <w:t xml:space="preserve">(Del.Ch. May 6, 2010);</w:t>
      </w:r>
      <w:r>
        <w:t xml:space="preserve"> </w:t>
      </w:r>
      <w:r>
        <w:rPr>
          <w:iCs/>
          <w:i/>
        </w:rPr>
        <w:t xml:space="preserve">Next Level Commc’ns, Inc. v. Motorola, Inc.,</w:t>
      </w:r>
      <w:r>
        <w:t xml:space="preserve"> </w:t>
      </w:r>
      <w:r>
        <w:t xml:space="preserve">834 A.2d 828</w:t>
      </w:r>
      <w:r>
        <w:t xml:space="preserve"> </w:t>
      </w:r>
      <w:r>
        <w:t xml:space="preserve">(Del.Ch.2003);</w:t>
      </w:r>
      <w:r>
        <w:t xml:space="preserve"> </w:t>
      </w:r>
      <w:r>
        <w:rPr>
          <w:iCs/>
          <w:i/>
        </w:rPr>
        <w:t xml:space="preserve">In re Pure Res. S’holders Litig.,</w:t>
      </w:r>
      <w:r>
        <w:t xml:space="preserve"> </w:t>
      </w:r>
      <w:r>
        <w:t xml:space="preserve">808 A.2d 421</w:t>
      </w:r>
      <w:r>
        <w:t xml:space="preserve"> </w:t>
      </w:r>
      <w:r>
        <w:t xml:space="preserve">(Del.Ch.2002) [hereinafter,</w:t>
      </w:r>
      <w:r>
        <w:t xml:space="preserve"> </w:t>
      </w:r>
      <w:r>
        <w:rPr>
          <w:iCs/>
          <w:i/>
        </w:rPr>
        <w:t xml:space="preserve">"Pure</w:t>
      </w:r>
      <w:r>
        <w:t xml:space="preserve"> </w:t>
      </w:r>
      <w:r>
        <w:t xml:space="preserve">Resources"];</w:t>
      </w:r>
      <w:r>
        <w:t xml:space="preserve"> </w:t>
      </w:r>
      <w:r>
        <w:rPr>
          <w:iCs/>
          <w:i/>
        </w:rPr>
        <w:t xml:space="preserve">In re Aquila Inc. S’holders Litig.,</w:t>
      </w:r>
      <w:r>
        <w:t xml:space="preserve"> </w:t>
      </w:r>
      <w:r>
        <w:t xml:space="preserve">805 A.2d 184</w:t>
      </w:r>
      <w:r>
        <w:t xml:space="preserve"> </w:t>
      </w:r>
      <w:r>
        <w:t xml:space="preserve">(Del.Ch.2002). For</w:t>
      </w:r>
      <w:r>
        <w:t xml:space="preserve"> </w:t>
      </w:r>
      <w:r>
        <w:rPr>
          <w:iCs/>
          <w:i/>
        </w:rPr>
        <w:t xml:space="preserve">pre-Siliconix</w:t>
      </w:r>
      <w:r>
        <w:t xml:space="preserve"> </w:t>
      </w:r>
      <w:r>
        <w:t xml:space="preserve">decisions, see</w:t>
      </w:r>
      <w:r>
        <w:t xml:space="preserve"> </w:t>
      </w:r>
      <w:r>
        <w:rPr>
          <w:iCs/>
          <w:i/>
        </w:rPr>
        <w:t xml:space="preserve">In re Life Tech., Inc. S’holders Litig.,</w:t>
      </w:r>
      <w:r>
        <w:t xml:space="preserve"> </w:t>
      </w:r>
      <w:r>
        <w:t xml:space="preserve">1998 WL 1812280</w:t>
      </w:r>
      <w:r>
        <w:t xml:space="preserve"> </w:t>
      </w:r>
      <w:r>
        <w:t xml:space="preserve">(Del.Ch. Nov. 24, 1998) (TRANSCRIPT);</w:t>
      </w:r>
      <w:r>
        <w:t xml:space="preserve"> </w:t>
      </w:r>
      <w:r>
        <w:rPr>
          <w:iCs/>
          <w:i/>
        </w:rPr>
        <w:t xml:space="preserve">In re Ocean Drilling &amp; Exploration Co. S’holders Litig.,</w:t>
      </w:r>
      <w:r>
        <w:t xml:space="preserve"> </w:t>
      </w:r>
      <w:r>
        <w:t xml:space="preserve">1991 WL 70028</w:t>
      </w:r>
      <w:r>
        <w:t xml:space="preserve"> </w:t>
      </w:r>
      <w:r>
        <w:t xml:space="preserve">(Del.Ch. Apr. 30, 1991). The effectiveness of the</w:t>
      </w:r>
      <w:r>
        <w:t xml:space="preserve"> </w:t>
      </w:r>
      <w:r>
        <w:rPr>
          <w:iCs/>
          <w:i/>
        </w:rPr>
        <w:t xml:space="preserve">Siliconix</w:t>
      </w:r>
      <w:r>
        <w:t xml:space="preserve"> </w:t>
      </w:r>
      <w:r>
        <w:t xml:space="preserve">structure as a potential means of avoiding entire fairness review under</w:t>
      </w:r>
      <w:r>
        <w:t xml:space="preserve"> </w:t>
      </w:r>
      <w:r>
        <w:rPr>
          <w:iCs/>
          <w:i/>
        </w:rPr>
        <w:t xml:space="preserve">Lynch</w:t>
      </w:r>
      <w:r>
        <w:t xml:space="preserve"> </w:t>
      </w:r>
      <w:r>
        <w:t xml:space="preserve">depended on the absence of fairness review for the back-end short-form merger. In</w:t>
      </w:r>
      <w:r>
        <w:t xml:space="preserve"> </w:t>
      </w:r>
      <w:r>
        <w:rPr>
          <w:iCs/>
          <w:i/>
        </w:rPr>
        <w:t xml:space="preserve">Glassman,</w:t>
      </w:r>
      <w:r>
        <w:t xml:space="preserve"> </w:t>
      </w:r>
      <w:r>
        <w:t xml:space="preserve">decided just one month after</w:t>
      </w:r>
      <w:r>
        <w:t xml:space="preserve"> </w:t>
      </w:r>
      <w:r>
        <w:rPr>
          <w:iCs/>
          <w:i/>
        </w:rPr>
        <w:t xml:space="preserve">Siliconix,</w:t>
      </w:r>
      <w:r>
        <w:t xml:space="preserve"> </w:t>
      </w:r>
      <w:r>
        <w:t xml:space="preserve">the Delaware Supreme Court held that appraisal was a stockholder's exclusive remedy following a short-form merger.</w:t>
      </w:r>
      <w:r>
        <w:t xml:space="preserve"> </w:t>
      </w:r>
      <w:r>
        <w:t xml:space="preserve">777 A.2d at 248</w:t>
      </w:r>
      <w:r>
        <w:t xml:space="preserve">. The two decisions together created the doctrinal path for a</w:t>
      </w:r>
      <w:r>
        <w:t xml:space="preserve"> </w:t>
      </w:r>
      <w:r>
        <w:rPr>
          <w:iCs/>
          <w:i/>
        </w:rPr>
        <w:t xml:space="preserve">Siliconix</w:t>
      </w:r>
      <w:r>
        <w:t xml:space="preserve"> </w:t>
      </w:r>
      <w:r>
        <w:t xml:space="preserve">freeze-out.</w:t>
      </w:r>
      <w:r>
        <w:t xml:space="preserve"> </w:t>
      </w:r>
      <w:r>
        <w:rPr>
          <w:iCs/>
          <w:i/>
        </w:rPr>
        <w:t xml:space="preserve">See Pure Resources,</w:t>
      </w:r>
      <w:r>
        <w:t xml:space="preserve"> </w:t>
      </w:r>
      <w:r>
        <w:t xml:space="preserve">808 A.2d at 437</w:t>
      </w:r>
      <w:r>
        <w:t xml:space="preserve">; Letsou &amp; Haas,</w:t>
      </w:r>
      <w:r>
        <w:t xml:space="preserve"> </w:t>
      </w:r>
      <w:r>
        <w:rPr>
          <w:iCs/>
          <w:i/>
        </w:rPr>
        <w:t xml:space="preserve">supra,</w:t>
      </w:r>
      <w:r>
        <w:t xml:space="preserve"> </w:t>
      </w:r>
      <w:r>
        <w:t xml:space="preserve">at 48.</w:t>
      </w:r>
    </w:p>
  </w:footnote>
  <w:footnote w:id="70">
    <w:p>
      <w:pPr>
        <w:pStyle w:val="CaseFootnoteText"/>
      </w:pPr>
      <w:r>
        <w:rPr>
          <w:rStyle w:val="FootnoteReference"/>
        </w:rPr>
        <w:t xml:space="preserve">3  </w:t>
      </w:r>
      <w:r>
        <w:t xml:space="preserve">Cargill headquarters suggested that the regional office check Warren monthly. Also, it was requested that Warren be given an explanation for the relatively large withdrawals from undistributed earnings made by the Hills, since Cargill hoped that Warren’s profits would be used to decrease its debt balance. Cargill asked for written requests for withdrawals from undistributed earnings in the future.</w:t>
      </w:r>
    </w:p>
  </w:footnote>
  <w:footnote w:id="71">
    <w:p>
      <w:pPr>
        <w:pStyle w:val="CaseFootnoteText"/>
      </w:pPr>
      <w:r>
        <w:rPr>
          <w:rStyle w:val="FootnoteReference"/>
        </w:rPr>
        <w:t xml:space="preserve">3  </w:t>
      </w:r>
      <w:r>
        <w:t xml:space="preserve">As we have already mentioned, Food Lion acknowledged at trial that it could not quantify actual damages on this claim. The jury was therefore instructed that it could award only nominal damages.</w:t>
      </w:r>
    </w:p>
  </w:footnote>
  <w:footnote w:id="72">
    <w:p>
      <w:pPr>
        <w:pStyle w:val="CaseFootnoteText"/>
      </w:pPr>
      <w:r>
        <w:rPr>
          <w:rStyle w:val="FootnoteReference"/>
        </w:rPr>
        <w:t xml:space="preserve">3  </w:t>
      </w:r>
      <w:r>
        <w:t xml:space="preserve">App. to Opening Br. at 105 (LP Agreement § 7.9(a)).</w:t>
      </w:r>
    </w:p>
  </w:footnote>
  <w:footnote w:id="73">
    <w:p>
      <w:pPr>
        <w:pStyle w:val="CaseFootnoteText"/>
      </w:pPr>
      <w:r>
        <w:rPr>
          <w:rStyle w:val="FootnoteReference"/>
        </w:rPr>
        <w:t xml:space="preserve">3  </w:t>
      </w:r>
      <w:r>
        <w:rPr>
          <w:iCs/>
          <w:i/>
        </w:rPr>
        <w:t xml:space="preserve">In re Oxbow Carbon LLC Unitholder Litig.</w:t>
      </w:r>
      <w:r>
        <w:t xml:space="preserve"/>
      </w:r>
      <w:r>
        <w:t xml:space="preserve">,</w:t>
      </w:r>
      <w:r>
        <w:t xml:space="preserve"> </w:t>
      </w:r>
      <w:r>
        <w:t xml:space="preserve">2018 WL 818760</w:t>
      </w:r>
      <w:r>
        <w:t xml:space="preserve">, at *4-5 (Del. Ch. Feb. 12, 2018) [hereinafter</w:t>
      </w:r>
      <w:r>
        <w:t xml:space="preserve"> </w:t>
      </w:r>
      <w:r>
        <w:rPr>
          <w:iCs/>
          <w:i/>
        </w:rPr>
        <w:t xml:space="preserve">Chancery Opinion</w:t>
      </w:r>
      <w:r>
        <w:t xml:space="preserve"> </w:t>
      </w:r>
      <w:r>
        <w:t xml:space="preserve">].</w:t>
      </w:r>
    </w:p>
  </w:footnote>
  <w:footnote w:id="74">
    <w:p>
      <w:pPr>
        <w:pStyle w:val="CaseFootnoteText"/>
      </w:pPr>
      <w:r>
        <w:rPr>
          <w:rStyle w:val="FootnoteReference"/>
        </w:rPr>
        <w:t xml:space="preserve">3  </w:t>
      </w:r>
      <w:r>
        <w:t xml:space="preserve"/>
      </w:r>
      <w:r>
        <w:t xml:space="preserve">The majority states that, in denying Citizens United’s motion for a preliminary injunction, the District Court “addressed” the facial validity of BCRA § 203.</w:t>
      </w:r>
      <w:r>
        <w:t xml:space="preserve"> </w:t>
      </w:r>
      <w:r>
        <w:rPr>
          <w:iCs/>
          <w:i/>
        </w:rPr>
        <w:t xml:space="preserve">Ante,</w:t>
      </w:r>
      <w:r>
        <w:t xml:space="preserve"> </w:t>
      </w:r>
      <w:r>
        <w:t xml:space="preserve">at 330. That is true, in the narrow sense that the court observed the issue was foreclosed by</w:t>
      </w:r>
      <w:r>
        <w:t xml:space="preserve"> </w:t>
      </w:r>
      <w:r>
        <w:rPr>
          <w:iCs/>
          <w:i/>
        </w:rPr>
        <w:t xml:space="preserve">McConnell</w:t>
      </w:r>
      <w:r>
        <w:t xml:space="preserve"> </w:t>
      </w:r>
      <w:r>
        <w:t xml:space="preserve">v.</w:t>
      </w:r>
      <w:r>
        <w:t xml:space="preserve"> </w:t>
      </w:r>
      <w:r>
        <w:rPr>
          <w:iCs/>
          <w:i/>
        </w:rPr>
        <w:t xml:space="preserve">FEC,</w:t>
      </w:r>
      <w:r>
        <w:t xml:space="preserve"> </w:t>
      </w:r>
      <w:r>
        <w:t xml:space="preserve">540 U. S. 93 (2003). See 530 F. Supp. 2d 274, 278 (DC 2008)</w:t>
      </w:r>
      <w:r>
        <w:t xml:space="preserve"> </w:t>
      </w:r>
      <w:r>
        <w:rPr>
          <w:iCs/>
          <w:i/>
        </w:rPr>
        <w:t xml:space="preserve">(per curiam).</w:t>
      </w:r>
      <w:r>
        <w:t xml:space="preserve"> </w:t>
      </w:r>
      <w:r>
        <w:t xml:space="preserve">Yet as explained above, Citizens United subsequently dismissed its facial challenge, so that by the time the District Court granted the Federal Election Commission’s (FEC) motion for summary judgment, App. 261a-262a, any question about statutory validity had dropped out of the case. That latter ruling by the District Court was the “final decision” from which Citizens United appealed to this Court under BCRA § 403(a)(3). As regards the lower court decision that has come before us, the claim that § 203 is facially unconstitutional was neither pressed nor passed upon in any form.</w:t>
      </w:r>
    </w:p>
  </w:footnote>
  <w:footnote w:id="75">
    <w:p>
      <w:pPr>
        <w:pStyle w:val="CaseFootnoteText"/>
      </w:pPr>
      <w:r>
        <w:rPr>
          <w:rStyle w:val="FootnoteReference"/>
        </w:rPr>
        <w:t xml:space="preserve">3  </w:t>
      </w:r>
      <w:r>
        <w:t xml:space="preserve"/>
      </w:r>
      <w:r>
        <w:t xml:space="preserve">The merger became effective on July 31, 1974, and was accomplished in the following way. A new corporation, Forest Products, Inc., was organized as a Delaware corporation. The Kirby stock, together with cash, was transferred from Santa Fe’s wholly owned subsidiary (see n. 2, supra) to Forest Products in exchange for all of the Forest Products stock. The new corporation was then merged into Kirby, with Kirby as the surviving corporation. The cash transferred to Forest Products was used to make the purchase offer for the Kirby shares not owned by the Santa Fe subsidiary.</w:t>
      </w:r>
    </w:p>
  </w:footnote>
  <w:footnote w:id="76">
    <w:p>
      <w:pPr>
        <w:pStyle w:val="CaseFootnoteText"/>
      </w:pPr>
      <w:r>
        <w:rPr>
          <w:rStyle w:val="FootnoteReference"/>
        </w:rPr>
        <w:t xml:space="preserve">3  </w:t>
      </w:r>
      <w:r>
        <w:t xml:space="preserve">Although the Government argues that district court decisions in</w:t>
      </w:r>
      <w:r>
        <w:t xml:space="preserve"> </w:t>
      </w:r>
      <w:r>
        <w:rPr>
          <w:iCs/>
          <w:i/>
        </w:rPr>
        <w:t xml:space="preserve">S.E.C. v. Thrasher,</w:t>
      </w:r>
      <w:r>
        <w:t xml:space="preserve"> </w:t>
      </w:r>
      <w:r>
        <w:t xml:space="preserve">152 F.Supp.2d 291</w:t>
      </w:r>
      <w:r>
        <w:t xml:space="preserve"> </w:t>
      </w:r>
      <w:r>
        <w:t xml:space="preserve">(S.D.N.Y.2001) and</w:t>
      </w:r>
      <w:r>
        <w:t xml:space="preserve"> </w:t>
      </w:r>
      <w:r>
        <w:rPr>
          <w:iCs/>
          <w:i/>
        </w:rPr>
        <w:t xml:space="preserve">S.E.C. v. Musella,</w:t>
      </w:r>
      <w:r>
        <w:t xml:space="preserve"> </w:t>
      </w:r>
      <w:r>
        <w:t xml:space="preserve">678 F.Supp. 1060</w:t>
      </w:r>
      <w:r>
        <w:t xml:space="preserve"> </w:t>
      </w:r>
      <w:r>
        <w:t xml:space="preserve">(S.D.N.Y.1988) support their position, these cases merely stand for the unremarkable proposition that a tippee does not need to know the details of the insider’s disclosure of information. The district courts determined that the tippee did not have to know for certain how information was disclosed,</w:t>
      </w:r>
      <w:r>
        <w:t xml:space="preserve"> </w:t>
      </w:r>
      <w:r>
        <w:rPr>
          <w:iCs/>
          <w:i/>
        </w:rPr>
        <w:t xml:space="preserve">Thrasher,</w:t>
      </w:r>
      <w:r>
        <w:t xml:space="preserve"> </w:t>
      </w:r>
      <w:r>
        <w:t xml:space="preserve">152 F.Supp.2d at 304-05</w:t>
      </w:r>
      <w:r>
        <w:t xml:space="preserve">, nor the identity of the insiders,</w:t>
      </w:r>
      <w:r>
        <w:t xml:space="preserve"> </w:t>
      </w:r>
      <w:r>
        <w:rPr>
          <w:iCs/>
          <w:i/>
        </w:rPr>
        <w:t xml:space="preserve">Musella,</w:t>
      </w:r>
      <w:r>
        <w:t xml:space="preserve"> </w:t>
      </w:r>
      <w:r>
        <w:t xml:space="preserve">678 F.Supp. at 1062-63</w:t>
      </w:r>
      <w:r>
        <w:t xml:space="preserve">. This is not inconsistent with a requirement that a defendant tippee understands that some benefit is being provided in return for the information.</w:t>
      </w:r>
    </w:p>
  </w:footnote>
  <w:footnote w:id="77">
    <w:p>
      <w:pPr>
        <w:pStyle w:val="CaseFootnoteText"/>
      </w:pPr>
      <w:r>
        <w:rPr>
          <w:rStyle w:val="FootnoteReference"/>
        </w:rPr>
        <w:t xml:space="preserve">3  </w:t>
      </w:r>
      <w:r>
        <w:t xml:space="preserve"/>
      </w:r>
      <w:r>
        <w:t xml:space="preserve">Northway also alleged in its complaint that National pursued a fraudulent plan to acquire TSC for less than its fair value in violation of § 10 (b) of the Securities Exchange Act, 15 U. S. C. § 78j (b), and Rule 10b-5,</w:t>
      </w:r>
      <w:r>
        <w:t xml:space="preserve"> </w:t>
      </w:r>
      <w:r>
        <w:t xml:space="preserve">17 CFR §240</w:t>
      </w:r>
      <w:r>
        <w:t xml:space="preserve">.10b-5 (1975), promulgated thereunder. Northway has not pursued this claim in the proceedings that we are called upon to review. North way also brought suit against Charles Schmidt and his family, charging them with aiding and abetting the corporate defendants in violation of § 10 (b) and Rule 10b-5. The District Court granted summary judgment to the Schmidt defendants, and the Court of Appeals affirmed. That aspect of the original suit is not before us.</w:t>
      </w:r>
    </w:p>
  </w:footnote>
  <w:footnote w:id="78">
    <w:p>
      <w:pPr>
        <w:pStyle w:val="CaseFootnoteText"/>
      </w:pPr>
      <w:r>
        <w:rPr>
          <w:rStyle w:val="FootnoteReference"/>
        </w:rPr>
        <w:t xml:space="preserve">3  </w:t>
      </w:r>
      <w:r>
        <w:t xml:space="preserve"/>
      </w:r>
      <w:r>
        <w:t xml:space="preserve">The Court of Appeals opinion is reported at</w:t>
      </w:r>
      <w:r>
        <w:t xml:space="preserve"> </w:t>
      </w:r>
      <w:r>
        <w:t xml:space="preserve">492 F. 2d 136</w:t>
      </w:r>
      <w:r>
        <w:t xml:space="preserve"> </w:t>
      </w:r>
      <w:r>
        <w:t xml:space="preserve">(1973).</w:t>
      </w:r>
    </w:p>
  </w:footnote>
  <w:footnote w:id="79">
    <w:p>
      <w:pPr>
        <w:pStyle w:val="CaseFootnoteText"/>
      </w:pPr>
      <w:r>
        <w:rPr>
          <w:rStyle w:val="FootnoteReference"/>
        </w:rPr>
        <w:t xml:space="preserve">3  </w:t>
      </w:r>
      <w:r>
        <w:t xml:space="preserve"/>
      </w:r>
      <w:r>
        <w:t xml:space="preserve">It is argued that the special facts of this case justify extending the benefit of § 10 (b) to this respondent, even if the statute ordinarily requires a purchase or a sale. But this resolution also would require judicial extension of the terms of the statute. The mere fact that securities are offered to a limited class of offerees may eliminate some of the problems of proof but it does not avoid the fatal objection that no offer of securities, absent a purchase or sale, is covered by the statute.</w:t>
      </w:r>
    </w:p>
  </w:footnote>
  <w:footnote w:id="80">
    <w:p>
      <w:pPr>
        <w:pStyle w:val="CaseFootnoteText"/>
      </w:pPr>
      <w:r>
        <w:rPr>
          <w:rStyle w:val="FootnoteReference"/>
        </w:rPr>
        <w:t xml:space="preserve">3  </w:t>
      </w:r>
      <w:r>
        <w:t xml:space="preserve"/>
      </w:r>
      <w:r>
        <w:t xml:space="preserve">See,</w:t>
      </w:r>
      <w:r>
        <w:t xml:space="preserve"> </w:t>
      </w:r>
      <w:r>
        <w:rPr>
          <w:iCs/>
          <w:i/>
        </w:rPr>
        <w:t xml:space="preserve">e. g.,</w:t>
      </w:r>
      <w:r>
        <w:t xml:space="preserve"> </w:t>
      </w:r>
      <w:r>
        <w:t xml:space="preserve">Lowenfels, The Demise of the</w:t>
      </w:r>
      <w:r>
        <w:t xml:space="preserve"> </w:t>
      </w:r>
      <w:r>
        <w:rPr>
          <w:iCs/>
          <w:i/>
        </w:rPr>
        <w:t xml:space="preserve">Birnbaum</w:t>
      </w:r>
      <w:r>
        <w:t xml:space="preserve"> </w:t>
      </w:r>
      <w:r>
        <w:t xml:space="preserve">Doctrine: A New Era for Rule 10b-5,</w:t>
      </w:r>
      <w:r>
        <w:t xml:space="preserve"> </w:t>
      </w:r>
      <w:r>
        <w:t xml:space="preserve">54 Va. L. Rev. 268</w:t>
      </w:r>
      <w:r>
        <w:t xml:space="preserve"> </w:t>
      </w:r>
      <w:r>
        <w:t xml:space="preserve">(1968); Boone &amp; McGowan, Standing to Sue Under SEC Rule 10b-5,</w:t>
      </w:r>
      <w:r>
        <w:t xml:space="preserve"> </w:t>
      </w:r>
      <w:r>
        <w:t xml:space="preserve">49 Tex. L. Rev. 617</w:t>
      </w:r>
      <w:r>
        <w:t xml:space="preserve"> </w:t>
      </w:r>
      <w:r>
        <w:t xml:space="preserve">(1971); Whitaker, The</w:t>
      </w:r>
      <w:r>
        <w:t xml:space="preserve"> </w:t>
      </w:r>
      <w:r>
        <w:rPr>
          <w:iCs/>
          <w:i/>
        </w:rPr>
        <w:t xml:space="preserve">Birnbaum</w:t>
      </w:r>
      <w:r>
        <w:t xml:space="preserve"> </w:t>
      </w:r>
      <w:r>
        <w:t xml:space="preserve">Doctrine: An Assessment,</w:t>
      </w:r>
      <w:r>
        <w:t xml:space="preserve"> </w:t>
      </w:r>
      <w:r>
        <w:t xml:space="preserve">23 Ala. L. Rev. 543</w:t>
      </w:r>
      <w:r>
        <w:t xml:space="preserve"> </w:t>
      </w:r>
      <w:r>
        <w:t xml:space="preserve">(1971); Ruder, Current Developments in the Federal Law of Corporate Fiduciary Relations — Standing to Sue Under Rule 10b-5, 26 Bus. Law. 1289 (1971); Fuller, Another Demise of the Birnbaum Doctrine: "Tolls the Knell of Parting Day?”, 25 Miami L. Rev. 131 (1970); Comment, Dumping</w:t>
      </w:r>
      <w:r>
        <w:t xml:space="preserve"> </w:t>
      </w:r>
      <w:r>
        <w:rPr>
          <w:iCs/>
          <w:i/>
        </w:rPr>
        <w:t xml:space="preserve">Birnbaum</w:t>
      </w:r>
      <w:r>
        <w:t xml:space="preserve"> </w:t>
      </w:r>
      <w:r>
        <w:t xml:space="preserve">to Force Analysis of the Standing Requirement under Rule 10b-5, 6 Loyola L. J. 230 (1975); Note, Standing to Sue in 10b-5 Actions,</w:t>
      </w:r>
      <w:r>
        <w:t xml:space="preserve"> </w:t>
      </w:r>
      <w:r>
        <w:t xml:space="preserve">49 Notre Dame Law. 1131</w:t>
      </w:r>
      <w:r>
        <w:t xml:space="preserve"> </w:t>
      </w:r>
      <w:r>
        <w:t xml:space="preserve">(1974); Comment, 10b-5 Standing Under Birnbaum: The Case of the Missing Remedy,</w:t>
      </w:r>
      <w:r>
        <w:t xml:space="preserve"> </w:t>
      </w:r>
      <w:r>
        <w:t xml:space="preserve">24 Hastings L. J. 1007</w:t>
      </w:r>
      <w:r>
        <w:t xml:space="preserve"> </w:t>
      </w:r>
      <w:r>
        <w:t xml:space="preserve">(1973); Comment, The Purchaser-Seller Requirement of Rule 10b-5 Reevaluated,</w:t>
      </w:r>
      <w:r>
        <w:t xml:space="preserve"> </w:t>
      </w:r>
      <w:r>
        <w:t xml:space="preserve">44 U. Colo. L. Rev. 151</w:t>
      </w:r>
      <w:r>
        <w:t xml:space="preserve"> </w:t>
      </w:r>
      <w:r>
        <w:t xml:space="preserve">(1972); Comment, Inroads on the Necessity for a Consummated Purchase or Sale Under Rule 10b-5,</w:t>
      </w:r>
      <w:r>
        <w:t xml:space="preserve"> </w:t>
      </w:r>
      <w:r>
        <w:t xml:space="preserve">1969 Duke L. J. 349</w:t>
      </w:r>
      <w:r>
        <w:t xml:space="preserve">; Comment, The Decline of the Purchaser-Seller Requirement of Rule 10b-5, 14 Villanova L. Rev. 499 (1969); Comment, The Purchaser-Seller Limitation to SEC Rule 10b-5,</w:t>
      </w:r>
      <w:r>
        <w:t xml:space="preserve"> </w:t>
      </w:r>
      <w:r>
        <w:t xml:space="preserve">53 Cornell L. Rev. 684</w:t>
      </w:r>
      <w:r>
        <w:t xml:space="preserve"> </w:t>
      </w:r>
      <w:r>
        <w:t xml:space="preserve">(1968); Comment, The Purchaser-Seller Rule: An Archaic Tool for Determining Standing Under Rule 10b-5,</w:t>
      </w:r>
      <w:r>
        <w:t xml:space="preserve"> </w:t>
      </w:r>
      <w:r>
        <w:t xml:space="preserve">56 Geo. L. J. 1177</w:t>
      </w:r>
      <w:r>
        <w:t xml:space="preserve"> </w:t>
      </w:r>
      <w:r>
        <w:t xml:space="preserve">(1968). See Note, Limiting the Plaintiff Class: Rule 10b-5 and the Federal Securities Code,</w:t>
      </w:r>
      <w:r>
        <w:t xml:space="preserve"> </w:t>
      </w:r>
      <w:r>
        <w:t xml:space="preserve">72 Mich. L. Rev. 1398</w:t>
      </w:r>
      <w:r>
        <w:t xml:space="preserve">, 1412 (1974).</w:t>
      </w:r>
    </w:p>
    <w:p>
      <w:pPr>
        <w:pStyle w:val="NodeEnd"/>
      </w:pPr>
      <w:r>
        <w:t xml:space="preserve"> </w:t>
      </w:r>
    </w:p>
    <w:p>
      <w:pPr>
        <w:pStyle w:val="NodeStart"/>
      </w:pPr>
      <w:r>
        <w:t xml:space="preserve"> </w:t>
      </w:r>
    </w:p>
    <w:p>
      <w:pPr>
        <w:pStyle w:val="HeadSeparator"/>
      </w:pPr>
      <w:r>
        <w:t xml:space="preserve"> </w:t>
      </w:r>
    </w:p>
  </w:footnote>
  <w:footnote w:id="81">
    <w:p>
      <w:pPr>
        <w:pStyle w:val="CaseFootnoteText"/>
      </w:pPr>
      <w:r>
        <w:rPr>
          <w:rStyle w:val="FootnoteReference"/>
        </w:rPr>
        <w:t xml:space="preserve">3  </w:t>
      </w:r>
      <w:r>
        <w:t xml:space="preserve">Current liabilities then exceeded current assets by $1,370.35. Laborde’s opinion that there was adequate working capital was apparently based upon the fact that the corporation had a $75,000 line of credit with American Trust Company. Where repayment of loans made under such a line of credit is to be extended over a long term, the result may be to increase working capital. This is because current assets are then offset, not by current liabilities, but by fixed liabilities. But here the loans made under this line of credit were secured by accounts receivable. Where this is the case, the obligations to repay are uniformly classified as current, rather than fixed, liabilities. They were so classified in this case, and in fact the balance sheet of October 1, 1952, lists no fixed liabilities.</w:t>
      </w:r>
    </w:p>
    <w:p>
      <w:pPr>
        <w:pStyle w:val="CaseFootnoteText"/>
      </w:pPr>
      <w:r>
        <w:t xml:space="preserve">Working capital is the excess of current assets over current liabilities. Since the loans made under this line of credit increased current assets and current liabilities in equal amounts, the net change in working capital was nil. Heimbueker’s testimony to this effect is undisputed, and is in accord with recognized principles of accounting. See “Accounting and the Law,” Dohr-Thonipson-Warren, 2d Ed., The Foundation Press, Inc., 1955, pages 25, 259-203.</w:t>
      </w:r>
    </w:p>
  </w:footnote>
  <w:footnote w:id="82">
    <w:p>
      <w:pPr>
        <w:pStyle w:val="CaseFootnoteText"/>
      </w:pPr>
      <w:r>
        <w:rPr>
          <w:rStyle w:val="FootnoteReference"/>
        </w:rPr>
        <w:t xml:space="preserve">3  </w:t>
      </w:r>
      <w:r>
        <w:t xml:space="preserve">For a discussion of facts that support a finding of intent to defraud,</w:t>
      </w:r>
      <w:r>
        <w:t xml:space="preserve"> </w:t>
      </w:r>
      <w:r>
        <w:rPr>
          <w:iCs/>
          <w:i/>
        </w:rPr>
        <w:t xml:space="preserve">see Torco Oil Co. v. Innovative Thermal Corp.,</w:t>
      </w:r>
      <w:r>
        <w:t xml:space="preserve"> </w:t>
      </w:r>
      <w:r>
        <w:t xml:space="preserve">763 F.Supp. 1445</w:t>
      </w:r>
      <w:r>
        <w:t xml:space="preserve">, 1451-52 (N.D.Ill.1991).</w:t>
      </w:r>
    </w:p>
    <w:p>
      <w:pPr>
        <w:pStyle w:val="NodeEnd"/>
      </w:pPr>
      <w:r>
        <w:t xml:space="preserve"> </w:t>
      </w:r>
    </w:p>
    <w:p>
      <w:pPr>
        <w:pStyle w:val="NodeStart"/>
      </w:pPr>
      <w:r>
        <w:t xml:space="preserve"> </w:t>
      </w:r>
    </w:p>
    <w:p>
      <w:pPr>
        <w:pStyle w:val="HeadSeparator"/>
      </w:pPr>
      <w:r>
        <w:t xml:space="preserve"> </w:t>
      </w:r>
    </w:p>
  </w:footnote>
  <w:footnote w:id="83">
    <w:p>
      <w:pPr>
        <w:pStyle w:val="CaseFootnoteText"/>
      </w:pPr>
      <w:r>
        <w:rPr>
          <w:rStyle w:val="FootnoteReference"/>
        </w:rPr>
        <w:t xml:space="preserve">3  </w:t>
      </w:r>
      <w:r>
        <w:t xml:space="preserve">It may be, given the statutory nature of the claim asserted and the special statutory language contained in Section 211(c) ("If there be a failure to hold the annual meeting ... the Court of Chancery may</w:t>
      </w:r>
      <w:r>
        <w:t xml:space="preserve"> </w:t>
      </w:r>
      <w:r>
        <w:rPr>
          <w:iCs/>
          <w:i/>
        </w:rPr>
        <w:t xml:space="preserve">summarily</w:t>
      </w:r>
      <w:r>
        <w:t xml:space="preserve"> </w:t>
      </w:r>
      <w:r>
        <w:t xml:space="preserve">order a meeting ... upon application of any stockholder.”), that in order to withstand a motion for judgment on the pleadings (or a motion to strike an affirmative defense) a more restrictive test, a test requiring greater factual specificity in the pleadings, would be appropriate in this context. The legislative concern for judicial speed in this particular setting would seem to justify such an approach.</w:t>
      </w:r>
    </w:p>
  </w:footnote>
  <w:footnote w:id="84">
    <w:p>
      <w:pPr>
        <w:pStyle w:val="CaseFootnoteText"/>
      </w:pPr>
      <w:r>
        <w:rPr>
          <w:rStyle w:val="FootnoteReference"/>
        </w:rPr>
        <w:t xml:space="preserve">3  </w:t>
      </w:r>
      <w:r>
        <w:t xml:space="preserve">Consolidated Compl., at 3. Digex’s capital structure consists of two classes of stock. Class A is entitled to one vote per share, and Class B is entitled to 10 votes per share. Intermedia holds 39,350,000 Class B shares. There are 24,150,000 Class A shares outstanding.</w:t>
      </w:r>
    </w:p>
  </w:footnote>
  <w:footnote w:id="85">
    <w:p>
      <w:pPr>
        <w:pStyle w:val="CaseFootnoteText"/>
      </w:pPr>
      <w:r>
        <w:rPr>
          <w:rStyle w:val="FootnoteReference"/>
        </w:rPr>
        <w:t xml:space="preserve">3  </w:t>
      </w:r>
      <w:r>
        <w:t xml:space="preserve">Appellants' Appendix, A-447.</w:t>
      </w:r>
    </w:p>
  </w:footnote>
  <w:footnote w:id="86">
    <w:p>
      <w:pPr>
        <w:pStyle w:val="CaseFootnoteText"/>
      </w:pPr>
      <w:r>
        <w:rPr>
          <w:rStyle w:val="FootnoteReference"/>
        </w:rPr>
        <w:t xml:space="preserve">3  </w:t>
      </w:r>
      <w:r>
        <w:t xml:space="preserve"/>
      </w:r>
      <w:r>
        <w:t xml:space="preserve"> </w:t>
      </w:r>
      <w:r>
        <w:rPr>
          <w:iCs/>
          <w:i/>
        </w:rPr>
        <w:t xml:space="preserve">Revlon v. MacAndrews &amp; Forbes Holdings, Inc.,</w:t>
      </w:r>
      <w:r>
        <w:t xml:space="preserve"> </w:t>
      </w:r>
      <w:r>
        <w:t xml:space="preserve">506 A.2d 173</w:t>
      </w:r>
      <w:r>
        <w:t xml:space="preserve"> </w:t>
      </w:r>
      <w:r>
        <w:t xml:space="preserve">(Del.1986).</w:t>
      </w:r>
    </w:p>
  </w:footnote>
  <w:footnote w:id="87">
    <w:p>
      <w:pPr>
        <w:pStyle w:val="CaseFootnoteText"/>
      </w:pPr>
      <w:r>
        <w:rPr>
          <w:rStyle w:val="FootnoteReference"/>
        </w:rPr>
        <w:t xml:space="preserve">3  </w:t>
      </w:r>
      <w:r>
        <w:t xml:space="preserve">Rights, however, will not be exercisable in the event that an acquiror who holds 20% or less of Interco’s common stock acquires not less than 80% of its outstanding stock in a single transaction.</w:t>
      </w:r>
    </w:p>
  </w:footnote>
  <w:footnote w:id="88">
    <w:p>
      <w:pPr>
        <w:pStyle w:val="CaseFootnoteText"/>
      </w:pPr>
      <w:r>
        <w:rPr>
          <w:rStyle w:val="FootnoteReference"/>
        </w:rPr>
        <w:t xml:space="preserve">3  </w:t>
      </w:r>
      <w:r>
        <w:t xml:space="preserve">The Airgas board, which now includes three Air Products’ nominees, continues to</w:t>
      </w:r>
      <w:r>
        <w:t xml:space="preserve"> </w:t>
      </w:r>
      <w:r>
        <w:rPr>
          <w:iCs/>
          <w:i/>
        </w:rPr>
        <w:t xml:space="preserve">unanimously</w:t>
      </w:r>
      <w:r>
        <w:t xml:space="preserve"> </w:t>
      </w:r>
      <w:r>
        <w:t xml:space="preserve">reject the bid as "grossly inadequate.”</w:t>
      </w:r>
      <w:r>
        <w:t xml:space="preserve"> </w:t>
      </w:r>
      <w:r>
        <w:rPr>
          <w:iCs/>
          <w:i/>
        </w:rPr>
        <w:t xml:space="preserve">See</w:t>
      </w:r>
      <w:r>
        <w:t xml:space="preserve"> </w:t>
      </w:r>
      <w:r>
        <w:t xml:space="preserve">Press Release, Airgas Sends Letter to Air Products (Oct. 26, 2010),</w:t>
      </w:r>
      <w:r>
        <w:t xml:space="preserve"> </w:t>
      </w:r>
      <w:r>
        <w:rPr>
          <w:iCs/>
          <w:i/>
        </w:rPr>
        <w:t xml:space="preserve">available at</w:t>
      </w:r>
      <w:r>
        <w:t xml:space="preserve"> </w:t>
      </w:r>
      <w:r>
        <w:t xml:space="preserve">http:// www.airgas.com/content/pressReleases.aspx? PressRelease_ID =1601.</w:t>
      </w:r>
    </w:p>
  </w:footnote>
  <w:footnote w:id="89">
    <w:p>
      <w:pPr>
        <w:pStyle w:val="CaseFootnoteText"/>
      </w:pPr>
      <w:r>
        <w:rPr>
          <w:rStyle w:val="FootnoteReference"/>
        </w:rPr>
        <w:t xml:space="preserve">3  </w:t>
      </w:r>
      <w:r>
        <w:t xml:space="preserve">In support of his preliminary injunction motion, plaintiff also contended that defendants violated 10</w:t>
      </w:r>
      <w:r>
        <w:t xml:space="preserve"> </w:t>
      </w:r>
      <w:r>
        <w:rPr>
          <w:iCs/>
          <w:i/>
        </w:rPr>
        <w:t xml:space="preserve">Del.C.</w:t>
      </w:r>
      <w:r>
        <w:t xml:space="preserve"> </w:t>
      </w:r>
      <w:r>
        <w:t xml:space="preserve">§ 371. Defendants in turn moved to dismiss based on jurisdictional grounds. The Court of Chancery rejected plaintiff's claim and deferred ruling on defendants’ arguments.</w:t>
      </w:r>
      <w:r>
        <w:t xml:space="preserve"> </w:t>
      </w:r>
      <w:r>
        <w:rPr>
          <w:iCs/>
          <w:i/>
        </w:rPr>
        <w:t xml:space="preserve">Arnold v. Society for Sav. Bancorp, Inc.,</w:t>
      </w:r>
      <w:r>
        <w:t xml:space="preserve"> </w:t>
      </w:r>
      <w:r>
        <w:t xml:space="preserve">Del.Ch., C.A. No. 12883,</w:t>
      </w:r>
      <w:r>
        <w:t xml:space="preserve"> </w:t>
      </w:r>
      <w:r>
        <w:rPr>
          <w:iCs/>
          <w:i/>
        </w:rPr>
        <w:t xml:space="preserve">slip op.</w:t>
      </w:r>
      <w:r>
        <w:t xml:space="preserve"> </w:t>
      </w:r>
      <w:r>
        <w:t xml:space="preserve">at 7-10,</w:t>
      </w:r>
      <w:r>
        <w:t xml:space="preserve"> </w:t>
      </w:r>
      <w:r>
        <w:t xml:space="preserve">1993 WL 183698</w:t>
      </w:r>
      <w:r>
        <w:t xml:space="preserve"> </w:t>
      </w:r>
      <w:r>
        <w:t xml:space="preserve">(May 25, 1993)</w:t>
      </w:r>
      <w:r>
        <w:t xml:space="preserve"> </w:t>
      </w:r>
      <w:r>
        <w:rPr>
          <w:iCs/>
          <w:i/>
        </w:rPr>
        <w:t xml:space="preserve">(‘‘Arnold I").</w:t>
      </w:r>
      <w:r>
        <w:t xml:space="preserve"> </w:t>
      </w:r>
      <w:r>
        <w:t xml:space="preserve">The trial court’s treatment of these two issues is not before this Court.</w:t>
      </w:r>
    </w:p>
  </w:footnote>
  <w:footnote w:id="90">
    <w:p>
      <w:pPr>
        <w:pStyle w:val="CaseFootnoteText"/>
      </w:pPr>
      <w:r>
        <w:rPr>
          <w:rStyle w:val="FootnoteReference"/>
        </w:rPr>
        <w:t xml:space="preserve">3  </w:t>
      </w:r>
      <w:r>
        <w:t xml:space="preserve"/>
      </w:r>
      <w:r>
        <w:t xml:space="preserve"> </w:t>
      </w:r>
      <w:r>
        <w:rPr>
          <w:iCs/>
          <w:i/>
        </w:rPr>
        <w:t xml:space="preserve">Ivanhoe Partners v. Newmont Mining Corp.,</w:t>
      </w:r>
      <w:r>
        <w:t xml:space="preserve"> </w:t>
      </w:r>
      <w:r>
        <w:t xml:space="preserve">Del.Supr.,</w:t>
      </w:r>
      <w:r>
        <w:t xml:space="preserve"> </w:t>
      </w:r>
      <w:r>
        <w:t xml:space="preserve">535 A.2d 1334</w:t>
      </w:r>
      <w:r>
        <w:t xml:space="preserve">, 1345 (1987).</w:t>
      </w:r>
    </w:p>
  </w:footnote>
  <w:footnote w:id="91">
    <w:p>
      <w:pPr>
        <w:pStyle w:val="CaseFootnoteText"/>
      </w:pPr>
      <w:r>
        <w:rPr>
          <w:rStyle w:val="FootnoteReference"/>
        </w:rPr>
        <w:t xml:space="preserve">3  </w:t>
      </w:r>
      <w:r>
        <w:t xml:space="preserve">Our affirmance of the Court of Chancery’s disclosure violation determination renders unnecessary any consideration of Kahn’s damages claims.</w:t>
      </w:r>
    </w:p>
    <w:p>
      <w:pPr>
        <w:pStyle w:val="NodeEnd"/>
      </w:pPr>
      <w:r>
        <w:t xml:space="preserve"> </w:t>
      </w:r>
    </w:p>
    <w:p>
      <w:pPr>
        <w:pStyle w:val="NodeStart"/>
      </w:pPr>
      <w:r>
        <w:t xml:space="preserve"> </w:t>
      </w:r>
    </w:p>
    <w:p>
      <w:pPr>
        <w:pStyle w:val="HeadSeparator"/>
      </w:pPr>
      <w:r>
        <w:t xml:space="preserve"> </w:t>
      </w:r>
    </w:p>
  </w:footnote>
  <w:footnote w:id="92">
    <w:p>
      <w:pPr>
        <w:pStyle w:val="CaseFootnoteText"/>
      </w:pPr>
      <w:r>
        <w:rPr>
          <w:rStyle w:val="FootnoteReference"/>
        </w:rPr>
        <w:t xml:space="preserve">3  </w:t>
      </w:r>
      <w:r>
        <w:t xml:space="preserve"/>
      </w:r>
      <w:r>
        <w:t xml:space="preserve"> </w:t>
      </w:r>
      <w:r>
        <w:rPr>
          <w:iCs/>
          <w:i/>
        </w:rPr>
        <w:t xml:space="preserve">Kahn v. Occidental Petroleum Corporation, et al.,</w:t>
      </w:r>
      <w:r>
        <w:t xml:space="preserve"> </w:t>
      </w:r>
      <w:r>
        <w:t xml:space="preserve">C.A. No. 10808 (“the</w:t>
      </w:r>
      <w:r>
        <w:t xml:space="preserve"> </w:t>
      </w:r>
      <w:r>
        <w:rPr>
          <w:iCs/>
          <w:i/>
        </w:rPr>
        <w:t xml:space="preserve">Kahn</w:t>
      </w:r>
      <w:r>
        <w:t xml:space="preserve"> </w:t>
      </w:r>
      <w:r>
        <w:t xml:space="preserve">action");</w:t>
      </w:r>
      <w:r>
        <w:t xml:space="preserve"> </w:t>
      </w:r>
      <w:r>
        <w:rPr>
          <w:iCs/>
          <w:i/>
        </w:rPr>
        <w:t xml:space="preserve">Stepak v. Hammer, et al.,</w:t>
      </w:r>
      <w:r>
        <w:t xml:space="preserve"> </w:t>
      </w:r>
      <w:r>
        <w:t xml:space="preserve">C.A. No. 10860 ("the</w:t>
      </w:r>
      <w:r>
        <w:t xml:space="preserve"> </w:t>
      </w:r>
      <w:r>
        <w:rPr>
          <w:iCs/>
          <w:i/>
        </w:rPr>
        <w:t xml:space="preserve">Stepak</w:t>
      </w:r>
      <w:r>
        <w:t xml:space="preserve"> </w:t>
      </w:r>
      <w:r>
        <w:t xml:space="preserve">action”).</w:t>
      </w:r>
    </w:p>
  </w:footnote>
  <w:footnote w:id="93">
    <w:p>
      <w:pPr>
        <w:pStyle w:val="CaseFootnoteText"/>
      </w:pPr>
      <w:r>
        <w:rPr>
          <w:rStyle w:val="FootnoteReference"/>
        </w:rPr>
        <w:t xml:space="preserve">3  </w:t>
      </w:r>
      <w:r>
        <w:t xml:space="preserve">JX-108 (UBS presentation to the Board (February 3, 2004)) at AMC0019912.</w:t>
      </w:r>
    </w:p>
  </w:footnote>
  <w:footnote w:id="94">
    <w:p>
      <w:pPr>
        <w:pStyle w:val="CaseFootnoteText"/>
      </w:pPr>
      <w:r>
        <w:rPr>
          <w:rStyle w:val="FootnoteReference"/>
        </w:rPr>
        <w:t xml:space="preserve">3  </w:t>
      </w:r>
      <w:r>
        <w:t xml:space="preserve"/>
      </w:r>
      <w:r>
        <w:t xml:space="preserve"> </w:t>
      </w:r>
      <w:r>
        <w:rPr>
          <w:iCs/>
          <w:i/>
        </w:rPr>
        <w:t xml:space="preserve">See Cox Communications,</w:t>
      </w:r>
      <w:r>
        <w:t xml:space="preserve"> </w:t>
      </w:r>
      <w:r>
        <w:t xml:space="preserve">879 A.2d at 614-34, 642-48</w:t>
      </w:r>
      <w:r>
        <w:t xml:space="preserve">;</w:t>
      </w:r>
      <w:r>
        <w:t xml:space="preserve"> </w:t>
      </w:r>
      <w:r>
        <w:rPr>
          <w:iCs/>
          <w:i/>
        </w:rPr>
        <w:t xml:space="preserve">Pure Resources,</w:t>
      </w:r>
      <w:r>
        <w:t xml:space="preserve"> </w:t>
      </w:r>
      <w:r>
        <w:t xml:space="preserve">808 A.2d at 432-46</w:t>
      </w:r>
      <w:r>
        <w:t xml:space="preserve">;</w:t>
      </w:r>
      <w:r>
        <w:t xml:space="preserve"> </w:t>
      </w:r>
      <w:r>
        <w:rPr>
          <w:iCs/>
          <w:i/>
        </w:rPr>
        <w:t xml:space="preserve">In re Cysive, Inc. S’holders Litig.,</w:t>
      </w:r>
      <w:r>
        <w:t xml:space="preserve"> </w:t>
      </w:r>
      <w:r>
        <w:t xml:space="preserve">836 A.2d 531</w:t>
      </w:r>
      <w:r>
        <w:t xml:space="preserve">, 547-51 (Del.Ch.2003); Leo E. Strine, Jr.,</w:t>
      </w:r>
      <w:r>
        <w:t xml:space="preserve"> </w:t>
      </w:r>
      <w:r>
        <w:rPr>
          <w:iCs/>
          <w:i/>
        </w:rPr>
        <w:t xml:space="preserve">The Inescapably Empirical Foundation of the Common Law of Corporations,</w:t>
      </w:r>
      <w:r>
        <w:t xml:space="preserve"> </w:t>
      </w:r>
      <w:r>
        <w:t xml:space="preserve">27 Del. J. Corp. L. 499</w:t>
      </w:r>
      <w:r>
        <w:t xml:space="preserve">, 507-14 (2002).</w:t>
      </w:r>
    </w:p>
  </w:footnote>
  <w:footnote w:id="95">
    <w:p>
      <w:pPr>
        <w:pStyle w:val="CaseFootnoteText"/>
      </w:pPr>
      <w:r>
        <w:rPr>
          <w:rStyle w:val="FootnoteReference"/>
        </w:rPr>
        <w:t xml:space="preserve">4  </w:t>
      </w:r>
      <w:r>
        <w:t xml:space="preserve">Between 1967 and 1973, Cargill suggested that Warren take a number of steps, including: (1) a reduction of seed grain and cash grain inventories; (2) improved collection of accounts receivable; (3) reduction or elimination of its wholesale seed business and its spe-ciality grain operation; (4) marketing fertilizer and steel bins on consignment; (5) a reduction in withdrawals made by officers; (6) a suggestion that Warren’s bookkeeper not issue her own salary checks; and (7) cooperation with Cargill in implementing the recommendations. These ideas were apparently never implemented, however.</w:t>
      </w:r>
    </w:p>
  </w:footnote>
  <w:footnote w:id="96">
    <w:p>
      <w:pPr>
        <w:pStyle w:val="CaseFootnoteText"/>
      </w:pPr>
      <w:r>
        <w:rPr>
          <w:rStyle w:val="FootnoteReference"/>
        </w:rPr>
        <w:t xml:space="preserve">4  </w:t>
      </w:r>
      <w:r>
        <w:t xml:space="preserve"/>
      </w:r>
      <w:r>
        <w:t xml:space="preserve"> </w:t>
      </w:r>
      <w:r>
        <w:rPr>
          <w:iCs/>
          <w:i/>
        </w:rPr>
        <w:t xml:space="preserve">Desnick</w:t>
      </w:r>
      <w:r>
        <w:t xml:space="preserve"> </w:t>
      </w:r>
      <w:r>
        <w:t xml:space="preserve">noted in a separate discussion that the test patients were not sent in to commit a tort or some other injurious act.</w:t>
      </w:r>
      <w:r>
        <w:t xml:space="preserve"> </w:t>
      </w:r>
      <w:r>
        <w:t xml:space="preserve">44 F.3d at 1353</w:t>
      </w:r>
      <w:r>
        <w:t xml:space="preserve">.</w:t>
      </w:r>
    </w:p>
  </w:footnote>
  <w:footnote w:id="97">
    <w:p>
      <w:pPr>
        <w:pStyle w:val="CaseFootnoteText"/>
      </w:pPr>
      <w:r>
        <w:rPr>
          <w:rStyle w:val="FootnoteReference"/>
        </w:rPr>
        <w:t xml:space="preserve">4  </w:t>
      </w:r>
      <w:r>
        <w:t xml:space="preserve"/>
      </w:r>
      <w:r>
        <w:t xml:space="preserve"> </w:t>
      </w:r>
      <w:r>
        <w:rPr>
          <w:iCs/>
          <w:i/>
        </w:rPr>
        <w:t xml:space="preserve">Id.</w:t>
      </w:r>
      <w:r>
        <w:t xml:space="preserve"> </w:t>
      </w:r>
      <w:r>
        <w:t xml:space="preserve">at 70 (LP Agreement § 1.1).</w:t>
      </w:r>
    </w:p>
  </w:footnote>
  <w:footnote w:id="98">
    <w:p>
      <w:pPr>
        <w:pStyle w:val="CaseFootnoteText"/>
      </w:pPr>
      <w:r>
        <w:rPr>
          <w:rStyle w:val="FootnoteReference"/>
        </w:rPr>
        <w:t xml:space="preserve">4  </w:t>
      </w:r>
      <w:r>
        <w:t xml:space="preserve">Hurst had served as Goldman's co-head of investment banking and as Vice Chairman, while Volpert had served as the co-Chief Operating Officer of Goldman's private equity business.</w:t>
      </w:r>
    </w:p>
  </w:footnote>
  <w:footnote w:id="99">
    <w:p>
      <w:pPr>
        <w:pStyle w:val="CaseFootnoteText"/>
      </w:pPr>
      <w:r>
        <w:rPr>
          <w:rStyle w:val="FootnoteReference"/>
        </w:rPr>
        <w:t xml:space="preserve">4  </w:t>
      </w:r>
      <w:r>
        <w:t xml:space="preserve"/>
      </w:r>
      <w:r>
        <w:t xml:space="preserve">Shortly before Citizens United mooted the issue by abandoning its facial challenge, the Government advised the District Court that it “require[d] time to develop a factual record regarding [the] facial challenge.” 1:07-cv-2240-RCL-RWR, Docket Entry No. 47, p. 4 (Mar. 26, 2008). By reinstating a claim that Citizens United abandoned, the Court gives it a perverse litigating advantage over its adversary, which was deprived of the opportunity to gather and present information necessary to its rebuttal.</w:t>
      </w:r>
    </w:p>
  </w:footnote>
  <w:footnote w:id="100">
    <w:p>
      <w:pPr>
        <w:pStyle w:val="CaseFootnoteText"/>
      </w:pPr>
      <w:r>
        <w:rPr>
          <w:rStyle w:val="FootnoteReference"/>
        </w:rPr>
        <w:t xml:space="preserve">4  </w:t>
      </w:r>
      <w:r>
        <w:t xml:space="preserve"/>
      </w:r>
      <w:r>
        <w:t xml:space="preserve">On August 21, 1974, respondents petitioned for an appraisal of their Kirby stock, but they withdrew that petition on September 9 and the next day commenced this lawsuit.</w:t>
      </w:r>
    </w:p>
  </w:footnote>
  <w:footnote w:id="101">
    <w:p>
      <w:pPr>
        <w:pStyle w:val="CaseFootnoteText"/>
      </w:pPr>
      <w:r>
        <w:rPr>
          <w:rStyle w:val="FootnoteReference"/>
        </w:rPr>
        <w:t xml:space="preserve">4  </w:t>
      </w:r>
      <w:r>
        <w:t xml:space="preserve"/>
      </w:r>
      <w:r>
        <w:t xml:space="preserve"> </w:t>
      </w:r>
      <w:r>
        <w:rPr>
          <w:iCs/>
          <w:i/>
        </w:rPr>
        <w:t xml:space="preserve">See also United States v. Santoro,</w:t>
      </w:r>
      <w:r>
        <w:t xml:space="preserve"> </w:t>
      </w:r>
      <w:r>
        <w:t xml:space="preserve">647 F.Supp. 153</w:t>
      </w:r>
      <w:r>
        <w:t xml:space="preserve">, 170-71 (E.D.N.Y.1986) ("An allegation that the tippee knew of the tipper’s breach necessarily charges that the tippee knew that the tipper was acting for personal gain.”)</w:t>
      </w:r>
      <w:r>
        <w:t xml:space="preserve"> </w:t>
      </w:r>
      <w:r>
        <w:rPr>
          <w:iCs/>
          <w:i/>
        </w:rPr>
        <w:t xml:space="preserve">rev’d on other grounds sub nom., United States v. Davidoff,</w:t>
      </w:r>
      <w:r>
        <w:t xml:space="preserve"> </w:t>
      </w:r>
      <w:r>
        <w:t xml:space="preserve">845 F.2d 1151</w:t>
      </w:r>
      <w:r>
        <w:t xml:space="preserve"> </w:t>
      </w:r>
      <w:r>
        <w:t xml:space="preserve">(2d Cir.1988);</w:t>
      </w:r>
      <w:r>
        <w:t xml:space="preserve"> </w:t>
      </w:r>
      <w:r>
        <w:rPr>
          <w:iCs/>
          <w:i/>
        </w:rPr>
        <w:t xml:space="preserve">Hernandez v. United States,</w:t>
      </w:r>
      <w:r>
        <w:t xml:space="preserve"> </w:t>
      </w:r>
      <w:r>
        <w:t xml:space="preserve">450 F.Supp.2d 1112</w:t>
      </w:r>
      <w:r>
        <w:t xml:space="preserve">, 1118 (C.D.Cal.2006) (”[U]nder the standard set forth in</w:t>
      </w:r>
      <w:r>
        <w:t xml:space="preserve"> </w:t>
      </w:r>
      <w:r>
        <w:rPr>
          <w:iCs/>
          <w:i/>
        </w:rPr>
        <w:t xml:space="preserve">Dirks</w:t>
      </w:r>
      <w:r>
        <w:t xml:space="preserve"> </w:t>
      </w:r>
      <w:r>
        <w:t xml:space="preserve">” a tippee can be liable under Section 10(b) and Rule 10(b)-5 "if the tippee had knowledge of the insider-tipper’s personal gain.”).</w:t>
      </w:r>
    </w:p>
  </w:footnote>
  <w:footnote w:id="102">
    <w:p>
      <w:pPr>
        <w:pStyle w:val="CaseFootnoteText"/>
      </w:pPr>
      <w:r>
        <w:rPr>
          <w:rStyle w:val="FootnoteReference"/>
        </w:rPr>
        <w:t xml:space="preserve">4  </w:t>
      </w:r>
      <w:r>
        <w:t xml:space="preserve"/>
      </w:r>
      <w:r>
        <w:t xml:space="preserve">Rule 14a-3 (a) provides:</w:t>
      </w:r>
    </w:p>
    <w:p>
      <w:pPr>
        <w:pStyle w:val="BlockText"/>
      </w:pPr>
      <w:r>
        <w:t xml:space="preserve">“No solicitation subject to this regulation shall be made unless each person solicited is concurrently furnished or has previously been furnished with a written proxy statement containing the information specified in Schedule 14A.”</w:t>
      </w:r>
    </w:p>
    <w:p>
      <w:pPr>
        <w:pStyle w:val="CaseFootnoteText"/>
      </w:pPr>
      <w:r>
        <w:t xml:space="preserve">Schedule 14A, Item 5 (e), requires:</w:t>
      </w:r>
    </w:p>
    <w:p>
      <w:pPr>
        <w:pStyle w:val="BlockText"/>
      </w:pPr>
      <w:r>
        <w:t xml:space="preserve">“If to the knowledge of the persons on whose behalf the solicitation is made a change in control of the issuer has occurred since the beginning of its last fiscal year, state the name of the person or persons who acquired such control, the basis of such control, the date and a description of the transaction or transactions in which control was acquired and the percentage of voting securities of the issuer now owned by such person or persons.”</w:t>
      </w:r>
      <w:r>
        <w:t xml:space="preserve"/>
      </w:r>
      <w:r>
        <w:t xml:space="preserve">17 CFR § 240</w:t>
      </w:r>
      <w:r>
        <w:t xml:space="preserve">.14a-101, Item 5 (e) (1975).</w:t>
      </w:r>
    </w:p>
  </w:footnote>
  <w:footnote w:id="103">
    <w:p>
      <w:pPr>
        <w:pStyle w:val="CaseFootnoteText"/>
      </w:pPr>
      <w:r>
        <w:rPr>
          <w:rStyle w:val="FootnoteReference"/>
        </w:rPr>
        <w:t xml:space="preserve">4  </w:t>
      </w:r>
      <w:r>
        <w:t xml:space="preserve"/>
      </w:r>
      <w:r>
        <w:t xml:space="preserve"> </w:t>
      </w:r>
      <w:r>
        <w:t xml:space="preserve">See, e.</w:t>
      </w:r>
      <w:r>
        <w:t xml:space="preserve"> </w:t>
      </w:r>
      <w:r>
        <w:rPr>
          <w:iCs/>
          <w:i/>
        </w:rPr>
        <w:t xml:space="preserve">g.,</w:t>
      </w:r>
      <w:r>
        <w:t xml:space="preserve"> </w:t>
      </w:r>
      <w:r>
        <w:t xml:space="preserve">§§ 11, 12, 15 of the 1933 Act, 15 U. S. C. §§ 77k,</w:t>
      </w:r>
      <w:r>
        <w:t xml:space="preserve"> </w:t>
      </w:r>
      <w:r>
        <w:rPr>
          <w:iCs/>
          <w:i/>
        </w:rPr>
        <w:t xml:space="preserve">77l,</w:t>
      </w:r>
      <w:r>
        <w:t xml:space="preserve"> </w:t>
      </w:r>
      <w:r>
        <w:t xml:space="preserve">77o; §§ 9, 16, 18, 20 of the 1934 Act, 15 U. S. C. §§ 78i, 78p, 78r, 78t.</w:t>
      </w:r>
    </w:p>
  </w:footnote>
  <w:footnote w:id="104">
    <w:p>
      <w:pPr>
        <w:pStyle w:val="CaseFootnoteText"/>
      </w:pPr>
      <w:r>
        <w:rPr>
          <w:rStyle w:val="FootnoteReference"/>
        </w:rPr>
        <w:t xml:space="preserve">4  </w:t>
      </w:r>
      <w:r>
        <w:t xml:space="preserve"/>
      </w:r>
      <w:r>
        <w:t xml:space="preserve"> </w:t>
      </w:r>
      <w:r>
        <w:t xml:space="preserve">It is more than curious that the SEC should seek this change in the 1934 Act by judicial action. The stated purpose of the 1933 Act was “[t]o provide full and fair disclosure of the character of securities sold in interstate and foreign commerce . . . .” See preamble to Act,</w:t>
      </w:r>
      <w:r>
        <w:t xml:space="preserve"> </w:t>
      </w:r>
      <w:r>
        <w:t xml:space="preserve">48 Stat. 74</w:t>
      </w:r>
      <w:r>
        <w:t xml:space="preserve">. The evil addressed was the tendency of the seller to exaggerate, to “puff,” and sometimes fraudulently to overstate the prospects and earning capabilities of the issuing corporation. The decade of the 1920’s was marked by financings in which the buying public was oversold, and often misled, by the buoyant optimism of issuers and underwriters. The 1933 Act was intended to. compel moderation and caution in prospectuses, and this is precisely the way that Act has been administered by the SEC for more than 40 years. Precise factual accuracy with respect to a corporate enterprise is frequently impossible, except with respect to hard facts. The outcome of pending litigation, the effect of relatively new legislation, the possible enactment of adverse legislation, the cost of projected construction or of entering new markets, the expenditures needed to meet changing environmental regulations, the likelihood and effect of new competition or of new technology, and many similar matters of potential relevancy must be addressed in registration statements and prospectuses. In administering the 1933 Act, the SEC traditionally and consistently has encouraged and often required offerors to take conservative postures in prospectuses, especially with respect to judgmental and possibly unfavorable matters. If a different philosophy now were to be read into the 1934 Act, inviting litigation for arguably misleading understatement as well as for overstatement of the issuer’s prospects, the hazard of “going to market” — already not inconsequential — would be immeasurably increased.</w:t>
      </w:r>
    </w:p>
  </w:footnote>
  <w:footnote w:id="105">
    <w:p>
      <w:pPr>
        <w:pStyle w:val="CaseFootnoteText"/>
      </w:pPr>
      <w:r>
        <w:rPr>
          <w:rStyle w:val="FootnoteReference"/>
        </w:rPr>
        <w:t xml:space="preserve">4  </w:t>
      </w:r>
      <w:r>
        <w:t xml:space="preserve">Capital in the sense of legal or stated capital measures the amount of the margin of assets over debts and liabilities required to be retained as a condition of granting the shareholders the privilege of trading in a corporate capacity with limited liability.</w:t>
      </w:r>
      <w:r>
        <w:t xml:space="preserve"> </w:t>
      </w:r>
      <w:r>
        <w:t xml:space="preserve">23 Cal.L.Rev. 229</w:t>
      </w:r>
      <w:r>
        <w:t xml:space="preserve">, “Corporate Capital and Restrictions-upon Dividends under Modern Corporation Laws,” Ballanline and Hills.</w:t>
      </w:r>
    </w:p>
  </w:footnote>
  <w:footnote w:id="106">
    <w:p>
      <w:pPr>
        <w:pStyle w:val="CaseFootnoteText"/>
      </w:pPr>
      <w:r>
        <w:rPr>
          <w:rStyle w:val="FootnoteReference"/>
        </w:rPr>
        <w:t xml:space="preserve">4  </w:t>
      </w:r>
      <w:r>
        <w:t xml:space="preserve">In an analogous setting, this court has repeatedly recognized that it will interfere with the taking of a vote at a shareholders' meeting only with the greatest reluctance.</w:t>
      </w:r>
      <w:r>
        <w:t xml:space="preserve"> </w:t>
      </w:r>
      <w:r>
        <w:rPr>
          <w:iCs/>
          <w:i/>
        </w:rPr>
        <w:t xml:space="preserve">See, e.g., Campbell</w:t>
      </w:r>
      <w:r>
        <w:t xml:space="preserve"> </w:t>
      </w:r>
      <w:r>
        <w:t xml:space="preserve">v.</w:t>
      </w:r>
      <w:r>
        <w:t xml:space="preserve"> </w:t>
      </w:r>
      <w:r>
        <w:rPr>
          <w:iCs/>
          <w:i/>
        </w:rPr>
        <w:t xml:space="preserve">Loew's, Inc.,</w:t>
      </w:r>
      <w:r>
        <w:t xml:space="preserve"> </w:t>
      </w:r>
      <w:r>
        <w:t xml:space="preserve">Del.Ch.,</w:t>
      </w:r>
      <w:r>
        <w:t xml:space="preserve"> </w:t>
      </w:r>
      <w:r>
        <w:t xml:space="preserve">134 A.2d 565</w:t>
      </w:r>
      <w:r>
        <w:t xml:space="preserve">, 567 (1957);</w:t>
      </w:r>
      <w:r>
        <w:t xml:space="preserve"> </w:t>
      </w:r>
      <w:r>
        <w:rPr>
          <w:iCs/>
          <w:i/>
        </w:rPr>
        <w:t xml:space="preserve">Lenahan v. National Computer Analysts Corp.,</w:t>
      </w:r>
      <w:r>
        <w:t xml:space="preserve"> </w:t>
      </w:r>
      <w:r>
        <w:t xml:space="preserve">Del.Ch.,</w:t>
      </w:r>
      <w:r>
        <w:t xml:space="preserve"> </w:t>
      </w:r>
      <w:r>
        <w:t xml:space="preserve">310 A.2d 661</w:t>
      </w:r>
      <w:r>
        <w:t xml:space="preserve">, 664 (1973);</w:t>
      </w:r>
      <w:r>
        <w:t xml:space="preserve"> </w:t>
      </w:r>
      <w:r>
        <w:rPr>
          <w:iCs/>
          <w:i/>
        </w:rPr>
        <w:t xml:space="preserve">Initio Partners</w:t>
      </w:r>
      <w:r>
        <w:t xml:space="preserve"> </w:t>
      </w:r>
      <w:r>
        <w:t xml:space="preserve">v.</w:t>
      </w:r>
      <w:r>
        <w:t xml:space="preserve"> </w:t>
      </w:r>
      <w:r>
        <w:rPr>
          <w:iCs/>
          <w:i/>
        </w:rPr>
        <w:t xml:space="preserve">Tandycrafts, Inc.,</w:t>
      </w:r>
      <w:r>
        <w:t xml:space="preserve"> </w:t>
      </w:r>
      <w:r>
        <w:t xml:space="preserve">Del.Ch., C.A. No. 8697. Hartnett, V.C. (Nov. 10, 1986) [Available on WESTLAW, DE-CS database].</w:t>
      </w:r>
    </w:p>
  </w:footnote>
  <w:footnote w:id="107">
    <w:p>
      <w:pPr>
        <w:pStyle w:val="CaseFootnoteText"/>
      </w:pPr>
      <w:r>
        <w:rPr>
          <w:rStyle w:val="FootnoteReference"/>
        </w:rPr>
        <w:t xml:space="preserve">4  </w:t>
      </w:r>
      <w:r>
        <w:t xml:space="preserve">Brascan argues that this observation prior to any announced resistance by Woolworth showed illicit communication and cooperation between Woolworth and Edper. This was not demonstrated. Edper inferred resistance from the publicly known fact that Woolworth had engaged a lawyer well known for resistance to tender offers.</w:t>
      </w:r>
    </w:p>
  </w:footnote>
  <w:footnote w:id="108">
    <w:p>
      <w:pPr>
        <w:pStyle w:val="CaseFootnoteText"/>
      </w:pPr>
      <w:r>
        <w:rPr>
          <w:rStyle w:val="FootnoteReference"/>
        </w:rPr>
        <w:t xml:space="preserve">4  </w:t>
      </w:r>
      <w:r>
        <w:t xml:space="preserve">Due to health problems, Knapp was not involved in the events that culminated with the WorldCom-Intermedia merger agreement.</w:t>
      </w:r>
    </w:p>
  </w:footnote>
  <w:footnote w:id="109">
    <w:p>
      <w:pPr>
        <w:pStyle w:val="CaseFootnoteText"/>
      </w:pPr>
      <w:r>
        <w:rPr>
          <w:rStyle w:val="FootnoteReference"/>
        </w:rPr>
        <w:t xml:space="preserve">4  </w:t>
      </w:r>
      <w:r>
        <w:t xml:space="preserve">Complaint, ¶ 109. A-184.</w:t>
      </w:r>
    </w:p>
  </w:footnote>
  <w:footnote w:id="110">
    <w:p>
      <w:pPr>
        <w:pStyle w:val="CaseFootnoteText"/>
      </w:pPr>
      <w:r>
        <w:rPr>
          <w:rStyle w:val="FootnoteReference"/>
        </w:rPr>
        <w:t xml:space="preserve">4  </w:t>
      </w:r>
      <w:r>
        <w:t xml:space="preserve">Bench Opinion at 13-15.</w:t>
      </w:r>
    </w:p>
  </w:footnote>
  <w:footnote w:id="111">
    <w:p>
      <w:pPr>
        <w:pStyle w:val="CaseFootnoteText"/>
      </w:pPr>
      <w:r>
        <w:rPr>
          <w:rStyle w:val="FootnoteReference"/>
        </w:rPr>
        <w:t xml:space="preserve">4  </w:t>
      </w:r>
      <w:r>
        <w:t xml:space="preserve">CCA sued Interco in the federal district court for a determination that Section 203 was an invalid enactment under the federal Constitution. It was unsuccessful in that attempt.</w:t>
      </w:r>
      <w:r>
        <w:t xml:space="preserve"> </w:t>
      </w:r>
      <w:r>
        <w:rPr>
          <w:iCs/>
          <w:i/>
        </w:rPr>
        <w:t xml:space="preserve">See City Capital Associates LP v. Interco Incorporated,</w:t>
      </w:r>
      <w:r>
        <w:t xml:space="preserve"> </w:t>
      </w:r>
      <w:r>
        <w:t xml:space="preserve">696 F.Supp. 1551</w:t>
      </w:r>
      <w:r>
        <w:t xml:space="preserve"> </w:t>
      </w:r>
      <w:r>
        <w:t xml:space="preserve">(D.Del.1988).</w:t>
      </w:r>
    </w:p>
  </w:footnote>
  <w:footnote w:id="112">
    <w:p>
      <w:pPr>
        <w:pStyle w:val="CaseFootnoteText"/>
      </w:pPr>
      <w:r>
        <w:rPr>
          <w:rStyle w:val="FootnoteReference"/>
        </w:rPr>
        <w:t xml:space="preserve">4  </w:t>
      </w:r>
      <w:r>
        <w:t xml:space="preserve">On September 23, 2010, Airgas expanded its board from nine to ten members, reappointing Chief Executive Officer, Peter McCaus-land, who lost his reelection bid at the September 15, 2010 annual meeting.</w:t>
      </w:r>
    </w:p>
  </w:footnote>
  <w:footnote w:id="113">
    <w:p>
      <w:pPr>
        <w:pStyle w:val="CaseFootnoteText"/>
      </w:pPr>
      <w:r>
        <w:rPr>
          <w:rStyle w:val="FootnoteReference"/>
        </w:rPr>
        <w:t xml:space="preserve">4  </w:t>
      </w:r>
      <w:r>
        <w:t xml:space="preserve"/>
      </w:r>
      <w:r>
        <w:rPr>
          <w:iCs/>
          <w:i/>
        </w:rPr>
        <w:t xml:space="preserve">.Arnold I, slip op.</w:t>
      </w:r>
      <w:r>
        <w:t xml:space="preserve"> </w:t>
      </w:r>
      <w:r>
        <w:t xml:space="preserve">at 17-18. Plaintiff did not appeal from this decision. The failure to appeal the interlocutory order denying the preliminary injunction does not affect plaintiff's right to prosecute this appeal.</w:t>
      </w:r>
    </w:p>
  </w:footnote>
  <w:footnote w:id="114">
    <w:p>
      <w:pPr>
        <w:pStyle w:val="CaseFootnoteText"/>
      </w:pPr>
      <w:r>
        <w:rPr>
          <w:rStyle w:val="FootnoteReference"/>
        </w:rPr>
        <w:t xml:space="preserve">4  </w:t>
      </w:r>
      <w:r>
        <w:t xml:space="preserve">Plaintiffs claim that the defensive measures were used precisely to prevent the stockholders from voting in favor of Union Pacific — by voting against the Santa Fe/Burlington merger and tendering their shares into Union Pacific’s offer.</w:t>
      </w:r>
    </w:p>
  </w:footnote>
  <w:footnote w:id="115">
    <w:p>
      <w:pPr>
        <w:pStyle w:val="CaseFootnoteText"/>
      </w:pPr>
      <w:r>
        <w:rPr>
          <w:rStyle w:val="FootnoteReference"/>
        </w:rPr>
        <w:t xml:space="preserve">4  </w:t>
      </w:r>
      <w:r>
        <w:t xml:space="preserve"/>
      </w:r>
      <w:r>
        <w:t xml:space="preserve"> </w:t>
      </w:r>
      <w:r>
        <w:rPr>
          <w:iCs/>
          <w:i/>
        </w:rPr>
        <w:t xml:space="preserve">See</w:t>
      </w:r>
      <w:r>
        <w:t xml:space="preserve"> </w:t>
      </w:r>
      <w:r>
        <w:t xml:space="preserve">J. Bryson,</w:t>
      </w:r>
      <w:r>
        <w:t xml:space="preserve"> </w:t>
      </w:r>
      <w:r>
        <w:rPr>
          <w:iCs/>
          <w:i/>
        </w:rPr>
        <w:t xml:space="preserve">The World of Armand Hammer</w:t>
      </w:r>
      <w:r>
        <w:t xml:space="preserve"> </w:t>
      </w:r>
      <w:r>
        <w:t xml:space="preserve">194-97 (1985) (numerous color photographs of the Frances and Armand Hammer Wing of LAC-MA are displayed).</w:t>
      </w:r>
    </w:p>
  </w:footnote>
  <w:footnote w:id="116">
    <w:p>
      <w:pPr>
        <w:pStyle w:val="CaseFootnoteText"/>
      </w:pPr>
      <w:r>
        <w:rPr>
          <w:rStyle w:val="FootnoteReference"/>
        </w:rPr>
        <w:t xml:space="preserve">4  </w:t>
      </w:r>
      <w:r>
        <w:t xml:space="preserve">JX-16 (resolutions on the establishment of the Special Committee (February 12, 2004)) at SP COMM 000441.</w:t>
      </w:r>
    </w:p>
  </w:footnote>
  <w:footnote w:id="117">
    <w:p>
      <w:pPr>
        <w:pStyle w:val="CaseFootnoteText"/>
      </w:pPr>
      <w:r>
        <w:rPr>
          <w:rStyle w:val="FootnoteReference"/>
        </w:rPr>
        <w:t xml:space="preserve">4  </w:t>
      </w:r>
      <w:r>
        <w:t xml:space="preserve"/>
      </w:r>
      <w:r>
        <w:t xml:space="preserve"> </w:t>
      </w:r>
      <w:r>
        <w:rPr>
          <w:iCs/>
          <w:i/>
        </w:rPr>
        <w:t xml:space="preserve">See, e.g.,</w:t>
      </w:r>
      <w:r>
        <w:t xml:space="preserve"> </w:t>
      </w:r>
      <w:r>
        <w:t xml:space="preserve">Faith Stevelman,</w:t>
      </w:r>
      <w:r>
        <w:t xml:space="preserve"> </w:t>
      </w:r>
      <w:r>
        <w:rPr>
          <w:iCs/>
          <w:i/>
        </w:rPr>
        <w:t xml:space="preserve">Going Private at the Intersection of the Market and the Law,</w:t>
      </w:r>
      <w:r>
        <w:t xml:space="preserve"> </w:t>
      </w:r>
      <w:r>
        <w:t xml:space="preserve">62 Bus. Law. 775 (2007); Letsou &amp; Haas,</w:t>
      </w:r>
      <w:r>
        <w:t xml:space="preserve"> </w:t>
      </w:r>
      <w:r>
        <w:rPr>
          <w:iCs/>
          <w:i/>
        </w:rPr>
        <w:t xml:space="preserve">supra;</w:t>
      </w:r>
      <w:r>
        <w:t xml:space="preserve"> </w:t>
      </w:r>
      <w:r>
        <w:t xml:space="preserve">Guhan Subramanian,</w:t>
      </w:r>
      <w:r>
        <w:t xml:space="preserve"> </w:t>
      </w:r>
      <w:r>
        <w:rPr>
          <w:iCs/>
          <w:i/>
        </w:rPr>
        <w:t xml:space="preserve">Fixing Freezeouts,</w:t>
      </w:r>
      <w:r>
        <w:t xml:space="preserve"> </w:t>
      </w:r>
      <w:r>
        <w:t xml:space="preserve">115 Yale L.J. 2</w:t>
      </w:r>
      <w:r>
        <w:t xml:space="preserve"> </w:t>
      </w:r>
      <w:r>
        <w:t xml:space="preserve">(2005) [hereinafter,</w:t>
      </w:r>
      <w:r>
        <w:t xml:space="preserve"> </w:t>
      </w:r>
      <w:r>
        <w:rPr>
          <w:iCs/>
          <w:i/>
        </w:rPr>
        <w:t xml:space="preserve">“Fixing Freeze-outs</w:t>
      </w:r>
      <w:r>
        <w:t xml:space="preserve"> </w:t>
      </w:r>
      <w:r>
        <w:t xml:space="preserve">"j; Bradley R. Aronstam et al.,</w:t>
      </w:r>
      <w:r>
        <w:t xml:space="preserve"> </w:t>
      </w:r>
      <w:r>
        <w:rPr>
          <w:iCs/>
          <w:i/>
        </w:rPr>
        <w:t xml:space="preserve">Revisiting Delaware’s Going Private Dilemma</w:t>
      </w:r>
      <w:r>
        <w:t xml:space="preserve"> </w:t>
      </w:r>
      <w:r>
        <w:t xml:space="preserve">Post-Pure Resources, 59 Bus. Law. 1459 (2004); Ronald J. Gilson &amp; Jeffrey N. Gordon,</w:t>
      </w:r>
      <w:r>
        <w:t xml:space="preserve"> </w:t>
      </w:r>
      <w:r>
        <w:rPr>
          <w:iCs/>
          <w:i/>
        </w:rPr>
        <w:t xml:space="preserve">Controlling Shareholders,</w:t>
      </w:r>
      <w:r>
        <w:t xml:space="preserve"> </w:t>
      </w:r>
      <w:r>
        <w:t xml:space="preserve">152 U. Pa. L.Rev. 785</w:t>
      </w:r>
      <w:r>
        <w:t xml:space="preserve"> </w:t>
      </w:r>
      <w:r>
        <w:t xml:space="preserve">(2003); John E. Abramczyk et al.,</w:t>
      </w:r>
      <w:r>
        <w:t xml:space="preserve"> </w:t>
      </w:r>
      <w:r>
        <w:rPr>
          <w:iCs/>
          <w:i/>
        </w:rPr>
        <w:t xml:space="preserve">Going-Private “Dilemma”?</w:t>
      </w:r>
      <w:r>
        <w:t xml:space="preserve"> </w:t>
      </w:r>
      <w:r>
        <w:t xml:space="preserve">— Not</w:t>
      </w:r>
      <w:r>
        <w:t xml:space="preserve"> </w:t>
      </w:r>
      <w:r>
        <w:rPr>
          <w:iCs/>
          <w:i/>
        </w:rPr>
        <w:t xml:space="preserve">in</w:t>
      </w:r>
      <w:r>
        <w:t xml:space="preserve"> </w:t>
      </w:r>
      <w:r>
        <w:t xml:space="preserve">Delaware, 58 Bus. Law. 1351 (2003); Bradley R. Aronstam et al.,</w:t>
      </w:r>
      <w:r>
        <w:t xml:space="preserve"> </w:t>
      </w:r>
      <w:r>
        <w:rPr>
          <w:iCs/>
          <w:i/>
        </w:rPr>
        <w:t xml:space="preserve">Delaware's Going Private Dilemma: Fostering Protections for Minority Shareholders in the Wake of</w:t>
      </w:r>
      <w:r>
        <w:t xml:space="preserve"> </w:t>
      </w:r>
      <w:r>
        <w:t xml:space="preserve">Siliconix</w:t>
      </w:r>
      <w:r>
        <w:t xml:space="preserve"> </w:t>
      </w:r>
      <w:r>
        <w:rPr>
          <w:iCs/>
          <w:i/>
        </w:rPr>
        <w:t xml:space="preserve">and</w:t>
      </w:r>
      <w:r>
        <w:t xml:space="preserve"> </w:t>
      </w:r>
      <w:r>
        <w:t xml:space="preserve">Unocal Exploration, 58 Bus. Law. 519 (2003) [hereinafter,</w:t>
      </w:r>
      <w:r>
        <w:t xml:space="preserve"> </w:t>
      </w:r>
      <w:r>
        <w:rPr>
          <w:iCs/>
          <w:i/>
        </w:rPr>
        <w:t xml:space="preserve">“Delaware’s Dilemma</w:t>
      </w:r>
      <w:r>
        <w:t xml:space="preserve"> </w:t>
      </w:r>
      <w:r>
        <w:t xml:space="preserve">"].</w:t>
      </w:r>
    </w:p>
  </w:footnote>
  <w:footnote w:id="118">
    <w:p>
      <w:pPr>
        <w:pStyle w:val="CaseFootnoteText"/>
      </w:pPr>
      <w:r>
        <w:rPr>
          <w:rStyle w:val="FootnoteReference"/>
        </w:rPr>
        <w:t xml:space="preserve">5  </w:t>
      </w:r>
      <w:r>
        <w:t xml:space="preserve">Count I of plaintiffs’ complaint, which alleged that Cargill and Warren had violated the Minnesota Anti-Trust Law, Minn.Stat. § 325D.51 (1980), was dismissed by the court.</w:t>
      </w:r>
    </w:p>
  </w:footnote>
  <w:footnote w:id="119">
    <w:p>
      <w:pPr>
        <w:pStyle w:val="CaseFootnoteText"/>
      </w:pPr>
      <w:r>
        <w:rPr>
          <w:rStyle w:val="FootnoteReference"/>
        </w:rPr>
        <w:t xml:space="preserve">5  </w:t>
      </w:r>
      <w:r>
        <w:t xml:space="preserve">Indeed, the ABC News Policy Manual slates that "news gathering of whatever sort does nol include any license to violate the law.”</w:t>
      </w:r>
    </w:p>
  </w:footnote>
  <w:footnote w:id="120">
    <w:p>
      <w:pPr>
        <w:pStyle w:val="CaseFootnoteText"/>
      </w:pPr>
      <w:r>
        <w:rPr>
          <w:rStyle w:val="FootnoteReference"/>
        </w:rPr>
        <w:t xml:space="preserve">5  </w:t>
      </w:r>
      <w:r>
        <w:t xml:space="preserve">The general partner of the General Partner is Regency GP LLC. As noted before, for simplicity salte, "General Partner” in this decision includes both Regency GP LP and Regency GP LLC.</w:t>
      </w:r>
    </w:p>
  </w:footnote>
  <w:footnote w:id="121">
    <w:p>
      <w:pPr>
        <w:pStyle w:val="CaseFootnoteText"/>
      </w:pPr>
      <w:r>
        <w:rPr>
          <w:rStyle w:val="FootnoteReference"/>
        </w:rPr>
        <w:t xml:space="preserve">5  </w:t>
      </w:r>
      <w:r>
        <w:t xml:space="preserve">ArcLight did not participate in the investment because it was not willing to accept some of Koch's governance demands.</w:t>
      </w:r>
    </w:p>
  </w:footnote>
  <w:footnote w:id="122">
    <w:p>
      <w:pPr>
        <w:pStyle w:val="CaseFootnoteText"/>
      </w:pPr>
      <w:r>
        <w:rPr>
          <w:rStyle w:val="FootnoteReference"/>
        </w:rPr>
        <w:t xml:space="preserve">5  </w:t>
      </w:r>
      <w:r>
        <w:t xml:space="preserve"/>
      </w:r>
      <w:r>
        <w:t xml:space="preserve">In fact, we do not even have a good evidentiary record of how §208 has been affecting Citizens United, which never submitted to the District Court the details of</w:t>
      </w:r>
      <w:r>
        <w:t xml:space="preserve"> </w:t>
      </w:r>
      <w:r>
        <w:rPr>
          <w:iCs/>
          <w:i/>
        </w:rPr>
        <w:t xml:space="preserve">Hillary’s</w:t>
      </w:r>
      <w:r>
        <w:t xml:space="preserve"> </w:t>
      </w:r>
      <w:r>
        <w:t xml:space="preserve">funding or its own finances. We likewise have no evidence of how §203 and comparable state laws were expected to affect corporations and unions in the future.</w:t>
      </w:r>
    </w:p>
    <w:p>
      <w:pPr>
        <w:pStyle w:val="CaseFootnoteText"/>
      </w:pPr>
      <w:r>
        <w:t xml:space="preserve">It is true, as the majority points out, that the</w:t>
      </w:r>
      <w:r>
        <w:t xml:space="preserve"/>
      </w:r>
      <w:r>
        <w:rPr>
          <w:iCs/>
          <w:i/>
        </w:rPr>
        <w:t xml:space="preserve">McConnell</w:t>
      </w:r>
      <w:r>
        <w:t xml:space="preserve"> </w:t>
      </w:r>
      <w:r>
        <w:t xml:space="preserve">Court evaluated the facial validity of §203 in light of an extensive record. See</w:t>
      </w:r>
      <w:r>
        <w:t xml:space="preserve"> </w:t>
      </w:r>
      <w:r>
        <w:rPr>
          <w:iCs/>
          <w:i/>
        </w:rPr>
        <w:t xml:space="preserve">ante,</w:t>
      </w:r>
      <w:r>
        <w:t xml:space="preserve"> </w:t>
      </w:r>
      <w:r>
        <w:t xml:space="preserve">at 331-332. But that record is not before us in this case. And in any event, the majority’s argument for striking down § 203 depends on its contention that the statute has proved too “chilling” in practice — and in particular on the contention that the controlling opinion in</w:t>
      </w:r>
      <w:r>
        <w:t xml:space="preserve"> </w:t>
      </w:r>
      <w:r>
        <w:rPr>
          <w:iCs/>
          <w:i/>
        </w:rPr>
        <w:t xml:space="preserve">WRTL,</w:t>
      </w:r>
      <w:r>
        <w:t xml:space="preserve"> </w:t>
      </w:r>
      <w:r>
        <w:t xml:space="preserve">551 U. S. 449 (2007), failed to bring sufficient clarity and “breathing space” to this area of law. See</w:t>
      </w:r>
      <w:r>
        <w:t xml:space="preserve"> </w:t>
      </w:r>
      <w:r>
        <w:rPr>
          <w:iCs/>
          <w:i/>
        </w:rPr>
        <w:t xml:space="preserve">ante,</w:t>
      </w:r>
      <w:r>
        <w:t xml:space="preserve"> </w:t>
      </w:r>
      <w:r>
        <w:t xml:space="preserve">at 329, 333-336. We have no record with which to assess that claim. The Court complains at length about the burdens of complying with § 203, but we have no meaningful evidence to show how regulated corporations and unions have experienced its restrictions.</w:t>
      </w:r>
    </w:p>
  </w:footnote>
  <w:footnote w:id="123">
    <w:p>
      <w:pPr>
        <w:pStyle w:val="CaseFootnoteText"/>
      </w:pPr>
      <w:r>
        <w:rPr>
          <w:rStyle w:val="FootnoteReference"/>
        </w:rPr>
        <w:t xml:space="preserve">5  </w:t>
      </w:r>
      <w:r>
        <w:t xml:space="preserve"/>
      </w:r>
      <w:r>
        <w:t xml:space="preserve">45 CFR § 147.130</w:t>
      </w:r>
      <w:r>
        <w:t xml:space="preserve">(a)(1)(iv) (2013) (HHS);</w:t>
      </w:r>
      <w:r>
        <w:t xml:space="preserve"> </w:t>
      </w:r>
      <w:r>
        <w:t xml:space="preserve">29 CFR § 2590.715-2713</w:t>
      </w:r>
      <w:r>
        <w:t xml:space="preserve">(a)(1)(iv) (2013) (Labor);</w:t>
      </w:r>
      <w:r>
        <w:t xml:space="preserve"> </w:t>
      </w:r>
      <w:r>
        <w:t xml:space="preserve">26 CFR § 54.9815-2713</w:t>
      </w:r>
      <w:r>
        <w:t xml:space="preserve">(a)(1)(iv) (2013) (Treasury).</w:t>
      </w:r>
    </w:p>
  </w:footnote>
  <w:footnote w:id="124">
    <w:p>
      <w:pPr>
        <w:pStyle w:val="CaseFootnoteText"/>
      </w:pPr>
      <w:r>
        <w:rPr>
          <w:rStyle w:val="FootnoteReference"/>
        </w:rPr>
        <w:t xml:space="preserve">5  </w:t>
      </w:r>
      <w:r>
        <w:t xml:space="preserve"/>
      </w:r>
      <w:r>
        <w:t xml:space="preserve"> </w:t>
      </w:r>
      <w:r>
        <w:t xml:space="preserve">The figure of $772 per share was calculated as follows:</w:t>
      </w:r>
    </w:p>
    <w:p>
      <w:pPr>
        <w:pStyle w:val="BlockText"/>
      </w:pPr>
      <w:r>
        <w:t xml:space="preserve">“The difference of $311,000,000 ($622 per share) between the fair market value of Kirby’s land and timber, alone, as per the defendants’ own appraisal thereof at $320,000,000 and the $9,000,000 book value of said land and timber, added to the $150 per share, yields a pro rata share of the value of the physical assets of Kirby of at least $772 per share. The value of the stock was at least the pro rata value of the physical assets.” App. 102a.</w:t>
      </w:r>
    </w:p>
  </w:footnote>
  <w:footnote w:id="125">
    <w:p>
      <w:pPr>
        <w:pStyle w:val="CaseFootnoteText"/>
      </w:pPr>
      <w:r>
        <w:rPr>
          <w:rStyle w:val="FootnoteReference"/>
        </w:rPr>
        <w:t xml:space="preserve">5  </w:t>
      </w:r>
      <w:r>
        <w:t xml:space="preserve">We note that Judge Sullivan had an opportunity to address the issue in</w:t>
      </w:r>
      <w:r>
        <w:t xml:space="preserve"> </w:t>
      </w:r>
      <w:r>
        <w:rPr>
          <w:iCs/>
          <w:i/>
        </w:rPr>
        <w:t xml:space="preserve">Steinberg</w:t>
      </w:r>
      <w:r>
        <w:t xml:space="preserve"> </w:t>
      </w:r>
      <w:r>
        <w:t xml:space="preserve">only because the Government chose to charge Matthew Steinberg in the same criminal case as Newman and Chiasson by filing a superseding indictment. Notably, the Government superseded to add Steinberg on March 29, 2013, after the conclusion of the</w:t>
      </w:r>
      <w:r>
        <w:t xml:space="preserve"> </w:t>
      </w:r>
      <w:r>
        <w:rPr>
          <w:iCs/>
          <w:i/>
        </w:rPr>
        <w:t xml:space="preserve">Newman</w:t>
      </w:r>
      <w:r>
        <w:t xml:space="preserve"> </w:t>
      </w:r>
      <w:r>
        <w:t xml:space="preserve">trial, after Judge Sullivan refused to give the defendants' requested charge on scienter now at issue on this appeal, and at a time when there was no possibility of a joint trial with</w:t>
      </w:r>
      <w:r>
        <w:t xml:space="preserve"> </w:t>
      </w:r>
      <w:r>
        <w:rPr>
          <w:iCs/>
          <w:i/>
        </w:rPr>
        <w:t xml:space="preserve">the Newman</w:t>
      </w:r>
      <w:r>
        <w:t xml:space="preserve"> </w:t>
      </w:r>
      <w:r>
        <w:t xml:space="preserve">defendants.</w:t>
      </w:r>
    </w:p>
    <w:p>
      <w:pPr>
        <w:pStyle w:val="NodeEnd"/>
      </w:pPr>
      <w:r>
        <w:t xml:space="preserve"> </w:t>
      </w:r>
    </w:p>
    <w:p>
      <w:pPr>
        <w:pStyle w:val="NodeStart"/>
      </w:pPr>
      <w:r>
        <w:t xml:space="preserve"> </w:t>
      </w:r>
    </w:p>
    <w:p>
      <w:pPr>
        <w:pStyle w:val="HeadSeparator"/>
      </w:pPr>
      <w:r>
        <w:t xml:space="preserve"> </w:t>
      </w:r>
    </w:p>
  </w:footnote>
  <w:footnote w:id="126">
    <w:p>
      <w:pPr>
        <w:pStyle w:val="CaseFootnoteText"/>
      </w:pPr>
      <w:r>
        <w:rPr>
          <w:rStyle w:val="FootnoteReference"/>
        </w:rPr>
        <w:t xml:space="preserve">5  </w:t>
      </w:r>
      <w:r>
        <w:t xml:space="preserve"/>
      </w:r>
      <w:r>
        <w:t xml:space="preserve">Northway also asserted a claim under Rule 14a-9 that the proxy statement was materially misleading in its assertion that the TSC board of directors had approved the proposed transaction. It contended, first, that the proposal was never legally approved under applicable state law; and, second, that the statement should have in any event disclosed that the proposal received only four affirmative votes, and that the National nominees were cautioned against voting by their legal advisers. The Court of Appeals did not reach the first contention, and it found summary judgment inappropriate on the second. Neither contention is before us.</w:t>
      </w:r>
    </w:p>
  </w:footnote>
  <w:footnote w:id="127">
    <w:p>
      <w:pPr>
        <w:pStyle w:val="CaseFootnoteText"/>
      </w:pPr>
      <w:r>
        <w:rPr>
          <w:rStyle w:val="FootnoteReference"/>
        </w:rPr>
        <w:t xml:space="preserve">5  </w:t>
      </w:r>
      <w:r>
        <w:t xml:space="preserve"/>
      </w:r>
      <w:r>
        <w:t xml:space="preserve">Mr. Justice Blackmun, dissenting,</w:t>
      </w:r>
      <w:r>
        <w:t xml:space="preserve"> </w:t>
      </w:r>
      <w:r>
        <w:rPr>
          <w:iCs/>
          <w:i/>
        </w:rPr>
        <w:t xml:space="preserve">post,</w:t>
      </w:r>
      <w:r>
        <w:t xml:space="preserve"> </w:t>
      </w:r>
      <w:r>
        <w:t xml:space="preserve">at 764-765, finds support in the literal language of § 10 (b) since he concludes that in his view “the word 'sale’ ordinarily and naturally may be understood to mean, not only a single, individualized act transferring property from one party to another, but also the generalized event of public disposal of property through advertisement, auction, or some other market mechanism.” But this ignores the fact that this- carefully drawn statute itself defines the term “sale” for purposes of the Act, and, as we have noted,</w:t>
      </w:r>
      <w:r>
        <w:t xml:space="preserve"> </w:t>
      </w:r>
      <w:r>
        <w:rPr>
          <w:iCs/>
          <w:i/>
        </w:rPr>
        <w:t xml:space="preserve">infra,</w:t>
      </w:r>
      <w:r>
        <w:t xml:space="preserve"> </w:t>
      </w:r>
      <w:r>
        <w:t xml:space="preserve">at 751 n. 13, Congress expressly deleted from the Act’s definition events such as offers and advertisements which may ultimately lead to a completed sale. Moreover, the extension of the word “sale” to include offers is quite incompatible with Congress’ separate definition and use of these terms in the 1933 and 1934 Acts. Cf. § 2 (3) of the 1933 Act, 15 U. S. C. § 77b (3). Beyond this, the wording of § 10 (b), making fraud</w:t>
      </w:r>
      <w:r>
        <w:t xml:space="preserve"> </w:t>
      </w:r>
      <w:r>
        <w:rPr>
          <w:iCs/>
          <w:i/>
        </w:rPr>
        <w:t xml:space="preserve">in connection with the purchase or sale of a security</w:t>
      </w:r>
      <w:r>
        <w:t xml:space="preserve"> </w:t>
      </w:r>
      <w:r>
        <w:t xml:space="preserve">a violation of the Act, is surely badly strained when construed to provide a cause of action, not to purchasers and sellers of securities, but to the world at large.</w:t>
      </w:r>
    </w:p>
  </w:footnote>
  <w:footnote w:id="128">
    <w:p>
      <w:pPr>
        <w:pStyle w:val="CaseFootnoteText"/>
      </w:pPr>
      <w:r>
        <w:rPr>
          <w:rStyle w:val="FootnoteReference"/>
        </w:rPr>
        <w:t xml:space="preserve">5  </w:t>
      </w:r>
      <w:r>
        <w:t xml:space="preserve"/>
      </w:r>
      <w:r>
        <w:t xml:space="preserve">The dissent also charges that we are callous toward the “investing public” — a term it does not define. It would have been more accurate, perhaps, to have spoken of the noninvesting public, because the Court’s decision does not abandon the investing public. The great majority of registered issues of securities are offered by established corporations that have shares outstanding and held by members of the investing public. The types of suits that the dissent would encourage could result in large damage claims, costly litigation, generous settlements to avoid such cost, and often — where the litigation runs its course — in large verdicts. The shareholders of the defendant corporations — the “investing public” — would ultimately bear the burden of this litigation, including the fraudulent suits that would not be screened out by the dissent’s bare requirement of a “logical nexus between the alleged fraud and the sale or purchase of a security.”</w:t>
      </w:r>
    </w:p>
  </w:footnote>
  <w:footnote w:id="129">
    <w:p>
      <w:pPr>
        <w:pStyle w:val="CaseFootnoteText"/>
      </w:pPr>
      <w:r>
        <w:rPr>
          <w:rStyle w:val="FootnoteReference"/>
        </w:rPr>
        <w:t xml:space="preserve">5  </w:t>
      </w:r>
      <w:r>
        <w:t xml:space="preserve">The district court order reads: “There is substantial evidence in the record to sustain the findings of the Referee. His order overruling the Trustee’s objections to the proofs of the claims of J. A. Fazio and L. O. Ambrose is therefore affirmed.”</w:t>
      </w:r>
    </w:p>
  </w:footnote>
  <w:footnote w:id="130">
    <w:p>
      <w:pPr>
        <w:pStyle w:val="CaseFootnoteText"/>
      </w:pPr>
      <w:r>
        <w:rPr>
          <w:rStyle w:val="FootnoteReference"/>
        </w:rPr>
        <w:t xml:space="preserve">5  </w:t>
      </w:r>
      <w:r>
        <w:t xml:space="preserve">Some commentators have thought some of the case law of this state unduly literal. For example, Professor Buxbaum has referred to</w:t>
      </w:r>
      <w:r>
        <w:t xml:space="preserve"> </w:t>
      </w:r>
      <w:r>
        <w:rPr>
          <w:iCs/>
          <w:i/>
        </w:rPr>
        <w:t xml:space="preserve">Providence &amp; Worcester Co.</w:t>
      </w:r>
      <w:r>
        <w:t xml:space="preserve"> </w:t>
      </w:r>
      <w:r>
        <w:t xml:space="preserve">v.</w:t>
      </w:r>
      <w:r>
        <w:t xml:space="preserve"> </w:t>
      </w:r>
      <w:r>
        <w:rPr>
          <w:iCs/>
          <w:i/>
        </w:rPr>
        <w:t xml:space="preserve">Baker,</w:t>
      </w:r>
      <w:r>
        <w:t xml:space="preserve"> </w:t>
      </w:r>
      <w:r>
        <w:t xml:space="preserve">Del.Supr.,</w:t>
      </w:r>
      <w:r>
        <w:t xml:space="preserve"> </w:t>
      </w:r>
      <w:r>
        <w:t xml:space="preserve">378 A.2d 121</w:t>
      </w:r>
      <w:r>
        <w:t xml:space="preserve"> </w:t>
      </w:r>
      <w:r>
        <w:t xml:space="preserve">(1977) as: "an opinion startling in its literalness even for Delaware." Buxbaum,</w:t>
      </w:r>
      <w:r>
        <w:t xml:space="preserve"> </w:t>
      </w:r>
      <w:r>
        <w:rPr>
          <w:iCs/>
          <w:i/>
        </w:rPr>
        <w:t xml:space="preserve">The Internal Division of Powers in Corporate Governance,</w:t>
      </w:r>
      <w:r>
        <w:t xml:space="preserve"> </w:t>
      </w:r>
      <w:r>
        <w:t xml:space="preserve">73 Calif.L.Rev. 1671</w:t>
      </w:r>
      <w:r>
        <w:t xml:space="preserve">, 1694 (1985).</w:t>
      </w:r>
    </w:p>
  </w:footnote>
  <w:footnote w:id="131">
    <w:p>
      <w:pPr>
        <w:pStyle w:val="CaseFootnoteText"/>
      </w:pPr>
      <w:r>
        <w:rPr>
          <w:rStyle w:val="FootnoteReference"/>
        </w:rPr>
        <w:t xml:space="preserve">5  </w:t>
      </w:r>
      <w:r>
        <w:t xml:space="preserve">The reason for this was to avoid Edper’s effectively bidding against itself on two exchanges simultaneously.</w:t>
      </w:r>
    </w:p>
  </w:footnote>
  <w:footnote w:id="132">
    <w:p>
      <w:pPr>
        <w:pStyle w:val="CaseFootnoteText"/>
      </w:pPr>
      <w:r>
        <w:rPr>
          <w:rStyle w:val="FootnoteReference"/>
        </w:rPr>
        <w:t xml:space="preserve">5  </w:t>
      </w:r>
      <w:r>
        <w:t xml:space="preserve">Ruberg owns 1,057,839 Intermedia shares but no Digex shares. Manning owns 255,731 Intermedia shares but no Digex shares. Campbell owns 28,000 Intermedia shares and 13,334 Digex shares. Baker owns 81,820 In-termedia shares and 13,334 Digex shares.</w:t>
      </w:r>
      <w:r>
        <w:t xml:space="preserve"> </w:t>
      </w:r>
      <w:r>
        <w:rPr>
          <w:iCs/>
          <w:i/>
        </w:rPr>
        <w:t xml:space="preserve">See</w:t>
      </w:r>
      <w:r>
        <w:t xml:space="preserve"> </w:t>
      </w:r>
      <w:r>
        <w:t xml:space="preserve">Pis.’ Ex. 19 (Digex April 27, 2000, Proxy Statement) at 18-20. In addition, Ruberg and Manning owned Intermedia employee stock options that would be accelerated by an Intermedia deal but not by a Digex deal.</w:t>
      </w:r>
      <w:r>
        <w:t xml:space="preserve"> </w:t>
      </w:r>
      <w:r>
        <w:rPr>
          <w:iCs/>
          <w:i/>
        </w:rPr>
        <w:t xml:space="preserve">See</w:t>
      </w:r>
      <w:r>
        <w:t xml:space="preserve"> </w:t>
      </w:r>
      <w:r>
        <w:t xml:space="preserve">Pis.’ Ex. 27(S-4) at 38. Similarly, Ralph Sut-cliffe of Kronish Lieb Weiner &amp; Heilman LLP, outside counsel to both Intermedia and Digex, would receive a multi-million dollar payment in the event of an Intermedia deal, but collect nothing in the case of a Digex deal.</w:t>
      </w:r>
      <w:r>
        <w:t xml:space="preserve"> </w:t>
      </w:r>
      <w:r>
        <w:rPr>
          <w:iCs/>
          <w:i/>
        </w:rPr>
        <w:t xml:space="preserve">See</w:t>
      </w:r>
      <w:r>
        <w:t xml:space="preserve"> </w:t>
      </w:r>
      <w:r>
        <w:t xml:space="preserve">Pis.’ Ex. 27(S-4) at 37.</w:t>
      </w:r>
    </w:p>
  </w:footnote>
  <w:footnote w:id="133">
    <w:p>
      <w:pPr>
        <w:pStyle w:val="CaseFootnoteText"/>
      </w:pPr>
      <w:r>
        <w:rPr>
          <w:rStyle w:val="FootnoteReference"/>
        </w:rPr>
        <w:t xml:space="preserve">5  </w:t>
      </w:r>
      <w:r>
        <w:t xml:space="preserve">The directors’ alleged financial interest is the fact that they would receive cash for their stock options.</w:t>
      </w:r>
    </w:p>
  </w:footnote>
  <w:footnote w:id="134">
    <w:p>
      <w:pPr>
        <w:pStyle w:val="CaseFootnoteText"/>
      </w:pPr>
      <w:r>
        <w:rPr>
          <w:rStyle w:val="FootnoteReference"/>
        </w:rPr>
        <w:t xml:space="preserve">5  </w:t>
      </w:r>
      <w:r>
        <w:t xml:space="preserve"/>
      </w:r>
      <w:r>
        <w:t xml:space="preserve"> </w:t>
      </w:r>
      <w:r>
        <w:rPr>
          <w:iCs/>
          <w:i/>
        </w:rPr>
        <w:t xml:space="preserve">City of Miami General Employees' and Sanitation Employees’ Retirement Trust v. C &amp; J Energy Services,</w:t>
      </w:r>
      <w:r>
        <w:t xml:space="preserve"> </w:t>
      </w:r>
      <w:r>
        <w:t xml:space="preserve">No. 9980-VCN, Order Granting Preliminary Injunction, Certifying Interlocutory Appeal, and Staying the Injunction Pending Appeal (Nov. 25, 2014) [hereinafter "Injunction Order”].</w:t>
      </w:r>
    </w:p>
  </w:footnote>
  <w:footnote w:id="135">
    <w:p>
      <w:pPr>
        <w:pStyle w:val="CaseFootnoteText"/>
      </w:pPr>
      <w:r>
        <w:rPr>
          <w:rStyle w:val="FootnoteReference"/>
        </w:rPr>
        <w:t xml:space="preserve">5  </w:t>
      </w:r>
      <w:r>
        <w:t xml:space="preserve">The standstill agreement would commit CCA not to make any tender offer for three years unless asked to do so by the Company; it apparently does not have an out should CCA seek to make an offer for all shares at a price higher than an offer endorsed by the board.</w:t>
      </w:r>
    </w:p>
  </w:footnote>
  <w:footnote w:id="136">
    <w:p>
      <w:pPr>
        <w:pStyle w:val="CaseFootnoteText"/>
      </w:pPr>
      <w:r>
        <w:rPr>
          <w:rStyle w:val="FootnoteReference"/>
        </w:rPr>
        <w:t xml:space="preserve">5  </w:t>
      </w:r>
      <w:r>
        <w:t xml:space="preserve"/>
      </w:r>
      <w:r>
        <w:t xml:space="preserve"> </w:t>
      </w:r>
      <w:r>
        <w:rPr>
          <w:iCs/>
          <w:i/>
        </w:rPr>
        <w:t xml:space="preserve">See Airgas, Inc. v. Air Prods. &amp; Chems., Inc.,</w:t>
      </w:r>
      <w:r>
        <w:t xml:space="preserve"> </w:t>
      </w:r>
      <w:r>
        <w:t xml:space="preserve">2010 WL 3960599</w:t>
      </w:r>
      <w:r>
        <w:t xml:space="preserve"> </w:t>
      </w:r>
      <w:r>
        <w:t xml:space="preserve">(Del.Ch. Oct. 8, 2010). Airgas claimed that the January Bylaw is invalid solely on legal and statutory grounds,</w:t>
      </w:r>
      <w:r>
        <w:t xml:space="preserve"> </w:t>
      </w:r>
      <w:r>
        <w:rPr>
          <w:iCs/>
          <w:i/>
        </w:rPr>
        <w:t xml:space="preserve">i.e.,</w:t>
      </w:r>
      <w:r>
        <w:t xml:space="preserve"> </w:t>
      </w:r>
      <w:r>
        <w:t xml:space="preserve">that the January Bylaw was inconsistent with the Airgas Charter and the DGCL. No claim is advanced on equitable grounds.</w:t>
      </w:r>
    </w:p>
  </w:footnote>
  <w:footnote w:id="137">
    <w:p>
      <w:pPr>
        <w:pStyle w:val="CaseFootnoteText"/>
      </w:pPr>
      <w:r>
        <w:rPr>
          <w:rStyle w:val="FootnoteReference"/>
        </w:rPr>
        <w:t xml:space="preserve">5  </w:t>
      </w:r>
      <w:r>
        <w:t xml:space="preserve"/>
      </w:r>
      <w:r>
        <w:t xml:space="preserve"> </w:t>
      </w:r>
      <w:r>
        <w:rPr>
          <w:iCs/>
          <w:i/>
        </w:rPr>
        <w:t xml:space="preserve">Arnold v. Society for</w:t>
      </w:r>
      <w:r>
        <w:t xml:space="preserve"> </w:t>
      </w:r>
      <w:r>
        <w:t xml:space="preserve">Sav.</w:t>
      </w:r>
      <w:r>
        <w:t xml:space="preserve"> </w:t>
      </w:r>
      <w:r>
        <w:rPr>
          <w:iCs/>
          <w:i/>
        </w:rPr>
        <w:t xml:space="preserve">Bancorp., Inc.,</w:t>
      </w:r>
      <w:r>
        <w:t xml:space="preserve"> </w:t>
      </w:r>
      <w:r>
        <w:t xml:space="preserve">Del.Ch., C.A. No. 12883,</w:t>
      </w:r>
      <w:r>
        <w:t xml:space="preserve"> </w:t>
      </w:r>
      <w:r>
        <w:t xml:space="preserve">1993 WL 183698</w:t>
      </w:r>
      <w:r>
        <w:t xml:space="preserve"> </w:t>
      </w:r>
      <w:r>
        <w:t xml:space="preserve">(Dec. 15, 1993).</w:t>
      </w:r>
    </w:p>
  </w:footnote>
  <w:footnote w:id="138">
    <w:p>
      <w:pPr>
        <w:pStyle w:val="CaseFootnoteText"/>
      </w:pPr>
      <w:r>
        <w:rPr>
          <w:rStyle w:val="FootnoteReference"/>
        </w:rPr>
        <w:t xml:space="preserve">5  </w:t>
      </w:r>
      <w:r>
        <w:t xml:space="preserve">In most circumstances, "where a majority of fully informed stockholders ratify action of even interested directors, an attack on the ratified transaction normally must fail."</w:t>
      </w:r>
      <w:r>
        <w:t xml:space="preserve"> </w:t>
      </w:r>
      <w:r>
        <w:rPr>
          <w:iCs/>
          <w:i/>
        </w:rPr>
        <w:t xml:space="preserve">Cinerama, Inc. v. Technicolor, Inc.,</w:t>
      </w:r>
      <w:r>
        <w:t xml:space="preserve"> </w:t>
      </w:r>
      <w:r>
        <w:t xml:space="preserve">Del.Supr.,</w:t>
      </w:r>
      <w:r>
        <w:t xml:space="preserve"> </w:t>
      </w:r>
      <w:r>
        <w:t xml:space="preserve">663 A.2d 1156</w:t>
      </w:r>
      <w:r>
        <w:t xml:space="preserve">, 1176 (1995) (quoting</w:t>
      </w:r>
      <w:r>
        <w:t xml:space="preserve"> </w:t>
      </w:r>
      <w:r>
        <w:rPr>
          <w:iCs/>
          <w:i/>
        </w:rPr>
        <w:t xml:space="preserve">Smith v. Van Gorkom,</w:t>
      </w:r>
      <w:r>
        <w:t xml:space="preserve"> </w:t>
      </w:r>
      <w:r>
        <w:t xml:space="preserve">Del.Supr.,</w:t>
      </w:r>
      <w:r>
        <w:t xml:space="preserve"> </w:t>
      </w:r>
      <w:r>
        <w:t xml:space="preserve">488 A.2d 858</w:t>
      </w:r>
      <w:r>
        <w:t xml:space="preserve">, 890 (1985));</w:t>
      </w:r>
      <w:r>
        <w:t xml:space="preserve"> </w:t>
      </w:r>
      <w:r>
        <w:rPr>
          <w:iCs/>
          <w:i/>
        </w:rPr>
        <w:t xml:space="preserve">see also Gottlieb v. Heyden Chem. Corp.,</w:t>
      </w:r>
      <w:r>
        <w:t xml:space="preserve"> </w:t>
      </w:r>
      <w:r>
        <w:t xml:space="preserve">Del.Supr.,</w:t>
      </w:r>
      <w:r>
        <w:t xml:space="preserve"> </w:t>
      </w:r>
      <w:r>
        <w:t xml:space="preserve">91 A.2d 57</w:t>
      </w:r>
      <w:r>
        <w:t xml:space="preserve">, 59 (1952);</w:t>
      </w:r>
      <w:r>
        <w:t xml:space="preserve"> </w:t>
      </w:r>
      <w:r>
        <w:rPr>
          <w:iCs/>
          <w:i/>
        </w:rPr>
        <w:t xml:space="preserve">Michelson v. Duncan,</w:t>
      </w:r>
      <w:r>
        <w:t xml:space="preserve"> </w:t>
      </w:r>
      <w:r>
        <w:t xml:space="preserve">Del.Supr.,</w:t>
      </w:r>
      <w:r>
        <w:t xml:space="preserve"> </w:t>
      </w:r>
      <w:r>
        <w:t xml:space="preserve">407 A.2d 211</w:t>
      </w:r>
      <w:r>
        <w:t xml:space="preserve">, 220 (1979);</w:t>
      </w:r>
      <w:r>
        <w:t xml:space="preserve"> </w:t>
      </w:r>
      <w:r>
        <w:rPr>
          <w:iCs/>
          <w:i/>
        </w:rPr>
        <w:t xml:space="preserve">Gerlach</w:t>
      </w:r>
      <w:r>
        <w:t xml:space="preserve"> </w:t>
      </w:r>
      <w:r>
        <w:t xml:space="preserve">v.</w:t>
      </w:r>
      <w:r>
        <w:t xml:space="preserve"> </w:t>
      </w:r>
      <w:r>
        <w:rPr>
          <w:iCs/>
          <w:i/>
        </w:rPr>
        <w:t xml:space="preserve">Gillam,</w:t>
      </w:r>
      <w:r>
        <w:t xml:space="preserve"> </w:t>
      </w:r>
      <w:r>
        <w:t xml:space="preserve">Del.Ch.,</w:t>
      </w:r>
      <w:r>
        <w:t xml:space="preserve"> </w:t>
      </w:r>
      <w:r>
        <w:t xml:space="preserve">139 A.2d 591</w:t>
      </w:r>
      <w:r>
        <w:t xml:space="preserve">, 593 (1958).</w:t>
      </w:r>
    </w:p>
  </w:footnote>
  <w:footnote w:id="139">
    <w:p>
      <w:pPr>
        <w:pStyle w:val="CaseFootnoteText"/>
      </w:pPr>
      <w:r>
        <w:rPr>
          <w:rStyle w:val="FootnoteReference"/>
        </w:rPr>
        <w:t xml:space="preserve">5  </w:t>
      </w:r>
      <w:r>
        <w:t xml:space="preserve">Both Dr. Hammer and another member of the Executive Committee, Arthur Groman, who was also on the Foundation’s Board of Directors, abstained from voting.</w:t>
      </w:r>
    </w:p>
  </w:footnote>
  <w:footnote w:id="140">
    <w:p>
      <w:pPr>
        <w:pStyle w:val="CaseFootnoteText"/>
      </w:pPr>
      <w:r>
        <w:rPr>
          <w:rStyle w:val="FootnoteReference"/>
        </w:rPr>
        <w:t xml:space="preserve">5  </w:t>
      </w:r>
      <w:r>
        <w:t xml:space="preserve">The remaining plaintiff in this action is Michael Theriault, as trustee of and for the Ther-iault Trust. The defendants contend that the plaintiff does not qualify as an adequate fiduciary representative. This argument is premised largely on what the defendants see as the plaintiff’s lack of familiarity with and understanding of the case. The plaintiff’s less than active role in connection with this case, as evidenced by his absence at trial and lack of a fully developed knowledge about all of the litigation details, can in part be explained, though not be excused, by the protracted nature of these proceedings. This case lurched forward over a period of six years largely because of the torpor of the plaintiff’s counsel, and the passage of time has had the regrettable effect of producing some turnover within the plaintiffs' ranks. Two of the original plaintiffs are no longer parties, and the remaining plaintiff, Michael Theriault, only became a party in 2008 because he inherited the claims as successor trustee upon the death of his father, an original plaintiff who had brought suit in his trustee capacity. It is against this regrettable backdrop that the defendants challenge Michael Theriault’s adequacy as a derivative plaintiff.</w:t>
      </w:r>
    </w:p>
    <w:p>
      <w:pPr>
        <w:pStyle w:val="CaseFootnoteText"/>
      </w:pPr>
      <w:r>
        <w:t xml:space="preserve">A derivative plaintiff "must be qualified to serve in a fiduciary capacity as a representative of the class of stockholders, whose interest is dependent upon the representative’s adequate and fair prosecution of the action.”</w:t>
      </w:r>
      <w:r>
        <w:t xml:space="preserve"/>
      </w:r>
      <w:r>
        <w:rPr>
          <w:iCs/>
          <w:i/>
        </w:rPr>
        <w:t xml:space="preserve">Emerald Partners v. Berlin,</w:t>
      </w:r>
      <w:r>
        <w:t xml:space="preserve"> </w:t>
      </w:r>
      <w:r>
        <w:t xml:space="preserve">564 A.2d 670</w:t>
      </w:r>
      <w:r>
        <w:t xml:space="preserve">, 673 (Del.Ch.1989) (citation omitted). The defendant, however, bears the burden to show "a substantial likelihood that the derivative action is not being maintained for the benefit of the shareholders.”</w:t>
      </w:r>
      <w:r>
        <w:t xml:space="preserve"> </w:t>
      </w:r>
      <w:r>
        <w:rPr>
          <w:iCs/>
          <w:i/>
        </w:rPr>
        <w:t xml:space="preserve">Id.</w:t>
      </w:r>
      <w:r>
        <w:rPr>
          <w:iCs/>
          <w:i/>
        </w:rPr>
        <w:t xml:space="preserve"> </w:t>
      </w:r>
      <w:r>
        <w:t xml:space="preserve">at 674</w:t>
      </w:r>
      <w:r>
        <w:t xml:space="preserve">. Although a number of factors may be relevant to the adequacy determination,</w:t>
      </w:r>
      <w:r>
        <w:t xml:space="preserve"> </w:t>
      </w:r>
      <w:r>
        <w:rPr>
          <w:iCs/>
          <w:i/>
        </w:rPr>
        <w:t xml:space="preserve">see In re Fuqua Indus., S'holder Litig.,</w:t>
      </w:r>
      <w:r>
        <w:t xml:space="preserve"> </w:t>
      </w:r>
      <w:r>
        <w:t xml:space="preserve">752 A.2d 126</w:t>
      </w:r>
      <w:r>
        <w:t xml:space="preserve">, 130 (Del.Ch.1999) (citing factors), our Supreme Court has made clear that this is a very difficult burden unless the plaintiff has an actual economic conflict of interest or has counsel who is incompetent and suffers from such a conflict.</w:t>
      </w:r>
      <w:r>
        <w:t xml:space="preserve"> </w:t>
      </w:r>
      <w:r>
        <w:rPr>
          <w:iCs/>
          <w:i/>
        </w:rPr>
        <w:t xml:space="preserve">See In re Infinity Broad. Corp. S’holders Litig.,</w:t>
      </w:r>
      <w:r>
        <w:t xml:space="preserve"> </w:t>
      </w:r>
      <w:r>
        <w:t xml:space="preserve">802 A.2d 285</w:t>
      </w:r>
      <w:r>
        <w:t xml:space="preserve">, 291 (Del.2002);</w:t>
      </w:r>
      <w:r>
        <w:t xml:space="preserve"> </w:t>
      </w:r>
      <w:r>
        <w:rPr>
          <w:iCs/>
          <w:i/>
        </w:rPr>
        <w:t xml:space="preserve">see also In re Fuqua Indus., S’holder Litig.,</w:t>
      </w:r>
      <w:r>
        <w:t xml:space="preserve"> </w:t>
      </w:r>
      <w:r>
        <w:t xml:space="preserve">752 A.2d at 130</w:t>
      </w:r>
      <w:r>
        <w:t xml:space="preserve"> </w:t>
      </w:r>
      <w:r>
        <w:t xml:space="preserve">(expressing principle);</w:t>
      </w:r>
      <w:r>
        <w:t xml:space="preserve"> </w:t>
      </w:r>
      <w:r>
        <w:rPr>
          <w:iCs/>
          <w:i/>
        </w:rPr>
        <w:t xml:space="preserve">Kahn v. Household Acquisition Corp.,</w:t>
      </w:r>
      <w:r>
        <w:t xml:space="preserve"> </w:t>
      </w:r>
      <w:r>
        <w:t xml:space="preserve">1982 WL 8778</w:t>
      </w:r>
      <w:r>
        <w:t xml:space="preserve"> </w:t>
      </w:r>
      <w:r>
        <w:t xml:space="preserve">(Del.Ch. Jan. 19, 1982);</w:t>
      </w:r>
      <w:r>
        <w:t xml:space="preserve"> </w:t>
      </w:r>
      <w:r>
        <w:rPr>
          <w:iCs/>
          <w:i/>
        </w:rPr>
        <w:t xml:space="preserve">see generally</w:t>
      </w:r>
      <w:r>
        <w:t xml:space="preserve"> </w:t>
      </w:r>
      <w:r>
        <w:t xml:space="preserve">Donald J. Wolfe, Jr. &amp; Michael A. Pittenger,</w:t>
      </w:r>
      <w:r>
        <w:t xml:space="preserve"> </w:t>
      </w:r>
      <w:r>
        <w:rPr>
          <w:iCs/>
          <w:i/>
        </w:rPr>
        <w:t xml:space="preserve">Corporate and Commercial Practice in the Delaware Court of Chancery,</w:t>
      </w:r>
      <w:r>
        <w:t xml:space="preserve"> </w:t>
      </w:r>
      <w:r>
        <w:t xml:space="preserve">§ 9.02(b)(1), at 9-32 (2009). The defendants have not met this burden. The defendants offer no evidence of an economic conflict between the plaintiff and the rest of the Southern Peru stockholders such that he would act in furtherance of his own self-interest at their expense. Although the plaintiff’s failure to get himself up to speed is not laudable, neither was it such an egregious abdication of his role to supply a basis for disqualification, especially given the absence of facts suggesting an otherwise improper motive for maintaining the suit and the vigor with which his counsel have prosecuted the case since it was transferred to my docket.</w:t>
      </w:r>
    </w:p>
  </w:footnote>
  <w:footnote w:id="142">
    <w:p>
      <w:pPr>
        <w:pStyle w:val="CaseFootnoteText"/>
      </w:pPr>
      <w:r>
        <w:rPr>
          <w:rStyle w:val="FootnoteReference"/>
        </w:rPr>
        <w:t xml:space="preserve">6  </w:t>
      </w:r>
      <w:r>
        <w:t xml:space="preserve">At trial, plaintiffs sought to establish actual agency by Cargill’s course of dealing between 1973 and 1977 rather than “apparent” agency or agency by estoppel, so that the only issue in this case is one of actual agency.</w:t>
      </w:r>
    </w:p>
  </w:footnote>
  <w:footnote w:id="143">
    <w:p>
      <w:pPr>
        <w:pStyle w:val="CaseFootnoteText"/>
      </w:pPr>
      <w:r>
        <w:rPr>
          <w:rStyle w:val="FootnoteReference"/>
        </w:rPr>
        <w:t xml:space="preserve">6  </w:t>
      </w:r>
      <w:r>
        <w:t xml:space="preserve">App. to Opening Br. at 62 (LP Agreement § 1.1).</w:t>
      </w:r>
    </w:p>
  </w:footnote>
  <w:footnote w:id="144">
    <w:p>
      <w:pPr>
        <w:pStyle w:val="CaseFootnoteText"/>
      </w:pPr>
      <w:r>
        <w:rPr>
          <w:rStyle w:val="FootnoteReference"/>
        </w:rPr>
        <w:t xml:space="preserve">6  </w:t>
      </w:r>
      <w:r>
        <w:t xml:space="preserve">The signatories to the LLC Agreement were: Oxbow Holdings; Crestview-Oxbow Acquisition, LLC; Crestview-Oxbow (ERISA) Acquisition, LLC; Load Line Capital LLC; Joan E. Granlund; Wyatt I. Koch 2000 Trust; and William I. Koch Family Trust.</w:t>
      </w:r>
      <w:r>
        <w:t xml:space="preserve"/>
      </w:r>
      <w:r>
        <w:rPr>
          <w:iCs/>
          <w:i/>
        </w:rPr>
        <w:t xml:space="preserve">See</w:t>
      </w:r>
      <w:r>
        <w:t xml:space="preserve"> </w:t>
      </w:r>
      <w:r>
        <w:t xml:space="preserve">App. to Opening Br. at A2124-28. Koch also agreed that he and his Affiliates would be bound by the terms of Article IV, Section 8 (entitled, "Non-compete") of the LLC Agreement.</w:t>
      </w:r>
      <w:r>
        <w:t xml:space="preserve"> </w:t>
      </w:r>
      <w:r>
        <w:rPr>
          <w:iCs/>
          <w:i/>
        </w:rPr>
        <w:t xml:space="preserve">Id.</w:t>
      </w:r>
      <w:r>
        <w:t xml:space="preserve"> </w:t>
      </w:r>
      <w:r>
        <w:t xml:space="preserve">at A2129.</w:t>
      </w:r>
    </w:p>
  </w:footnote>
  <w:footnote w:id="145">
    <w:p>
      <w:pPr>
        <w:pStyle w:val="CaseFootnoteText"/>
      </w:pPr>
      <w:r>
        <w:rPr>
          <w:rStyle w:val="FootnoteReference"/>
        </w:rPr>
        <w:t xml:space="preserve">6  </w:t>
      </w:r>
      <w:r>
        <w:t xml:space="preserve"/>
      </w:r>
      <w:r>
        <w:t xml:space="preserve">Our cases recognize a “type of facial challenge in the First Amendment context under which a law may he overturned as impermissibly overbroad because a substantial number of its applications are unconstitutional.”</w:t>
      </w:r>
      <w:r>
        <w:t xml:space="preserve"> </w:t>
      </w:r>
      <w:r>
        <w:rPr>
          <w:iCs/>
          <w:i/>
        </w:rPr>
        <w:t xml:space="preserve">Washington State Grange</w:t>
      </w:r>
      <w:r>
        <w:t xml:space="preserve"> </w:t>
      </w:r>
      <w:r>
        <w:t xml:space="preserve">v.</w:t>
      </w:r>
      <w:r>
        <w:t xml:space="preserve"> </w:t>
      </w:r>
      <w:r>
        <w:rPr>
          <w:iCs/>
          <w:i/>
        </w:rPr>
        <w:t xml:space="preserve">Washington State Republican Party,</w:t>
      </w:r>
      <w:r>
        <w:t xml:space="preserve"> </w:t>
      </w:r>
      <w:r>
        <w:t xml:space="preserve">552 U. S. 442, 449, n. 6 (2008) (internal quotation marks omitted). Citizens United has not made an overbreadth argument, and “[w]e generally do not apply the strong medicine of overbreadth analysis where the parties fail to describe the instances of arguable overbreadth of the contested law,”</w:t>
      </w:r>
      <w:r>
        <w:t xml:space="preserve"> </w:t>
      </w:r>
      <w:r>
        <w:rPr>
          <w:iCs/>
          <w:i/>
        </w:rPr>
        <w:t xml:space="preserve">ibid,</w:t>
      </w:r>
      <w:r>
        <w:t xml:space="preserve"> </w:t>
      </w:r>
      <w:r>
        <w:t xml:space="preserve">(internal quotation marks omitted). If our colleagues nonetheless concluded that §203’s fatal flaw is that it affects too much protected speech, they should have invalidated it for overbreadth and given guidance as to which applications are permissible, so that Congress could go about repairing the error.</w:t>
      </w:r>
    </w:p>
  </w:footnote>
  <w:footnote w:id="146">
    <w:p>
      <w:pPr>
        <w:pStyle w:val="CaseFootnoteText"/>
      </w:pPr>
      <w:r>
        <w:rPr>
          <w:rStyle w:val="FootnoteReference"/>
        </w:rPr>
        <w:t xml:space="preserve">6  </w:t>
      </w:r>
      <w:r>
        <w:t xml:space="preserve"/>
      </w:r>
      <w:r>
        <w:t xml:space="preserve">The complaint also alleged a breach of fiduciary duty under state law and asserted that the federal court had both diversity and pendent jurisdiction over this claim. The District Court found an absence of complete diversity of citizenship between the plaintiffs and defendants because of the defendant Morgan Stanley and refused to exercise pendent jurisdiction because it held that the complaint failed to state a claim under the federal securities laws.</w:t>
      </w:r>
      <w:r>
        <w:t xml:space="preserve"> </w:t>
      </w:r>
      <w:r>
        <w:t xml:space="preserve">391 F. Supp. 849</w:t>
      </w:r>
      <w:r>
        <w:t xml:space="preserve">, 855 (SDNY 1975).</w:t>
      </w:r>
    </w:p>
  </w:footnote>
  <w:footnote w:id="147">
    <w:p>
      <w:pPr>
        <w:pStyle w:val="CaseFootnoteText"/>
      </w:pPr>
      <w:r>
        <w:rPr>
          <w:rStyle w:val="FootnoteReference"/>
        </w:rPr>
        <w:t xml:space="preserve">6  </w:t>
      </w:r>
      <w:r>
        <w:t xml:space="preserve"/>
      </w:r>
      <w:r>
        <w:t xml:space="preserve">Rule 14a-9 (a) provides:</w:t>
      </w:r>
    </w:p>
    <w:p>
      <w:pPr>
        <w:pStyle w:val="BlockText"/>
      </w:pPr>
      <w:r>
        <w:t xml:space="preserve">“No solicitation subject to this regulation shall be made by means of any proxy statement, form of proxy, notice of meeting or other communication, written or oral, containing any statement which, at the time and in the light of the circumstances under which it is made, is false or misleading with respect to any material fact, or which omits to state any material fact necessary in order to make the statements therein not false or misleading or necessary to correct any statement in any earlier communication with respect to the solicitation of a proxy for the same meeting or subject matter which has become false or misleading.”</w:t>
      </w:r>
    </w:p>
  </w:footnote>
  <w:footnote w:id="148">
    <w:p>
      <w:pPr>
        <w:pStyle w:val="CaseFootnoteText"/>
      </w:pPr>
      <w:r>
        <w:rPr>
          <w:rStyle w:val="FootnoteReference"/>
        </w:rPr>
        <w:t xml:space="preserve">6  </w:t>
      </w:r>
      <w:r>
        <w:t xml:space="preserve"/>
      </w:r>
      <w:r>
        <w:t xml:space="preserve">Section 17 (a) of the 1933 Act provides in wording virtually identical to that of Rule 10b-5 with the exception of the italicized portion that:</w:t>
      </w:r>
    </w:p>
    <w:p>
      <w:pPr>
        <w:pStyle w:val="CaseFootnoteText"/>
      </w:pPr>
      <w:r>
        <w:t xml:space="preserve">“It shall be unlawful for any person</w:t>
      </w:r>
      <w:r>
        <w:t xml:space="preserve"/>
      </w:r>
      <w:r>
        <w:rPr>
          <w:iCs/>
          <w:i/>
        </w:rPr>
        <w:t xml:space="preserve">in the offer</w:t>
      </w:r>
      <w:r>
        <w:t xml:space="preserve"> </w:t>
      </w:r>
      <w:r>
        <w:t xml:space="preserve">or sale of any securities by the use of any means or instruments of transportation or communication in interstate commerce or by the use of the mails, directly or indirectly—</w:t>
      </w:r>
    </w:p>
    <w:p>
      <w:pPr>
        <w:pStyle w:val="CaseFootnoteText"/>
      </w:pPr>
      <w:r>
        <w:t xml:space="preserve">“(1) to employ any device, scheme, or artifice to defraud, or</w:t>
      </w:r>
    </w:p>
    <w:p>
      <w:pPr>
        <w:pStyle w:val="CaseFootnoteText"/>
      </w:pPr>
      <w:r>
        <w:t xml:space="preserve">“(2) to obtain money or property by means of any untrue statement of a material fact or any omission to state a material fact necessary in order to make the statements made, in the light of the circumstances under which they were made, not misleading, or</w:t>
      </w:r>
    </w:p>
    <w:p>
      <w:pPr>
        <w:pStyle w:val="CaseFootnoteText"/>
      </w:pPr>
      <w:r>
        <w:t xml:space="preserve">“(3) to engage in any transaction, practice, or course of business which operates or would operate as a fraud or deceit upon the purchaser.” (Emphasis added.)</w:t>
      </w:r>
    </w:p>
    <w:p>
      <w:pPr>
        <w:pStyle w:val="CaseFootnoteText"/>
      </w:pPr>
      <w:r>
        <w:t xml:space="preserve">We express, of course, no opinion on whether § 17 (a) in light of the express civil remedies of the 1933 Act gives rise to an implied cause of action. Compare</w:t>
      </w:r>
      <w:r>
        <w:t xml:space="preserve"/>
      </w:r>
      <w:r>
        <w:rPr>
          <w:iCs/>
          <w:i/>
        </w:rPr>
        <w:t xml:space="preserve">Greater Iowa Corp.</w:t>
      </w:r>
      <w:r>
        <w:t xml:space="preserve"> </w:t>
      </w:r>
      <w:r>
        <w:t xml:space="preserve">v.</w:t>
      </w:r>
      <w:r>
        <w:t xml:space="preserve"> </w:t>
      </w:r>
      <w:r>
        <w:rPr>
          <w:iCs/>
          <w:i/>
        </w:rPr>
        <w:t xml:space="preserve">McLendon,</w:t>
      </w:r>
      <w:r>
        <w:t xml:space="preserve"> </w:t>
      </w:r>
      <w:r>
        <w:t xml:space="preserve">378 F. 2d 783</w:t>
      </w:r>
      <w:r>
        <w:t xml:space="preserve">, 788-791 (CA8 1967), with</w:t>
      </w:r>
      <w:r>
        <w:t xml:space="preserve"> </w:t>
      </w:r>
      <w:r>
        <w:rPr>
          <w:iCs/>
          <w:i/>
        </w:rPr>
        <w:t xml:space="preserve">Fischman</w:t>
      </w:r>
      <w:r>
        <w:t xml:space="preserve"> </w:t>
      </w:r>
      <w:r>
        <w:t xml:space="preserve">v.</w:t>
      </w:r>
      <w:r>
        <w:t xml:space="preserve"> </w:t>
      </w:r>
      <w:r>
        <w:rPr>
          <w:iCs/>
          <w:i/>
        </w:rPr>
        <w:t xml:space="preserve">Raytheon Mfg. Co.,</w:t>
      </w:r>
      <w:r>
        <w:t xml:space="preserve"> </w:t>
      </w:r>
      <w:r>
        <w:t xml:space="preserve">188 F. 2d 783</w:t>
      </w:r>
      <w:r>
        <w:t xml:space="preserve">, 787 (CA2 1951). See,</w:t>
      </w:r>
      <w:r>
        <w:t xml:space="preserve"> </w:t>
      </w:r>
      <w:r>
        <w:rPr>
          <w:iCs/>
          <w:i/>
        </w:rPr>
        <w:t xml:space="preserve">e. g., SEC</w:t>
      </w:r>
      <w:r>
        <w:t xml:space="preserve"> </w:t>
      </w:r>
      <w:r>
        <w:t xml:space="preserve">v.</w:t>
      </w:r>
      <w:r>
        <w:t xml:space="preserve"> </w:t>
      </w:r>
      <w:r>
        <w:rPr>
          <w:iCs/>
          <w:i/>
        </w:rPr>
        <w:t xml:space="preserve">Texas Gulf Sulphur Co.,</w:t>
      </w:r>
      <w:r>
        <w:t xml:space="preserve"> </w:t>
      </w:r>
      <w:r>
        <w:t xml:space="preserve">401 F. 2d 833</w:t>
      </w:r>
      <w:r>
        <w:t xml:space="preserve">, 867 (CA2 1968) (Friendly, J., concurring), cert. denied</w:t>
      </w:r>
      <w:r>
        <w:t xml:space="preserve"> </w:t>
      </w:r>
      <w:r>
        <w:rPr>
          <w:iCs/>
          <w:i/>
        </w:rPr>
        <w:t xml:space="preserve">sub nom. Coates</w:t>
      </w:r>
      <w:r>
        <w:t xml:space="preserve"> </w:t>
      </w:r>
      <w:r>
        <w:t xml:space="preserve">v.</w:t>
      </w:r>
      <w:r>
        <w:t xml:space="preserve"> </w:t>
      </w:r>
      <w:r>
        <w:rPr>
          <w:iCs/>
          <w:i/>
        </w:rPr>
        <w:t xml:space="preserve">SEC,</w:t>
      </w:r>
      <w:r>
        <w:t xml:space="preserve"> </w:t>
      </w:r>
      <w:r>
        <w:t xml:space="preserve">394 U. S. 976</w:t>
      </w:r>
      <w:r>
        <w:t xml:space="preserve"> </w:t>
      </w:r>
      <w:r>
        <w:t xml:space="preserve">(1969); 3 L. Loss, Securities Regulation 1785 (2d ed. 1961).</w:t>
      </w:r>
    </w:p>
  </w:footnote>
  <w:footnote w:id="149">
    <w:p>
      <w:pPr>
        <w:pStyle w:val="CaseFootnoteText"/>
      </w:pPr>
      <w:r>
        <w:rPr>
          <w:rStyle w:val="FootnoteReference"/>
        </w:rPr>
        <w:t xml:space="preserve">6  </w:t>
      </w:r>
      <w:r>
        <w:t xml:space="preserve">General Order in Bankruptcy No. 47, 11 U.S.O.A. following section 53; Rules 52 (a) and 53(e), Federal Rules of Civil Procedure, 28 U.S.C.A.; Lines v. Falstaff Brewing Co., 9 Cir.,</w:t>
      </w:r>
      <w:r>
        <w:t xml:space="preserve"> </w:t>
      </w:r>
      <w:r>
        <w:t xml:space="preserve">233 F.2d 927</w:t>
      </w:r>
      <w:r>
        <w:t xml:space="preserve">, 930.</w:t>
      </w:r>
    </w:p>
  </w:footnote>
  <w:footnote w:id="150">
    <w:p>
      <w:pPr>
        <w:pStyle w:val="CaseFootnoteText"/>
      </w:pPr>
      <w:r>
        <w:rPr>
          <w:rStyle w:val="FootnoteReference"/>
        </w:rPr>
        <w:t xml:space="preserve">6  </w:t>
      </w:r>
      <w:r>
        <w:t xml:space="preserve">The 1967 version did not include the “directly or indirectly” language, which was restored in 1970.</w:t>
      </w:r>
      <w:r>
        <w:t xml:space="preserve"> </w:t>
      </w:r>
      <w:r>
        <w:rPr>
          <w:iCs/>
          <w:i/>
        </w:rPr>
        <w:t xml:space="preserve">See</w:t>
      </w:r>
      <w:r>
        <w:t xml:space="preserve"> </w:t>
      </w:r>
      <w:r>
        <w:t xml:space="preserve">57 Del. Laws, Ch. 649 (1970).</w:t>
      </w:r>
    </w:p>
  </w:footnote>
  <w:footnote w:id="151">
    <w:p>
      <w:pPr>
        <w:pStyle w:val="CaseFootnoteText"/>
      </w:pPr>
      <w:r>
        <w:rPr>
          <w:rStyle w:val="FootnoteReference"/>
        </w:rPr>
        <w:t xml:space="preserve">6  </w:t>
      </w:r>
      <w:r>
        <w:t xml:space="preserve">Brasean also argues that Edper was under a duty to make a public announcement of its intentions to purchase Brasean stock prior to its entering the market on April 30. Brasean offers no support for this contention. The cases that it relies upon,</w:t>
      </w:r>
      <w:r>
        <w:t xml:space="preserve"> </w:t>
      </w:r>
      <w:r>
        <w:rPr>
          <w:iCs/>
          <w:i/>
        </w:rPr>
        <w:t xml:space="preserve">SEC v. Shattuck Denn Mining Corp.,</w:t>
      </w:r>
      <w:r>
        <w:t xml:space="preserve"> </w:t>
      </w:r>
      <w:r>
        <w:t xml:space="preserve">297 F.Supp. 470</w:t>
      </w:r>
      <w:r>
        <w:t xml:space="preserve"> </w:t>
      </w:r>
      <w:r>
        <w:t xml:space="preserve">(S.D.N.Y.1968),</w:t>
      </w:r>
      <w:r>
        <w:t xml:space="preserve"> </w:t>
      </w:r>
      <w:r>
        <w:rPr>
          <w:iCs/>
          <w:i/>
        </w:rPr>
        <w:t xml:space="preserve">Cochran v. Channing Corp.,</w:t>
      </w:r>
      <w:r>
        <w:t xml:space="preserve"> </w:t>
      </w:r>
      <w:r>
        <w:t xml:space="preserve">211 F.Supp. 239</w:t>
      </w:r>
      <w:r>
        <w:t xml:space="preserve"> </w:t>
      </w:r>
      <w:r>
        <w:t xml:space="preserve">(S.D.N.Y.1963), and</w:t>
      </w:r>
      <w:r>
        <w:t xml:space="preserve"> </w:t>
      </w:r>
      <w:r>
        <w:rPr>
          <w:iCs/>
          <w:i/>
        </w:rPr>
        <w:t xml:space="preserve">Butler Aviation International, Inc. v. Comprehensive Designers, Inc.,</w:t>
      </w:r>
      <w:r>
        <w:t xml:space="preserve"> </w:t>
      </w:r>
      <w:r>
        <w:t xml:space="preserve">307 F.Supp. 910</w:t>
      </w:r>
      <w:r>
        <w:t xml:space="preserve"> </w:t>
      </w:r>
      <w:r>
        <w:t xml:space="preserve">(S.D.N.Y.1969),</w:t>
      </w:r>
      <w:r>
        <w:t xml:space="preserve"> </w:t>
      </w:r>
      <w:r>
        <w:rPr>
          <w:iCs/>
          <w:i/>
        </w:rPr>
        <w:t xml:space="preserve">aff’d,</w:t>
      </w:r>
      <w:r>
        <w:t xml:space="preserve"> </w:t>
      </w:r>
      <w:r>
        <w:t xml:space="preserve">425 F.2d 842</w:t>
      </w:r>
      <w:r>
        <w:t xml:space="preserve"> </w:t>
      </w:r>
      <w:r>
        <w:t xml:space="preserve">(2d Cir. 1970), are not on point in that they involved misleading or manipulative conduct.</w:t>
      </w:r>
    </w:p>
    <w:p>
      <w:pPr>
        <w:pStyle w:val="CaseFootnoteText"/>
      </w:pPr>
      <w:r>
        <w:t xml:space="preserve">More to the point is Judge Friendly’s comment in</w:t>
      </w:r>
      <w:r>
        <w:t xml:space="preserve"/>
      </w:r>
      <w:r>
        <w:rPr>
          <w:iCs/>
          <w:i/>
        </w:rPr>
        <w:t xml:space="preserve">General Time Corp. v. Talley Industries, Inc.,</w:t>
      </w:r>
      <w:r>
        <w:t xml:space="preserve"> </w:t>
      </w:r>
      <w:r>
        <w:t xml:space="preserve">403 F.2d 159</w:t>
      </w:r>
      <w:r>
        <w:t xml:space="preserve">, 164 (2d Cir. 1968), cert.</w:t>
      </w:r>
      <w:r>
        <w:t xml:space="preserve"> </w:t>
      </w:r>
      <w:r>
        <w:rPr>
          <w:iCs/>
          <w:i/>
        </w:rPr>
        <w:t xml:space="preserve">denied,</w:t>
      </w:r>
      <w:r>
        <w:t xml:space="preserve"> </w:t>
      </w:r>
      <w:r>
        <w:t xml:space="preserve">393 U.S. 1026</w:t>
      </w:r>
      <w:r>
        <w:t xml:space="preserve">,</w:t>
      </w:r>
      <w:r>
        <w:t xml:space="preserve"> </w:t>
      </w:r>
      <w:r>
        <w:t xml:space="preserve">89 S.Ct. 631</w:t>
      </w:r>
      <w:r>
        <w:t xml:space="preserve">,</w:t>
      </w:r>
      <w:r>
        <w:t xml:space="preserve"> </w:t>
      </w:r>
      <w:r>
        <w:t xml:space="preserve">21 L.Ed.2d 570</w:t>
      </w:r>
      <w:r>
        <w:t xml:space="preserve"> </w:t>
      </w:r>
      <w:r>
        <w:t xml:space="preserve">(1969), that there is no rule of law that “a purchaser of stock, who was not an “insider" and had no fiduciary relation to a prospective seller, had any obligation to reveal circumstances that might raise a seller’s demands and thus abort the sale.”</w:t>
      </w:r>
      <w:r>
        <w:t xml:space="preserve"> </w:t>
      </w:r>
      <w:r>
        <w:rPr>
          <w:iCs/>
          <w:i/>
        </w:rPr>
        <w:t xml:space="preserve">See generally</w:t>
      </w:r>
      <w:r>
        <w:t xml:space="preserve"> </w:t>
      </w:r>
      <w:r>
        <w:t xml:space="preserve">Fleischer, Mundheim &amp; Murphy,</w:t>
      </w:r>
      <w:r>
        <w:t xml:space="preserve"> </w:t>
      </w:r>
      <w:r>
        <w:rPr>
          <w:iCs/>
          <w:i/>
        </w:rPr>
        <w:t xml:space="preserve">An Initial Inquiry into the Responsibility to Disclose Market Information,</w:t>
      </w:r>
      <w:r>
        <w:t xml:space="preserve"> </w:t>
      </w:r>
      <w:r>
        <w:t xml:space="preserve">121 U.Pa.L.Rev. 798</w:t>
      </w:r>
      <w:r>
        <w:t xml:space="preserve"> </w:t>
      </w:r>
      <w:r>
        <w:t xml:space="preserve">(1973).</w:t>
      </w:r>
    </w:p>
  </w:footnote>
  <w:footnote w:id="152">
    <w:p>
      <w:pPr>
        <w:pStyle w:val="CaseFootnoteText"/>
      </w:pPr>
      <w:r>
        <w:rPr>
          <w:rStyle w:val="FootnoteReference"/>
        </w:rPr>
        <w:t xml:space="preserve">6  </w:t>
      </w:r>
      <w:r>
        <w:t xml:space="preserve">In the spring of 2000, Intermedia had significant debt and its second quarter losses exceeded those projected by Wall Street analysts. If Intermedia did not receive a substantial cash infusion by the end of 2000, it faced financial crisis.</w:t>
      </w:r>
      <w:r>
        <w:t xml:space="preserve"> </w:t>
      </w:r>
      <w:r>
        <w:rPr>
          <w:iCs/>
          <w:i/>
        </w:rPr>
        <w:t xml:space="preserve">See</w:t>
      </w:r>
      <w:r>
        <w:t xml:space="preserve"> </w:t>
      </w:r>
      <w:r>
        <w:t xml:space="preserve">Shull Dep. at 11, 14; Decker Dep. at 10; Manning Dep. at 27-28.</w:t>
      </w:r>
    </w:p>
  </w:footnote>
  <w:footnote w:id="153">
    <w:p>
      <w:pPr>
        <w:pStyle w:val="CaseFootnoteText"/>
      </w:pPr>
      <w:r>
        <w:rPr>
          <w:rStyle w:val="FootnoteReference"/>
        </w:rPr>
        <w:t xml:space="preserve">6  </w:t>
      </w:r>
      <w:r>
        <w:t xml:space="preserve"/>
      </w:r>
      <w:r>
        <w:t xml:space="preserve"> </w:t>
      </w:r>
      <w:r>
        <w:t xml:space="preserve">506 A.2d 173</w:t>
      </w:r>
      <w:r>
        <w:t xml:space="preserve">, 182 (Del.1986).</w:t>
      </w:r>
    </w:p>
  </w:footnote>
  <w:footnote w:id="154">
    <w:p>
      <w:pPr>
        <w:pStyle w:val="CaseFootnoteText"/>
      </w:pPr>
      <w:r>
        <w:rPr>
          <w:rStyle w:val="FootnoteReference"/>
        </w:rPr>
        <w:t xml:space="preserve">6  </w:t>
      </w:r>
      <w:r>
        <w:t xml:space="preserve"/>
      </w:r>
      <w:r>
        <w:t xml:space="preserve"> </w:t>
      </w:r>
      <w:r>
        <w:rPr>
          <w:iCs/>
          <w:i/>
        </w:rPr>
        <w:t xml:space="preserve">See, e.g., Revlon,</w:t>
      </w:r>
      <w:r>
        <w:t xml:space="preserve"> </w:t>
      </w:r>
      <w:r>
        <w:t xml:space="preserve">506 A.2d at 179</w:t>
      </w:r>
      <w:r>
        <w:t xml:space="preserve">.</w:t>
      </w:r>
    </w:p>
  </w:footnote>
  <w:footnote w:id="155">
    <w:p>
      <w:pPr>
        <w:pStyle w:val="CaseFootnoteText"/>
      </w:pPr>
      <w:r>
        <w:rPr>
          <w:rStyle w:val="FootnoteReference"/>
        </w:rPr>
        <w:t xml:space="preserve">6  </w:t>
      </w:r>
      <w:r>
        <w:t xml:space="preserve">Interco refers to the risks that this litigation poses to the restructuring and the resulting risk that perhaps the shareholders might have an opportunity to accept that $74 in cash that CCA offers, as accounting for the market’s $70 valuation.</w:t>
      </w:r>
      <w:r>
        <w:t xml:space="preserve"> </w:t>
      </w:r>
      <w:r>
        <w:rPr>
          <w:iCs/>
          <w:i/>
        </w:rPr>
        <w:t xml:space="preserve">(See</w:t>
      </w:r>
      <w:r>
        <w:t xml:space="preserve"> </w:t>
      </w:r>
      <w:r>
        <w:t xml:space="preserve">Mohr Aff. ¶[ 26).</w:t>
      </w:r>
    </w:p>
  </w:footnote>
  <w:footnote w:id="156">
    <w:p>
      <w:pPr>
        <w:pStyle w:val="CaseFootnoteText"/>
      </w:pPr>
      <w:r>
        <w:rPr>
          <w:rStyle w:val="FootnoteReference"/>
        </w:rPr>
        <w:t xml:space="preserve">6  </w:t>
      </w:r>
      <w:r>
        <w:t xml:space="preserve"/>
      </w:r>
      <w:r>
        <w:t xml:space="preserve"> </w:t>
      </w:r>
      <w:r>
        <w:rPr>
          <w:iCs/>
          <w:i/>
        </w:rPr>
        <w:t xml:space="preserve">B.F. Rich &amp; Co., Inc. v. Gray,</w:t>
      </w:r>
      <w:r>
        <w:t xml:space="preserve"> </w:t>
      </w:r>
      <w:r>
        <w:t xml:space="preserve">933 A.2d 1231</w:t>
      </w:r>
      <w:r>
        <w:t xml:space="preserve">, 1241 (Del.2007).</w:t>
      </w:r>
    </w:p>
  </w:footnote>
  <w:footnote w:id="157">
    <w:p>
      <w:pPr>
        <w:pStyle w:val="CaseFootnoteText"/>
      </w:pPr>
      <w:r>
        <w:rPr>
          <w:rStyle w:val="FootnoteReference"/>
        </w:rPr>
        <w:t xml:space="preserve">6  </w:t>
      </w:r>
      <w:r>
        <w:t xml:space="preserve">The “stub" consisted primarily of foreclosed real estate properties potentially subject to environmental liabilities.</w:t>
      </w:r>
    </w:p>
  </w:footnote>
  <w:footnote w:id="158">
    <w:p>
      <w:pPr>
        <w:pStyle w:val="CaseFootnoteText"/>
      </w:pPr>
      <w:r>
        <w:rPr>
          <w:rStyle w:val="FootnoteReference"/>
        </w:rPr>
        <w:t xml:space="preserve">6  </w:t>
      </w:r>
      <w:r>
        <w:t xml:space="preserve"/>
      </w:r>
      <w:r>
        <w:t xml:space="preserve"> </w:t>
      </w:r>
      <w:r>
        <w:rPr>
          <w:iCs/>
          <w:i/>
        </w:rPr>
        <w:t xml:space="preserve">See, e.g., Wiener v. The Southern Co.,</w:t>
      </w:r>
      <w:r>
        <w:t xml:space="preserve"> </w:t>
      </w:r>
      <w:r>
        <w:t xml:space="preserve">Del.Ch., C.A. No. 10525,</w:t>
      </w:r>
      <w:r>
        <w:t xml:space="preserve"> </w:t>
      </w:r>
      <w:r>
        <w:t xml:space="preserve">1992 WL 12801</w:t>
      </w:r>
      <w:r>
        <w:t xml:space="preserve">, Jacobs, V.C. (Jan. 24, 1992);</w:t>
      </w:r>
      <w:r>
        <w:t xml:space="preserve"> </w:t>
      </w:r>
      <w:r>
        <w:rPr>
          <w:iCs/>
          <w:i/>
        </w:rPr>
        <w:t xml:space="preserve">Glaser</w:t>
      </w:r>
      <w:r>
        <w:t xml:space="preserve"> </w:t>
      </w:r>
      <w:r>
        <w:t xml:space="preserve">v.</w:t>
      </w:r>
      <w:r>
        <w:t xml:space="preserve"> </w:t>
      </w:r>
      <w:r>
        <w:rPr>
          <w:iCs/>
          <w:i/>
        </w:rPr>
        <w:t xml:space="preserve">Norris,</w:t>
      </w:r>
      <w:r>
        <w:t xml:space="preserve"> </w:t>
      </w:r>
      <w:r>
        <w:t xml:space="preserve">Del.Ch., C.A. No. 9538,</w:t>
      </w:r>
      <w:r>
        <w:t xml:space="preserve"> </w:t>
      </w:r>
      <w:r>
        <w:t xml:space="preserve">1992 WL 14960</w:t>
      </w:r>
      <w:r>
        <w:t xml:space="preserve">, Chandler, V.C. (Jan. 6, 1992);</w:t>
      </w:r>
      <w:r>
        <w:t xml:space="preserve"> </w:t>
      </w:r>
      <w:r>
        <w:rPr>
          <w:iCs/>
          <w:i/>
        </w:rPr>
        <w:t xml:space="preserve">Norman v. Paco Pharmaceutical Svcs., Inc.,</w:t>
      </w:r>
      <w:r>
        <w:t xml:space="preserve"> </w:t>
      </w:r>
      <w:r>
        <w:t xml:space="preserve">Del.Ch., C.A. No. 10417,</w:t>
      </w:r>
      <w:r>
        <w:t xml:space="preserve"> </w:t>
      </w:r>
      <w:r>
        <w:t xml:space="preserve">1989 WL 110648</w:t>
      </w:r>
      <w:r>
        <w:t xml:space="preserve">, Hartnett, V.C. (Sept. 22, 1989);</w:t>
      </w:r>
      <w:r>
        <w:t xml:space="preserve"> </w:t>
      </w:r>
      <w:r>
        <w:rPr>
          <w:iCs/>
          <w:i/>
        </w:rPr>
        <w:t xml:space="preserve">Lewis v. Straetz,</w:t>
      </w:r>
      <w:r>
        <w:t xml:space="preserve"> </w:t>
      </w:r>
      <w:r>
        <w:t xml:space="preserve">Del.Ch., C.A. No. 7859,</w:t>
      </w:r>
      <w:r>
        <w:t xml:space="preserve"> </w:t>
      </w:r>
      <w:r>
        <w:t xml:space="preserve">1986 WL 2252</w:t>
      </w:r>
      <w:r>
        <w:t xml:space="preserve">, Hartnett, V.C. (Feb. 12, 1986);</w:t>
      </w:r>
      <w:r>
        <w:t xml:space="preserve"> </w:t>
      </w:r>
      <w:r>
        <w:rPr>
          <w:iCs/>
          <w:i/>
        </w:rPr>
        <w:t xml:space="preserve">Patents Mgmt. Corp. v. O'Connor,</w:t>
      </w:r>
      <w:r>
        <w:t xml:space="preserve"> </w:t>
      </w:r>
      <w:r>
        <w:t xml:space="preserve">Del.Ch., C.A. No. 7110,</w:t>
      </w:r>
      <w:r>
        <w:t xml:space="preserve"> </w:t>
      </w:r>
      <w:r>
        <w:t xml:space="preserve">1985 WL 11576</w:t>
      </w:r>
      <w:r>
        <w:t xml:space="preserve">, Walsh, V.C. (June 10, 1985);</w:t>
      </w:r>
      <w:r>
        <w:t xml:space="preserve"> </w:t>
      </w:r>
      <w:r>
        <w:rPr>
          <w:iCs/>
          <w:i/>
        </w:rPr>
        <w:t xml:space="preserve">Abbey</w:t>
      </w:r>
      <w:r>
        <w:t xml:space="preserve"> </w:t>
      </w:r>
      <w:r>
        <w:t xml:space="preserve">v.</w:t>
      </w:r>
      <w:r>
        <w:t xml:space="preserve"> </w:t>
      </w:r>
      <w:r>
        <w:rPr>
          <w:iCs/>
          <w:i/>
        </w:rPr>
        <w:t xml:space="preserve">E.W. Scripps Co.,</w:t>
      </w:r>
      <w:r>
        <w:t xml:space="preserve"> </w:t>
      </w:r>
      <w:r>
        <w:t xml:space="preserve">Del.Ch., C.A. No. 13397, Allen, C., mem. op. at 4 n. 1,</w:t>
      </w:r>
      <w:r>
        <w:t xml:space="preserve"> </w:t>
      </w:r>
      <w:r>
        <w:t xml:space="preserve">1995 WL 478957</w:t>
      </w:r>
      <w:r>
        <w:t xml:space="preserve"> </w:t>
      </w:r>
      <w:r>
        <w:t xml:space="preserve">(August 9, 1995);</w:t>
      </w:r>
      <w:r>
        <w:t xml:space="preserve"> </w:t>
      </w:r>
      <w:r>
        <w:rPr>
          <w:iCs/>
          <w:i/>
        </w:rPr>
        <w:t xml:space="preserve">Greenfield v. National Medical Care, Inc.,</w:t>
      </w:r>
      <w:r>
        <w:t xml:space="preserve"> </w:t>
      </w:r>
      <w:r>
        <w:t xml:space="preserve">Del.Ch., C.A. Nos. 7720 and 7765,</w:t>
      </w:r>
      <w:r>
        <w:t xml:space="preserve"> </w:t>
      </w:r>
      <w:r>
        <w:t xml:space="preserve">1986 WL 6505</w:t>
      </w:r>
      <w:r>
        <w:t xml:space="preserve">, Berger, V.C. (June 6, 1986).</w:t>
      </w:r>
    </w:p>
  </w:footnote>
  <w:footnote w:id="159">
    <w:p>
      <w:pPr>
        <w:pStyle w:val="CaseFootnoteText"/>
      </w:pPr>
      <w:r>
        <w:rPr>
          <w:rStyle w:val="FootnoteReference"/>
        </w:rPr>
        <w:t xml:space="preserve">6  </w:t>
      </w:r>
      <w:r>
        <w:t xml:space="preserve">At the time of its selection, Dilworth also represented Dr. Hammer personally.</w:t>
      </w:r>
    </w:p>
  </w:footnote>
  <w:footnote w:id="160">
    <w:p>
      <w:pPr>
        <w:pStyle w:val="CaseFootnoteText"/>
      </w:pPr>
      <w:r>
        <w:rPr>
          <w:rStyle w:val="FootnoteReference"/>
        </w:rPr>
        <w:t xml:space="preserve">6  </w:t>
      </w:r>
      <w:r>
        <w:t xml:space="preserve">These individual defendants are Germán Larrea Mota-Velasco, Genaro Larrea Mota-Velasco, Oscar González Rocha, Emilio Carrillo Gamboa, Jaime Fernandez Collazo Gonzalez, Xavier García de Quevedo Topete, Armando Ortega Gómez and Juan Rebolledo Gout.</w:t>
      </w:r>
    </w:p>
  </w:footnote>
  <w:footnote w:id="161">
    <w:p>
      <w:pPr>
        <w:pStyle w:val="CaseFootnoteText"/>
      </w:pPr>
      <w:r>
        <w:rPr>
          <w:rStyle w:val="FootnoteReference"/>
        </w:rPr>
        <w:t xml:space="preserve">6  </w:t>
      </w:r>
      <w:r>
        <w:t xml:space="preserve"/>
      </w:r>
      <w:r>
        <w:t xml:space="preserve"> </w:t>
      </w:r>
      <w:r>
        <w:rPr>
          <w:iCs/>
          <w:i/>
        </w:rPr>
        <w:t xml:space="preserve">See Cox Radio,</w:t>
      </w:r>
      <w:r>
        <w:t xml:space="preserve"> </w:t>
      </w:r>
      <w:r>
        <w:t xml:space="preserve">2010 WL 1806616</w:t>
      </w:r>
      <w:r>
        <w:t xml:space="preserve">, at *11 (noting without discussion that</w:t>
      </w:r>
      <w:r>
        <w:t xml:space="preserve"> </w:t>
      </w:r>
      <w:r>
        <w:rPr>
          <w:iCs/>
          <w:i/>
        </w:rPr>
        <w:t xml:space="preserve">“Pure Resources</w:t>
      </w:r>
      <w:r>
        <w:t xml:space="preserve"> </w:t>
      </w:r>
      <w:r>
        <w:t xml:space="preserve">is based on the Supreme Court’s decision in</w:t>
      </w:r>
      <w:r>
        <w:t xml:space="preserve"> </w:t>
      </w:r>
      <w:r>
        <w:rPr>
          <w:iCs/>
          <w:i/>
        </w:rPr>
        <w:t xml:space="preserve">Solomon v. Pathe Communications Corp.")', Next Level Commons,</w:t>
      </w:r>
      <w:r>
        <w:t xml:space="preserve"> </w:t>
      </w:r>
      <w:r>
        <w:t xml:space="preserve">834 A.2d at 845-46</w:t>
      </w:r>
      <w:r>
        <w:t xml:space="preserve"> </w:t>
      </w:r>
      <w:r>
        <w:t xml:space="preserve">(same);</w:t>
      </w:r>
      <w:r>
        <w:t xml:space="preserve"> </w:t>
      </w:r>
      <w:r>
        <w:rPr>
          <w:iCs/>
          <w:i/>
        </w:rPr>
        <w:t xml:space="preserve">Pure Resources,</w:t>
      </w:r>
      <w:r>
        <w:t xml:space="preserve"> </w:t>
      </w:r>
      <w:r>
        <w:t xml:space="preserve">808 A.2d at</w:t>
      </w:r>
      <w:r>
        <w:t xml:space="preserve"> </w:t>
      </w:r>
      <w:r>
        <w:t xml:space="preserve">437-38 (citing</w:t>
      </w:r>
      <w:r>
        <w:t xml:space="preserve"> </w:t>
      </w:r>
      <w:r>
        <w:rPr>
          <w:iCs/>
          <w:i/>
        </w:rPr>
        <w:t xml:space="preserve">Solomon II</w:t>
      </w:r>
      <w:r>
        <w:t xml:space="preserve"> </w:t>
      </w:r>
      <w:r>
        <w:t xml:space="preserve">for the proposition that there is no fair price inquiry so long as the tender offer is not coercive or misleading);</w:t>
      </w:r>
      <w:r>
        <w:t xml:space="preserve"> </w:t>
      </w:r>
      <w:r>
        <w:rPr>
          <w:iCs/>
          <w:i/>
        </w:rPr>
        <w:t xml:space="preserve">Aguila,</w:t>
      </w:r>
      <w:r>
        <w:t xml:space="preserve"> </w:t>
      </w:r>
      <w:r>
        <w:t xml:space="preserve">805 A.2d at 190</w:t>
      </w:r>
      <w:r>
        <w:t xml:space="preserve"> </w:t>
      </w:r>
      <w:r>
        <w:t xml:space="preserve">(relying on</w:t>
      </w:r>
      <w:r>
        <w:t xml:space="preserve"> </w:t>
      </w:r>
      <w:r>
        <w:rPr>
          <w:iCs/>
          <w:i/>
        </w:rPr>
        <w:t xml:space="preserve">Solomon II</w:t>
      </w:r>
      <w:r>
        <w:t xml:space="preserve"> </w:t>
      </w:r>
      <w:r>
        <w:t xml:space="preserve">to conclude that controlling shareholders have no duty of entire fairness in a non-coercive tender or exchange offer);</w:t>
      </w:r>
      <w:r>
        <w:t xml:space="preserve"> </w:t>
      </w:r>
      <w:r>
        <w:rPr>
          <w:iCs/>
          <w:i/>
        </w:rPr>
        <w:t xml:space="preserve">Siliconix,</w:t>
      </w:r>
      <w:r>
        <w:t xml:space="preserve"> </w:t>
      </w:r>
      <w:r>
        <w:t xml:space="preserve">2001 WL 716787</w:t>
      </w:r>
      <w:r>
        <w:t xml:space="preserve">, at *6 (same). The Delaware Supreme Court recently cited</w:t>
      </w:r>
      <w:r>
        <w:t xml:space="preserve"> </w:t>
      </w:r>
      <w:r>
        <w:rPr>
          <w:iCs/>
          <w:i/>
        </w:rPr>
        <w:t xml:space="preserve">Solomon II</w:t>
      </w:r>
      <w:r>
        <w:t xml:space="preserve"> </w:t>
      </w:r>
      <w:r>
        <w:t xml:space="preserve">for the general rule that a tender offeror does not have any duty to offer a particular price.</w:t>
      </w:r>
      <w:r>
        <w:t xml:space="preserve"> </w:t>
      </w:r>
      <w:r>
        <w:rPr>
          <w:iCs/>
          <w:i/>
        </w:rPr>
        <w:t xml:space="preserve">See Pfeffer v. Redstone,</w:t>
      </w:r>
      <w:r>
        <w:t xml:space="preserve"> </w:t>
      </w:r>
      <w:r>
        <w:t xml:space="preserve">965 A.2d 676</w:t>
      </w:r>
      <w:r>
        <w:t xml:space="preserve">, 684 (Del.2009).</w:t>
      </w:r>
      <w:r>
        <w:t xml:space="preserve"> </w:t>
      </w:r>
      <w:r>
        <w:rPr>
          <w:iCs/>
          <w:i/>
        </w:rPr>
        <w:t xml:space="preserve">Pfeffer</w:t>
      </w:r>
      <w:r>
        <w:t xml:space="preserve"> </w:t>
      </w:r>
      <w:r>
        <w:t xml:space="preserve">was not a controlling stockholder squeeze-out.</w:t>
      </w:r>
    </w:p>
  </w:footnote>
  <w:footnote w:id="163">
    <w:p>
      <w:pPr>
        <w:pStyle w:val="CaseFootnoteText"/>
      </w:pPr>
      <w:r>
        <w:rPr>
          <w:rStyle w:val="FootnoteReference"/>
        </w:rPr>
        <w:t xml:space="preserve">7  </w:t>
      </w:r>
      <w:r>
        <w:t xml:space="preserve">Although the contracts with the farmers were executed by Warren, Warren paid for the grain with drafts drawn on Cargill. While this is not in itself significant — see</w:t>
      </w:r>
      <w:r>
        <w:t xml:space="preserve"> </w:t>
      </w:r>
      <w:r>
        <w:rPr>
          <w:iCs/>
          <w:i/>
        </w:rPr>
        <w:t xml:space="preserve">Lee v. Peoples Cooperative Sales Agency,</w:t>
      </w:r>
      <w:r>
        <w:t xml:space="preserve"> </w:t>
      </w:r>
      <w:r>
        <w:t xml:space="preserve">201 Minn. 266</w:t>
      </w:r>
      <w:r>
        <w:t xml:space="preserve">,</w:t>
      </w:r>
      <w:r>
        <w:t xml:space="preserve"> </w:t>
      </w:r>
      <w:r>
        <w:t xml:space="preserve">276 N.W. 214</w:t>
      </w:r>
      <w:r>
        <w:t xml:space="preserve"> </w:t>
      </w:r>
      <w:r>
        <w:t xml:space="preserve">(1937) — it is one factor to be taken into account in analyzing the relationship between Warren and Cargill.</w:t>
      </w:r>
    </w:p>
  </w:footnote>
  <w:footnote w:id="164">
    <w:p>
      <w:pPr>
        <w:pStyle w:val="CaseFootnoteText"/>
      </w:pPr>
      <w:r>
        <w:rPr>
          <w:rStyle w:val="FootnoteReference"/>
        </w:rPr>
        <w:t xml:space="preserve">7  </w:t>
      </w:r>
      <w:r>
        <w:t xml:space="preserve"/>
      </w:r>
      <w:r>
        <w:t xml:space="preserve"> </w:t>
      </w:r>
      <w:r>
        <w:rPr>
          <w:iCs/>
          <w:i/>
        </w:rPr>
        <w:t xml:space="preserve">Id,</w:t>
      </w:r>
      <w:r>
        <w:t xml:space="preserve"> </w:t>
      </w:r>
      <w:r>
        <w:t xml:space="preserve">at 49 (LP Agreement § 1.1).</w:t>
      </w:r>
    </w:p>
  </w:footnote>
  <w:footnote w:id="165">
    <w:p>
      <w:pPr>
        <w:pStyle w:val="CaseFootnoteText"/>
      </w:pPr>
      <w:r>
        <w:rPr>
          <w:rStyle w:val="FootnoteReference"/>
        </w:rPr>
        <w:t xml:space="preserve">7  </w:t>
      </w:r>
      <w:r>
        <w:rPr>
          <w:iCs/>
          <w:i/>
        </w:rPr>
        <w:t xml:space="preserve">Chancery Opinion</w:t>
      </w:r>
      <w:r>
        <w:t xml:space="preserve"/>
      </w:r>
      <w:r>
        <w:t xml:space="preserve">,</w:t>
      </w:r>
      <w:r>
        <w:t xml:space="preserve"> </w:t>
      </w:r>
      <w:r>
        <w:t xml:space="preserve">2018 WL 818760</w:t>
      </w:r>
      <w:r>
        <w:t xml:space="preserve">, at *18.</w:t>
      </w:r>
    </w:p>
  </w:footnote>
  <w:footnote w:id="166">
    <w:p>
      <w:pPr>
        <w:pStyle w:val="CaseFootnoteText"/>
      </w:pPr>
      <w:r>
        <w:rPr>
          <w:rStyle w:val="FootnoteReference"/>
        </w:rPr>
        <w:t xml:space="preserve">7  </w:t>
      </w:r>
      <w:r>
        <w:t xml:space="preserve"/>
      </w:r>
      <w:r>
        <w:t xml:space="preserve">Also perplexing is the majority’s attempt to pass blame to the Government for its litigating position. By “holding] out the possibility of ruling for Citizens United on a narrow ground yet refrain[ing] from adopting that position,” the majority says, the Government has caused “added uncertainty [that] demonstrates the necessity to address the question of statutory validity.”</w:t>
      </w:r>
      <w:r>
        <w:t xml:space="preserve"> </w:t>
      </w:r>
      <w:r>
        <w:rPr>
          <w:iCs/>
          <w:i/>
        </w:rPr>
        <w:t xml:space="preserve">Ante,</w:t>
      </w:r>
      <w:r>
        <w:t xml:space="preserve"> </w:t>
      </w:r>
      <w:r>
        <w:t xml:space="preserve">at 333. Our colleagues have apparently never heard of an alternative argument. Like every litigant, the Government would prefer to win its case outright; failing that, it would prefer to lose on a narrow ground. The fact that there are numerous different ways this case could be decided, and that the Government acknowledges as much, does not demonstrate anything about the propriety of a facial ruling.</w:t>
      </w:r>
    </w:p>
  </w:footnote>
  <w:footnote w:id="167">
    <w:p>
      <w:pPr>
        <w:pStyle w:val="CaseFootnoteText"/>
      </w:pPr>
      <w:r>
        <w:rPr>
          <w:rStyle w:val="FootnoteReference"/>
        </w:rPr>
        <w:t xml:space="preserve">7  </w:t>
      </w:r>
      <w:r>
        <w:t xml:space="preserve"/>
      </w:r>
      <w:r>
        <w:t xml:space="preserve">The District Court also based its holding on the alternative ground that the injuries alleged in the complaint were not causally related to any deception by the majority shareholder:</w:t>
      </w:r>
    </w:p>
    <w:p>
      <w:pPr>
        <w:pStyle w:val="BlockText"/>
      </w:pPr>
      <w:r>
        <w:t xml:space="preserve">“Assuming</w:t>
      </w:r>
      <w:r>
        <w:t xml:space="preserve"/>
      </w:r>
      <w:r>
        <w:rPr>
          <w:iCs/>
          <w:i/>
        </w:rPr>
        <w:t xml:space="preserve">arguendo</w:t>
      </w:r>
      <w:r>
        <w:t xml:space="preserve"> </w:t>
      </w:r>
      <w:r>
        <w:t xml:space="preserve">that the merger information statement did not constitute adequate disclosure, the amended complaint does not demonstrate a causal connection between the alleged deception and plaintiffs’ damages. Plaintiffs did not tender their shares for cancellation and payment pursuant to this merger plan. . . . From the outset, plaintiffs recognized the alleged deception and did not rely upon it.”</w:t>
      </w:r>
      <w:r>
        <w:t xml:space="preserve"> </w:t>
      </w:r>
      <w:r>
        <w:t xml:space="preserve">391 F. Supp., at 855</w:t>
      </w:r>
      <w:r>
        <w:t xml:space="preserve">.</w:t>
      </w:r>
    </w:p>
  </w:footnote>
  <w:footnote w:id="168">
    <w:p>
      <w:pPr>
        <w:pStyle w:val="CaseFootnoteText"/>
      </w:pPr>
      <w:r>
        <w:rPr>
          <w:rStyle w:val="FootnoteReference"/>
        </w:rPr>
        <w:t xml:space="preserve">7  </w:t>
      </w:r>
      <w:r>
        <w:t xml:space="preserve"/>
      </w:r>
      <w:r>
        <w:t xml:space="preserve">Our cases have not considered, and we have no occasion in this case to consider, what showing of culpability is required to establish the liability under § 14 (a) of a corporation issuing a materially misleading proxy statement, or of a person involved in the preparation of a materially misleading proxy statement. See</w:t>
      </w:r>
      <w:r>
        <w:t xml:space="preserve"> </w:t>
      </w:r>
      <w:r>
        <w:rPr>
          <w:iCs/>
          <w:i/>
        </w:rPr>
        <w:t xml:space="preserve">Gerstle</w:t>
      </w:r>
      <w:r>
        <w:t xml:space="preserve"> </w:t>
      </w:r>
      <w:r>
        <w:t xml:space="preserve">v.</w:t>
      </w:r>
      <w:r>
        <w:t xml:space="preserve"> </w:t>
      </w:r>
      <w:r>
        <w:rPr>
          <w:iCs/>
          <w:i/>
        </w:rPr>
        <w:t xml:space="preserve">Gamble-Skogmo, Inc.,</w:t>
      </w:r>
      <w:r>
        <w:t xml:space="preserve"> </w:t>
      </w:r>
      <w:r>
        <w:t xml:space="preserve">478 F. 2d 1281</w:t>
      </w:r>
      <w:r>
        <w:t xml:space="preserve">, 1298-1301 (CA2 1973);</w:t>
      </w:r>
      <w:r>
        <w:t xml:space="preserve"> </w:t>
      </w:r>
      <w:r>
        <w:rPr>
          <w:iCs/>
          <w:i/>
        </w:rPr>
        <w:t xml:space="preserve">Richland</w:t>
      </w:r>
      <w:r>
        <w:t xml:space="preserve"> </w:t>
      </w:r>
      <w:r>
        <w:t xml:space="preserve">v.</w:t>
      </w:r>
      <w:r>
        <w:t xml:space="preserve"> </w:t>
      </w:r>
      <w:r>
        <w:rPr>
          <w:iCs/>
          <w:i/>
        </w:rPr>
        <w:t xml:space="preserve">Crandall,</w:t>
      </w:r>
      <w:r>
        <w:t xml:space="preserve"> </w:t>
      </w:r>
      <w:r>
        <w:t xml:space="preserve">262 F. Supp. 538</w:t>
      </w:r>
      <w:r>
        <w:t xml:space="preserve">, 553 n. 12 (SDNY 1967); R. Jennings &amp; H. Marsh, Securities Regulation: Cases and Materials 1358-1359 (3d ed. 1972). See also</w:t>
      </w:r>
      <w:r>
        <w:t xml:space="preserve"> </w:t>
      </w:r>
      <w:r>
        <w:rPr>
          <w:iCs/>
          <w:i/>
        </w:rPr>
        <w:t xml:space="preserve">Ernst &amp; Ernst</w:t>
      </w:r>
      <w:r>
        <w:t xml:space="preserve"> </w:t>
      </w:r>
      <w:r>
        <w:t xml:space="preserve">v.</w:t>
      </w:r>
      <w:r>
        <w:t xml:space="preserve"> </w:t>
      </w:r>
      <w:r>
        <w:rPr>
          <w:iCs/>
          <w:i/>
        </w:rPr>
        <w:t xml:space="preserve">Hochfelder,</w:t>
      </w:r>
      <w:r>
        <w:t xml:space="preserve"> </w:t>
      </w:r>
      <w:r>
        <w:t xml:space="preserve">425 U. S. 185</w:t>
      </w:r>
      <w:r>
        <w:t xml:space="preserve">, 209 n. 28 (1976).</w:t>
      </w:r>
    </w:p>
  </w:footnote>
  <w:footnote w:id="169">
    <w:p>
      <w:pPr>
        <w:pStyle w:val="CaseFootnoteText"/>
      </w:pPr>
      <w:r>
        <w:rPr>
          <w:rStyle w:val="FootnoteReference"/>
        </w:rPr>
        <w:t xml:space="preserve">7  </w:t>
      </w:r>
      <w:r>
        <w:t xml:space="preserve"/>
      </w:r>
      <w:r>
        <w:t xml:space="preserve">Section 29 (b) of the 1934 Act provides in part:</w:t>
      </w:r>
    </w:p>
    <w:p>
      <w:pPr>
        <w:pStyle w:val="CaseFootnoteText"/>
      </w:pPr>
      <w:r>
        <w:t xml:space="preserve">“Every contract made in violation of any provision of this chapter or of any rule or regulation thereunder, and every contract (including any contract for listing a security on an exchange) heretofore or hereafter made, the performance of which involves the violation of, or the continuance of any relationship or practice in violation of, any provision of this chapter or any rule or regulation thereunder, shall be void (1) as regards the rights of any person who, in violation of any such provision, rule, or regulation, shall have made or engaged in the performance of any such contract, and (2) as regards the rights of any person who, not being a party to such contract, shall have acquired any right thereunder with actual knowledge of the facts by reason of which the making or performance of such contract was in violation of any such provision, rule, or regulation ....”</w:t>
      </w:r>
    </w:p>
    <w:p>
      <w:pPr>
        <w:pStyle w:val="CaseFootnoteText"/>
      </w:pPr>
      <w:r>
        <w:t xml:space="preserve">Cf.</w:t>
      </w:r>
      <w:r>
        <w:t xml:space="preserve"/>
      </w:r>
      <w:r>
        <w:rPr>
          <w:iCs/>
          <w:i/>
        </w:rPr>
        <w:t xml:space="preserve">Deckert</w:t>
      </w:r>
      <w:r>
        <w:t xml:space="preserve"> </w:t>
      </w:r>
      <w:r>
        <w:t xml:space="preserve">v.</w:t>
      </w:r>
      <w:r>
        <w:t xml:space="preserve"> </w:t>
      </w:r>
      <w:r>
        <w:rPr>
          <w:iCs/>
          <w:i/>
        </w:rPr>
        <w:t xml:space="preserve">Independence Shares Corp.,</w:t>
      </w:r>
      <w:r>
        <w:t xml:space="preserve"> </w:t>
      </w:r>
      <w:r>
        <w:t xml:space="preserve">311 U. S. 282</w:t>
      </w:r>
      <w:r>
        <w:t xml:space="preserve"> </w:t>
      </w:r>
      <w:r>
        <w:t xml:space="preserve">(1940).</w:t>
      </w:r>
    </w:p>
  </w:footnote>
  <w:footnote w:id="170">
    <w:p>
      <w:pPr>
        <w:pStyle w:val="CaseFootnoteText"/>
      </w:pPr>
      <w:r>
        <w:rPr>
          <w:rStyle w:val="FootnoteReference"/>
        </w:rPr>
        <w:t xml:space="preserve">7  </w:t>
      </w:r>
      <w:r>
        <w:t xml:space="preserve">In re Morasco, 2 Cir.,</w:t>
      </w:r>
      <w:r>
        <w:t xml:space="preserve"> </w:t>
      </w:r>
      <w:r>
        <w:t xml:space="preserve">233 F.2d 11</w:t>
      </w:r>
      <w:r>
        <w:t xml:space="preserve">, 15; Sheldon v. Waters, 5 Cir.,</w:t>
      </w:r>
      <w:r>
        <w:t xml:space="preserve"> </w:t>
      </w:r>
      <w:r>
        <w:t xml:space="preserve">168 F.2d 483</w:t>
      </w:r>
      <w:r>
        <w:t xml:space="preserve">, 485.</w:t>
      </w:r>
    </w:p>
  </w:footnote>
  <w:footnote w:id="171">
    <w:p>
      <w:pPr>
        <w:pStyle w:val="CaseFootnoteText"/>
      </w:pPr>
      <w:r>
        <w:rPr>
          <w:rStyle w:val="FootnoteReference"/>
        </w:rPr>
        <w:t xml:space="preserve">7  </w:t>
      </w:r>
      <w:r>
        <w:t xml:space="preserve">See also,</w:t>
      </w:r>
      <w:r>
        <w:t xml:space="preserve"> </w:t>
      </w:r>
      <w:r>
        <w:rPr>
          <w:iCs/>
          <w:i/>
        </w:rPr>
        <w:t xml:space="preserve">Rolfv. Blyth, Eastman Dillon &amp; Co., Inc.,</w:t>
      </w:r>
      <w:r>
        <w:t xml:space="preserve"> </w:t>
      </w:r>
      <w:r>
        <w:t xml:space="preserve">570 F.2d 38</w:t>
      </w:r>
      <w:r>
        <w:t xml:space="preserve"> </w:t>
      </w:r>
      <w:r>
        <w:t xml:space="preserve">(2d Cir.),</w:t>
      </w:r>
      <w:r>
        <w:t xml:space="preserve"> </w:t>
      </w:r>
      <w:r>
        <w:rPr>
          <w:iCs/>
          <w:i/>
        </w:rPr>
        <w:t xml:space="preserve">cert. denied,</w:t>
      </w:r>
      <w:r>
        <w:t xml:space="preserve"> </w:t>
      </w:r>
      <w:r>
        <w:t xml:space="preserve">439 U.S. 1039</w:t>
      </w:r>
      <w:r>
        <w:t xml:space="preserve">,</w:t>
      </w:r>
      <w:r>
        <w:t xml:space="preserve"> </w:t>
      </w:r>
      <w:r>
        <w:t xml:space="preserve">99 S.Ct. 642</w:t>
      </w:r>
      <w:r>
        <w:t xml:space="preserve">,</w:t>
      </w:r>
      <w:r>
        <w:t xml:space="preserve"> </w:t>
      </w:r>
      <w:r>
        <w:t xml:space="preserve">58 L.Ed.2d 699</w:t>
      </w:r>
      <w:r>
        <w:t xml:space="preserve"> </w:t>
      </w:r>
      <w:r>
        <w:t xml:space="preserve">(1978);</w:t>
      </w:r>
      <w:r>
        <w:t xml:space="preserve"> </w:t>
      </w:r>
      <w:r>
        <w:rPr>
          <w:iCs/>
          <w:i/>
        </w:rPr>
        <w:t xml:space="preserve">Lanza v. Drexel &amp; Co.,</w:t>
      </w:r>
      <w:r>
        <w:t xml:space="preserve"> </w:t>
      </w:r>
      <w:r>
        <w:t xml:space="preserve">479 F.2d 1277</w:t>
      </w:r>
      <w:r>
        <w:t xml:space="preserve"> </w:t>
      </w:r>
      <w:r>
        <w:t xml:space="preserve">(2d Cir. 1973);</w:t>
      </w:r>
      <w:r>
        <w:t xml:space="preserve"> </w:t>
      </w:r>
      <w:r>
        <w:rPr>
          <w:iCs/>
          <w:i/>
        </w:rPr>
        <w:t xml:space="preserve">Shemtob v. Shearson, Hammill &amp; Co.,</w:t>
      </w:r>
      <w:r>
        <w:t xml:space="preserve"> </w:t>
      </w:r>
      <w:r>
        <w:t xml:space="preserve">448 F.2d 442</w:t>
      </w:r>
      <w:r>
        <w:t xml:space="preserve"> </w:t>
      </w:r>
      <w:r>
        <w:t xml:space="preserve">(2d Cir. 1971).</w:t>
      </w:r>
    </w:p>
  </w:footnote>
  <w:footnote w:id="172">
    <w:p>
      <w:pPr>
        <w:pStyle w:val="CaseFootnoteText"/>
      </w:pPr>
      <w:r>
        <w:rPr>
          <w:rStyle w:val="FootnoteReference"/>
        </w:rPr>
        <w:t xml:space="preserve">7  </w:t>
      </w:r>
      <w:r>
        <w:t xml:space="preserve">Plaintiffs stress that Bear Stearns had a financial incentive to sell Intermedia, as opposed to merely selling Digex because the terms of the retention agreement between Bear Stearns and Intermedia provided that Bear Stearns would receive $22 million if it sold Intermedia, but only $15 million if it sold Digex.</w:t>
      </w:r>
      <w:r>
        <w:t xml:space="preserve"> </w:t>
      </w:r>
      <w:r>
        <w:rPr>
          <w:iCs/>
          <w:i/>
        </w:rPr>
        <w:t xml:space="preserve">See</w:t>
      </w:r>
      <w:r>
        <w:t xml:space="preserve"> </w:t>
      </w:r>
      <w:r>
        <w:t xml:space="preserve">Pis.' Ex. 15 (Retainer Letter of Bear Stearns) at 4.</w:t>
      </w:r>
    </w:p>
  </w:footnote>
  <w:footnote w:id="173">
    <w:p>
      <w:pPr>
        <w:pStyle w:val="CaseFootnoteText"/>
      </w:pPr>
      <w:r>
        <w:rPr>
          <w:rStyle w:val="FootnoteReference"/>
        </w:rPr>
        <w:t xml:space="preserve">7  </w:t>
      </w:r>
      <w:r>
        <w:t xml:space="preserve"/>
      </w:r>
      <w:r>
        <w:t xml:space="preserve"> </w:t>
      </w:r>
      <w:r>
        <w:rPr>
          <w:iCs/>
          <w:i/>
        </w:rPr>
        <w:t xml:space="preserve">Malpiede v. Townson,</w:t>
      </w:r>
      <w:r>
        <w:t xml:space="preserve"> </w:t>
      </w:r>
      <w:r>
        <w:t xml:space="preserve">780 A.2d 1075</w:t>
      </w:r>
      <w:r>
        <w:t xml:space="preserve">, 1083 (Del.2001).</w:t>
      </w:r>
    </w:p>
  </w:footnote>
  <w:footnote w:id="174">
    <w:p>
      <w:pPr>
        <w:pStyle w:val="CaseFootnoteText"/>
      </w:pPr>
      <w:r>
        <w:rPr>
          <w:rStyle w:val="FootnoteReference"/>
        </w:rPr>
        <w:t xml:space="preserve">7  </w:t>
      </w:r>
      <w:r>
        <w:t xml:space="preserve"/>
      </w:r>
      <w:r>
        <w:t xml:space="preserve"> </w:t>
      </w:r>
      <w:r>
        <w:rPr>
          <w:iCs/>
          <w:i/>
        </w:rPr>
        <w:t xml:space="preserve">See, e.g., Lyondell Chemical Co. v. Ryan,</w:t>
      </w:r>
      <w:r>
        <w:t xml:space="preserve"> </w:t>
      </w:r>
      <w:r>
        <w:t xml:space="preserve">970 A.2d 235</w:t>
      </w:r>
      <w:r>
        <w:t xml:space="preserve">, 243 (Del.2009);</w:t>
      </w:r>
      <w:r>
        <w:t xml:space="preserve"> </w:t>
      </w:r>
      <w:r>
        <w:rPr>
          <w:iCs/>
          <w:i/>
        </w:rPr>
        <w:t xml:space="preserve">Paramount Communications Inc. v. QVC Network Inc.,</w:t>
      </w:r>
      <w:r>
        <w:t xml:space="preserve"> </w:t>
      </w:r>
      <w:r>
        <w:t xml:space="preserve">637 A.2d 34</w:t>
      </w:r>
      <w:r>
        <w:t xml:space="preserve">, 44 (Del.1994) ("Delaware law recognizes that there is ‘no single blueprint’ that directors must follow.”);</w:t>
      </w:r>
      <w:r>
        <w:t xml:space="preserve"> </w:t>
      </w:r>
      <w:r>
        <w:rPr>
          <w:iCs/>
          <w:i/>
        </w:rPr>
        <w:t xml:space="preserve">In Re Fort Howard Corp. S’holders Litig.,</w:t>
      </w:r>
      <w:r>
        <w:t xml:space="preserve"> </w:t>
      </w:r>
      <w:r>
        <w:t xml:space="preserve">1988 WL 83147</w:t>
      </w:r>
      <w:r>
        <w:t xml:space="preserve"> </w:t>
      </w:r>
      <w:r>
        <w:t xml:space="preserve">(Del. Ch. Aug. 8, 1988) (a pre-signing auction is not required where directors allowed for an effective post-signing market check).</w:t>
      </w:r>
    </w:p>
  </w:footnote>
  <w:footnote w:id="175">
    <w:p>
      <w:pPr>
        <w:pStyle w:val="CaseFootnoteText"/>
      </w:pPr>
      <w:r>
        <w:rPr>
          <w:rStyle w:val="FootnoteReference"/>
        </w:rPr>
        <w:t xml:space="preserve">7  </w:t>
      </w:r>
      <w:r>
        <w:t xml:space="preserve">This fact is assumed for these purposes; surely it is consistent with the record. The board has not, however, endeavored to determine what is the maximum price that CCA might pay. They say it is not part of their duty to enter into the negotiation that would be necessary to “know” that fact. Insofar as this fact relates to plaintiffs’</w:t>
      </w:r>
      <w:r>
        <w:t xml:space="preserve"> </w:t>
      </w:r>
      <w:r>
        <w:rPr>
          <w:iCs/>
          <w:i/>
        </w:rPr>
        <w:t xml:space="preserve">Revlon</w:t>
      </w:r>
      <w:r>
        <w:t xml:space="preserve"> </w:t>
      </w:r>
      <w:r>
        <w:t xml:space="preserve">argument, it is further discussed</w:t>
      </w:r>
      <w:r>
        <w:t xml:space="preserve"> </w:t>
      </w:r>
      <w:r>
        <w:rPr>
          <w:iCs/>
          <w:i/>
        </w:rPr>
        <w:t xml:space="preserve">infra</w:t>
      </w:r>
      <w:r>
        <w:t xml:space="preserve"> </w:t>
      </w:r>
      <w:r>
        <w:t xml:space="preserve">at pp. 802-803.</w:t>
      </w:r>
    </w:p>
  </w:footnote>
  <w:footnote w:id="176">
    <w:p>
      <w:pPr>
        <w:pStyle w:val="CaseFootnoteText"/>
      </w:pPr>
      <w:r>
        <w:rPr>
          <w:rStyle w:val="FootnoteReference"/>
        </w:rPr>
        <w:t xml:space="preserve">7  </w:t>
      </w:r>
      <w:r>
        <w:t xml:space="preserve"/>
      </w:r>
      <w:r>
        <w:t xml:space="preserve"> </w:t>
      </w:r>
      <w:r>
        <w:rPr>
          <w:iCs/>
          <w:i/>
        </w:rPr>
        <w:t xml:space="preserve">Centaur Partners, IV v. Nat'l Intergroup, Inc.,</w:t>
      </w:r>
      <w:r>
        <w:t xml:space="preserve"> </w:t>
      </w:r>
      <w:r>
        <w:t xml:space="preserve">582 A.2d 923</w:t>
      </w:r>
      <w:r>
        <w:t xml:space="preserve">, 928 (Del.1990).</w:t>
      </w:r>
    </w:p>
  </w:footnote>
  <w:footnote w:id="177">
    <w:p>
      <w:pPr>
        <w:pStyle w:val="CaseFootnoteText"/>
      </w:pPr>
      <w:r>
        <w:rPr>
          <w:rStyle w:val="FootnoteReference"/>
        </w:rPr>
        <w:t xml:space="preserve">7  </w:t>
      </w:r>
      <w:r>
        <w:t xml:space="preserve">The exact, final figure was subject to market-driven interest rate fluctuations.</w:t>
      </w:r>
    </w:p>
  </w:footnote>
  <w:footnote w:id="178">
    <w:p>
      <w:pPr>
        <w:pStyle w:val="CaseFootnoteText"/>
      </w:pPr>
      <w:r>
        <w:rPr>
          <w:rStyle w:val="FootnoteReference"/>
        </w:rPr>
        <w:t xml:space="preserve">7  </w:t>
      </w:r>
      <w:r>
        <w:t xml:space="preserve"/>
      </w:r>
      <w:r>
        <w:t xml:space="preserve"> </w:t>
      </w:r>
      <w:r>
        <w:rPr>
          <w:iCs/>
          <w:i/>
        </w:rPr>
        <w:t xml:space="preserve">Fudge v. Penthouse Int’l, Ltd.,</w:t>
      </w:r>
      <w:r>
        <w:t xml:space="preserve"> </w:t>
      </w:r>
      <w:r>
        <w:t xml:space="preserve">1st Cir.,</w:t>
      </w:r>
      <w:r>
        <w:t xml:space="preserve"> </w:t>
      </w:r>
      <w:r>
        <w:t xml:space="preserve">840 F.2d 1012</w:t>
      </w:r>
      <w:r>
        <w:t xml:space="preserve">, 1015 (1988) (citing 5 Wright &amp; Miller,</w:t>
      </w:r>
      <w:r>
        <w:t xml:space="preserve"> </w:t>
      </w:r>
      <w:r>
        <w:rPr>
          <w:iCs/>
          <w:i/>
        </w:rPr>
        <w:t xml:space="preserve">Federal Practice &amp; Procedure</w:t>
      </w:r>
      <w:r>
        <w:t xml:space="preserve"> </w:t>
      </w:r>
      <w:r>
        <w:t xml:space="preserve">§ 1327).</w:t>
      </w:r>
    </w:p>
  </w:footnote>
  <w:footnote w:id="179">
    <w:p>
      <w:pPr>
        <w:pStyle w:val="CaseFootnoteText"/>
      </w:pPr>
      <w:r>
        <w:rPr>
          <w:rStyle w:val="FootnoteReference"/>
        </w:rPr>
        <w:t xml:space="preserve">7  </w:t>
      </w:r>
      <w:r>
        <w:t xml:space="preserve">Albert Gore was an attorney, a United States Congressman from Tennessee from 1939 to 1953 and a United States Senator from Tennessee from 1953 to 1971. He had been a director of Occidental for eighteen years.</w:t>
      </w:r>
    </w:p>
  </w:footnote>
  <w:footnote w:id="180">
    <w:p>
      <w:pPr>
        <w:pStyle w:val="CaseFootnoteText"/>
      </w:pPr>
      <w:r>
        <w:rPr>
          <w:rStyle w:val="FootnoteReference"/>
        </w:rPr>
        <w:t xml:space="preserve">7  </w:t>
      </w:r>
      <w:r>
        <w:t xml:space="preserve">The record in this case was made less reliable by the conduct of both sides. On the plaintiff's side, the prosecution moved slowly. Eventually, the banker from Goldman who worked for the Special Committee, Martin Sanchez, refused to come to Delaware to testify at trial, even though he had sat for a deposition in New York in 2009. Although one would hope that an investment banker would recognize a duty to a former client to come and testify, that expectation might be thought a bit unreasonable as Sanchez, who lives in Latin America, was being asked to testify in 2011 about a deal that closed in 2005, and he had left the employ of Goldman in 2006. His absence is as much or more the fault of the plaintiff’s slow pace as it is of the defendants. Another issue seems more the defendants’ fault, or at least the fault of the former defendants, who were members of the Special Committee. Many of the minutes of the Special Committee meetings, including all minutes of any Special Committee meeting held after July 20, 2004, were not admitted into evidence by agreement of the parties. The defendants failed to produce minutes of these Special Committee meetings during fact discovery in this case, which ended on March 1, 2010. Then, on January 23, 2011, the defendants produced nearly all of the minutes of the Special Committee meetings that took place between July 20, 2004 and October 21, 2004. These minutes were rather obviously responsive to the discoveiy requests made by the plaintiff and there was no reasonable excuse for their non-production, which seems to have resulted from the migration of an attorney for the Special Committee to another job and a lack of diligence, rather than a lack of good faith, in the production process. The plaintiff moved to strike this post cut-off production, and an oral argument was held on the motion to strike on April 25, 2011.</w:t>
      </w:r>
      <w:r>
        <w:t xml:space="preserve"> </w:t>
      </w:r>
      <w:r>
        <w:rPr>
          <w:iCs/>
          <w:i/>
        </w:rPr>
        <w:t xml:space="preserve">In re Southern Peru S’holders Litig.,</w:t>
      </w:r>
      <w:r>
        <w:t xml:space="preserve"> </w:t>
      </w:r>
      <w:r>
        <w:t xml:space="preserve">C.A. No. 961 (Del.Ch. Apr. 25, 2011) (TRANSCRIPT). At argument, the plaintiff's counsel admitted that he had not pressed for discovery of the missing minutes because the defendants' failure to produce them was advantageous to his case. Because the defendants produced the additional Special Committee meeting minutes only a few months before trial and the plaintiff was unwilling to re-depose witnesses and depose new witnesses based on this new information, the parties agreed to stipulate that such meetings occurred but not to admit them into evidence. The defendants never produced minutes for meetings of the Special Committee that defendants allege took place on August 5, 2004 and August 25, 2004. I am therefore missing important evidence which may have helped to inform my analysis of the Special Committee’s deliberations.</w:t>
      </w:r>
    </w:p>
  </w:footnote>
  <w:footnote w:id="181">
    <w:p>
      <w:pPr>
        <w:pStyle w:val="CaseFootnoteText"/>
      </w:pPr>
      <w:r>
        <w:rPr>
          <w:rStyle w:val="FootnoteReference"/>
        </w:rPr>
        <w:t xml:space="preserve">7  </w:t>
      </w:r>
      <w:r>
        <w:t xml:space="preserve"/>
      </w:r>
      <w:r>
        <w:t xml:space="preserve"> </w:t>
      </w:r>
      <w:r>
        <w:rPr>
          <w:iCs/>
          <w:i/>
        </w:rPr>
        <w:t xml:space="preserve">See Kahn v. Tremont Corp.,</w:t>
      </w:r>
      <w:r>
        <w:t xml:space="preserve"> </w:t>
      </w:r>
      <w:r>
        <w:t xml:space="preserve">694 A.2d 422</w:t>
      </w:r>
      <w:r>
        <w:t xml:space="preserve">, 428 (Del.1997) ("[WJlien a controlling shareholder stands on both sides of the transaction the conduct of the parties will be viewed under the more exacting standard of entire fairness....");</w:t>
      </w:r>
      <w:r>
        <w:t xml:space="preserve"> </w:t>
      </w:r>
      <w:r>
        <w:rPr>
          <w:iCs/>
          <w:i/>
        </w:rPr>
        <w:t xml:space="preserve">Lynch,</w:t>
      </w:r>
      <w:r>
        <w:t xml:space="preserve"> </w:t>
      </w:r>
      <w:r>
        <w:t xml:space="preserve">638 A.2d at 1115</w:t>
      </w:r>
      <w:r>
        <w:t xml:space="preserve"> </w:t>
      </w:r>
      <w:r>
        <w:t xml:space="preserve">("A controlling or dominating shareholder standing on both sides of a transaction ... bears the burden of proving its entire fairness.”);</w:t>
      </w:r>
      <w:r>
        <w:t xml:space="preserve"> </w:t>
      </w:r>
      <w:r>
        <w:rPr>
          <w:iCs/>
          <w:i/>
        </w:rPr>
        <w:t xml:space="preserve">Weinberger,</w:t>
      </w:r>
      <w:r>
        <w:t xml:space="preserve"> </w:t>
      </w:r>
      <w:r>
        <w:t xml:space="preserve">457 A.2d at 710</w:t>
      </w:r>
      <w:r>
        <w:t xml:space="preserve"> </w:t>
      </w:r>
      <w:r>
        <w:t xml:space="preserve">("The requirement of fairness is unflinching in its demand that where one stands on both sides of a transaction, he has the burden of establishing its entire fairness, sufficient to pass the test of careful scrutiny by the courts.”);</w:t>
      </w:r>
      <w:r>
        <w:t xml:space="preserve"> </w:t>
      </w:r>
      <w:r>
        <w:rPr>
          <w:iCs/>
          <w:i/>
        </w:rPr>
        <w:t xml:space="preserve">Sterling v. Mayflower Hotel Corp.,</w:t>
      </w:r>
      <w:r>
        <w:t xml:space="preserve"> </w:t>
      </w:r>
      <w:r>
        <w:t xml:space="preserve">93 A.2d 107</w:t>
      </w:r>
      <w:r>
        <w:t xml:space="preserve">, 110 (Del.1952) ("Since [the majority stockholder and its board representatives] stand on both sides of the transaction, they bear the burden of establishing its entire fairness, and it must pass the test of careful scrutiny by the courts.”).</w:t>
      </w:r>
    </w:p>
  </w:footnote>
  <w:footnote w:id="183">
    <w:p>
      <w:pPr>
        <w:pStyle w:val="CaseFootnoteText"/>
      </w:pPr>
      <w:r>
        <w:rPr>
          <w:rStyle w:val="FootnoteReference"/>
        </w:rPr>
        <w:t xml:space="preserve">8  </w:t>
      </w:r>
      <w:r>
        <w:t xml:space="preserve">In</w:t>
      </w:r>
      <w:r>
        <w:t xml:space="preserve"> </w:t>
      </w:r>
      <w:r>
        <w:rPr>
          <w:iCs/>
          <w:i/>
        </w:rPr>
        <w:t xml:space="preserve">Butler v. Bunge Corporation,</w:t>
      </w:r>
      <w:r>
        <w:t xml:space="preserve"> </w:t>
      </w:r>
      <w:r>
        <w:t xml:space="preserve">329 F.Supp. 47</w:t>
      </w:r>
      <w:r>
        <w:t xml:space="preserve"> </w:t>
      </w:r>
      <w:r>
        <w:t xml:space="preserve">(N.D.Miss.1971), the evidence revealed the following indicia of agency:</w:t>
      </w:r>
    </w:p>
    <w:p>
      <w:pPr>
        <w:pStyle w:val="BlockText"/>
      </w:pPr>
      <w:r>
        <w:t xml:space="preserve">(1) Bunge furnished all or practically all of the means and appliances for the work; (2) Bunge furnished substantially all funds received by Bayles; (3) Bunge controlled the destination of all grain handled by Bayles; (4) Bunge controlled the price, weights and grades of all grain handled by Bayles; (5) Bunge, on certain occasions, permitted Bayles to sell a limited quantity of grain to other buyers; (6) Bunge not only had the right to direct details important to grain buying but gave actual direction to Bayles through constant contact, quoting its price to him and consulting with him regarding prices for the farmers; (7) Bunge had a significant degree of control over the operation of the grain elevator at Roundaway in such areas as training Bayles’ personnel, inspecting the premises and requiring maintenance of insurance against hazards of operation; (8) Bayles’ grain transaction with farmers was the identical type of business activity that was regularly carried on by Bunge, and Bayles’ transactions formed a substantial part of Bunge’s business that was developed from the area in which Coahoma Grain Elevator operated; and finally (9) although the agreement formally specified a fixed term, the relationship between the parties had no viability apart from grain dealings that were wholly subject to Bunge’s will. These findings make clear that Bunge did not consider Bayles an independent operator who was free to become Bunge’s competitor in buying grain from the farmers in the region, but rather that he was effectually given authority to buy grain from Bunge.</w:t>
      </w:r>
    </w:p>
    <w:p>
      <w:pPr>
        <w:pStyle w:val="CaseFootnoteText"/>
      </w:pPr>
      <w:r>
        <w:rPr>
          <w:iCs/>
          <w:i/>
        </w:rPr>
        <w:t xml:space="preserve">Id.</w:t>
      </w:r>
      <w:r>
        <w:rPr>
          <w:iCs/>
          <w:i/>
        </w:rPr>
        <w:t xml:space="preserve"/>
      </w:r>
      <w:r>
        <w:t xml:space="preserve">at 61</w:t>
      </w:r>
      <w:r>
        <w:t xml:space="preserve">.</w:t>
      </w:r>
    </w:p>
  </w:footnote>
  <w:footnote w:id="184">
    <w:p>
      <w:pPr>
        <w:pStyle w:val="CaseFootnoteText"/>
      </w:pPr>
      <w:r>
        <w:rPr>
          <w:rStyle w:val="FootnoteReference"/>
        </w:rPr>
        <w:t xml:space="preserve">8  </w:t>
      </w:r>
      <w:r>
        <w:t xml:space="preserve"/>
      </w:r>
      <w:r>
        <w:t xml:space="preserve"> </w:t>
      </w:r>
      <w:r>
        <w:rPr>
          <w:iCs/>
          <w:i/>
        </w:rPr>
        <w:t xml:space="preserve">Id.</w:t>
      </w:r>
      <w:r>
        <w:t xml:space="preserve"> </w:t>
      </w:r>
      <w:r>
        <w:t xml:space="preserve">at 124-35 (LP Agreement § 14.3(a)).</w:t>
      </w:r>
    </w:p>
  </w:footnote>
  <w:footnote w:id="185">
    <w:p>
      <w:pPr>
        <w:pStyle w:val="CaseFootnoteText"/>
      </w:pPr>
      <w:r>
        <w:rPr>
          <w:rStyle w:val="FootnoteReference"/>
        </w:rPr>
        <w:t xml:space="preserve">8  </w:t>
      </w:r>
      <w:r>
        <w:t xml:space="preserve">The Koch Parties argue that the trial court erred in finding that the Supermajority Vote requirement had not been followed since the directors unanimously voted in favor of the issuances to the Small Holders. Opening Br. at 51. In their Answering Brief, the Minority Members seem to tacitly agree in responding that "the trial court concluded only that a Supermajority Vote was required and, had proper formalities been followed, the '[Minority Members] could have blocked the issuance and forced a negotiation.' " Answering Br. at 36-37 n.10 (quoting</w:t>
      </w:r>
      <w:r>
        <w:t xml:space="preserve"/>
      </w:r>
      <w:r>
        <w:rPr>
          <w:iCs/>
          <w:i/>
        </w:rPr>
        <w:t xml:space="preserve">Chancery Opinion</w:t>
      </w:r>
      <w:r>
        <w:t xml:space="preserve"> </w:t>
      </w:r>
      <w:r>
        <w:t xml:space="preserve">,</w:t>
      </w:r>
      <w:r>
        <w:t xml:space="preserve"> </w:t>
      </w:r>
      <w:r>
        <w:t xml:space="preserve">2018 WL 818760</w:t>
      </w:r>
      <w:r>
        <w:t xml:space="preserve">, at *62 ). Additionally, the Koch Parties claim that the trial court erred in overlooking the fact that Family LLC executed the required joinder in 2011.</w:t>
      </w:r>
      <w:r>
        <w:t xml:space="preserve"> </w:t>
      </w:r>
      <w:r>
        <w:rPr>
          <w:iCs/>
          <w:i/>
        </w:rPr>
        <w:t xml:space="preserve">See</w:t>
      </w:r>
      <w:r>
        <w:t xml:space="preserve"> </w:t>
      </w:r>
      <w:r>
        <w:t xml:space="preserve">Reply Br. at 23 n.61; App. to Opening Br. at A1911. Even if the trial court erred in that regard, it does not alter our decision.</w:t>
      </w:r>
    </w:p>
  </w:footnote>
  <w:footnote w:id="186">
    <w:p>
      <w:pPr>
        <w:pStyle w:val="CaseFootnoteText"/>
      </w:pPr>
      <w:r>
        <w:rPr>
          <w:rStyle w:val="FootnoteReference"/>
        </w:rPr>
        <w:t xml:space="preserve">8  </w:t>
      </w:r>
      <w:r>
        <w:t xml:space="preserve"/>
      </w:r>
      <w:r>
        <w:t xml:space="preserve">The majority’s “chilling” argument is particularly inapposite with respect to 2 U. S. C. § 441b’s longstanding restriction on the use of corporate general treasury funds for express advocacy. If there was ever any significant uncertainty about what counts as the functional equivalent of express advocacy, there has been little doubt about what counts as express advocacy since the “magic words” test of</w:t>
      </w:r>
      <w:r>
        <w:t xml:space="preserve"> </w:t>
      </w:r>
      <w:r>
        <w:rPr>
          <w:iCs/>
          <w:i/>
        </w:rPr>
        <w:t xml:space="preserve">Buckley</w:t>
      </w:r>
      <w:r>
        <w:t xml:space="preserve"> </w:t>
      </w:r>
      <w:r>
        <w:t xml:space="preserve">v.</w:t>
      </w:r>
      <w:r>
        <w:t xml:space="preserve"> </w:t>
      </w:r>
      <w:r>
        <w:rPr>
          <w:iCs/>
          <w:i/>
        </w:rPr>
        <w:t xml:space="preserve">Valeo,</w:t>
      </w:r>
      <w:r>
        <w:t xml:space="preserve"> </w:t>
      </w:r>
      <w:r>
        <w:t xml:space="preserve">424 U. S. 1, 44, n. 52 (1976)</w:t>
      </w:r>
      <w:r>
        <w:t xml:space="preserve"> </w:t>
      </w:r>
      <w:r>
        <w:rPr>
          <w:iCs/>
          <w:i/>
        </w:rPr>
        <w:t xml:space="preserve">(per curiam).</w:t>
      </w:r>
      <w:r>
        <w:t xml:space="preserve"> </w:t>
      </w:r>
      <w:r>
        <w:t xml:space="preserve">Yet even though Citizens United’s briefs never once mention §441b’s restriction on express advocacy; even though this restriction does not generate chilling concerns; and even though no one has suggested that</w:t>
      </w:r>
      <w:r>
        <w:t xml:space="preserve"> </w:t>
      </w:r>
      <w:r>
        <w:rPr>
          <w:iCs/>
          <w:i/>
        </w:rPr>
        <w:t xml:space="preserve">Hillary</w:t>
      </w:r>
      <w:r>
        <w:t xml:space="preserve"> </w:t>
      </w:r>
      <w:r>
        <w:t xml:space="preserve">counts as express advocacy; the majority nonetheless reaches out to opine that this statutory provision is “invalid” as well.</w:t>
      </w:r>
      <w:r>
        <w:t xml:space="preserve"> </w:t>
      </w:r>
      <w:r>
        <w:rPr>
          <w:iCs/>
          <w:i/>
        </w:rPr>
        <w:t xml:space="preserve">Ante,</w:t>
      </w:r>
      <w:r>
        <w:t xml:space="preserve"> </w:t>
      </w:r>
      <w:r>
        <w:t xml:space="preserve">at 365.</w:t>
      </w:r>
    </w:p>
  </w:footnote>
  <w:footnote w:id="187">
    <w:p>
      <w:pPr>
        <w:pStyle w:val="CaseFootnoteText"/>
      </w:pPr>
      <w:r>
        <w:rPr>
          <w:rStyle w:val="FootnoteReference"/>
        </w:rPr>
        <w:t xml:space="preserve">8  </w:t>
      </w:r>
      <w:r>
        <w:t xml:space="preserve"/>
      </w:r>
      <w:r>
        <w:t xml:space="preserve">The court concluded its discussion thus:</w:t>
      </w:r>
    </w:p>
    <w:p>
      <w:pPr>
        <w:pStyle w:val="BlockText"/>
      </w:pPr>
      <w:r>
        <w:t xml:space="preserve">“Whether full disclosure has been made is not the crucial inquiry since it is the merger and the undervaluation which constituted the fraud, and not whether or not the majority determines to lay bare their real motives. If there is no valid corporate purpose for the merger, then even the most brazen disclosure of that fact to the minority shareholders in no way mitigates the fraudulent conduct.”</w:t>
      </w:r>
      <w:r>
        <w:t xml:space="preserve"/>
      </w:r>
      <w:r>
        <w:t xml:space="preserve">533 F. 2d, at 1292</w:t>
      </w:r>
      <w:r>
        <w:t xml:space="preserve">.</w:t>
      </w:r>
    </w:p>
  </w:footnote>
  <w:footnote w:id="188">
    <w:p>
      <w:pPr>
        <w:pStyle w:val="CaseFootnoteText"/>
      </w:pPr>
      <w:r>
        <w:rPr>
          <w:rStyle w:val="FootnoteReference"/>
        </w:rPr>
        <w:t xml:space="preserve">8  </w:t>
      </w:r>
      <w:r>
        <w:t xml:space="preserve"/>
      </w:r>
      <w:r>
        <w:t xml:space="preserve">This standard, or a close approximation, has been widely recited in cases involving various sections of the securities laws. See,</w:t>
      </w:r>
      <w:r>
        <w:t xml:space="preserve"> </w:t>
      </w:r>
      <w:r>
        <w:rPr>
          <w:iCs/>
          <w:i/>
        </w:rPr>
        <w:t xml:space="preserve">e. g., Chris-Craft Industries, Inc.</w:t>
      </w:r>
      <w:r>
        <w:t xml:space="preserve"> </w:t>
      </w:r>
      <w:r>
        <w:t xml:space="preserve">v.</w:t>
      </w:r>
      <w:r>
        <w:t xml:space="preserve"> </w:t>
      </w:r>
      <w:r>
        <w:rPr>
          <w:iCs/>
          <w:i/>
        </w:rPr>
        <w:t xml:space="preserve">Piper Aircraft Corp.,</w:t>
      </w:r>
      <w:r>
        <w:t xml:space="preserve"> </w:t>
      </w:r>
      <w:r>
        <w:t xml:space="preserve">480 F. 2d 341</w:t>
      </w:r>
      <w:r>
        <w:t xml:space="preserve">, 363 (CA2 1973) (§ 14(e));</w:t>
      </w:r>
      <w:r>
        <w:t xml:space="preserve"> </w:t>
      </w:r>
      <w:r>
        <w:rPr>
          <w:iCs/>
          <w:i/>
        </w:rPr>
        <w:t xml:space="preserve">John R. Lewis, Inc.</w:t>
      </w:r>
      <w:r>
        <w:t xml:space="preserve"> </w:t>
      </w:r>
      <w:r>
        <w:t xml:space="preserve">v.</w:t>
      </w:r>
      <w:r>
        <w:t xml:space="preserve"> </w:t>
      </w:r>
      <w:r>
        <w:rPr>
          <w:iCs/>
          <w:i/>
        </w:rPr>
        <w:t xml:space="preserve">Newman,</w:t>
      </w:r>
      <w:r>
        <w:t xml:space="preserve"> </w:t>
      </w:r>
      <w:r>
        <w:t xml:space="preserve">446 F. 2d 800</w:t>
      </w:r>
      <w:r>
        <w:t xml:space="preserve">, 804 (CA5 1971) (§ 10(b));</w:t>
      </w:r>
      <w:r>
        <w:t xml:space="preserve"> </w:t>
      </w:r>
      <w:r>
        <w:rPr>
          <w:iCs/>
          <w:i/>
        </w:rPr>
        <w:t xml:space="preserve">Gilbert</w:t>
      </w:r>
      <w:r>
        <w:t xml:space="preserve"> </w:t>
      </w:r>
      <w:r>
        <w:t xml:space="preserve">v.</w:t>
      </w:r>
      <w:r>
        <w:t xml:space="preserve"> </w:t>
      </w:r>
      <w:r>
        <w:rPr>
          <w:iCs/>
          <w:i/>
        </w:rPr>
        <w:t xml:space="preserve">Nixon,</w:t>
      </w:r>
      <w:r>
        <w:t xml:space="preserve"> </w:t>
      </w:r>
      <w:r>
        <w:t xml:space="preserve">429 F. 2d 348</w:t>
      </w:r>
      <w:r>
        <w:t xml:space="preserve">, 355-356 (CA10 1970) (§ 10 (b) of the Securities Exchange Act and § 12 (2) of the Securities Act of 1933,</w:t>
      </w:r>
      <w:r>
        <w:t xml:space="preserve"> </w:t>
      </w:r>
      <w:r>
        <w:t xml:space="preserve">15 U. S. C. §</w:t>
      </w:r>
      <w:r>
        <w:t xml:space="preserve"> </w:t>
      </w:r>
      <w:r>
        <w:rPr>
          <w:iCs/>
          <w:i/>
        </w:rPr>
        <w:t xml:space="preserve">781</w:t>
      </w:r>
      <w:r>
        <w:rPr>
          <w:iCs/>
          <w:i/>
        </w:rPr>
        <w:t xml:space="preserve">); Rogen</w:t>
      </w:r>
      <w:r>
        <w:t xml:space="preserve"> </w:t>
      </w:r>
      <w:r>
        <w:t xml:space="preserve">v.</w:t>
      </w:r>
      <w:r>
        <w:t xml:space="preserve"> </w:t>
      </w:r>
      <w:r>
        <w:rPr>
          <w:iCs/>
          <w:i/>
        </w:rPr>
        <w:t xml:space="preserve">Ilikon Corp.,</w:t>
      </w:r>
      <w:r>
        <w:t xml:space="preserve"> </w:t>
      </w:r>
      <w:r>
        <w:t xml:space="preserve">361 F. 2d 260</w:t>
      </w:r>
      <w:r>
        <w:t xml:space="preserve">, 266 (CA1 1966) (§10 (b));</w:t>
      </w:r>
      <w:r>
        <w:t xml:space="preserve"> </w:t>
      </w:r>
      <w:r>
        <w:rPr>
          <w:iCs/>
          <w:i/>
        </w:rPr>
        <w:t xml:space="preserve">SEC</w:t>
      </w:r>
      <w:r>
        <w:t xml:space="preserve"> </w:t>
      </w:r>
      <w:r>
        <w:t xml:space="preserve">v.</w:t>
      </w:r>
      <w:r>
        <w:t xml:space="preserve"> </w:t>
      </w:r>
      <w:r>
        <w:rPr>
          <w:iCs/>
          <w:i/>
        </w:rPr>
        <w:t xml:space="preserve">Texas Gulf Sulphur Co.,</w:t>
      </w:r>
      <w:r>
        <w:t xml:space="preserve"> </w:t>
      </w:r>
      <w:r>
        <w:t xml:space="preserve">401 F. 2d 833</w:t>
      </w:r>
      <w:r>
        <w:t xml:space="preserve">, 849 (CA2 1968), cert. denied</w:t>
      </w:r>
      <w:r>
        <w:t xml:space="preserve"> </w:t>
      </w:r>
      <w:r>
        <w:rPr>
          <w:iCs/>
          <w:i/>
        </w:rPr>
        <w:t xml:space="preserve">sub nom. Coates</w:t>
      </w:r>
      <w:r>
        <w:t xml:space="preserve"> </w:t>
      </w:r>
      <w:r>
        <w:t xml:space="preserve">v.</w:t>
      </w:r>
      <w:r>
        <w:t xml:space="preserve"> </w:t>
      </w:r>
      <w:r>
        <w:rPr>
          <w:iCs/>
          <w:i/>
        </w:rPr>
        <w:t xml:space="preserve">SEC,</w:t>
      </w:r>
      <w:r>
        <w:t xml:space="preserve"> </w:t>
      </w:r>
      <w:r>
        <w:t xml:space="preserve">394 U. S. 976</w:t>
      </w:r>
      <w:r>
        <w:t xml:space="preserve"> </w:t>
      </w:r>
      <w:r>
        <w:t xml:space="preserve">(1969) (§ 10(b));</w:t>
      </w:r>
      <w:r>
        <w:t xml:space="preserve"> </w:t>
      </w:r>
      <w:r>
        <w:rPr>
          <w:iCs/>
          <w:i/>
        </w:rPr>
        <w:t xml:space="preserve">List</w:t>
      </w:r>
      <w:r>
        <w:t xml:space="preserve"> </w:t>
      </w:r>
      <w:r>
        <w:t xml:space="preserve">v.</w:t>
      </w:r>
      <w:r>
        <w:t xml:space="preserve"> </w:t>
      </w:r>
      <w:r>
        <w:rPr>
          <w:iCs/>
          <w:i/>
        </w:rPr>
        <w:t xml:space="preserve">Fashion Park, Inc.,</w:t>
      </w:r>
      <w:r>
        <w:t xml:space="preserve"> </w:t>
      </w:r>
      <w:r>
        <w:t xml:space="preserve">340 F. 2d 457</w:t>
      </w:r>
      <w:r>
        <w:t xml:space="preserve">, 462 (CA2), cert. denied</w:t>
      </w:r>
      <w:r>
        <w:t xml:space="preserve"> </w:t>
      </w:r>
      <w:r>
        <w:rPr>
          <w:iCs/>
          <w:i/>
        </w:rPr>
        <w:t xml:space="preserve">sub nom. List</w:t>
      </w:r>
      <w:r>
        <w:t xml:space="preserve"> </w:t>
      </w:r>
      <w:r>
        <w:t xml:space="preserve">v.</w:t>
      </w:r>
      <w:r>
        <w:t xml:space="preserve"> </w:t>
      </w:r>
      <w:r>
        <w:rPr>
          <w:iCs/>
          <w:i/>
        </w:rPr>
        <w:t xml:space="preserve">Lerner,</w:t>
      </w:r>
      <w:r>
        <w:t xml:space="preserve"> </w:t>
      </w:r>
      <w:r>
        <w:t xml:space="preserve">382 U. S. 811</w:t>
      </w:r>
      <w:r>
        <w:t xml:space="preserve"> </w:t>
      </w:r>
      <w:r>
        <w:t xml:space="preserve">(1965) (§ 10 (b));</w:t>
      </w:r>
      <w:r>
        <w:t xml:space="preserve"> </w:t>
      </w:r>
      <w:r>
        <w:rPr>
          <w:iCs/>
          <w:i/>
        </w:rPr>
        <w:t xml:space="preserve">Kohler</w:t>
      </w:r>
      <w:r>
        <w:t xml:space="preserve"> </w:t>
      </w:r>
      <w:r>
        <w:t xml:space="preserve">v.</w:t>
      </w:r>
      <w:r>
        <w:t xml:space="preserve"> </w:t>
      </w:r>
      <w:r>
        <w:rPr>
          <w:iCs/>
          <w:i/>
        </w:rPr>
        <w:t xml:space="preserve">Kohler Co.,</w:t>
      </w:r>
      <w:r>
        <w:t xml:space="preserve"> </w:t>
      </w:r>
      <w:r>
        <w:t xml:space="preserve">319 F. 2d 634</w:t>
      </w:r>
      <w:r>
        <w:t xml:space="preserve">, 642 (CA7 1963) (§ 10 (b)). But see</w:t>
      </w:r>
      <w:r>
        <w:t xml:space="preserve"> </w:t>
      </w:r>
      <w:r>
        <w:rPr>
          <w:iCs/>
          <w:i/>
        </w:rPr>
        <w:t xml:space="preserve">Sonesta Int’l Hotels Corp.</w:t>
      </w:r>
      <w:r>
        <w:t xml:space="preserve"> </w:t>
      </w:r>
      <w:r>
        <w:t xml:space="preserve">v.</w:t>
      </w:r>
      <w:r>
        <w:t xml:space="preserve"> </w:t>
      </w:r>
      <w:r>
        <w:rPr>
          <w:iCs/>
          <w:i/>
        </w:rPr>
        <w:t xml:space="preserve">Wellington Associates,</w:t>
      </w:r>
      <w:r>
        <w:t xml:space="preserve"> </w:t>
      </w:r>
      <w:r>
        <w:t xml:space="preserve">483 F. 2d 247</w:t>
      </w:r>
      <w:r>
        <w:t xml:space="preserve">, 251 (CA2 1973). In several of these cases, the courts have also defined materiality to encompass those facts “which in reasonable and objective contemplation might affect the value” of the securities involved.</w:t>
      </w:r>
      <w:r>
        <w:t xml:space="preserve"> </w:t>
      </w:r>
      <w:r>
        <w:rPr>
          <w:iCs/>
          <w:i/>
        </w:rPr>
        <w:t xml:space="preserve">Rogen</w:t>
      </w:r>
      <w:r>
        <w:t xml:space="preserve"> </w:t>
      </w:r>
      <w:r>
        <w:t xml:space="preserve">v.</w:t>
      </w:r>
      <w:r>
        <w:t xml:space="preserve"> </w:t>
      </w:r>
      <w:r>
        <w:rPr>
          <w:iCs/>
          <w:i/>
        </w:rPr>
        <w:t xml:space="preserve">Ilikon,</w:t>
      </w:r>
      <w:r>
        <w:rPr>
          <w:iCs/>
          <w:i/>
        </w:rPr>
        <w:t xml:space="preserve"> </w:t>
      </w:r>
      <w:r>
        <w:rPr>
          <w:iCs/>
          <w:i/>
        </w:rPr>
        <w:t xml:space="preserve">supra;</w:t>
      </w:r>
      <w:r>
        <w:rPr>
          <w:iCs/>
          <w:i/>
        </w:rPr>
        <w:t xml:space="preserve"> </w:t>
      </w:r>
      <w:r>
        <w:rPr>
          <w:iCs/>
          <w:i/>
        </w:rPr>
        <w:t xml:space="preserve">SEC</w:t>
      </w:r>
      <w:r>
        <w:t xml:space="preserve"> </w:t>
      </w:r>
      <w:r>
        <w:t xml:space="preserve">v.</w:t>
      </w:r>
      <w:r>
        <w:t xml:space="preserve"> </w:t>
      </w:r>
      <w:r>
        <w:rPr>
          <w:iCs/>
          <w:i/>
        </w:rPr>
        <w:t xml:space="preserve">Texas Gulf Sulphur,</w:t>
      </w:r>
      <w:r>
        <w:rPr>
          <w:iCs/>
          <w:i/>
        </w:rPr>
        <w:t xml:space="preserve"> </w:t>
      </w:r>
      <w:r>
        <w:rPr>
          <w:iCs/>
          <w:i/>
        </w:rPr>
        <w:t xml:space="preserve">supra;</w:t>
      </w:r>
      <w:r>
        <w:rPr>
          <w:iCs/>
          <w:i/>
        </w:rPr>
        <w:t xml:space="preserve"> </w:t>
      </w:r>
      <w:r>
        <w:rPr>
          <w:iCs/>
          <w:i/>
        </w:rPr>
        <w:t xml:space="preserve">List</w:t>
      </w:r>
      <w:r>
        <w:t xml:space="preserve"> </w:t>
      </w:r>
      <w:r>
        <w:t xml:space="preserve">v.</w:t>
      </w:r>
      <w:r>
        <w:t xml:space="preserve"> </w:t>
      </w:r>
      <w:r>
        <w:rPr>
          <w:iCs/>
          <w:i/>
        </w:rPr>
        <w:t xml:space="preserve">Fashion Park, Inc., supra; Kohler</w:t>
      </w:r>
      <w:r>
        <w:t xml:space="preserve"> </w:t>
      </w:r>
      <w:r>
        <w:t xml:space="preserve">v.</w:t>
      </w:r>
      <w:r>
        <w:t xml:space="preserve"> </w:t>
      </w:r>
      <w:r>
        <w:rPr>
          <w:iCs/>
          <w:i/>
        </w:rPr>
        <w:t xml:space="preserve">Kohler Co., supra.</w:t>
      </w:r>
      <w:r>
        <w:t xml:space="preserve"> </w:t>
      </w:r>
      <w:r>
        <w:t xml:space="preserve">The standard adopted by the Court of Appeals in this case has been applied in</w:t>
      </w:r>
      <w:r>
        <w:t xml:space="preserve"> </w:t>
      </w:r>
      <w:r>
        <w:rPr>
          <w:iCs/>
          <w:i/>
        </w:rPr>
        <w:t xml:space="preserve">Kohn</w:t>
      </w:r>
      <w:r>
        <w:t xml:space="preserve"> </w:t>
      </w:r>
      <w:r>
        <w:t xml:space="preserve">v.</w:t>
      </w:r>
      <w:r>
        <w:t xml:space="preserve"> </w:t>
      </w:r>
      <w:r>
        <w:rPr>
          <w:iCs/>
          <w:i/>
        </w:rPr>
        <w:t xml:space="preserve">American Metal Climax, Inc.,</w:t>
      </w:r>
      <w:r>
        <w:t xml:space="preserve"> </w:t>
      </w:r>
      <w:r>
        <w:t xml:space="preserve">458 F. 2d 255</w:t>
      </w:r>
      <w:r>
        <w:t xml:space="preserve">, 269 (CA3 1972) (§ 10 (b)), and</w:t>
      </w:r>
      <w:r>
        <w:t xml:space="preserve"> </w:t>
      </w:r>
      <w:r>
        <w:rPr>
          <w:iCs/>
          <w:i/>
        </w:rPr>
        <w:t xml:space="preserve">Ronson Corp.</w:t>
      </w:r>
      <w:r>
        <w:t xml:space="preserve"> </w:t>
      </w:r>
      <w:r>
        <w:t xml:space="preserve">v.</w:t>
      </w:r>
      <w:r>
        <w:t xml:space="preserve"> </w:t>
      </w:r>
      <w:r>
        <w:rPr>
          <w:iCs/>
          <w:i/>
        </w:rPr>
        <w:t xml:space="preserve">Liquifin Aktiengesellschaft,</w:t>
      </w:r>
      <w:r>
        <w:t xml:space="preserve"> </w:t>
      </w:r>
      <w:r>
        <w:t xml:space="preserve">483 F. 2d 846</w:t>
      </w:r>
      <w:r>
        <w:t xml:space="preserve">, 851 (CA3 1973) (§ 14 (e)).</w:t>
      </w:r>
    </w:p>
  </w:footnote>
  <w:footnote w:id="189">
    <w:p>
      <w:pPr>
        <w:pStyle w:val="CaseFootnoteText"/>
      </w:pPr>
      <w:r>
        <w:rPr>
          <w:rStyle w:val="FootnoteReference"/>
        </w:rPr>
        <w:t xml:space="preserve">8  </w:t>
      </w:r>
      <w:r>
        <w:t xml:space="preserve"/>
      </w:r>
      <w:r>
        <w:t xml:space="preserve">Mr. Justice Blackmun, dissenting,</w:t>
      </w:r>
      <w:r>
        <w:t xml:space="preserve"> </w:t>
      </w:r>
      <w:r>
        <w:rPr>
          <w:iCs/>
          <w:i/>
        </w:rPr>
        <w:t xml:space="preserve">post,</w:t>
      </w:r>
      <w:r>
        <w:t xml:space="preserve"> </w:t>
      </w:r>
      <w:r>
        <w:t xml:space="preserve">at 762, finds the</w:t>
      </w:r>
      <w:r>
        <w:t xml:space="preserve"> </w:t>
      </w:r>
      <w:r>
        <w:rPr>
          <w:iCs/>
          <w:i/>
        </w:rPr>
        <w:t xml:space="preserve">Bimbaum</w:t>
      </w:r>
      <w:r>
        <w:t xml:space="preserve"> </w:t>
      </w:r>
      <w:r>
        <w:t xml:space="preserve">rule incompatible with the purpose and history of § 10 (b) and Rule 10b-5. But it is worthy of more than passing note that the history of Rule 10b-5 itself, recounted at some length in the dissent,</w:t>
      </w:r>
      <w:r>
        <w:t xml:space="preserve"> </w:t>
      </w:r>
      <w:r>
        <w:rPr>
          <w:iCs/>
          <w:i/>
        </w:rPr>
        <w:t xml:space="preserve">post,</w:t>
      </w:r>
      <w:r>
        <w:t xml:space="preserve"> </w:t>
      </w:r>
      <w:r>
        <w:t xml:space="preserve">at 766-767, strongly supports the purchaser-seller limitation. As the dissent notes, Rule 10b-5 was adopted in order to close “a loophole in the protections against fraud ... by prohibiting individuals or companies from buying securities if they engage in fraud in their purchase.” See SEC Release No. 3230 (May 21, 1942); remarks of Milton Freeman, Conference on Codification of the Federal Securities Laws, 22 Bus. Law. 793, 922 (1967). The modest aims and origins of the Rule as recounted by the dissent stand in stark contrast with its far-ranging conclusion that a Temedy exists under Rule 10b-5 whenever there is “a logical nexus between the alleged fraud and the sále or purchase of a security.”</w:t>
      </w:r>
      <w:r>
        <w:t xml:space="preserve"> </w:t>
      </w:r>
      <w:r>
        <w:rPr>
          <w:iCs/>
          <w:i/>
        </w:rPr>
        <w:t xml:space="preserve">Post,</w:t>
      </w:r>
      <w:r>
        <w:t xml:space="preserve"> </w:t>
      </w:r>
      <w:r>
        <w:t xml:space="preserve">at 770 On these facts, as we have indicated,</w:t>
      </w:r>
      <w:r>
        <w:t xml:space="preserve"> </w:t>
      </w:r>
      <w:r>
        <w:rPr>
          <w:iCs/>
          <w:i/>
        </w:rPr>
        <w:t xml:space="preserve">infra,</w:t>
      </w:r>
      <w:r>
        <w:t xml:space="preserve"> </w:t>
      </w:r>
      <w:r>
        <w:t xml:space="preserve">at 752-754, extension of a Rule 10b-5 cause of action, far from closing an unforeseen loophole, would extend a private right of action for misrepresentations in a 1933 Act prospectus to those whom Congress excluded from the express civil remedies provided in the 1933 Act to cover such a violation.</w:t>
      </w:r>
    </w:p>
  </w:footnote>
  <w:footnote w:id="190">
    <w:p>
      <w:pPr>
        <w:pStyle w:val="CaseFootnoteText"/>
      </w:pPr>
      <w:r>
        <w:rPr>
          <w:rStyle w:val="FootnoteReference"/>
        </w:rPr>
        <w:t xml:space="preserve">8  </w:t>
      </w:r>
      <w:r>
        <w:t xml:space="preserve"/>
      </w:r>
      <w:r>
        <w:rPr>
          <w:iCs/>
          <w:i/>
        </w:rPr>
        <w:t xml:space="preserve">.</w:t>
      </w:r>
      <w:r>
        <w:t xml:space="preserve"> </w:t>
      </w:r>
      <w:r>
        <w:t xml:space="preserve">See Taylor v. Standard Gas &amp; Electric Co.,</w:t>
      </w:r>
      <w:r>
        <w:t xml:space="preserve"> </w:t>
      </w:r>
      <w:r>
        <w:t xml:space="preserve">306 U.S. 307</w:t>
      </w:r>
      <w:r>
        <w:t xml:space="preserve">, 310,</w:t>
      </w:r>
      <w:r>
        <w:t xml:space="preserve"> </w:t>
      </w:r>
      <w:r>
        <w:t xml:space="preserve">59 S.Ct. 543</w:t>
      </w:r>
      <w:r>
        <w:t xml:space="preserve">, 545,</w:t>
      </w:r>
      <w:r>
        <w:t xml:space="preserve"> </w:t>
      </w:r>
      <w:r>
        <w:t xml:space="preserve">83 L.Ed. 669</w:t>
      </w:r>
      <w:r>
        <w:t xml:space="preserve">.</w:t>
      </w:r>
    </w:p>
  </w:footnote>
  <w:footnote w:id="191">
    <w:p>
      <w:pPr>
        <w:pStyle w:val="CaseFootnoteText"/>
      </w:pPr>
      <w:r>
        <w:rPr>
          <w:rStyle w:val="FootnoteReference"/>
        </w:rPr>
        <w:t xml:space="preserve">8  </w:t>
      </w:r>
      <w:r>
        <w:t xml:space="preserve"/>
      </w:r>
      <w:r>
        <w:t xml:space="preserve"> </w:t>
      </w:r>
      <w:r>
        <w:rPr>
          <w:iCs/>
          <w:i/>
        </w:rPr>
        <w:t xml:space="preserve">See</w:t>
      </w:r>
      <w:r>
        <w:t xml:space="preserve"> </w:t>
      </w:r>
      <w:r>
        <w:t xml:space="preserve">SEC v.</w:t>
      </w:r>
      <w:r>
        <w:t xml:space="preserve"> </w:t>
      </w:r>
      <w:r>
        <w:rPr>
          <w:iCs/>
          <w:i/>
        </w:rPr>
        <w:t xml:space="preserve">Aaron,</w:t>
      </w:r>
      <w:r>
        <w:t xml:space="preserve"> </w:t>
      </w:r>
      <w:r>
        <w:t xml:space="preserve">605 F.2d 612</w:t>
      </w:r>
      <w:r>
        <w:t xml:space="preserve"> </w:t>
      </w:r>
      <w:r>
        <w:t xml:space="preserve">[Current] CCH Fed.Sec.L.Rep. ¶196,800 (2d Cir. 1979).</w:t>
      </w:r>
    </w:p>
  </w:footnote>
  <w:footnote w:id="192">
    <w:p>
      <w:pPr>
        <w:pStyle w:val="CaseFootnoteText"/>
      </w:pPr>
      <w:r>
        <w:rPr>
          <w:rStyle w:val="FootnoteReference"/>
        </w:rPr>
        <w:t xml:space="preserve">8  </w:t>
      </w:r>
      <w:r>
        <w:t xml:space="preserve">WorldCom, through William Grothe, Vice President of Corporate Development, signed a non-disclosure confidentiality agreement and obtained confidential business information packages from Bear Stearns on both Interme-dia and Digex, including financial projections for both companies. Digex was required to provide this confidential information at the request of Intermedia.</w:t>
      </w:r>
    </w:p>
  </w:footnote>
  <w:footnote w:id="193">
    <w:p>
      <w:pPr>
        <w:pStyle w:val="CaseFootnoteText"/>
      </w:pPr>
      <w:r>
        <w:rPr>
          <w:rStyle w:val="FootnoteReference"/>
        </w:rPr>
        <w:t xml:space="preserve">8  </w:t>
      </w:r>
      <w:r>
        <w:t xml:space="preserve">Our corporate decisions tend to use the terms “bad faith” and "failure to act in good faith” interchangeably, although in a different context we noted that, “[t]he two concepls-bad faith and conduct not in good faith are not necessarily identical.” 25</w:t>
      </w:r>
      <w:r>
        <w:t xml:space="preserve"> </w:t>
      </w:r>
      <w:r>
        <w:rPr>
          <w:iCs/>
          <w:i/>
        </w:rPr>
        <w:t xml:space="preserve">Massachusetts Avenue Property LLC v. Liberty Property Limited Partnership,</w:t>
      </w:r>
      <w:r>
        <w:t xml:space="preserve"> </w:t>
      </w:r>
      <w:r>
        <w:t xml:space="preserve">Del.Supr., No. 188, 2008, Order at p. 5, (November 25, 2008). For purposes of this appeal, we draw no distinction between the terms.</w:t>
      </w:r>
    </w:p>
  </w:footnote>
  <w:footnote w:id="194">
    <w:p>
      <w:pPr>
        <w:pStyle w:val="CaseFootnoteText"/>
      </w:pPr>
      <w:r>
        <w:rPr>
          <w:rStyle w:val="FootnoteReference"/>
        </w:rPr>
        <w:t xml:space="preserve">8  </w:t>
      </w:r>
      <w:r>
        <w:t xml:space="preserve"/>
      </w:r>
      <w:r>
        <w:rPr>
          <w:iCs/>
          <w:i/>
        </w:rPr>
        <w:t xml:space="preserve">.QVC,</w:t>
      </w:r>
      <w:r>
        <w:t xml:space="preserve"> </w:t>
      </w:r>
      <w:r>
        <w:t xml:space="preserve">637 A.2d at 39</w:t>
      </w:r>
      <w:r>
        <w:t xml:space="preserve">.</w:t>
      </w:r>
    </w:p>
  </w:footnote>
  <w:footnote w:id="195">
    <w:p>
      <w:pPr>
        <w:pStyle w:val="CaseFootnoteText"/>
      </w:pPr>
      <w:r>
        <w:rPr>
          <w:rStyle w:val="FootnoteReference"/>
        </w:rPr>
        <w:t xml:space="preserve">8  </w:t>
      </w:r>
      <w:r>
        <w:t xml:space="preserve"/>
      </w:r>
      <w:r>
        <w:t xml:space="preserve"> </w:t>
      </w:r>
      <w:r>
        <w:rPr>
          <w:iCs/>
          <w:i/>
        </w:rPr>
        <w:t xml:space="preserve">See</w:t>
      </w:r>
      <w:r>
        <w:t xml:space="preserve"> </w:t>
      </w:r>
      <w:r>
        <w:t xml:space="preserve">Gilson &amp; Kraakman,</w:t>
      </w:r>
      <w:r>
        <w:t xml:space="preserve"> </w:t>
      </w:r>
      <w:r>
        <w:rPr>
          <w:iCs/>
          <w:i/>
        </w:rPr>
        <w:t xml:space="preserve">Delaware’s Intermediate Standard for Defensive Tactics: Is There Substance To The Proportionality Review?,</w:t>
      </w:r>
      <w:r>
        <w:t xml:space="preserve"> </w:t>
      </w:r>
      <w:r>
        <w:t xml:space="preserve">John M. Olin Program in Law &amp; Economics, Stanford Law School (Working Paper No. 45, August, 1988); 44 Bus.Law. (forthcoming February, 1989). Professors Gilson and Kraakman offer a helpful structure for reviewing problems of this type and conclude with a perceptive observation concerning the beneficial impact upon corporate culture that the</w:t>
      </w:r>
      <w:r>
        <w:t xml:space="preserve"> </w:t>
      </w:r>
      <w:r>
        <w:rPr>
          <w:iCs/>
          <w:i/>
        </w:rPr>
        <w:t xml:space="preserve">Unocal</w:t>
      </w:r>
      <w:r>
        <w:t xml:space="preserve"> </w:t>
      </w:r>
      <w:r>
        <w:t xml:space="preserve">test might come to have.</w:t>
      </w:r>
    </w:p>
  </w:footnote>
  <w:footnote w:id="196">
    <w:p>
      <w:pPr>
        <w:pStyle w:val="CaseFootnoteText"/>
      </w:pPr>
      <w:r>
        <w:rPr>
          <w:rStyle w:val="FootnoteReference"/>
        </w:rPr>
        <w:t xml:space="preserve">8  </w:t>
      </w:r>
      <w:r>
        <w:t xml:space="preserve"/>
      </w:r>
      <w:r>
        <w:t xml:space="preserve"> </w:t>
      </w:r>
      <w:r>
        <w:rPr>
          <w:iCs/>
          <w:i/>
        </w:rPr>
        <w:t xml:space="preserve">See</w:t>
      </w:r>
      <w:r>
        <w:rPr>
          <w:iCs/>
          <w:i/>
        </w:rPr>
        <w:t xml:space="preserve"> </w:t>
      </w:r>
      <w:r>
        <w:rPr>
          <w:iCs/>
          <w:i/>
        </w:rPr>
        <w:t xml:space="preserve">id.</w:t>
      </w:r>
      <w:r>
        <w:rPr>
          <w:iCs/>
          <w:i/>
        </w:rPr>
        <w:t xml:space="preserve"> </w:t>
      </w:r>
      <w:r>
        <w:t xml:space="preserve">at 927</w:t>
      </w:r>
      <w:r>
        <w:t xml:space="preserve">.</w:t>
      </w:r>
    </w:p>
  </w:footnote>
  <w:footnote w:id="197">
    <w:p>
      <w:pPr>
        <w:pStyle w:val="CaseFootnoteText"/>
      </w:pPr>
      <w:r>
        <w:rPr>
          <w:rStyle w:val="FootnoteReference"/>
        </w:rPr>
        <w:t xml:space="preserve">8  </w:t>
      </w:r>
      <w:r>
        <w:t xml:space="preserve">During a hearing on plaintiff’s motion for preliminary injunction, defendants admitted that they had not and could not determine with precision the magnitude of negative value attributable to Bancorp’s non-FAC assets.</w:t>
      </w:r>
    </w:p>
  </w:footnote>
  <w:footnote w:id="198">
    <w:p>
      <w:pPr>
        <w:pStyle w:val="CaseFootnoteText"/>
      </w:pPr>
      <w:r>
        <w:rPr>
          <w:rStyle w:val="FootnoteReference"/>
        </w:rPr>
        <w:t xml:space="preserve">8  </w:t>
      </w:r>
      <w:r>
        <w:t xml:space="preserve"/>
      </w:r>
      <w:r>
        <w:t xml:space="preserve"> </w:t>
      </w:r>
      <w:r>
        <w:rPr>
          <w:iCs/>
          <w:i/>
        </w:rPr>
        <w:t xml:space="preserve">Fayetteville Investors v. Commercial Builders, Inc.,</w:t>
      </w:r>
      <w:r>
        <w:t xml:space="preserve"> </w:t>
      </w:r>
      <w:r>
        <w:t xml:space="preserve">4th Cir.,</w:t>
      </w:r>
      <w:r>
        <w:t xml:space="preserve"> </w:t>
      </w:r>
      <w:r>
        <w:t xml:space="preserve">936 F.2d 1462</w:t>
      </w:r>
      <w:r>
        <w:t xml:space="preserve"> </w:t>
      </w:r>
      <w:r>
        <w:t xml:space="preserve">(1991) (contract and performance bond);</w:t>
      </w:r>
      <w:r>
        <w:t xml:space="preserve"> </w:t>
      </w:r>
      <w:r>
        <w:rPr>
          <w:iCs/>
          <w:i/>
        </w:rPr>
        <w:t xml:space="preserve">Quiller v. Barclays Am. Credit, Inc.,</w:t>
      </w:r>
      <w:r>
        <w:t xml:space="preserve"> </w:t>
      </w:r>
      <w:r>
        <w:t xml:space="preserve">11th Cir.,</w:t>
      </w:r>
      <w:r>
        <w:t xml:space="preserve"> </w:t>
      </w:r>
      <w:r>
        <w:t xml:space="preserve">727 F.2d 1067</w:t>
      </w:r>
      <w:r>
        <w:t xml:space="preserve"> </w:t>
      </w:r>
      <w:r>
        <w:t xml:space="preserve">(1984) (loan agreement);</w:t>
      </w:r>
      <w:r>
        <w:t xml:space="preserve"> </w:t>
      </w:r>
      <w:r>
        <w:rPr>
          <w:iCs/>
          <w:i/>
        </w:rPr>
        <w:t xml:space="preserve">Venture Assocs. Corp. v. Zenith Data Sys. Corp.,</w:t>
      </w:r>
      <w:r>
        <w:t xml:space="preserve"> </w:t>
      </w:r>
      <w:r>
        <w:t xml:space="preserve">7th Cir.,</w:t>
      </w:r>
      <w:r>
        <w:t xml:space="preserve"> </w:t>
      </w:r>
      <w:r>
        <w:t xml:space="preserve">987 F.2d 429</w:t>
      </w:r>
      <w:r>
        <w:t xml:space="preserve"> </w:t>
      </w:r>
      <w:r>
        <w:t xml:space="preserve">(1993) (letter of intent).</w:t>
      </w:r>
    </w:p>
  </w:footnote>
  <w:footnote w:id="199">
    <w:p>
      <w:pPr>
        <w:pStyle w:val="CaseFootnoteText"/>
      </w:pPr>
      <w:r>
        <w:rPr>
          <w:rStyle w:val="FootnoteReference"/>
        </w:rPr>
        <w:t xml:space="preserve">8  </w:t>
      </w:r>
      <w:r>
        <w:t xml:space="preserve">John W. Kluge was the President and Chairman of the Board of Metromedia Corporation, a major independent broadcasting and outdoor advertising company. He had been a director of Occidental for six years.</w:t>
      </w:r>
    </w:p>
  </w:footnote>
  <w:footnote w:id="200">
    <w:p>
      <w:pPr>
        <w:pStyle w:val="CaseFootnoteText"/>
      </w:pPr>
      <w:r>
        <w:rPr>
          <w:rStyle w:val="FootnoteReference"/>
        </w:rPr>
        <w:t xml:space="preserve">8  </w:t>
      </w:r>
      <w:r>
        <w:t xml:space="preserve"/>
      </w:r>
      <w:r>
        <w:rPr>
          <w:iCs/>
          <w:i/>
        </w:rPr>
        <w:t xml:space="preserve">.See</w:t>
      </w:r>
      <w:r>
        <w:t xml:space="preserve"> </w:t>
      </w:r>
      <w:r>
        <w:t xml:space="preserve">JX-125 (Mining Mexico Form 20-F (July 14, 2004)) at 9 ("Our results were adversely affected in 2001 and 2002 by decreases in copper prices ... [U]nder pressure due to low metals prices and the resulting drop in liquidity, we restructured our debt in 2003 because of our failure to make scheduled payments and our noncompliance with certain financial covenants contained in our credit agreements.”);</w:t>
      </w:r>
      <w:r>
        <w:t xml:space="preserve"> </w:t>
      </w:r>
      <w:r>
        <w:rPr>
          <w:iCs/>
          <w:i/>
        </w:rPr>
        <w:t xml:space="preserve">id.</w:t>
      </w:r>
      <w:r>
        <w:t xml:space="preserve"> </w:t>
      </w:r>
      <w:r>
        <w:t xml:space="preserve">at 19 (stating that in the "several year period prior to 2004,” Minera’s "competitive and financial position had been negatively influenced” by low metal prices and that Minera had "changed its business plan, including the cessation of all but critically necessary capital expenditures ... and took several steps to downsize its operations in order to preserve cash resources," but noting that the copper market had improved, which allowed Minera to "increase [its] levels of capital expenditures to levels consistent with [its] anticipated increased earnings growth.”);</w:t>
      </w:r>
      <w:r>
        <w:t xml:space="preserve"> </w:t>
      </w:r>
      <w:r>
        <w:rPr>
          <w:iCs/>
          <w:i/>
        </w:rPr>
        <w:t xml:space="preserve">see also</w:t>
      </w:r>
      <w:r>
        <w:t xml:space="preserve"> </w:t>
      </w:r>
      <w:r>
        <w:t xml:space="preserve">Tr. at' 98 (Palomino) ("Minera [ ] had been in pretty difficult financial conditions until 2002 or beginning of 2003.”).</w:t>
      </w:r>
    </w:p>
  </w:footnote>
  <w:footnote w:id="201">
    <w:p>
      <w:pPr>
        <w:pStyle w:val="CaseFootnoteText"/>
      </w:pPr>
      <w:r>
        <w:rPr>
          <w:rStyle w:val="FootnoteReference"/>
        </w:rPr>
        <w:t xml:space="preserve">8  </w:t>
      </w:r>
      <w:r>
        <w:t xml:space="preserve">Careful readers will note that in describing this test, I have departed from the language of</w:t>
      </w:r>
      <w:r>
        <w:t xml:space="preserve"> </w:t>
      </w:r>
      <w:r>
        <w:rPr>
          <w:iCs/>
          <w:i/>
        </w:rPr>
        <w:t xml:space="preserve">Cox Communications</w:t>
      </w:r>
      <w:r>
        <w:t xml:space="preserve"> </w:t>
      </w:r>
      <w:r>
        <w:t xml:space="preserve">in one respect. That decision stated initially that entire fairness would apply "if a special committee recommended that the minority not tender.”</w:t>
      </w:r>
      <w:r>
        <w:t xml:space="preserve"> </w:t>
      </w:r>
      <w:r>
        <w:t xml:space="preserve">879 A.2d at 607</w:t>
      </w:r>
      <w:r>
        <w:t xml:space="preserve">. This language suggests that entire fairness might not apply as long as the special committee took no position on the tender offer. As this case demonstrates, and in decided contrast to boards responding to third-party tender offers, there are many "edifying examples of subsidiary directors courageously taking no position on the merits of offers by a controlling stockholder.”</w:t>
      </w:r>
      <w:r>
        <w:t xml:space="preserve"> </w:t>
      </w:r>
      <w:r>
        <w:rPr>
          <w:iCs/>
          <w:i/>
        </w:rPr>
        <w:t xml:space="preserve">Pure Resources,</w:t>
      </w:r>
      <w:r>
        <w:t xml:space="preserve"> </w:t>
      </w:r>
      <w:r>
        <w:t xml:space="preserve">808 A.2d at 443</w:t>
      </w:r>
      <w:r>
        <w:t xml:space="preserve">;</w:t>
      </w:r>
      <w:r>
        <w:t xml:space="preserve"> </w:t>
      </w:r>
      <w:r>
        <w:rPr>
          <w:iCs/>
          <w:i/>
        </w:rPr>
        <w:t xml:space="preserve">see abo, e.g., Revlon II,</w:t>
      </w:r>
      <w:r>
        <w:t xml:space="preserve"> </w:t>
      </w:r>
      <w:r>
        <w:t xml:space="preserve">990 A.2d at 946</w:t>
      </w:r>
      <w:r>
        <w:t xml:space="preserve">;</w:t>
      </w:r>
      <w:r>
        <w:t xml:space="preserve"> </w:t>
      </w:r>
      <w:r>
        <w:rPr>
          <w:iCs/>
          <w:i/>
        </w:rPr>
        <w:t xml:space="preserve">Siliconix,</w:t>
      </w:r>
      <w:r>
        <w:t xml:space="preserve"> </w:t>
      </w:r>
      <w:r>
        <w:t xml:space="preserve">2001 WL 716787</w:t>
      </w:r>
      <w:r>
        <w:t xml:space="preserve">, at</w:t>
      </w:r>
      <w:r>
        <w:t xml:space="preserve"> </w:t>
      </w:r>
      <w:r>
        <w:rPr>
          <w:iCs/>
          <w:i/>
        </w:rPr>
        <w:t xml:space="preserve">*9; Chaffin v. GNI Group, Inc.,</w:t>
      </w:r>
      <w:r>
        <w:t xml:space="preserve"> </w:t>
      </w:r>
      <w:r>
        <w:t xml:space="preserve">1999 WL 721569</w:t>
      </w:r>
      <w:r>
        <w:t xml:space="preserve">, at *2 (Del.Ch. Sept. 3, 1999). The animating principle underlying the unified approach is to give judicial deference to processes that simulate arms' length third-party transactional approvals. In a merger, directors must approve and recommend the transaction before it is submitted to stockholders. 8 Del. C. § 251(b). Therefore an affirmative recommendation is required for entire fairness not to apply. The</w:t>
      </w:r>
      <w:r>
        <w:t xml:space="preserve"> </w:t>
      </w:r>
      <w:r>
        <w:rPr>
          <w:iCs/>
          <w:i/>
        </w:rPr>
        <w:t xml:space="preserve">Cox Communications</w:t>
      </w:r>
      <w:r>
        <w:t xml:space="preserve"> </w:t>
      </w:r>
      <w:r>
        <w:t xml:space="preserve">case elsewhere described the approval requirement in these terms.</w:t>
      </w:r>
      <w:r>
        <w:t xml:space="preserve"> </w:t>
      </w:r>
      <w:r>
        <w:t xml:space="preserve">879 A.2d at 646</w:t>
      </w:r>
      <w:r>
        <w:t xml:space="preserve"> </w:t>
      </w:r>
      <w:r>
        <w:t xml:space="preserve">(providing for business judgment review if "the tender offer was recommended by an independent special committee”).</w:t>
      </w:r>
    </w:p>
    <w:p>
      <w:pPr>
        <w:pStyle w:val="NodeEnd"/>
      </w:pPr>
      <w:r>
        <w:t xml:space="preserve"> </w:t>
      </w:r>
    </w:p>
    <w:p>
      <w:pPr>
        <w:pStyle w:val="NodeStart"/>
      </w:pPr>
      <w:r>
        <w:t xml:space="preserve"> </w:t>
      </w:r>
    </w:p>
    <w:p>
      <w:pPr>
        <w:pStyle w:val="HeadSeparator"/>
      </w:pPr>
      <w:r>
        <w:t xml:space="preserve"> </w:t>
      </w:r>
    </w:p>
  </w:footnote>
  <w:footnote w:id="202">
    <w:p>
      <w:pPr>
        <w:pStyle w:val="CaseFootnoteText"/>
      </w:pPr>
      <w:r>
        <w:rPr>
          <w:rStyle w:val="FootnoteReference"/>
        </w:rPr>
        <w:t xml:space="preserve">9  </w:t>
      </w:r>
      <w:r>
        <w:t xml:space="preserve">The majority position was based on some of the leading English cases of the first half of the nineteenth century which were overruled by later English cases. Annot.,</w:t>
      </w:r>
      <w:r>
        <w:t xml:space="preserve"> </w:t>
      </w:r>
      <w:r>
        <w:t xml:space="preserve">71 A.L.R.2d 911</w:t>
      </w:r>
      <w:r>
        <w:t xml:space="preserve">, 915 (1960). American courts, while overwhelmingly adopting the Restatement rule that a disclosed or partially disclosed principal is not discharged from liability to a third party by payment to its agent, continued to adhere to the early English view regarding undisclosed principals.</w:t>
      </w:r>
    </w:p>
    <w:p>
      <w:pPr>
        <w:pStyle w:val="CaseFootnoteText"/>
      </w:pPr>
      <w:r>
        <w:t xml:space="preserve">In</w:t>
      </w:r>
      <w:r>
        <w:t xml:space="preserve"/>
      </w:r>
      <w:r>
        <w:rPr>
          <w:iCs/>
          <w:i/>
        </w:rPr>
        <w:t xml:space="preserve">American Fund for Public Service v. Associates Textile,</w:t>
      </w:r>
      <w:r>
        <w:t xml:space="preserve"> </w:t>
      </w:r>
      <w:r>
        <w:t xml:space="preserve">187 Minn. 300</w:t>
      </w:r>
      <w:r>
        <w:t xml:space="preserve">,</w:t>
      </w:r>
      <w:r>
        <w:t xml:space="preserve"> </w:t>
      </w:r>
      <w:r>
        <w:t xml:space="preserve">245 N.W. 376</w:t>
      </w:r>
      <w:r>
        <w:t xml:space="preserve"> </w:t>
      </w:r>
      <w:r>
        <w:t xml:space="preserve">(1932), this court cited the majority rule but stated that it did not need to decide whether to adopt it since other facts indicated that the principal should be held personally liable.</w:t>
      </w:r>
    </w:p>
  </w:footnote>
  <w:footnote w:id="203">
    <w:p>
      <w:pPr>
        <w:pStyle w:val="CaseFootnoteText"/>
      </w:pPr>
      <w:r>
        <w:rPr>
          <w:rStyle w:val="FootnoteReference"/>
        </w:rPr>
        <w:t xml:space="preserve">9  </w:t>
      </w:r>
      <w:r>
        <w:t xml:space="preserve"/>
      </w:r>
      <w:r>
        <w:t xml:space="preserve"> </w:t>
      </w:r>
      <w:r>
        <w:rPr>
          <w:iCs/>
          <w:i/>
        </w:rPr>
        <w:t xml:space="preserve">Id.</w:t>
      </w:r>
      <w:r>
        <w:t xml:space="preserve"> </w:t>
      </w:r>
      <w:r>
        <w:t xml:space="preserve">at 215.</w:t>
      </w:r>
    </w:p>
  </w:footnote>
  <w:footnote w:id="204">
    <w:p>
      <w:pPr>
        <w:pStyle w:val="CaseFootnoteText"/>
      </w:pPr>
      <w:r>
        <w:rPr>
          <w:rStyle w:val="FootnoteReference"/>
        </w:rPr>
        <w:t xml:space="preserve">9  </w:t>
      </w:r>
      <w:r>
        <w:rPr>
          <w:iCs/>
          <w:i/>
        </w:rPr>
        <w:t xml:space="preserve">See</w:t>
      </w:r>
      <w:r>
        <w:t xml:space="preserve"/>
      </w:r>
      <w:r>
        <w:t xml:space="preserve">App. to Opening Br. at A1913, A1915-16.</w:t>
      </w:r>
    </w:p>
  </w:footnote>
  <w:footnote w:id="205">
    <w:p>
      <w:pPr>
        <w:pStyle w:val="CaseFootnoteText"/>
      </w:pPr>
      <w:r>
        <w:rPr>
          <w:rStyle w:val="FootnoteReference"/>
        </w:rPr>
        <w:t xml:space="preserve">9  </w:t>
      </w:r>
      <w:r>
        <w:t xml:space="preserve"/>
      </w:r>
      <w:r>
        <w:t xml:space="preserve">The majority adds that the distinction between facial and as-applied challenges does not have “some automatic effect” that mechanically controls the judicial task.</w:t>
      </w:r>
      <w:r>
        <w:t xml:space="preserve"> </w:t>
      </w:r>
      <w:r>
        <w:rPr>
          <w:iCs/>
          <w:i/>
        </w:rPr>
        <w:t xml:space="preserve">Ante,</w:t>
      </w:r>
      <w:r>
        <w:t xml:space="preserve"> </w:t>
      </w:r>
      <w:r>
        <w:t xml:space="preserve">at 331. I agree, but it does not follow that in any given ease we should ignore the distinction, much less invert it.</w:t>
      </w:r>
    </w:p>
  </w:footnote>
  <w:footnote w:id="206">
    <w:p>
      <w:pPr>
        <w:pStyle w:val="CaseFootnoteText"/>
      </w:pPr>
      <w:r>
        <w:rPr>
          <w:rStyle w:val="FootnoteReference"/>
        </w:rPr>
        <w:t xml:space="preserve">9  </w:t>
      </w:r>
      <w:r>
        <w:t xml:space="preserve"/>
      </w:r>
      <w:r>
        <w:t xml:space="preserve">The Court of Appeals affirmed, however, the dismissal of the complaint against Morgan Stanley. As the Court of Appeals understood it, Morgan Stanley had not been charged with participating in the majority shareholder’s breach of fiduciary duty; it had been involved only in evaluation of the stock and the compilation of its report with respect thereto. The complaint contained “no allegation that Morgan Stanley &amp; Co. engaged in any misrepresentation or nondisclosure such as would support its liability under Rule 10b-5 (2).”</w:t>
      </w:r>
      <w:r>
        <w:t xml:space="preserve"> </w:t>
      </w:r>
      <w:r>
        <w:rPr>
          <w:iCs/>
          <w:i/>
        </w:rPr>
        <w:t xml:space="preserve">Ibid.</w:t>
      </w:r>
    </w:p>
  </w:footnote>
  <w:footnote w:id="207">
    <w:p>
      <w:pPr>
        <w:pStyle w:val="CaseFootnoteText"/>
      </w:pPr>
      <w:r>
        <w:rPr>
          <w:rStyle w:val="FootnoteReference"/>
        </w:rPr>
        <w:t xml:space="preserve">9  </w:t>
      </w:r>
      <w:r>
        <w:t xml:space="preserve"/>
      </w:r>
      <w:r>
        <w:t xml:space="preserve">Nor is</w:t>
      </w:r>
      <w:r>
        <w:t xml:space="preserve"> </w:t>
      </w:r>
      <w:r>
        <w:rPr>
          <w:iCs/>
          <w:i/>
        </w:rPr>
        <w:t xml:space="preserve">Affiliated Ute Citizens</w:t>
      </w:r>
      <w:r>
        <w:t xml:space="preserve"> </w:t>
      </w:r>
      <w:r>
        <w:t xml:space="preserve">v.</w:t>
      </w:r>
      <w:r>
        <w:t xml:space="preserve"> </w:t>
      </w:r>
      <w:r>
        <w:rPr>
          <w:iCs/>
          <w:i/>
        </w:rPr>
        <w:t xml:space="preserve">United</w:t>
      </w:r>
      <w:r>
        <w:t xml:space="preserve"> </w:t>
      </w:r>
      <w:r>
        <w:t xml:space="preserve">States,</w:t>
      </w:r>
      <w:r>
        <w:t xml:space="preserve"> </w:t>
      </w:r>
      <w:r>
        <w:t xml:space="preserve">406 U. S. 128</w:t>
      </w:r>
      <w:r>
        <w:t xml:space="preserve"> </w:t>
      </w:r>
      <w:r>
        <w:t xml:space="preserve">(1972), also relied upon by the Court of Appeals, dispositive. There we held that when a Rule 10b-5 violation involves a failure to disclose, “positive proof of reliance is not a prerequisite to recovery. All that is necessary is that the facts withheld be material in the sense that a reasonable investor might have considered them important in the making of this decision.”</w:t>
      </w:r>
      <w:r>
        <w:t xml:space="preserve"> </w:t>
      </w:r>
      <w:r>
        <w:rPr>
          <w:iCs/>
          <w:i/>
        </w:rPr>
        <w:t xml:space="preserve">Id.,</w:t>
      </w:r>
      <w:r>
        <w:rPr>
          <w:iCs/>
          <w:i/>
        </w:rPr>
        <w:t xml:space="preserve"> </w:t>
      </w:r>
      <w:r>
        <w:t xml:space="preserve">at 153-154</w:t>
      </w:r>
      <w:r>
        <w:t xml:space="preserve">. The conclusion embodied in the quoted language was simply that positive proof of reliance is unnecessary when materiality is established, and in order to reach that conclusion it was not necessary to articulate a precise definition of materiality, but only to give a “sense” of the notion. The quoted language did not purport to do more.</w:t>
      </w:r>
    </w:p>
  </w:footnote>
  <w:footnote w:id="208">
    <w:p>
      <w:pPr>
        <w:pStyle w:val="CaseFootnoteText"/>
      </w:pPr>
      <w:r>
        <w:rPr>
          <w:rStyle w:val="FootnoteReference"/>
        </w:rPr>
        <w:t xml:space="preserve">9  </w:t>
      </w:r>
      <w:r>
        <w:t xml:space="preserve"/>
      </w:r>
      <w:r>
        <w:t xml:space="preserve">Obviously this disadvantage is attenuated to the extent that remedies are available t.o nonpurchasers and nonsellers under state law. Cf. § 28 of the 1934 Act, 15 U. S. C. § 78bb. See</w:t>
      </w:r>
      <w:r>
        <w:t xml:space="preserve"> </w:t>
      </w:r>
      <w:r>
        <w:rPr>
          <w:iCs/>
          <w:i/>
        </w:rPr>
        <w:t xml:space="preserve">Iroquois Industries, Inc.</w:t>
      </w:r>
      <w:r>
        <w:t xml:space="preserve"> </w:t>
      </w:r>
      <w:r>
        <w:t xml:space="preserve">v.</w:t>
      </w:r>
      <w:r>
        <w:t xml:space="preserve"> </w:t>
      </w:r>
      <w:r>
        <w:rPr>
          <w:iCs/>
          <w:i/>
        </w:rPr>
        <w:t xml:space="preserve">Syracuse China Corp.,</w:t>
      </w:r>
      <w:r>
        <w:t xml:space="preserve"> </w:t>
      </w:r>
      <w:r>
        <w:t xml:space="preserve">417 F. 2d 963</w:t>
      </w:r>
      <w:r>
        <w:t xml:space="preserve">, 969 (CA2 1969), cert. denied,</w:t>
      </w:r>
      <w:r>
        <w:t xml:space="preserve"> </w:t>
      </w:r>
      <w:r>
        <w:t xml:space="preserve">399 U. S. 909</w:t>
      </w:r>
      <w:r>
        <w:t xml:space="preserve"> </w:t>
      </w:r>
      <w:r>
        <w:t xml:space="preserve">(1970). Thus, for example, in</w:t>
      </w:r>
      <w:r>
        <w:t xml:space="preserve"> </w:t>
      </w:r>
      <w:r>
        <w:rPr>
          <w:iCs/>
          <w:i/>
        </w:rPr>
        <w:t xml:space="preserve">Birnbaum</w:t>
      </w:r>
      <w:r>
        <w:t xml:space="preserve"> </w:t>
      </w:r>
      <w:r>
        <w:t xml:space="preserve">itself, while the plaintiffs found themselves without federal remedies, the conduct alleged as the gravamen of the federal complaint later provided the basis for recovery in a cause of action based on state law. See 3 L. Loss, Securities Regulation 1469 (2d ed. 1961). And in the immediate case, respondent has filed a state-court class action held in abeyance pending the outcome of this suit.</w:t>
      </w:r>
      <w:r>
        <w:t xml:space="preserve"> </w:t>
      </w:r>
      <w:r>
        <w:rPr>
          <w:iCs/>
          <w:i/>
        </w:rPr>
        <w:t xml:space="preserve">Manor Drug Stores</w:t>
      </w:r>
      <w:r>
        <w:t xml:space="preserve"> </w:t>
      </w:r>
      <w:r>
        <w:t xml:space="preserve">v.</w:t>
      </w:r>
      <w:r>
        <w:t xml:space="preserve"> </w:t>
      </w:r>
      <w:r>
        <w:rPr>
          <w:iCs/>
          <w:i/>
        </w:rPr>
        <w:t xml:space="preserve">Blue Chip Stamps,</w:t>
      </w:r>
      <w:r>
        <w:t xml:space="preserve"> </w:t>
      </w:r>
      <w:r>
        <w:t xml:space="preserve">No. C-5652 (Superior Court, County of Los Angeles, Cal.)</w:t>
      </w:r>
    </w:p>
  </w:footnote>
  <w:footnote w:id="209">
    <w:p>
      <w:pPr>
        <w:pStyle w:val="CaseFootnoteText"/>
      </w:pPr>
      <w:r>
        <w:rPr>
          <w:rStyle w:val="FootnoteReference"/>
        </w:rPr>
        <w:t xml:space="preserve">9  </w:t>
      </w:r>
      <w:r>
        <w:t xml:space="preserve">Heiser v. Woodruff,</w:t>
      </w:r>
      <w:r>
        <w:t xml:space="preserve"> </w:t>
      </w:r>
      <w:r>
        <w:t xml:space="preserve">327 U.S. 726</w:t>
      </w:r>
      <w:r>
        <w:t xml:space="preserve">, 733,</w:t>
      </w:r>
      <w:r>
        <w:t xml:space="preserve"> </w:t>
      </w:r>
      <w:r>
        <w:t xml:space="preserve">66 S.Ct. 853</w:t>
      </w:r>
      <w:r>
        <w:t xml:space="preserve">,</w:t>
      </w:r>
      <w:r>
        <w:t xml:space="preserve"> </w:t>
      </w:r>
      <w:r>
        <w:t xml:space="preserve">90 L.Ed. 970</w:t>
      </w:r>
      <w:r>
        <w:t xml:space="preserve">; Pepper v. Litton,</w:t>
      </w:r>
      <w:r>
        <w:t xml:space="preserve"> </w:t>
      </w:r>
      <w:r>
        <w:t xml:space="preserve">supra,</w:t>
      </w:r>
      <w:r>
        <w:t xml:space="preserve"> </w:t>
      </w:r>
      <w:r>
        <w:t xml:space="preserve">308 U.S. page 310, 60 S. Ct. at page 246; Bank of America Nat. Trust &amp; Sav. Ass’n v. Erickson, 9 Cir.,</w:t>
      </w:r>
      <w:r>
        <w:t xml:space="preserve"> </w:t>
      </w:r>
      <w:r>
        <w:t xml:space="preserve">117 F.2d 796</w:t>
      </w:r>
      <w:r>
        <w:t xml:space="preserve">; L &amp; M Realty Corporation v. Leo, 4 Cir.,</w:t>
      </w:r>
      <w:r>
        <w:t xml:space="preserve"> </w:t>
      </w:r>
      <w:r>
        <w:t xml:space="preserve">249 F.2d 668</w:t>
      </w:r>
      <w:r>
        <w:t xml:space="preserve">, 670; International Telephone &amp; Telegraph Corp. v. Holton, 4 Cir.,</w:t>
      </w:r>
      <w:r>
        <w:t xml:space="preserve"> </w:t>
      </w:r>
      <w:r>
        <w:t xml:space="preserve">247 F.2d 178</w:t>
      </w:r>
      <w:r>
        <w:t xml:space="preserve">, 182; Wheeling Valley Coal Corp. v. Mead, 4 Cir.,</w:t>
      </w:r>
      <w:r>
        <w:t xml:space="preserve"> </w:t>
      </w:r>
      <w:r>
        <w:t xml:space="preserve">171 F.2d 916</w:t>
      </w:r>
      <w:r>
        <w:t xml:space="preserve">, 921.</w:t>
      </w:r>
    </w:p>
  </w:footnote>
  <w:footnote w:id="210">
    <w:p>
      <w:pPr>
        <w:pStyle w:val="CaseFootnoteText"/>
      </w:pPr>
      <w:r>
        <w:rPr>
          <w:rStyle w:val="FootnoteReference"/>
        </w:rPr>
        <w:t xml:space="preserve">9  </w:t>
      </w:r>
      <w:r>
        <w:t xml:space="preserve"/>
      </w:r>
      <w:r>
        <w:t xml:space="preserve"> </w:t>
      </w:r>
      <w:r>
        <w:rPr>
          <w:iCs/>
          <w:i/>
        </w:rPr>
        <w:t xml:space="preserve">Sonesta Inti. Hotels</w:t>
      </w:r>
      <w:r>
        <w:t xml:space="preserve"> </w:t>
      </w:r>
      <w:r>
        <w:t xml:space="preserve">Corp.</w:t>
      </w:r>
      <w:r>
        <w:t xml:space="preserve"> </w:t>
      </w:r>
      <w:r>
        <w:rPr>
          <w:iCs/>
          <w:i/>
        </w:rPr>
        <w:t xml:space="preserve">v. Wellington Associates,</w:t>
      </w:r>
      <w:r>
        <w:t xml:space="preserve"> </w:t>
      </w:r>
      <w:r>
        <w:t xml:space="preserve">483 F.2d 247</w:t>
      </w:r>
      <w:r>
        <w:t xml:space="preserve">, 250 (2d Cir. 1973).</w:t>
      </w:r>
    </w:p>
  </w:footnote>
  <w:footnote w:id="211">
    <w:p>
      <w:pPr>
        <w:pStyle w:val="CaseFootnoteText"/>
      </w:pPr>
      <w:r>
        <w:rPr>
          <w:rStyle w:val="FootnoteReference"/>
        </w:rPr>
        <w:t xml:space="preserve">9  </w:t>
      </w:r>
      <w:r>
        <w:t xml:space="preserve">As the following facts will explain, Global Crossing made an offer for Intermedia that remained on the table until September 1 at 5 p.m. Though given the opportunity, it did not bid against WorldCom when WorldCom came on the scene on August 30-31.</w:t>
      </w:r>
    </w:p>
  </w:footnote>
  <w:footnote w:id="212">
    <w:p>
      <w:pPr>
        <w:pStyle w:val="CaseFootnoteText"/>
      </w:pPr>
      <w:r>
        <w:rPr>
          <w:rStyle w:val="FootnoteReference"/>
        </w:rPr>
        <w:t xml:space="preserve">9  </w:t>
      </w:r>
      <w:r>
        <w:t xml:space="preserve"/>
      </w:r>
      <w:r>
        <w:t xml:space="preserve"> </w:t>
      </w:r>
      <w:r>
        <w:t xml:space="preserve">906 A.2d 27</w:t>
      </w:r>
      <w:r>
        <w:t xml:space="preserve"> </w:t>
      </w:r>
      <w:r>
        <w:t xml:space="preserve">(Del.2006).</w:t>
      </w:r>
    </w:p>
  </w:footnote>
  <w:footnote w:id="213">
    <w:p>
      <w:pPr>
        <w:pStyle w:val="CaseFootnoteText"/>
      </w:pPr>
      <w:r>
        <w:rPr>
          <w:rStyle w:val="FootnoteReference"/>
        </w:rPr>
        <w:t xml:space="preserve">9  </w:t>
      </w:r>
      <w:r>
        <w:t xml:space="preserve"/>
      </w:r>
      <w:r>
        <w:t xml:space="preserve"> </w:t>
      </w:r>
      <w:r>
        <w:rPr>
          <w:iCs/>
          <w:i/>
        </w:rPr>
        <w:t xml:space="preserve">See, e.g., In re El Paso S’holders Litig.,</w:t>
      </w:r>
      <w:r>
        <w:t xml:space="preserve"> </w:t>
      </w:r>
      <w:r>
        <w:t xml:space="preserve">41 A.3d 432</w:t>
      </w:r>
      <w:r>
        <w:t xml:space="preserve">, 449-51 (Del. Ch.2012);</w:t>
      </w:r>
      <w:r>
        <w:t xml:space="preserve"> </w:t>
      </w:r>
      <w:r>
        <w:rPr>
          <w:iCs/>
          <w:i/>
        </w:rPr>
        <w:t xml:space="preserve">NACCO Indus., Inc. v. Applica Inc.,</w:t>
      </w:r>
      <w:r>
        <w:t xml:space="preserve"> </w:t>
      </w:r>
      <w:r>
        <w:t xml:space="preserve">997 A.2d 1</w:t>
      </w:r>
      <w:r>
        <w:t xml:space="preserve">, 31 (Del. Ch.2009).</w:t>
      </w:r>
    </w:p>
  </w:footnote>
  <w:footnote w:id="214">
    <w:p>
      <w:pPr>
        <w:pStyle w:val="CaseFootnoteText"/>
      </w:pPr>
      <w:r>
        <w:rPr>
          <w:rStyle w:val="FootnoteReference"/>
        </w:rPr>
        <w:t xml:space="preserve">9  </w:t>
      </w:r>
      <w:r>
        <w:t xml:space="preserve">Only two cases have found defensive steps disproportionate to a threat posed by a takeover attempt. See</w:t>
      </w:r>
      <w:r>
        <w:t xml:space="preserve"> </w:t>
      </w:r>
      <w:r>
        <w:rPr>
          <w:iCs/>
          <w:i/>
        </w:rPr>
        <w:t xml:space="preserve">AC Acquisitions Corp. v. Anderson, Clayton &amp; Co.,</w:t>
      </w:r>
      <w:r>
        <w:t xml:space="preserve"> </w:t>
      </w:r>
      <w:r>
        <w:t xml:space="preserve">Del.Ch.,</w:t>
      </w:r>
      <w:r>
        <w:t xml:space="preserve"> </w:t>
      </w:r>
      <w:r>
        <w:t xml:space="preserve">519 A.2d 103</w:t>
      </w:r>
      <w:r>
        <w:t xml:space="preserve"> </w:t>
      </w:r>
      <w:r>
        <w:t xml:space="preserve">(1986);</w:t>
      </w:r>
      <w:r>
        <w:t xml:space="preserve"> </w:t>
      </w:r>
      <w:r>
        <w:rPr>
          <w:iCs/>
          <w:i/>
        </w:rPr>
        <w:t xml:space="preserve">Robert M. Bass Group, Inc. v. Evans,</w:t>
      </w:r>
      <w:r>
        <w:t xml:space="preserve"> </w:t>
      </w:r>
      <w:r>
        <w:t xml:space="preserve">Del.Ch., C.A. No. 9953, Jacobs, V.C. (July 14, 1988) [</w:t>
      </w:r>
      <w:r>
        <w:t xml:space="preserve">1988 WL 73744</w:t>
      </w:r>
      <w:r>
        <w:t xml:space="preserve">].</w:t>
      </w:r>
    </w:p>
  </w:footnote>
  <w:footnote w:id="215">
    <w:p>
      <w:pPr>
        <w:pStyle w:val="CaseFootnoteText"/>
      </w:pPr>
      <w:r>
        <w:rPr>
          <w:rStyle w:val="FootnoteReference"/>
        </w:rPr>
        <w:t xml:space="preserve">9  </w:t>
      </w:r>
      <w:r>
        <w:t xml:space="preserve"/>
      </w:r>
      <w:r>
        <w:t xml:space="preserve"> </w:t>
      </w:r>
      <w:r>
        <w:rPr>
          <w:iCs/>
          <w:i/>
        </w:rPr>
        <w:t xml:space="preserve">Hibbert v. Hollywood Park, Inc.,</w:t>
      </w:r>
      <w:r>
        <w:t xml:space="preserve"> </w:t>
      </w:r>
      <w:r>
        <w:t xml:space="preserve">457 A.2d 339</w:t>
      </w:r>
      <w:r>
        <w:t xml:space="preserve">, 343 (Del.1983) (citing</w:t>
      </w:r>
      <w:r>
        <w:t xml:space="preserve"> </w:t>
      </w:r>
      <w:r>
        <w:rPr>
          <w:iCs/>
          <w:i/>
        </w:rPr>
        <w:t xml:space="preserve">Standard Power &amp; Light Corp. v. Inv. Assocs., Inc.,</w:t>
      </w:r>
      <w:r>
        <w:t xml:space="preserve"> </w:t>
      </w:r>
      <w:r>
        <w:t xml:space="preserve">51 A.2d 572</w:t>
      </w:r>
      <w:r>
        <w:t xml:space="preserve">, 576 (Del.1947)).</w:t>
      </w:r>
    </w:p>
  </w:footnote>
  <w:footnote w:id="216">
    <w:p>
      <w:pPr>
        <w:pStyle w:val="CaseFootnoteText"/>
      </w:pPr>
      <w:r>
        <w:rPr>
          <w:rStyle w:val="FootnoteReference"/>
        </w:rPr>
        <w:t xml:space="preserve">9  </w:t>
      </w:r>
      <w:r>
        <w:t xml:space="preserve">Director Florian A. Stang ("Stang”) left the meeting before the vote was taken but favored the May Proposal.</w:t>
      </w:r>
    </w:p>
  </w:footnote>
  <w:footnote w:id="217">
    <w:p>
      <w:pPr>
        <w:pStyle w:val="CaseFootnoteText"/>
      </w:pPr>
      <w:r>
        <w:rPr>
          <w:rStyle w:val="FootnoteReference"/>
        </w:rPr>
        <w:t xml:space="preserve">9  </w:t>
      </w:r>
      <w:r>
        <w:t xml:space="preserve">Despite the fact that a SEC filing may constitute hearsay with respect to the truth of the matters asserted therein, courts may consult these documents to ascertain facts appropriate for judicial notice under D.R.E. 201. See</w:t>
      </w:r>
      <w:r>
        <w:t xml:space="preserve"> </w:t>
      </w:r>
      <w:r>
        <w:rPr>
          <w:iCs/>
          <w:i/>
        </w:rPr>
        <w:t xml:space="preserve">Kramer,</w:t>
      </w:r>
      <w:r>
        <w:t xml:space="preserve"> </w:t>
      </w:r>
      <w:r>
        <w:t xml:space="preserve">937 F.2d at 773</w:t>
      </w:r>
      <w:r>
        <w:t xml:space="preserve">.</w:t>
      </w:r>
    </w:p>
  </w:footnote>
  <w:footnote w:id="218">
    <w:p>
      <w:pPr>
        <w:pStyle w:val="CaseFootnoteText"/>
      </w:pPr>
      <w:r>
        <w:rPr>
          <w:rStyle w:val="FootnoteReference"/>
        </w:rPr>
        <w:t xml:space="preserve">9  </w:t>
      </w:r>
      <w:r>
        <w:t xml:space="preserve">Arthur B. Krim was Chairman of the Board of Orion Pictures Corporation. He had been a director of Occidental for fourteen years.</w:t>
      </w:r>
    </w:p>
  </w:footnote>
  <w:footnote w:id="219">
    <w:p>
      <w:pPr>
        <w:pStyle w:val="CaseFootnoteText"/>
      </w:pPr>
      <w:r>
        <w:rPr>
          <w:rStyle w:val="FootnoteReference"/>
        </w:rPr>
        <w:t xml:space="preserve">9  </w:t>
      </w:r>
      <w:r>
        <w:t xml:space="preserve">Parker Dep. at 50 ("It was apparent that the Minera properties had been severely cash constrained. There were large pieces of equipment that were parked because they were broken down and there weren’t spare parts to repair them.”).</w:t>
      </w:r>
    </w:p>
  </w:footnote>
  <w:footnote w:id="220">
    <w:p>
      <w:pPr>
        <w:pStyle w:val="CaseFootnoteText"/>
      </w:pPr>
      <w:r>
        <w:rPr>
          <w:rStyle w:val="FootnoteReference"/>
        </w:rPr>
        <w:t xml:space="preserve">10  </w:t>
      </w:r>
      <w:r>
        <w:t xml:space="preserve">The jury apparently took its task seriously. It returned to the court and asked the judge to restate the definition of agency 3 hours after it had retired to the jury room. It rendered a verdict approximately 4 hours after this second instruction.</w:t>
      </w:r>
    </w:p>
    <w:p>
      <w:pPr>
        <w:pStyle w:val="NodeEnd"/>
      </w:pPr>
      <w:r>
        <w:t xml:space="preserve"> </w:t>
      </w:r>
    </w:p>
    <w:p>
      <w:pPr>
        <w:pStyle w:val="NodeStart"/>
      </w:pPr>
      <w:r>
        <w:t xml:space="preserve"> </w:t>
      </w:r>
    </w:p>
    <w:p>
      <w:pPr>
        <w:pStyle w:val="HeadSeparator"/>
      </w:pPr>
      <w:r>
        <w:t xml:space="preserve"> </w:t>
      </w:r>
    </w:p>
  </w:footnote>
  <w:footnote w:id="221">
    <w:p>
      <w:pPr>
        <w:pStyle w:val="CaseFootnoteText"/>
      </w:pPr>
      <w:r>
        <w:rPr>
          <w:rStyle w:val="FootnoteReference"/>
        </w:rPr>
        <w:t xml:space="preserve">10  </w:t>
      </w:r>
      <w:r>
        <w:t xml:space="preserve"/>
      </w:r>
      <w:r>
        <w:t xml:space="preserve"> </w:t>
      </w:r>
      <w:r>
        <w:rPr>
          <w:iCs/>
          <w:i/>
        </w:rPr>
        <w:t xml:space="preserve">Id.</w:t>
      </w:r>
    </w:p>
  </w:footnote>
  <w:footnote w:id="222">
    <w:p>
      <w:pPr>
        <w:pStyle w:val="CaseFootnoteText"/>
      </w:pPr>
      <w:r>
        <w:rPr>
          <w:rStyle w:val="FootnoteReference"/>
        </w:rPr>
        <w:t xml:space="preserve">10  </w:t>
      </w:r>
      <w:r>
        <w:rPr>
          <w:iCs/>
          <w:i/>
        </w:rPr>
        <w:t xml:space="preserve">Chancery Opinion</w:t>
      </w:r>
      <w:r>
        <w:t xml:space="preserve"/>
      </w:r>
      <w:r>
        <w:t xml:space="preserve">,</w:t>
      </w:r>
      <w:r>
        <w:t xml:space="preserve"> </w:t>
      </w:r>
      <w:r>
        <w:t xml:space="preserve">2018 WL 818760</w:t>
      </w:r>
      <w:r>
        <w:t xml:space="preserve">, at *19.</w:t>
      </w:r>
    </w:p>
  </w:footnote>
  <w:footnote w:id="223">
    <w:p>
      <w:pPr>
        <w:pStyle w:val="CaseFootnoteText"/>
      </w:pPr>
      <w:r>
        <w:rPr>
          <w:rStyle w:val="FootnoteReference"/>
        </w:rPr>
        <w:t xml:space="preserve">10  </w:t>
      </w:r>
      <w:r>
        <w:t xml:space="preserve"/>
      </w:r>
      <w:r>
        <w:t xml:space="preserve">Professor Fallon proposes an intricate answer to this question that the majority ignores. Fallon 1327-1359. It bears mention that our colleagues have previously cited Professor Fallon’s article for the exact opposite point from the one they wish to make today. In</w:t>
      </w:r>
      <w:r>
        <w:t xml:space="preserve"> </w:t>
      </w:r>
      <w:r>
        <w:rPr>
          <w:iCs/>
          <w:i/>
        </w:rPr>
        <w:t xml:space="preserve">Gonzales</w:t>
      </w:r>
      <w:r>
        <w:t xml:space="preserve"> </w:t>
      </w:r>
      <w:r>
        <w:t xml:space="preserve">v.</w:t>
      </w:r>
      <w:r>
        <w:t xml:space="preserve"> </w:t>
      </w:r>
      <w:r>
        <w:rPr>
          <w:iCs/>
          <w:i/>
        </w:rPr>
        <w:t xml:space="preserve">Carhart,</w:t>
      </w:r>
      <w:r>
        <w:t xml:space="preserve"> </w:t>
      </w:r>
      <w:r>
        <w:t xml:space="preserve">550 U. S. 124 (2007), the Court explained that “[fit is neither our obligation nor within our traditional institutional role to resolve questions of constitutionality with respect to each potential situation that might develop,” and “[f]or this reason, ‘[a]s-applied challenges are the basic building blocks of constitutional adjudication.’”</w:t>
      </w:r>
      <w:r>
        <w:t xml:space="preserve"> </w:t>
      </w:r>
      <w:r>
        <w:rPr>
          <w:iCs/>
          <w:i/>
        </w:rPr>
        <w:t xml:space="preserve">Id.,</w:t>
      </w:r>
      <w:r>
        <w:t xml:space="preserve"> </w:t>
      </w:r>
      <w:r>
        <w:t xml:space="preserve">at 168 (opinion for the Court by Kennedy, J.) (quoting Fallon 1328 (second alteration in original)).</w:t>
      </w:r>
    </w:p>
  </w:footnote>
  <w:footnote w:id="224">
    <w:p>
      <w:pPr>
        <w:pStyle w:val="CaseFootnoteText"/>
      </w:pPr>
      <w:r>
        <w:rPr>
          <w:rStyle w:val="FootnoteReference"/>
        </w:rPr>
        <w:t xml:space="preserve">10  </w:t>
      </w:r>
      <w:r>
        <w:t xml:space="preserve"/>
      </w:r>
      <w:r>
        <w:t xml:space="preserve">See n. 1,</w:t>
      </w:r>
      <w:r>
        <w:t xml:space="preserve"> </w:t>
      </w:r>
      <w:r>
        <w:rPr>
          <w:iCs/>
          <w:i/>
        </w:rPr>
        <w:t xml:space="preserve">supra.</w:t>
      </w:r>
    </w:p>
  </w:footnote>
  <w:footnote w:id="225">
    <w:p>
      <w:pPr>
        <w:pStyle w:val="CaseFootnoteText"/>
      </w:pPr>
      <w:r>
        <w:rPr>
          <w:rStyle w:val="FootnoteReference"/>
        </w:rPr>
        <w:t xml:space="preserve">10  </w:t>
      </w:r>
      <w:r>
        <w:t xml:space="preserve"/>
      </w:r>
      <w:r>
        <w:t xml:space="preserve">In defining materiality under Rule 14a-9, we are, of course, giving content to a rule promulgated by the SEC pursuant to broad statutory authority to promote “the public interest” and “the protection of investors.” See n. 2,</w:t>
      </w:r>
      <w:r>
        <w:t xml:space="preserve"> </w:t>
      </w:r>
      <w:r>
        <w:rPr>
          <w:iCs/>
          <w:i/>
        </w:rPr>
        <w:t xml:space="preserve">supra.</w:t>
      </w:r>
      <w:r>
        <w:t xml:space="preserve"> </w:t>
      </w:r>
      <w:r>
        <w:t xml:space="preserve">Cf.</w:t>
      </w:r>
      <w:r>
        <w:t xml:space="preserve"> </w:t>
      </w:r>
      <w:r>
        <w:rPr>
          <w:iCs/>
          <w:i/>
        </w:rPr>
        <w:t xml:space="preserve">Ernst &amp; Ernst</w:t>
      </w:r>
      <w:r>
        <w:t xml:space="preserve"> </w:t>
      </w:r>
      <w:r>
        <w:t xml:space="preserve">v.</w:t>
      </w:r>
      <w:r>
        <w:t xml:space="preserve"> </w:t>
      </w:r>
      <w:r>
        <w:rPr>
          <w:iCs/>
          <w:i/>
        </w:rPr>
        <w:t xml:space="preserve">Hochfelder,</w:t>
      </w:r>
      <w:r>
        <w:t xml:space="preserve"> </w:t>
      </w:r>
      <w:r>
        <w:t xml:space="preserve">425 U. S., at 212-214</w:t>
      </w:r>
      <w:r>
        <w:t xml:space="preserve">. Under these circumstances, the SEC’s view of the proper balance between the need to insure adequate disclosure and the need to avoid the adverse consequences of setting too low a threshold for civil liability is entitled to consideration. Cf.</w:t>
      </w:r>
      <w:r>
        <w:t xml:space="preserve"> </w:t>
      </w:r>
      <w:r>
        <w:rPr>
          <w:iCs/>
          <w:i/>
        </w:rPr>
        <w:t xml:space="preserve">Northern Indiana Public Service Co.</w:t>
      </w:r>
      <w:r>
        <w:t xml:space="preserve"> </w:t>
      </w:r>
      <w:r>
        <w:t xml:space="preserve">v.</w:t>
      </w:r>
      <w:r>
        <w:t xml:space="preserve"> </w:t>
      </w:r>
      <w:r>
        <w:rPr>
          <w:iCs/>
          <w:i/>
        </w:rPr>
        <w:t xml:space="preserve">Izaac Walton League,</w:t>
      </w:r>
      <w:r>
        <w:t xml:space="preserve"> </w:t>
      </w:r>
      <w:r>
        <w:t xml:space="preserve">423 U. S. 12</w:t>
      </w:r>
      <w:r>
        <w:t xml:space="preserve">, 15 (1975);</w:t>
      </w:r>
      <w:r>
        <w:t xml:space="preserve"> </w:t>
      </w:r>
      <w:r>
        <w:rPr>
          <w:iCs/>
          <w:i/>
        </w:rPr>
        <w:t xml:space="preserve">Udall</w:t>
      </w:r>
      <w:r>
        <w:t xml:space="preserve"> </w:t>
      </w:r>
      <w:r>
        <w:t xml:space="preserve">v.</w:t>
      </w:r>
      <w:r>
        <w:t xml:space="preserve"> </w:t>
      </w:r>
      <w:r>
        <w:rPr>
          <w:iCs/>
          <w:i/>
        </w:rPr>
        <w:t xml:space="preserve">Tollman,</w:t>
      </w:r>
      <w:r>
        <w:t xml:space="preserve"> </w:t>
      </w:r>
      <w:r>
        <w:t xml:space="preserve">380</w:t>
      </w:r>
      <w:r>
        <w:t xml:space="preserve"> </w:t>
      </w:r>
      <w:r>
        <w:t xml:space="preserve">U. S. 1</w:t>
      </w:r>
      <w:r>
        <w:t xml:space="preserve">, 16-17 (1965). The standard we adopt is supported by the SEC. . Brief for the Securities and Exchange Commission as</w:t>
      </w:r>
      <w:r>
        <w:t xml:space="preserve"> </w:t>
      </w:r>
      <w:r>
        <w:rPr>
          <w:iCs/>
          <w:i/>
        </w:rPr>
        <w:t xml:space="preserve">Amicus Curiae</w:t>
      </w:r>
      <w:r>
        <w:t xml:space="preserve"> </w:t>
      </w:r>
      <w:r>
        <w:t xml:space="preserve">13.</w:t>
      </w:r>
    </w:p>
  </w:footnote>
  <w:footnote w:id="226">
    <w:p>
      <w:pPr>
        <w:pStyle w:val="CaseFootnoteText"/>
      </w:pPr>
      <w:r>
        <w:rPr>
          <w:rStyle w:val="FootnoteReference"/>
        </w:rPr>
        <w:t xml:space="preserve">10  </w:t>
      </w:r>
      <w:r>
        <w:t xml:space="preserve"/>
      </w:r>
      <w:r>
        <w:t xml:space="preserve">The SEC, recognizing the necessity for limitations on non-purchaser, nonseller plaintiffs in the absence of the</w:t>
      </w:r>
      <w:r>
        <w:t xml:space="preserve"> </w:t>
      </w:r>
      <w:r>
        <w:rPr>
          <w:iCs/>
          <w:i/>
        </w:rPr>
        <w:t xml:space="preserve">Bimbaum</w:t>
      </w:r>
      <w:r>
        <w:t xml:space="preserve"> </w:t>
      </w:r>
      <w:r>
        <w:t xml:space="preserve">rule, suggests two such limitations to mitigate the practical adverse effects flowing from abolition of the rule. First, it suggests requiring some corroborative evidence in addition to oral testimony tending to show that the investment decision of a plaintiff was affected by an omission or misrepresentation. Brief for the Securities and Exchange Commission as</w:t>
      </w:r>
      <w:r>
        <w:t xml:space="preserve"> </w:t>
      </w:r>
      <w:r>
        <w:rPr>
          <w:iCs/>
          <w:i/>
        </w:rPr>
        <w:t xml:space="preserve">Amicus Curiae</w:t>
      </w:r>
      <w:r>
        <w:t xml:space="preserve"> </w:t>
      </w:r>
      <w:r>
        <w:t xml:space="preserve">25-26. Apparently ownership of stock or receipt of a prospectus or press release would be sufficient corroborative evidence in the view of the SEC to reach the jury. We do not believe that such a requirement would adequately respond to the concerns in part underlying the</w:t>
      </w:r>
      <w:r>
        <w:t xml:space="preserve"> </w:t>
      </w:r>
      <w:r>
        <w:rPr>
          <w:iCs/>
          <w:i/>
        </w:rPr>
        <w:t xml:space="preserve">Bimbaum</w:t>
      </w:r>
      <w:r>
        <w:t xml:space="preserve"> </w:t>
      </w:r>
      <w:r>
        <w:t xml:space="preserve">rule. Ownership of stock or receipt of a prospectus says little about whether a plaintiff’s investment decision was affected by a violation of Rule 10b-5 or whether a decision was even made. Second, the SEC would limit the vicarious liability of corporate issuers to non-purchasers and nonsellers to situations where the corporate issuer has been unjustly enriched by a violation. We have no occasion to pass upon the compatibility of this limitation with § 20 (a) of the 1934 Act, 15 U. S. C. § 78t (a). We do not believe that this proposed limitation is relevant to the concerns underlying in part the</w:t>
      </w:r>
      <w:r>
        <w:t xml:space="preserve"> </w:t>
      </w:r>
      <w:r>
        <w:rPr>
          <w:iCs/>
          <w:i/>
        </w:rPr>
        <w:t xml:space="preserve">Birnbaum</w:t>
      </w:r>
      <w:r>
        <w:t xml:space="preserve"> </w:t>
      </w:r>
      <w:r>
        <w:t xml:space="preserve">rule as we have expressed them. We are not alone in feeling that the limitations proposed by the SEC are not adequate to deal with the adverse effects which would flow from abolition of the</w:t>
      </w:r>
      <w:r>
        <w:t xml:space="preserve"> </w:t>
      </w:r>
      <w:r>
        <w:rPr>
          <w:iCs/>
          <w:i/>
        </w:rPr>
        <w:t xml:space="preserve">Birnbaum</w:t>
      </w:r>
      <w:r>
        <w:t xml:space="preserve"> </w:t>
      </w:r>
      <w:r>
        <w:t xml:space="preserve">rule. See, e.</w:t>
      </w:r>
      <w:r>
        <w:t xml:space="preserve"> </w:t>
      </w:r>
      <w:r>
        <w:rPr>
          <w:iCs/>
          <w:i/>
        </w:rPr>
        <w:t xml:space="preserve">g., Vine</w:t>
      </w:r>
      <w:r>
        <w:t xml:space="preserve"> </w:t>
      </w:r>
      <w:r>
        <w:t xml:space="preserve">v.</w:t>
      </w:r>
      <w:r>
        <w:t xml:space="preserve"> </w:t>
      </w:r>
      <w:r>
        <w:rPr>
          <w:iCs/>
          <w:i/>
        </w:rPr>
        <w:t xml:space="preserve">Beneficial Finance Co.,</w:t>
      </w:r>
      <w:r>
        <w:t xml:space="preserve"> </w:t>
      </w:r>
      <w:r>
        <w:t xml:space="preserve">374 F. 2d 627</w:t>
      </w:r>
      <w:r>
        <w:t xml:space="preserve">, 636 (CA2), cert. denied,</w:t>
      </w:r>
      <w:r>
        <w:t xml:space="preserve"> </w:t>
      </w:r>
      <w:r>
        <w:t xml:space="preserve">389 U. S. 970</w:t>
      </w:r>
      <w:r>
        <w:t xml:space="preserve"> </w:t>
      </w:r>
      <w:r>
        <w:t xml:space="preserve">(1967);</w:t>
      </w:r>
      <w:r>
        <w:t xml:space="preserve"> </w:t>
      </w:r>
      <w:r>
        <w:rPr>
          <w:iCs/>
          <w:i/>
        </w:rPr>
        <w:t xml:space="preserve">Iroquois Industries, Inc.</w:t>
      </w:r>
      <w:r>
        <w:t xml:space="preserve"> </w:t>
      </w:r>
      <w:r>
        <w:t xml:space="preserve">v.</w:t>
      </w:r>
      <w:r>
        <w:t xml:space="preserve"> </w:t>
      </w:r>
      <w:r>
        <w:rPr>
          <w:iCs/>
          <w:i/>
        </w:rPr>
        <w:t xml:space="preserve">Syracuse China Corp.,</w:t>
      </w:r>
      <w:r>
        <w:t xml:space="preserve"> </w:t>
      </w:r>
      <w:r>
        <w:t xml:space="preserve">417 F. 2d, at 967</w:t>
      </w:r>
      <w:r>
        <w:t xml:space="preserve">;</w:t>
      </w:r>
      <w:r>
        <w:t xml:space="preserve"> </w:t>
      </w:r>
      <w:r>
        <w:rPr>
          <w:iCs/>
          <w:i/>
        </w:rPr>
        <w:t xml:space="preserve">Rekant</w:t>
      </w:r>
      <w:r>
        <w:t xml:space="preserve"> </w:t>
      </w:r>
      <w:r>
        <w:t xml:space="preserve">v.</w:t>
      </w:r>
      <w:r>
        <w:t xml:space="preserve"> </w:t>
      </w:r>
      <w:r>
        <w:rPr>
          <w:iCs/>
          <w:i/>
        </w:rPr>
        <w:t xml:space="preserve">Desser,</w:t>
      </w:r>
      <w:r>
        <w:t xml:space="preserve"> </w:t>
      </w:r>
      <w:r>
        <w:t xml:space="preserve">425 F. 2d 872</w:t>
      </w:r>
      <w:r>
        <w:t xml:space="preserve">, 879 (CA5 1970);</w:t>
      </w:r>
      <w:r>
        <w:t xml:space="preserve"> </w:t>
      </w:r>
      <w:r>
        <w:rPr>
          <w:iCs/>
          <w:i/>
        </w:rPr>
        <w:t xml:space="preserve">GAF Corp.</w:t>
      </w:r>
      <w:r>
        <w:t xml:space="preserve"> </w:t>
      </w:r>
      <w:r>
        <w:t xml:space="preserve">v.</w:t>
      </w:r>
      <w:r>
        <w:t xml:space="preserve"> </w:t>
      </w:r>
      <w:r>
        <w:rPr>
          <w:iCs/>
          <w:i/>
        </w:rPr>
        <w:t xml:space="preserve">Milstein,</w:t>
      </w:r>
      <w:r>
        <w:t xml:space="preserve"> </w:t>
      </w:r>
      <w:r>
        <w:t xml:space="preserve">453 F. 2d 709</w:t>
      </w:r>
      <w:r>
        <w:t xml:space="preserve">, 721 (CA2 1971), cert. denied,</w:t>
      </w:r>
      <w:r>
        <w:t xml:space="preserve"> </w:t>
      </w:r>
      <w:r>
        <w:t xml:space="preserve">406 U. S. 910</w:t>
      </w:r>
      <w:r>
        <w:t xml:space="preserve"> </w:t>
      </w:r>
      <w:r>
        <w:t xml:space="preserve">(1972);</w:t>
      </w:r>
      <w:r>
        <w:t xml:space="preserve"> </w:t>
      </w:r>
      <w:r>
        <w:rPr>
          <w:iCs/>
          <w:i/>
        </w:rPr>
        <w:t xml:space="preserve">Drachman</w:t>
      </w:r>
      <w:r>
        <w:t xml:space="preserve"> </w:t>
      </w:r>
      <w:r>
        <w:t xml:space="preserve">v.</w:t>
      </w:r>
      <w:r>
        <w:t xml:space="preserve"> </w:t>
      </w:r>
      <w:r>
        <w:rPr>
          <w:iCs/>
          <w:i/>
        </w:rPr>
        <w:t xml:space="preserve">Harvey,</w:t>
      </w:r>
      <w:r>
        <w:t xml:space="preserve"> </w:t>
      </w:r>
      <w:r>
        <w:t xml:space="preserve">453 F. 2d 722</w:t>
      </w:r>
      <w:r>
        <w:t xml:space="preserve">, 736, 738 (CA2 1972) (en banc);</w:t>
      </w:r>
      <w:r>
        <w:t xml:space="preserve"> </w:t>
      </w:r>
      <w:r>
        <w:rPr>
          <w:iCs/>
          <w:i/>
        </w:rPr>
        <w:t xml:space="preserve">Mount Clemens</w:t>
      </w:r>
      <w:r>
        <w:t xml:space="preserve"> </w:t>
      </w:r>
      <w:r>
        <w:t xml:space="preserve">Industries,</w:t>
      </w:r>
      <w:r>
        <w:t xml:space="preserve"> </w:t>
      </w:r>
      <w:r>
        <w:rPr>
          <w:iCs/>
          <w:i/>
        </w:rPr>
        <w:t xml:space="preserve">Inc.</w:t>
      </w:r>
      <w:r>
        <w:t xml:space="preserve"> </w:t>
      </w:r>
      <w:r>
        <w:t xml:space="preserve">v.</w:t>
      </w:r>
      <w:r>
        <w:t xml:space="preserve"> </w:t>
      </w:r>
      <w:r>
        <w:rPr>
          <w:iCs/>
          <w:i/>
        </w:rPr>
        <w:t xml:space="preserve">Bell,</w:t>
      </w:r>
      <w:r>
        <w:t xml:space="preserve"> </w:t>
      </w:r>
      <w:r>
        <w:t xml:space="preserve">464 F. 2d 339</w:t>
      </w:r>
      <w:r>
        <w:t xml:space="preserve">, 341 (CA9 1972).</w:t>
      </w:r>
    </w:p>
  </w:footnote>
  <w:footnote w:id="227">
    <w:p>
      <w:pPr>
        <w:pStyle w:val="CaseFootnoteText"/>
      </w:pPr>
      <w:r>
        <w:rPr>
          <w:rStyle w:val="FootnoteReference"/>
        </w:rPr>
        <w:t xml:space="preserve">10  </w:t>
      </w:r>
      <w:r>
        <w:t xml:space="preserve">Claims based on transactions involving officers, directors, or controlling stockliolders of the bankrupt corporation are always suspect. As the court said</w:t>
      </w:r>
      <w:r>
        <w:t xml:space="preserve"> </w:t>
      </w:r>
      <w:r>
        <w:rPr>
          <w:iCs/>
          <w:i/>
        </w:rPr>
        <w:t xml:space="preserve">in</w:t>
      </w:r>
      <w:r>
        <w:t xml:space="preserve"> </w:t>
      </w:r>
      <w:r>
        <w:t xml:space="preserve">Pepper v. Litton,</w:t>
      </w:r>
      <w:r>
        <w:t xml:space="preserve"> </w:t>
      </w:r>
      <w:r>
        <w:t xml:space="preserve">supra,</w:t>
      </w:r>
      <w:r>
        <w:t xml:space="preserve"> </w:t>
      </w:r>
      <w:r>
        <w:t xml:space="preserve">308 U.S. at pages 307-308, 60 S.Ct. at page 246: “ * * * In the exercise of its equitable jurisdiction the bankruptcy court has the power to sift the circumstances surrounding any claim to see that injustice or unfairness is not done in administration of the bankrupt estate. And its duty so to do is especially clear when the claim seeking allowance accrues to the benefit of an officer, director, or stockholder. * * * ”</w:t>
      </w:r>
    </w:p>
    <w:p>
      <w:pPr>
        <w:pStyle w:val="NodeEnd"/>
      </w:pPr>
      <w:r>
        <w:t xml:space="preserve"> </w:t>
      </w:r>
    </w:p>
    <w:p>
      <w:pPr>
        <w:pStyle w:val="NodeStart"/>
      </w:pPr>
      <w:r>
        <w:t xml:space="preserve"> </w:t>
      </w:r>
    </w:p>
    <w:p>
      <w:pPr>
        <w:pStyle w:val="HeadSeparator"/>
      </w:pPr>
      <w:r>
        <w:t xml:space="preserve"> </w:t>
      </w:r>
    </w:p>
  </w:footnote>
  <w:footnote w:id="228">
    <w:p>
      <w:pPr>
        <w:pStyle w:val="CaseFootnoteText"/>
      </w:pPr>
      <w:r>
        <w:rPr>
          <w:rStyle w:val="FootnoteReference"/>
        </w:rPr>
        <w:t xml:space="preserve">10  </w:t>
      </w:r>
      <w:r>
        <w:t xml:space="preserve">Negotiations with Exodus during July and August ultimately failed because, according to Intermedia, "Intermedia and Exodus could not agree on the restrictions on Intermedia’s ability to sell the Exodus shares it would receive for its Digex stock in order to comply with the covenants in its bond indentures.” Def. Intermedia’s Br., at 6.</w:t>
      </w:r>
    </w:p>
  </w:footnote>
  <w:footnote w:id="229">
    <w:p>
      <w:pPr>
        <w:pStyle w:val="CaseFootnoteText"/>
      </w:pPr>
      <w:r>
        <w:rPr>
          <w:rStyle w:val="FootnoteReference"/>
        </w:rPr>
        <w:t xml:space="preserve">10  </w:t>
      </w:r>
      <w:r>
        <w:t xml:space="preserve"/>
      </w:r>
      <w:r>
        <w:t xml:space="preserve"> </w:t>
      </w:r>
      <w:r>
        <w:rPr>
          <w:iCs/>
          <w:i/>
        </w:rPr>
        <w:t xml:space="preserve">Id.</w:t>
      </w:r>
      <w:r>
        <w:rPr>
          <w:iCs/>
          <w:i/>
        </w:rPr>
        <w:t xml:space="preserve"> </w:t>
      </w:r>
      <w:r>
        <w:t xml:space="preserve">at 64-66</w:t>
      </w:r>
      <w:r>
        <w:t xml:space="preserve">.</w:t>
      </w:r>
    </w:p>
  </w:footnote>
  <w:footnote w:id="230">
    <w:p>
      <w:pPr>
        <w:pStyle w:val="CaseFootnoteText"/>
      </w:pPr>
      <w:r>
        <w:rPr>
          <w:rStyle w:val="FootnoteReference"/>
        </w:rPr>
        <w:t xml:space="preserve">10  </w:t>
      </w:r>
      <w:r>
        <w:t xml:space="preserve"/>
      </w:r>
      <w:r>
        <w:t xml:space="preserve"> </w:t>
      </w:r>
      <w:r>
        <w:rPr>
          <w:iCs/>
          <w:i/>
        </w:rPr>
        <w:t xml:space="preserve">See, e.g., El Paso,</w:t>
      </w:r>
      <w:r>
        <w:t xml:space="preserve"> </w:t>
      </w:r>
      <w:r>
        <w:t xml:space="preserve">41 A.3d at 432</w:t>
      </w:r>
      <w:r>
        <w:t xml:space="preserve"> </w:t>
      </w:r>
      <w:r>
        <w:t xml:space="preserve">(refusing to enjoin a merger that "would violate accepted standards for the issuance of affirmative injunctions and attempt to force [the buyer] to consummate a different deal than it bargained for”);</w:t>
      </w:r>
      <w:r>
        <w:t xml:space="preserve"> </w:t>
      </w:r>
      <w:r>
        <w:rPr>
          <w:iCs/>
          <w:i/>
        </w:rPr>
        <w:t xml:space="preserve">In Re Toys "R" Us, Inc. S'holders Litig.,</w:t>
      </w:r>
      <w:r>
        <w:t xml:space="preserve"> </w:t>
      </w:r>
      <w:r>
        <w:t xml:space="preserve">877 A.2d 975</w:t>
      </w:r>
      <w:r>
        <w:t xml:space="preserve">, 1021 (Del. Ch.2005).</w:t>
      </w:r>
    </w:p>
  </w:footnote>
  <w:footnote w:id="231">
    <w:p>
      <w:pPr>
        <w:pStyle w:val="CaseFootnoteText"/>
      </w:pPr>
      <w:r>
        <w:rPr>
          <w:rStyle w:val="FootnoteReference"/>
        </w:rPr>
        <w:t xml:space="preserve">10  </w:t>
      </w:r>
      <w:r>
        <w:t xml:space="preserve">A different form of threat relating to the voluntariness of the shareholder’s choice would arise in a structurally noncoercive offer that contained false or misleading material information.</w:t>
      </w:r>
    </w:p>
  </w:footnote>
  <w:footnote w:id="232">
    <w:p>
      <w:pPr>
        <w:pStyle w:val="CaseFootnoteText"/>
      </w:pPr>
      <w:r>
        <w:rPr>
          <w:rStyle w:val="FootnoteReference"/>
        </w:rPr>
        <w:t xml:space="preserve">10  </w:t>
      </w:r>
      <w:r>
        <w:t xml:space="preserve"/>
      </w:r>
      <w:r>
        <w:t xml:space="preserve"> </w:t>
      </w:r>
      <w:r>
        <w:rPr>
          <w:iCs/>
          <w:i/>
        </w:rPr>
        <w:t xml:space="preserve">See Centaur Partners,</w:t>
      </w:r>
      <w:r>
        <w:t xml:space="preserve"> </w:t>
      </w:r>
      <w:r>
        <w:t xml:space="preserve">582 A.2d at 928</w:t>
      </w:r>
      <w:r>
        <w:t xml:space="preserve"> </w:t>
      </w:r>
      <w:r>
        <w:t xml:space="preserve">(quoting</w:t>
      </w:r>
      <w:r>
        <w:t xml:space="preserve"> </w:t>
      </w:r>
      <w:r>
        <w:rPr>
          <w:iCs/>
          <w:i/>
        </w:rPr>
        <w:t xml:space="preserve">Waggoner v. Laster,</w:t>
      </w:r>
      <w:r>
        <w:t xml:space="preserve"> </w:t>
      </w:r>
      <w:r>
        <w:t xml:space="preserve">581 A.2d 1127</w:t>
      </w:r>
      <w:r>
        <w:t xml:space="preserve">, 1134 (Del.1990)).</w:t>
      </w:r>
    </w:p>
  </w:footnote>
  <w:footnote w:id="233">
    <w:p>
      <w:pPr>
        <w:pStyle w:val="CaseFootnoteText"/>
      </w:pPr>
      <w:r>
        <w:rPr>
          <w:rStyle w:val="FootnoteReference"/>
        </w:rPr>
        <w:t xml:space="preserve">10  </w:t>
      </w:r>
      <w:r>
        <w:t xml:space="preserve">The Chairman, who voted against the May Proposal, equivocated on the question of whether Connell was also authorized to entertain inquiries from potential acquirors.</w:t>
      </w:r>
    </w:p>
  </w:footnote>
  <w:footnote w:id="234">
    <w:p>
      <w:pPr>
        <w:pStyle w:val="CaseFootnoteText"/>
      </w:pPr>
      <w:r>
        <w:rPr>
          <w:rStyle w:val="FootnoteReference"/>
        </w:rPr>
        <w:t xml:space="preserve">10  </w:t>
      </w:r>
      <w:r>
        <w:t xml:space="preserve">See</w:t>
      </w:r>
      <w:r>
        <w:t xml:space="preserve"> </w:t>
      </w:r>
      <w:r>
        <w:rPr>
          <w:iCs/>
          <w:i/>
        </w:rPr>
        <w:t xml:space="preserve">supra,</w:t>
      </w:r>
      <w:r>
        <w:t xml:space="preserve"> </w:t>
      </w:r>
      <w:r>
        <w:t xml:space="preserve">pages 22-23.</w:t>
      </w:r>
    </w:p>
    <w:p>
      <w:pPr>
        <w:pStyle w:val="NodeEnd"/>
      </w:pPr>
      <w:r>
        <w:t xml:space="preserve"> </w:t>
      </w:r>
    </w:p>
    <w:p>
      <w:pPr>
        <w:pStyle w:val="NodeStart"/>
      </w:pPr>
      <w:r>
        <w:t xml:space="preserve"> </w:t>
      </w:r>
    </w:p>
    <w:p>
      <w:pPr>
        <w:pStyle w:val="HeadSeparator"/>
      </w:pPr>
      <w:r>
        <w:t xml:space="preserve"> </w:t>
      </w:r>
    </w:p>
  </w:footnote>
  <w:footnote w:id="235">
    <w:p>
      <w:pPr>
        <w:pStyle w:val="CaseFootnoteText"/>
      </w:pPr>
      <w:r>
        <w:rPr>
          <w:rStyle w:val="FootnoteReference"/>
        </w:rPr>
        <w:t xml:space="preserve">10  </w:t>
      </w:r>
      <w:r>
        <w:t xml:space="preserve">Louis Nizer was a senior partner of the law firm of Phillips, Nizer, Benjamin, Krim &amp; Bal-lon and a well-known author. He had been a director of Occidental for eight years.</w:t>
      </w:r>
    </w:p>
  </w:footnote>
  <w:footnote w:id="236">
    <w:p>
      <w:pPr>
        <w:pStyle w:val="CaseFootnoteText"/>
      </w:pPr>
      <w:r>
        <w:rPr>
          <w:rStyle w:val="FootnoteReference"/>
        </w:rPr>
        <w:t xml:space="preserve">10  </w:t>
      </w:r>
      <w:r>
        <w:t xml:space="preserve"/>
      </w:r>
      <w:r>
        <w:t xml:space="preserve"> </w:t>
      </w:r>
      <w:r>
        <w:rPr>
          <w:iCs/>
          <w:i/>
        </w:rPr>
        <w:t xml:space="preserve">See</w:t>
      </w:r>
      <w:r>
        <w:t xml:space="preserve"> </w:t>
      </w:r>
      <w:r>
        <w:t xml:space="preserve">JX-105 (Goldman presentation to the Special Committee (September 15, 2004)) at SP COMM 006787 (showing net debt of Southern Peru was $15 million).</w:t>
      </w:r>
    </w:p>
  </w:footnote>
  <w:footnote w:id="238">
    <w:p>
      <w:pPr>
        <w:pStyle w:val="CaseFootnoteText"/>
      </w:pPr>
      <w:r>
        <w:rPr>
          <w:rStyle w:val="FootnoteReference"/>
        </w:rPr>
        <w:t xml:space="preserve">11  </w:t>
      </w:r>
      <w:r>
        <w:t xml:space="preserve"/>
      </w:r>
      <w:r>
        <w:t xml:space="preserve"> </w:t>
      </w:r>
      <w:r>
        <w:rPr>
          <w:iCs/>
          <w:i/>
        </w:rPr>
        <w:t xml:space="preserve">Dieckman v. Regency GP LP,</w:t>
      </w:r>
      <w:r>
        <w:t xml:space="preserve"> </w:t>
      </w:r>
      <w:r>
        <w:t xml:space="preserve">2016 WL 1223348</w:t>
      </w:r>
      <w:r>
        <w:t xml:space="preserve">, at *9 (Del. Ch. Mar. 29, 2016).</w:t>
      </w:r>
    </w:p>
  </w:footnote>
  <w:footnote w:id="239">
    <w:p>
      <w:pPr>
        <w:pStyle w:val="CaseFootnoteText"/>
      </w:pPr>
      <w:r>
        <w:rPr>
          <w:rStyle w:val="FootnoteReference"/>
        </w:rPr>
        <w:t xml:space="preserve">11  </w:t>
      </w:r>
      <w:r>
        <w:rPr>
          <w:iCs/>
          <w:i/>
        </w:rPr>
        <w:t xml:space="preserve">Id.</w:t>
      </w:r>
    </w:p>
  </w:footnote>
  <w:footnote w:id="240">
    <w:p>
      <w:pPr>
        <w:pStyle w:val="CaseFootnoteText"/>
      </w:pPr>
      <w:r>
        <w:rPr>
          <w:rStyle w:val="FootnoteReference"/>
        </w:rPr>
        <w:t xml:space="preserve">11  </w:t>
      </w:r>
      <w:r>
        <w:t xml:space="preserve"/>
      </w:r>
      <w:r>
        <w:t xml:space="preserve">Internal Revenue Code § 501(c)(4) applies,</w:t>
      </w:r>
      <w:r>
        <w:t xml:space="preserve"> </w:t>
      </w:r>
      <w:r>
        <w:rPr>
          <w:iCs/>
          <w:i/>
        </w:rPr>
        <w:t xml:space="preserve">inter alia,</w:t>
      </w:r>
      <w:r>
        <w:t xml:space="preserve"> </w:t>
      </w:r>
      <w:r>
        <w:t xml:space="preserve">to nonprofit organizations “operated exclusively for the promotion of social welfare,. .. the net earnings of which are devoted exclusively to charitable, educational, or recreational purposes.”</w:t>
      </w:r>
    </w:p>
  </w:footnote>
  <w:footnote w:id="241">
    <w:p>
      <w:pPr>
        <w:pStyle w:val="CaseFootnoteText"/>
      </w:pPr>
      <w:r>
        <w:rPr>
          <w:rStyle w:val="FootnoteReference"/>
        </w:rPr>
        <w:t xml:space="preserve">11  </w:t>
      </w:r>
      <w:r>
        <w:t xml:space="preserve"/>
      </w:r>
      <w:r>
        <w:t xml:space="preserve">The Court of Appeals quoted passages from</w:t>
      </w:r>
      <w:r>
        <w:t xml:space="preserve"> </w:t>
      </w:r>
      <w:r>
        <w:rPr>
          <w:iCs/>
          <w:i/>
        </w:rPr>
        <w:t xml:space="preserve">Pepper</w:t>
      </w:r>
      <w:r>
        <w:t xml:space="preserve"> </w:t>
      </w:r>
      <w:r>
        <w:t xml:space="preserve">v.</w:t>
      </w:r>
      <w:r>
        <w:t xml:space="preserve"> </w:t>
      </w:r>
      <w:r>
        <w:rPr>
          <w:iCs/>
          <w:i/>
        </w:rPr>
        <w:t xml:space="preserve">Litton,</w:t>
      </w:r>
      <w:r>
        <w:t xml:space="preserve"> </w:t>
      </w:r>
      <w:r>
        <w:t xml:space="preserve">308 U. S. 295</w:t>
      </w:r>
      <w:r>
        <w:t xml:space="preserve">, 306, 311 (1939) (where this Court upheld the disallowance of a bankruptcy claim of a controlling stockholder who violated his fiduciary obligation to the other stockholders), and from 1 J. Story, Equity Jurisprudence § 187 (1853); the court also cited cases that quoted the passage from Mr. Justice Story’s</w:t>
      </w:r>
      <w:r>
        <w:t xml:space="preserve"> </w:t>
      </w:r>
      <w:r>
        <w:rPr>
          <w:iCs/>
          <w:i/>
        </w:rPr>
        <w:t xml:space="preserve">treatise—Moore</w:t>
      </w:r>
      <w:r>
        <w:t xml:space="preserve"> </w:t>
      </w:r>
      <w:r>
        <w:t xml:space="preserve">v.</w:t>
      </w:r>
      <w:r>
        <w:t xml:space="preserve"> </w:t>
      </w:r>
      <w:r>
        <w:rPr>
          <w:iCs/>
          <w:i/>
        </w:rPr>
        <w:t xml:space="preserve">Crawford,</w:t>
      </w:r>
      <w:r>
        <w:t xml:space="preserve"> </w:t>
      </w:r>
      <w:r>
        <w:t xml:space="preserve">130 U. S. 122</w:t>
      </w:r>
      <w:r>
        <w:t xml:space="preserve">, 128 (1889) (a diversity suit to compel execution of a deed held in constructive trust), and</w:t>
      </w:r>
      <w:r>
        <w:t xml:space="preserve"> </w:t>
      </w:r>
      <w:r>
        <w:rPr>
          <w:iCs/>
          <w:i/>
        </w:rPr>
        <w:t xml:space="preserve">SEC</w:t>
      </w:r>
      <w:r>
        <w:t xml:space="preserve"> </w:t>
      </w:r>
      <w:r>
        <w:t xml:space="preserve">v.</w:t>
      </w:r>
      <w:r>
        <w:t xml:space="preserve"> </w:t>
      </w:r>
      <w:r>
        <w:rPr>
          <w:iCs/>
          <w:i/>
        </w:rPr>
        <w:t xml:space="preserve">Capital Gains Research Bureau,</w:t>
      </w:r>
      <w:r>
        <w:t xml:space="preserve"> </w:t>
      </w:r>
      <w:r>
        <w:t xml:space="preserve">375 U. S. 180</w:t>
      </w:r>
      <w:r>
        <w:t xml:space="preserve">, 194 (1963) (Investment Advisers Act of 1940 prohibits, as a “fraud or deceit upon any client,” a registered investment adviser’s failure to disclose to his clients his own financial interest in his recommendations). Although</w:t>
      </w:r>
      <w:r>
        <w:t xml:space="preserve"> </w:t>
      </w:r>
      <w:r>
        <w:rPr>
          <w:iCs/>
          <w:i/>
        </w:rPr>
        <w:t xml:space="preserve">Capital Gains</w:t>
      </w:r>
      <w:r>
        <w:t xml:space="preserve"> </w:t>
      </w:r>
      <w:r>
        <w:t xml:space="preserve">involved a federal securities statute, the Court’s references to fraud in the “equitable” sense of the term were premised on its recognition that Congress intended the Investment Advisers Act to establish federal fiduciary standards for investment advisers. See</w:t>
      </w:r>
      <w:r>
        <w:t xml:space="preserve"> </w:t>
      </w:r>
      <w:r>
        <w:rPr>
          <w:iCs/>
          <w:i/>
        </w:rPr>
        <w:t xml:space="preserve">id.,</w:t>
      </w:r>
      <w:r>
        <w:rPr>
          <w:iCs/>
          <w:i/>
        </w:rPr>
        <w:t xml:space="preserve"> </w:t>
      </w:r>
      <w:r>
        <w:t xml:space="preserve">at 191-192, 194</w:t>
      </w:r>
      <w:r>
        <w:t xml:space="preserve">. Moreover, the fraud that the SEC sought to enjoin in</w:t>
      </w:r>
      <w:r>
        <w:t xml:space="preserve"> </w:t>
      </w:r>
      <w:r>
        <w:rPr>
          <w:iCs/>
          <w:i/>
        </w:rPr>
        <w:t xml:space="preserve">Capital Gains</w:t>
      </w:r>
      <w:r>
        <w:t xml:space="preserve"> </w:t>
      </w:r>
      <w:r>
        <w:t xml:space="preserve">was, in fact, a nondisclosure.</w:t>
      </w:r>
    </w:p>
  </w:footnote>
  <w:footnote w:id="242">
    <w:p>
      <w:pPr>
        <w:pStyle w:val="CaseFootnoteText"/>
      </w:pPr>
      <w:r>
        <w:rPr>
          <w:rStyle w:val="FootnoteReference"/>
        </w:rPr>
        <w:t xml:space="preserve">11  </w:t>
      </w:r>
      <w:r>
        <w:t xml:space="preserve"/>
      </w:r>
      <w:r>
        <w:t xml:space="preserve">Federal Rule Civ. Proc. 56 (c) permits summary judgment only when “there is no genuine issue as to any material fact.”</w:t>
      </w:r>
    </w:p>
  </w:footnote>
  <w:footnote w:id="243">
    <w:p>
      <w:pPr>
        <w:pStyle w:val="CaseFootnoteText"/>
      </w:pPr>
      <w:r>
        <w:rPr>
          <w:rStyle w:val="FootnoteReference"/>
        </w:rPr>
        <w:t xml:space="preserve">11  </w:t>
      </w:r>
      <w:r>
        <w:t xml:space="preserve"/>
      </w:r>
      <w:r>
        <w:t xml:space="preserve">See Brief for Respondent 60.</w:t>
      </w:r>
    </w:p>
  </w:footnote>
  <w:footnote w:id="244">
    <w:p>
      <w:pPr>
        <w:pStyle w:val="CaseFootnoteText"/>
      </w:pPr>
      <w:r>
        <w:rPr>
          <w:rStyle w:val="FootnoteReference"/>
        </w:rPr>
        <w:t xml:space="preserve">11  </w:t>
      </w:r>
      <w:r>
        <w:t xml:space="preserve"/>
      </w:r>
      <w:r>
        <w:t xml:space="preserve"> </w:t>
      </w:r>
      <w:r>
        <w:rPr>
          <w:iCs/>
          <w:i/>
        </w:rPr>
        <w:t xml:space="preserve">See S-G Securities, Inc. v. Fuqua Investment Co.,</w:t>
      </w:r>
      <w:r>
        <w:t xml:space="preserve"> </w:t>
      </w:r>
      <w:r>
        <w:t xml:space="preserve">466 F.Supp. 1114</w:t>
      </w:r>
      <w:r>
        <w:t xml:space="preserve"> </w:t>
      </w:r>
      <w:r>
        <w:t xml:space="preserve">(D.Mass.1978);</w:t>
      </w:r>
      <w:r>
        <w:t xml:space="preserve"> </w:t>
      </w:r>
      <w:r>
        <w:rPr>
          <w:iCs/>
          <w:i/>
        </w:rPr>
        <w:t xml:space="preserve">Cattlemen’s Investment Co. v. Fears,</w:t>
      </w:r>
      <w:r>
        <w:t xml:space="preserve"> </w:t>
      </w:r>
      <w:r>
        <w:t xml:space="preserve">343 F.Supp. 1248</w:t>
      </w:r>
      <w:r>
        <w:t xml:space="preserve"> </w:t>
      </w:r>
      <w:r>
        <w:t xml:space="preserve">(W.D.Okla. 1972).</w:t>
      </w:r>
    </w:p>
  </w:footnote>
  <w:footnote w:id="245">
    <w:p>
      <w:pPr>
        <w:pStyle w:val="CaseFootnoteText"/>
      </w:pPr>
      <w:r>
        <w:rPr>
          <w:rStyle w:val="FootnoteReference"/>
        </w:rPr>
        <w:t xml:space="preserve">11  </w:t>
      </w:r>
      <w:r>
        <w:t xml:space="preserve">Pis.' Ex. 17 (minutes of July 26, 2000, Digex board meeting) at 2.</w:t>
      </w:r>
    </w:p>
  </w:footnote>
  <w:footnote w:id="246">
    <w:p>
      <w:pPr>
        <w:pStyle w:val="CaseFootnoteText"/>
      </w:pPr>
      <w:r>
        <w:rPr>
          <w:rStyle w:val="FootnoteReference"/>
        </w:rPr>
        <w:t xml:space="preserve">11  </w:t>
      </w:r>
      <w:r>
        <w:t xml:space="preserve"/>
      </w:r>
      <w:r>
        <w:t xml:space="preserve"> </w:t>
      </w:r>
      <w:r>
        <w:t xml:space="preserve">911 A.2d 362</w:t>
      </w:r>
      <w:r>
        <w:t xml:space="preserve"> </w:t>
      </w:r>
      <w:r>
        <w:t xml:space="preserve">(Del.2006).</w:t>
      </w:r>
    </w:p>
  </w:footnote>
  <w:footnote w:id="247">
    <w:p>
      <w:pPr>
        <w:pStyle w:val="CaseFootnoteText"/>
      </w:pPr>
      <w:r>
        <w:rPr>
          <w:rStyle w:val="FootnoteReference"/>
        </w:rPr>
        <w:t xml:space="preserve">11  </w:t>
      </w:r>
      <w:r>
        <w:t xml:space="preserve">The plaintiffs attempt to cast aspersions on Ma’s independence because Comstock supposedly "co-opted her” with a "potential consultancy deal” on the deal. Comstock mentions the possibility of engaging Ma and her team to provide diligence services in an email dated March 12, 2014. App. to Opening Br. at 2387. But Ma did not react to the possibility of working on the deal in her response email, nor does she mention the possibility again, at least in the record before us. Without any other evidence, we do not find it plausible that Ma, a General Manager at a private equity firm with a $12 billion portfolio, which owned a 10% equity interest in C &amp; J, would be co-opted by the possibility of a paid consultancy for Ma on this transaction.</w:t>
      </w:r>
    </w:p>
  </w:footnote>
  <w:footnote w:id="248">
    <w:p>
      <w:pPr>
        <w:pStyle w:val="CaseFootnoteText"/>
      </w:pPr>
      <w:r>
        <w:rPr>
          <w:rStyle w:val="FootnoteReference"/>
        </w:rPr>
        <w:t xml:space="preserve">11  </w:t>
      </w:r>
      <w:r>
        <w:t xml:space="preserve">Timing questions may be seen as simply a special case of price inadequacy. That is, the price offered is seen as inadequate because the firm’s prospects will appear better later; thus, a fair price now would be higher than that offered.</w:t>
      </w:r>
    </w:p>
  </w:footnote>
  <w:footnote w:id="249">
    <w:p>
      <w:pPr>
        <w:pStyle w:val="CaseFootnoteText"/>
      </w:pPr>
      <w:r>
        <w:rPr>
          <w:rStyle w:val="FootnoteReference"/>
        </w:rPr>
        <w:t xml:space="preserve">11  </w:t>
      </w:r>
      <w:r>
        <w:t xml:space="preserve"/>
      </w:r>
      <w:r>
        <w:t xml:space="preserve"> </w:t>
      </w:r>
      <w:r>
        <w:t xml:space="preserve">159 A.2d 288</w:t>
      </w:r>
      <w:r>
        <w:t xml:space="preserve"> </w:t>
      </w:r>
      <w:r>
        <w:t xml:space="preserve">(Del.Ch.1960).</w:t>
      </w:r>
    </w:p>
  </w:footnote>
  <w:footnote w:id="250">
    <w:p>
      <w:pPr>
        <w:pStyle w:val="CaseFootnoteText"/>
      </w:pPr>
      <w:r>
        <w:rPr>
          <w:rStyle w:val="FootnoteReference"/>
        </w:rPr>
        <w:t xml:space="preserve">11  </w:t>
      </w:r>
      <w:r>
        <w:t xml:space="preserve">BoB agreed to two modifications: first, that BoB would use "best" rather than "reasonable" efforts to obtain regulatory approval; and second, that the $20 per share cap would be adjusted upward in the event the transaction failed to close by June 30, 1993.</w:t>
      </w:r>
    </w:p>
  </w:footnote>
  <w:footnote w:id="251">
    <w:p>
      <w:pPr>
        <w:pStyle w:val="CaseFootnoteText"/>
      </w:pPr>
      <w:r>
        <w:rPr>
          <w:rStyle w:val="FootnoteReference"/>
        </w:rPr>
        <w:t xml:space="preserve">11  </w:t>
      </w:r>
      <w:r>
        <w:t xml:space="preserve">George O. Nolley was the founder, an officer and director of the Permian Corporation, which subsequently became a wholly-owned subsidiary of Occidental. He had been a director of Occidental for seven years.</w:t>
      </w:r>
    </w:p>
  </w:footnote>
  <w:footnote w:id="252">
    <w:p>
      <w:pPr>
        <w:pStyle w:val="CaseFootnoteText"/>
      </w:pPr>
      <w:r>
        <w:rPr>
          <w:rStyle w:val="FootnoteReference"/>
        </w:rPr>
        <w:t xml:space="preserve">11  </w:t>
      </w:r>
      <w:r>
        <w:t xml:space="preserve">JX-108 at AMC0019912.</w:t>
      </w:r>
    </w:p>
  </w:footnote>
  <w:footnote w:id="254">
    <w:p>
      <w:pPr>
        <w:pStyle w:val="CaseFootnoteText"/>
      </w:pPr>
      <w:r>
        <w:rPr>
          <w:rStyle w:val="FootnoteReference"/>
        </w:rPr>
        <w:t xml:space="preserve">12  </w:t>
      </w:r>
      <w:r>
        <w:t xml:space="preserve"/>
      </w:r>
      <w:r>
        <w:t xml:space="preserve"> </w:t>
      </w:r>
      <w:r>
        <w:rPr>
          <w:iCs/>
          <w:i/>
        </w:rPr>
        <w:t xml:space="preserve">Id.</w:t>
      </w:r>
    </w:p>
  </w:footnote>
  <w:footnote w:id="255">
    <w:p>
      <w:pPr>
        <w:pStyle w:val="CaseFootnoteText"/>
      </w:pPr>
      <w:r>
        <w:rPr>
          <w:rStyle w:val="FootnoteReference"/>
        </w:rPr>
        <w:t xml:space="preserve">12  </w:t>
      </w:r>
      <w:r>
        <w:rPr>
          <w:iCs/>
          <w:i/>
        </w:rPr>
        <w:t xml:space="preserve">See</w:t>
      </w:r>
      <w:r>
        <w:t xml:space="preserve"/>
      </w:r>
      <w:r>
        <w:t xml:space="preserve">App. to Opening Br. at A2057 (Amendment No. 3), A2055 (Amendment No. 4), A2053 (Amendment No. 5), A2049 (Amendment No. 6).</w:t>
      </w:r>
    </w:p>
  </w:footnote>
  <w:footnote w:id="256">
    <w:p>
      <w:pPr>
        <w:pStyle w:val="CaseFootnoteText"/>
      </w:pPr>
      <w:r>
        <w:rPr>
          <w:rStyle w:val="FootnoteReference"/>
        </w:rPr>
        <w:t xml:space="preserve">12  </w:t>
      </w:r>
      <w:r>
        <w:t xml:space="preserve"/>
      </w:r>
      <w:r>
        <w:t xml:space="preserve">The Chief Justice is therefore much too quick when he suggests that, “[e]ven if considered in as-applied terms, a holding in this case that the Act may not be applied to Citizens United — because corporations as well as individuals enjoy the pertinent First Amendment rights — would mean that any other corporation raising the same challenge would also win.”</w:t>
      </w:r>
      <w:r>
        <w:t xml:space="preserve"> </w:t>
      </w:r>
      <w:r>
        <w:rPr>
          <w:iCs/>
          <w:i/>
        </w:rPr>
        <w:t xml:space="preserve">Ante,</w:t>
      </w:r>
      <w:r>
        <w:t xml:space="preserve"> </w:t>
      </w:r>
      <w:r>
        <w:t xml:space="preserve">at 376 (concurring opinion). That conclusion would only follow if the Court were to ignore Citizens United’s plausible as-applied arguments and instead take the implausible position that</w:t>
      </w:r>
      <w:r>
        <w:t xml:space="preserve"> </w:t>
      </w:r>
      <w:r>
        <w:rPr>
          <w:iCs/>
          <w:i/>
        </w:rPr>
        <w:t xml:space="preserve">all</w:t>
      </w:r>
      <w:r>
        <w:t xml:space="preserve"> </w:t>
      </w:r>
      <w:r>
        <w:t xml:space="preserve">corporations and</w:t>
      </w:r>
      <w:r>
        <w:t xml:space="preserve"> </w:t>
      </w:r>
      <w:r>
        <w:rPr>
          <w:iCs/>
          <w:i/>
        </w:rPr>
        <w:t xml:space="preserve">all</w:t>
      </w:r>
      <w:r>
        <w:t xml:space="preserve"> </w:t>
      </w:r>
      <w:r>
        <w:t xml:space="preserve">types of expenditures enjoy the same First Amendment protections, which</w:t>
      </w:r>
      <w:r>
        <w:t xml:space="preserve"> </w:t>
      </w:r>
      <w:r>
        <w:rPr>
          <w:iCs/>
          <w:i/>
        </w:rPr>
        <w:t xml:space="preserve">always</w:t>
      </w:r>
      <w:r>
        <w:t xml:space="preserve"> </w:t>
      </w:r>
      <w:r>
        <w:t xml:space="preserve">trump the interests in regulation. At times, the majority appears to endorse this extreme view. At other times, however, it appears to suggest that nonprofit corporations have a better claim to First Amendment protection than for-profit corporations, see</w:t>
      </w:r>
      <w:r>
        <w:t xml:space="preserve"> </w:t>
      </w:r>
      <w:r>
        <w:rPr>
          <w:iCs/>
          <w:i/>
        </w:rPr>
        <w:t xml:space="preserve">ante,</w:t>
      </w:r>
      <w:r>
        <w:t xml:space="preserve"> </w:t>
      </w:r>
      <w:r>
        <w:t xml:space="preserve">at 337, 355, “advocacy” organizations have a better claim than other nonprofits,</w:t>
      </w:r>
      <w:r>
        <w:t xml:space="preserve"> </w:t>
      </w:r>
      <w:r>
        <w:rPr>
          <w:iCs/>
          <w:i/>
        </w:rPr>
        <w:t xml:space="preserve">ante,</w:t>
      </w:r>
      <w:r>
        <w:t xml:space="preserve"> </w:t>
      </w:r>
      <w:r>
        <w:t xml:space="preserve">at 337, domestic corporations have a better claim than foreign corporations,</w:t>
      </w:r>
      <w:r>
        <w:t xml:space="preserve"> </w:t>
      </w:r>
      <w:r>
        <w:rPr>
          <w:iCs/>
          <w:i/>
        </w:rPr>
        <w:t xml:space="preserve">ante,</w:t>
      </w:r>
      <w:r>
        <w:t xml:space="preserve"> </w:t>
      </w:r>
      <w:r>
        <w:t xml:space="preserve">at 362, small corporations have a better claim than large corporations,</w:t>
      </w:r>
      <w:r>
        <w:t xml:space="preserve"> </w:t>
      </w:r>
      <w:r>
        <w:rPr>
          <w:iCs/>
          <w:i/>
        </w:rPr>
        <w:t xml:space="preserve">ante,</w:t>
      </w:r>
      <w:r>
        <w:t xml:space="preserve"> </w:t>
      </w:r>
      <w:r>
        <w:t xml:space="preserve">at 354-356, and printed matter has a better claim than broadcast communications,</w:t>
      </w:r>
      <w:r>
        <w:t xml:space="preserve"> </w:t>
      </w:r>
      <w:r>
        <w:rPr>
          <w:iCs/>
          <w:i/>
        </w:rPr>
        <w:t xml:space="preserve">ante,</w:t>
      </w:r>
      <w:r>
        <w:t xml:space="preserve"> </w:t>
      </w:r>
      <w:r>
        <w:t xml:space="preserve">at 349. The majority never uses a multinational business corporation in its hypotheticals.</w:t>
      </w:r>
    </w:p>
  </w:footnote>
  <w:footnote w:id="257">
    <w:p>
      <w:pPr>
        <w:pStyle w:val="CaseFootnoteText"/>
      </w:pPr>
      <w:r>
        <w:rPr>
          <w:rStyle w:val="FootnoteReference"/>
        </w:rPr>
        <w:t xml:space="preserve">12  </w:t>
      </w:r>
      <w:r>
        <w:t xml:space="preserve"/>
      </w:r>
      <w:r>
        <w:t xml:space="preserve">The case for adhering to the language of the statute is even stronger here than in</w:t>
      </w:r>
      <w:r>
        <w:t xml:space="preserve"> </w:t>
      </w:r>
      <w:r>
        <w:rPr>
          <w:iCs/>
          <w:i/>
        </w:rPr>
        <w:t xml:space="preserve">Ernst &amp; Ernst,</w:t>
      </w:r>
      <w:r>
        <w:t xml:space="preserve"> </w:t>
      </w:r>
      <w:r>
        <w:t xml:space="preserve">where the interpretation of Rule 10b-5 rejected by the Court was strongly urged by the Commission. See also</w:t>
      </w:r>
      <w:r>
        <w:t xml:space="preserve"> </w:t>
      </w:r>
      <w:r>
        <w:rPr>
          <w:iCs/>
          <w:i/>
        </w:rPr>
        <w:t xml:space="preserve">Piper</w:t>
      </w:r>
      <w:r>
        <w:t xml:space="preserve"> </w:t>
      </w:r>
      <w:r>
        <w:t xml:space="preserve">v.</w:t>
      </w:r>
      <w:r>
        <w:t xml:space="preserve"> </w:t>
      </w:r>
      <w:r>
        <w:rPr>
          <w:iCs/>
          <w:i/>
        </w:rPr>
        <w:t xml:space="preserve">Chris-Craft Industries, Inc., ante,</w:t>
      </w:r>
      <w:r>
        <w:t xml:space="preserve"> </w:t>
      </w:r>
      <w:r>
        <w:t xml:space="preserve">p. 1, and</w:t>
      </w:r>
      <w:r>
        <w:t xml:space="preserve"> </w:t>
      </w:r>
      <w:r>
        <w:rPr>
          <w:iCs/>
          <w:i/>
        </w:rPr>
        <w:t xml:space="preserve">Blue Chip Stamps</w:t>
      </w:r>
      <w:r>
        <w:t xml:space="preserve"> </w:t>
      </w:r>
      <w:r>
        <w:t xml:space="preserve">v.</w:t>
      </w:r>
      <w:r>
        <w:t xml:space="preserve"> </w:t>
      </w:r>
      <w:r>
        <w:rPr>
          <w:iCs/>
          <w:i/>
        </w:rPr>
        <w:t xml:space="preserve">Manor Drug Stores,</w:t>
      </w:r>
      <w:r>
        <w:t xml:space="preserve"> </w:t>
      </w:r>
      <w:r>
        <w:t xml:space="preserve">421 U. S. 723</w:t>
      </w:r>
      <w:r>
        <w:t xml:space="preserve"> </w:t>
      </w:r>
      <w:r>
        <w:t xml:space="preserve">(1975) (rejecting interpretations of Rule 10b-5 urged by the SEC as</w:t>
      </w:r>
      <w:r>
        <w:t xml:space="preserve"> </w:t>
      </w:r>
      <w:r>
        <w:rPr>
          <w:iCs/>
          <w:i/>
        </w:rPr>
        <w:t xml:space="preserve">amicus curiae).</w:t>
      </w:r>
      <w:r>
        <w:t xml:space="preserve"> </w:t>
      </w:r>
      <w:r>
        <w:t xml:space="preserve">By contrast, the Commission apparently has not concluded that Rule 10b-5 should be used to reach “going private” transactions where the majority stockholder eliminates the minority at an allegedly unfair price. See SEC Securities Act Release No. 5567 (Feb. 6, 1975), CCH</w:t>
      </w:r>
      <w:r>
        <w:t xml:space="preserve"> </w:t>
      </w:r>
      <w:r>
        <w:t xml:space="preserve">Fed. Sec. L. Rep. ¶ 80,104</w:t>
      </w:r>
      <w:r>
        <w:t xml:space="preserve"> </w:t>
      </w:r>
      <w:r>
        <w:t xml:space="preserve">(proposing Rules 13e-3A and 13e-3B dealing with “going private” transactions, pursuant to six sections of the 1934 Act including § 10 (b), but stating that the Commission “has reached no conclusions with respect to the proposed rules”). Because we are concerned here only with § 10 (b), we intimate no view as to the Commission’s authority to promulgate such rules under other sections of the Act.</w:t>
      </w:r>
    </w:p>
  </w:footnote>
  <w:footnote w:id="258">
    <w:p>
      <w:pPr>
        <w:pStyle w:val="CaseFootnoteText"/>
      </w:pPr>
      <w:r>
        <w:rPr>
          <w:rStyle w:val="FootnoteReference"/>
        </w:rPr>
        <w:t xml:space="preserve">12  </w:t>
      </w:r>
      <w:r>
        <w:t xml:space="preserve"/>
      </w:r>
      <w:r>
        <w:t xml:space="preserve">In an analogous context, the jury’s unique competence in applying the “reasonable man” standard is thought ordinarily to preclude summary judgment in negligence cases. See 10 C. Wright &amp; A. Miller, Federal Practice and Procedure: Civil §2729 (1973).</w:t>
      </w:r>
    </w:p>
  </w:footnote>
  <w:footnote w:id="259">
    <w:p>
      <w:pPr>
        <w:pStyle w:val="CaseFootnoteText"/>
      </w:pPr>
      <w:r>
        <w:rPr>
          <w:rStyle w:val="FootnoteReference"/>
        </w:rPr>
        <w:t xml:space="preserve">12  </w:t>
      </w:r>
      <w:r>
        <w:t xml:space="preserve"/>
      </w:r>
      <w:r>
        <w:t xml:space="preserve">See n. 1,</w:t>
      </w:r>
      <w:r>
        <w:t xml:space="preserve"> </w:t>
      </w:r>
      <w:r>
        <w:rPr>
          <w:iCs/>
          <w:i/>
        </w:rPr>
        <w:t xml:space="preserve">supra;</w:t>
      </w:r>
      <w:r>
        <w:t xml:space="preserve"> </w:t>
      </w:r>
      <w:r>
        <w:t xml:space="preserve">492 F. 2d, at 144 n. 3 (Hufstedler, J., dissenting).</w:t>
      </w:r>
    </w:p>
  </w:footnote>
  <w:footnote w:id="260">
    <w:p>
      <w:pPr>
        <w:pStyle w:val="CaseFootnoteText"/>
      </w:pPr>
      <w:r>
        <w:rPr>
          <w:rStyle w:val="FootnoteReference"/>
        </w:rPr>
        <w:t xml:space="preserve">12  </w:t>
      </w:r>
      <w:r>
        <w:t xml:space="preserve"/>
      </w:r>
      <w:r>
        <w:t xml:space="preserve"> </w:t>
      </w:r>
      <w:r>
        <w:rPr>
          <w:iCs/>
          <w:i/>
        </w:rPr>
        <w:t xml:space="preserve">See</w:t>
      </w:r>
      <w:r>
        <w:t xml:space="preserve"> </w:t>
      </w:r>
      <w:r>
        <w:t xml:space="preserve">113 Cong.Rec. at 854-6 and</w:t>
      </w:r>
      <w:r>
        <w:t xml:space="preserve"> </w:t>
      </w:r>
      <w:r>
        <w:rPr>
          <w:iCs/>
          <w:i/>
        </w:rPr>
        <w:t xml:space="preserve">Hearings on S. 510 Before Sub-Comm. on Securities of Senate Comm, on Banking and Currency,</w:t>
      </w:r>
      <w:r>
        <w:t xml:space="preserve"> </w:t>
      </w:r>
      <w:r>
        <w:t xml:space="preserve">90th Cong., 1st Sess. at 16, 17, 24-25, 36 (1967).</w:t>
      </w:r>
    </w:p>
  </w:footnote>
  <w:footnote w:id="261">
    <w:p>
      <w:pPr>
        <w:pStyle w:val="CaseFootnoteText"/>
      </w:pPr>
      <w:r>
        <w:rPr>
          <w:rStyle w:val="FootnoteReference"/>
        </w:rPr>
        <w:t xml:space="preserve">12  </w:t>
      </w:r>
      <w:r>
        <w:t xml:space="preserve">Exodus had rejected Intermedia’s counteroffer and negotiations had ended.</w:t>
      </w:r>
    </w:p>
  </w:footnote>
  <w:footnote w:id="262">
    <w:p>
      <w:pPr>
        <w:pStyle w:val="CaseFootnoteText"/>
      </w:pPr>
      <w:r>
        <w:rPr>
          <w:rStyle w:val="FootnoteReference"/>
        </w:rPr>
        <w:t xml:space="preserve">12  </w:t>
      </w:r>
      <w:r>
        <w:t xml:space="preserve"/>
      </w:r>
      <w:r>
        <w:t xml:space="preserve"> </w:t>
      </w:r>
      <w:r>
        <w:t xml:space="preserve">698 A.2d 959</w:t>
      </w:r>
      <w:r>
        <w:t xml:space="preserve">, 971 (Del.Ch.1996).</w:t>
      </w:r>
    </w:p>
  </w:footnote>
  <w:footnote w:id="263">
    <w:p>
      <w:pPr>
        <w:pStyle w:val="CaseFootnoteText"/>
      </w:pPr>
      <w:r>
        <w:rPr>
          <w:rStyle w:val="FootnoteReference"/>
        </w:rPr>
        <w:t xml:space="preserve">12  </w:t>
      </w:r>
      <w:r>
        <w:t xml:space="preserve">Reply Br. at 7 (quoting</w:t>
      </w:r>
      <w:r>
        <w:t xml:space="preserve"> </w:t>
      </w:r>
      <w:r>
        <w:rPr>
          <w:iCs/>
          <w:i/>
        </w:rPr>
        <w:t xml:space="preserve">In re Pennaco Energy, Inc.,</w:t>
      </w:r>
      <w:r>
        <w:t xml:space="preserve"> </w:t>
      </w:r>
      <w:r>
        <w:t xml:space="preserve">787 A.2d 691</w:t>
      </w:r>
      <w:r>
        <w:t xml:space="preserve">, 705 (Del. Ch.2001)).</w:t>
      </w:r>
    </w:p>
  </w:footnote>
  <w:footnote w:id="264">
    <w:p>
      <w:pPr>
        <w:pStyle w:val="CaseFootnoteText"/>
      </w:pPr>
      <w:r>
        <w:rPr>
          <w:rStyle w:val="FootnoteReference"/>
        </w:rPr>
        <w:t xml:space="preserve">12  </w:t>
      </w:r>
      <w:r>
        <w:t xml:space="preserve"/>
      </w:r>
      <w:r>
        <w:rPr>
          <w:iCs/>
          <w:i/>
        </w:rPr>
        <w:t xml:space="preserve">.See also CFRT v. Federated Department Stores, Inc.,</w:t>
      </w:r>
      <w:r>
        <w:t xml:space="preserve"> </w:t>
      </w:r>
      <w:r>
        <w:t xml:space="preserve">683 F.Supp. 422</w:t>
      </w:r>
      <w:r>
        <w:t xml:space="preserve"> </w:t>
      </w:r>
      <w:r>
        <w:t xml:space="preserve">(S.D.N.Y.1988);</w:t>
      </w:r>
      <w:r>
        <w:t xml:space="preserve"> </w:t>
      </w:r>
      <w:r>
        <w:rPr>
          <w:iCs/>
          <w:i/>
        </w:rPr>
        <w:t xml:space="preserve">BNS, Inc.</w:t>
      </w:r>
      <w:r>
        <w:t xml:space="preserve"> </w:t>
      </w:r>
      <w:r>
        <w:t xml:space="preserve">v.</w:t>
      </w:r>
      <w:r>
        <w:t xml:space="preserve"> </w:t>
      </w:r>
      <w:r>
        <w:rPr>
          <w:iCs/>
          <w:i/>
        </w:rPr>
        <w:t xml:space="preserve">Koppers Company, Inc.,</w:t>
      </w:r>
      <w:r>
        <w:t xml:space="preserve"> </w:t>
      </w:r>
      <w:r>
        <w:t xml:space="preserve">683 F.Supp. 458</w:t>
      </w:r>
      <w:r>
        <w:t xml:space="preserve"> </w:t>
      </w:r>
      <w:r>
        <w:t xml:space="preserve">(D.Del.1988) (both of which apply Delaware law).</w:t>
      </w:r>
    </w:p>
  </w:footnote>
  <w:footnote w:id="265">
    <w:p>
      <w:pPr>
        <w:pStyle w:val="CaseFootnoteText"/>
      </w:pPr>
      <w:r>
        <w:rPr>
          <w:rStyle w:val="FootnoteReference"/>
        </w:rPr>
        <w:t xml:space="preserve">12  </w:t>
      </w:r>
      <w:r>
        <w:t xml:space="preserve"/>
      </w:r>
      <w:r>
        <w:t xml:space="preserve"> </w:t>
      </w:r>
      <w:r>
        <w:rPr>
          <w:iCs/>
          <w:i/>
        </w:rPr>
        <w:t xml:space="preserve">Airgas,</w:t>
      </w:r>
      <w:r>
        <w:t xml:space="preserve"> </w:t>
      </w:r>
      <w:r>
        <w:t xml:space="preserve">2010 WL 3960599</w:t>
      </w:r>
      <w:r>
        <w:t xml:space="preserve">, at *6-8 (citations omitted).</w:t>
      </w:r>
    </w:p>
  </w:footnote>
  <w:footnote w:id="266">
    <w:p>
      <w:pPr>
        <w:pStyle w:val="CaseFootnoteText"/>
      </w:pPr>
      <w:r>
        <w:rPr>
          <w:rStyle w:val="FootnoteReference"/>
        </w:rPr>
        <w:t xml:space="preserve">12  </w:t>
      </w:r>
      <w:r>
        <w:t xml:space="preserve">The Chairman and Weinerman later approved the Merger at a March 4, 1993 shareholder meeting.</w:t>
      </w:r>
    </w:p>
  </w:footnote>
  <w:footnote w:id="267">
    <w:p>
      <w:pPr>
        <w:pStyle w:val="CaseFootnoteText"/>
      </w:pPr>
      <w:r>
        <w:rPr>
          <w:rStyle w:val="FootnoteReference"/>
        </w:rPr>
        <w:t xml:space="preserve">12  </w:t>
      </w:r>
      <w:r>
        <w:t xml:space="preserve">C. Erwin Piper was a special agent for the Federal Bureau of Investigation, from 1941 to 1961, serving as Agent in Charge of the Honolulu, Memphis, Indianapolis and San Diego offices. He had been a director of Occidental for ten years.</w:t>
      </w:r>
    </w:p>
  </w:footnote>
  <w:footnote w:id="268">
    <w:p>
      <w:pPr>
        <w:pStyle w:val="CaseFootnoteText"/>
      </w:pPr>
      <w:r>
        <w:rPr>
          <w:rStyle w:val="FootnoteReference"/>
        </w:rPr>
        <w:t xml:space="preserve">12  </w:t>
      </w:r>
      <w:r>
        <w:t xml:space="preserve"/>
      </w:r>
      <w:r>
        <w:t xml:space="preserve"> </w:t>
      </w:r>
      <w:r>
        <w:rPr>
          <w:iCs/>
          <w:i/>
        </w:rPr>
        <w:t xml:space="preserve">Id.</w:t>
      </w:r>
    </w:p>
  </w:footnote>
  <w:footnote w:id="270">
    <w:p>
      <w:pPr>
        <w:pStyle w:val="CaseFootnoteText"/>
      </w:pPr>
      <w:r>
        <w:rPr>
          <w:rStyle w:val="FootnoteReference"/>
        </w:rPr>
        <w:t xml:space="preserve">13  </w:t>
      </w:r>
      <w:r>
        <w:t xml:space="preserve"/>
      </w:r>
      <w:r>
        <w:t xml:space="preserve"> </w:t>
      </w:r>
      <w:r>
        <w:rPr>
          <w:iCs/>
          <w:i/>
        </w:rPr>
        <w:t xml:space="preserve">Id.</w:t>
      </w:r>
      <w:r>
        <w:t xml:space="preserve"> </w:t>
      </w:r>
      <w:r>
        <w:t xml:space="preserve">at *10.</w:t>
      </w:r>
    </w:p>
  </w:footnote>
  <w:footnote w:id="271">
    <w:p>
      <w:pPr>
        <w:pStyle w:val="CaseFootnoteText"/>
      </w:pPr>
      <w:r>
        <w:rPr>
          <w:rStyle w:val="FootnoteReference"/>
        </w:rPr>
        <w:t xml:space="preserve">13  </w:t>
      </w:r>
      <w:r>
        <w:t xml:space="preserve">This clause, known as the All Securities Clause, is discussed in greater detail at pp. 493-94, 496-98,</w:t>
      </w:r>
      <w:r>
        <w:t xml:space="preserve"/>
      </w:r>
      <w:r>
        <w:rPr>
          <w:iCs/>
          <w:i/>
        </w:rPr>
        <w:t xml:space="preserve">infra</w:t>
      </w:r>
      <w:r>
        <w:t xml:space="preserve"> </w:t>
      </w:r>
      <w:r>
        <w:t xml:space="preserve">.</w:t>
      </w:r>
    </w:p>
  </w:footnote>
  <w:footnote w:id="272">
    <w:p>
      <w:pPr>
        <w:pStyle w:val="CaseFootnoteText"/>
      </w:pPr>
      <w:r>
        <w:rPr>
          <w:rStyle w:val="FootnoteReference"/>
        </w:rPr>
        <w:t xml:space="preserve">13  </w:t>
      </w:r>
      <w:r>
        <w:t xml:space="preserve"/>
      </w:r>
      <w:r>
        <w:t xml:space="preserve">The Court entirely ignores this statutory argument. It concludes that §203 applies to</w:t>
      </w:r>
      <w:r>
        <w:t xml:space="preserve"> </w:t>
      </w:r>
      <w:r>
        <w:rPr>
          <w:iCs/>
          <w:i/>
        </w:rPr>
        <w:t xml:space="preserve">Hillary</w:t>
      </w:r>
      <w:r>
        <w:t xml:space="preserve"> </w:t>
      </w:r>
      <w:r>
        <w:t xml:space="preserve">on the basis of the film’s content,</w:t>
      </w:r>
      <w:r>
        <w:t xml:space="preserve"> </w:t>
      </w:r>
      <w:r>
        <w:rPr>
          <w:iCs/>
          <w:i/>
        </w:rPr>
        <w:t xml:space="preserve">ante,</w:t>
      </w:r>
      <w:r>
        <w:t xml:space="preserve"> </w:t>
      </w:r>
      <w:r>
        <w:t xml:space="preserve">at 324-326, without considering the possibility that §203 does not apply to video-on-demand transmissions generally.</w:t>
      </w:r>
    </w:p>
  </w:footnote>
  <w:footnote w:id="273">
    <w:p>
      <w:pPr>
        <w:pStyle w:val="CaseFootnoteText"/>
      </w:pPr>
      <w:r>
        <w:rPr>
          <w:rStyle w:val="FootnoteReference"/>
        </w:rPr>
        <w:t xml:space="preserve">13  </w:t>
      </w:r>
      <w:r>
        <w:t xml:space="preserve"/>
      </w:r>
      <w:r>
        <w:t xml:space="preserve">As the Court noted in</w:t>
      </w:r>
      <w:r>
        <w:t xml:space="preserve"> </w:t>
      </w:r>
      <w:r>
        <w:rPr>
          <w:iCs/>
          <w:i/>
        </w:rPr>
        <w:t xml:space="preserve">Ernst &amp; Ernst:</w:t>
      </w:r>
      <w:r>
        <w:t xml:space="preserve"> </w:t>
      </w:r>
      <w:r>
        <w:t xml:space="preserve">“Neither the intended scope of § 10 (b) nor the reasons for the changes in its operative language are revealed explicitly in the legislative history of the 1934 Act, which deals primarily with other aspects of the legislation.”</w:t>
      </w:r>
      <w:r>
        <w:t xml:space="preserve"> </w:t>
      </w:r>
      <w:r>
        <w:t xml:space="preserve">425 U. S., at 202</w:t>
      </w:r>
      <w:r>
        <w:t xml:space="preserve">. The only specific reference to § 10 in the Senate Report on the 1934 Act merely states that the section was “aimed at those manipulative and deceptive practices which have been demonstrated to fulfill no useful function.” S. Rep. No. 792, 73d Cong., 2d Sess., 6 (1934).</w:t>
      </w:r>
    </w:p>
  </w:footnote>
  <w:footnote w:id="274">
    <w:p>
      <w:pPr>
        <w:pStyle w:val="CaseFootnoteText"/>
      </w:pPr>
      <w:r>
        <w:rPr>
          <w:rStyle w:val="FootnoteReference"/>
        </w:rPr>
        <w:t xml:space="preserve">13  </w:t>
      </w:r>
      <w:r>
        <w:t xml:space="preserve"/>
      </w:r>
      <w:r>
        <w:t xml:space="preserve">The quoted language is from National’s Form 13D, filed in compliance with § 13 (d) of the Securities Exchange Act, 15 U. S. C. §78m(d). See</w:t>
      </w:r>
      <w:r>
        <w:t xml:space="preserve"> </w:t>
      </w:r>
      <w:r>
        <w:t xml:space="preserve">17 CFR §240</w:t>
      </w:r>
      <w:r>
        <w:t xml:space="preserve">.13d-l (1975). Substantially identical language appeared in TSC’s Form 10-K, and was incorporated by reference into its Form 8-K, both filed in compliance with § 13 (a) of the Securities Exchange Act, 15 U. S. C. § 78m (a). See</w:t>
      </w:r>
      <w:r>
        <w:t xml:space="preserve"> </w:t>
      </w:r>
      <w:r>
        <w:t xml:space="preserve">17 CFR §§ 240</w:t>
      </w:r>
      <w:r>
        <w:t xml:space="preserve">.13a-10-ll (1975). The term “parent” is defined in SEC Rule 12b-2 (a), (f), (k),</w:t>
      </w:r>
      <w:r>
        <w:t xml:space="preserve"> </w:t>
      </w:r>
      <w:r>
        <w:t xml:space="preserve">17 CFR §§ 240</w:t>
      </w:r>
      <w:r>
        <w:t xml:space="preserve">.12b-2 (a), (f), (k) (1975):</w:t>
      </w:r>
    </w:p>
    <w:p>
      <w:pPr>
        <w:pStyle w:val="BlockText"/>
      </w:pPr>
      <w:r>
        <w:t xml:space="preserve">“Unless the context otherwise requires, the following terms, when used in the rules contained in this regulation or in Regulation 13A or 15D or in the forms for statements and reports filed pursuant to sections 12, 13 or 15 (d) of the [Securities Exchange] Act, shall have the respective meanings indicated in this rule:</w:t>
      </w:r>
    </w:p>
    <w:p>
      <w:pPr>
        <w:pStyle w:val="BlockText"/>
      </w:pPr>
      <w:r>
        <w:t xml:space="preserve">“(a)</w:t>
      </w:r>
      <w:r>
        <w:t xml:space="preserve"/>
      </w:r>
      <w:r>
        <w:rPr>
          <w:iCs/>
          <w:i/>
        </w:rPr>
        <w:t xml:space="preserve">Affiliate.</w:t>
      </w:r>
      <w:r>
        <w:t xml:space="preserve"> </w:t>
      </w:r>
      <w:r>
        <w:t xml:space="preserve">An ‘affiliate’ of, or a person ‘affiliated’ with, a specified person, is a person that directly, or indirectly through one or more intermediaries, controls, or is controlled by, or is under common control with, the person specified.</w:t>
      </w:r>
    </w:p>
    <w:p>
      <w:pPr>
        <w:pStyle w:val="BlockText"/>
      </w:pPr>
      <w:r>
        <w:t xml:space="preserve">“(f)</w:t>
      </w:r>
      <w:r>
        <w:t xml:space="preserve"/>
      </w:r>
      <w:r>
        <w:rPr>
          <w:iCs/>
          <w:i/>
        </w:rPr>
        <w:t xml:space="preserve">Control.</w:t>
      </w:r>
      <w:r>
        <w:t xml:space="preserve"> </w:t>
      </w:r>
      <w:r>
        <w:t xml:space="preserve">The term ‘control’ (including the terms ‘controlling,’ ‘controlled by’ and ‘under common control with’) means the possession, directly or indirectly, of the power to direct or cause the direction of the management and policies of a person, whether through the ownership of voting securities, by contract, or otherwise.</w:t>
      </w:r>
    </w:p>
    <w:p>
      <w:pPr>
        <w:pStyle w:val="BlockText"/>
      </w:pPr>
      <w:r>
        <w:t xml:space="preserve">“(k)</w:t>
      </w:r>
      <w:r>
        <w:t xml:space="preserve"/>
      </w:r>
      <w:r>
        <w:rPr>
          <w:iCs/>
          <w:i/>
        </w:rPr>
        <w:t xml:space="preserve">Parent.</w:t>
      </w:r>
      <w:r>
        <w:t xml:space="preserve"> </w:t>
      </w:r>
      <w:r>
        <w:t xml:space="preserve">A 'parent' of a specified person is an affiliate controlling such person directly, or indirectly through one or more intermediaries.”</w:t>
      </w:r>
    </w:p>
    <w:p>
      <w:pPr>
        <w:pStyle w:val="CaseFootnoteText"/>
      </w:pPr>
      <w:r>
        <w:t xml:space="preserve">The Rules and Regulations under the Securities Act of 1933 contain the identical definitions.</w:t>
      </w:r>
      <w:r>
        <w:t xml:space="preserve"/>
      </w:r>
      <w:r>
        <w:t xml:space="preserve">17 CFR §§ 230.405</w:t>
      </w:r>
      <w:r>
        <w:t xml:space="preserve"> </w:t>
      </w:r>
      <w:r>
        <w:t xml:space="preserve">(a), (f), (n) (1975).</w:t>
      </w:r>
    </w:p>
  </w:footnote>
  <w:footnote w:id="275">
    <w:p>
      <w:pPr>
        <w:pStyle w:val="CaseFootnoteText"/>
      </w:pPr>
      <w:r>
        <w:rPr>
          <w:rStyle w:val="FootnoteReference"/>
        </w:rPr>
        <w:t xml:space="preserve">13  </w:t>
      </w:r>
      <w:r>
        <w:t xml:space="preserve"/>
      </w:r>
      <w:r>
        <w:t xml:space="preserve">Section 3 (a) (13) of the 1934 Act, 15 U. S. C. §78c (a) (13), provides:</w:t>
      </w:r>
    </w:p>
    <w:p>
      <w:pPr>
        <w:pStyle w:val="CaseFootnoteText"/>
      </w:pPr>
      <w:r>
        <w:t xml:space="preserve">“The terms ‘buy’ and ‘purchase’ each include any contract to buy, purchase, or otherwise acquire.”</w:t>
      </w:r>
    </w:p>
    <w:p>
      <w:pPr>
        <w:pStyle w:val="CaseFootnoteText"/>
      </w:pPr>
      <w:r>
        <w:t xml:space="preserve">Section 3 (a) (14) of the 1934 Act, 15 U. S. C. § 78c (a) (14), provides:</w:t>
      </w:r>
    </w:p>
    <w:p>
      <w:pPr>
        <w:pStyle w:val="CaseFootnoteText"/>
      </w:pPr>
      <w:r>
        <w:t xml:space="preserve">“The terms ‘sale’ and ‘sell’ each include any contract to sell or otherwise dispose of.”</w:t>
      </w:r>
    </w:p>
    <w:p>
      <w:pPr>
        <w:pStyle w:val="CaseFootnoteText"/>
      </w:pPr>
      <w:r>
        <w:t xml:space="preserve">These provisions as enacted starkly contrast with the wording of the bill which became the 1934 Act when it emerged from committee and was presented on the Senate floor by Senator Fletcher, the chairman of the Senate Committee on Banking and Finance. See S. 2693, 73d Cong., 2d Sess. (1934). Section 3 (11) of the bill as presented to the Senate provided:</w:t>
      </w:r>
    </w:p>
    <w:p>
      <w:pPr>
        <w:pStyle w:val="CaseFootnoteText"/>
      </w:pPr>
      <w:r>
        <w:t xml:space="preserve">“The terms ‘buy’ and ‘purchase’ each include any contract to buy, purchase, or otherwise acquire, contract of purchase,</w:t>
      </w:r>
      <w:r>
        <w:t xml:space="preserve"/>
      </w:r>
      <w:r>
        <w:rPr>
          <w:iCs/>
          <w:i/>
        </w:rPr>
        <w:t xml:space="preserve">attempt or offer to acquire or solicitation of an offer to sell a security or any interest in a security.”</w:t>
      </w:r>
      <w:r>
        <w:t xml:space="preserve"> </w:t>
      </w:r>
      <w:r>
        <w:t xml:space="preserve">(Emphasis added.)</w:t>
      </w:r>
    </w:p>
    <w:p>
      <w:pPr>
        <w:pStyle w:val="CaseFootnoteText"/>
      </w:pPr>
      <w:r>
        <w:t xml:space="preserve">And § 3 (12) of the bill provided:</w:t>
      </w:r>
    </w:p>
    <w:p>
      <w:pPr>
        <w:pStyle w:val="CaseFootnoteText"/>
      </w:pPr>
      <w:r>
        <w:t xml:space="preserve">“The terms ‘sale’ and ‘sell’ each include any contract of sale or disposition of, contract to sell or dispose of,</w:t>
      </w:r>
      <w:r>
        <w:t xml:space="preserve"/>
      </w:r>
      <w:r>
        <w:rPr>
          <w:iCs/>
          <w:i/>
        </w:rPr>
        <w:t xml:space="preserve">attempt or offer to</w:t>
      </w:r>
      <w:r>
        <w:t xml:space="preserve"> </w:t>
      </w:r>
      <w:r>
        <w:rPr>
          <w:iCs/>
          <w:i/>
        </w:rPr>
        <w:t xml:space="preserve">dispose of, or solicitation of an offer to buy a security or any interest therein.”</w:t>
      </w:r>
      <w:r>
        <w:t xml:space="preserve"> </w:t>
      </w:r>
      <w:r>
        <w:t xml:space="preserve">(Emphasis added.)</w:t>
      </w:r>
    </w:p>
    <w:p>
      <w:pPr>
        <w:pStyle w:val="CaseFootnoteText"/>
      </w:pPr>
      <w:r>
        <w:t xml:space="preserve">During consideration of the bill on the Senate floor, the ambit of these provisions was narrowed through amendment into the present wording of §§ 3 (a) (13) and (14).</w:t>
      </w:r>
      <w:r>
        <w:t xml:space="preserve"/>
      </w:r>
      <w:r>
        <w:t xml:space="preserve">48 Stat. 884</w:t>
      </w:r>
      <w:r>
        <w:t xml:space="preserve">. In arguing that it, as an offeree of stock, ought to be treated as a purchaser or seller for purposes of the Act, respondent is in effect seeking a judicial reinsertion of language into the Act that Congress had before it but deleted prior to passage.</w:t>
      </w:r>
    </w:p>
  </w:footnote>
  <w:footnote w:id="276">
    <w:p>
      <w:pPr>
        <w:pStyle w:val="CaseFootnoteText"/>
      </w:pPr>
      <w:r>
        <w:rPr>
          <w:rStyle w:val="FootnoteReference"/>
        </w:rPr>
        <w:t xml:space="preserve">13  </w:t>
      </w:r>
      <w:r>
        <w:t xml:space="preserve">The eight factors are as follows:</w:t>
      </w:r>
    </w:p>
    <w:p>
      <w:pPr>
        <w:pStyle w:val="BlockText"/>
      </w:pPr>
      <w:r>
        <w:t xml:space="preserve">(1) “active and widespread solicitation of public shareholders. . . . ”</w:t>
      </w:r>
    </w:p>
    <w:p>
      <w:pPr>
        <w:pStyle w:val="BlockText"/>
      </w:pPr>
      <w:r>
        <w:t xml:space="preserve">(2) solicitation is “for a substantial percentage of the issuer’s stock.”</w:t>
      </w:r>
    </w:p>
    <w:p>
      <w:pPr>
        <w:pStyle w:val="BlockText"/>
      </w:pPr>
      <w:r>
        <w:t xml:space="preserve">(3) offer to purchase is “at a premium. .</w:t>
      </w:r>
    </w:p>
    <w:p>
      <w:pPr>
        <w:pStyle w:val="BlockText"/>
      </w:pPr>
      <w:r>
        <w:t xml:space="preserve">(4) terms of offer “firm rather than negotiable.”</w:t>
      </w:r>
    </w:p>
    <w:p>
      <w:pPr>
        <w:pStyle w:val="BlockText"/>
      </w:pPr>
      <w:r>
        <w:t xml:space="preserve">(5) offer “contingent on the tender of a fixed minimum number of shares. .</w:t>
      </w:r>
    </w:p>
    <w:p>
      <w:pPr>
        <w:pStyle w:val="BlockText"/>
      </w:pPr>
      <w:r>
        <w:t xml:space="preserve">(6) offer is “open for only a limited period of time.”</w:t>
      </w:r>
    </w:p>
    <w:p>
      <w:pPr>
        <w:pStyle w:val="BlockText"/>
      </w:pPr>
      <w:r>
        <w:t xml:space="preserve">(7) offerees “subjected to pressure to sell their stock.”</w:t>
      </w:r>
    </w:p>
    <w:p>
      <w:pPr>
        <w:pStyle w:val="BlockText"/>
      </w:pPr>
      <w:r>
        <w:t xml:space="preserve">(8) “public announcements of a purchasing program . . . precede or accompany a rapid accumulation. . . . ”</w:t>
      </w:r>
    </w:p>
  </w:footnote>
  <w:footnote w:id="277">
    <w:p>
      <w:pPr>
        <w:pStyle w:val="CaseFootnoteText"/>
      </w:pPr>
      <w:r>
        <w:rPr>
          <w:rStyle w:val="FootnoteReference"/>
        </w:rPr>
        <w:t xml:space="preserve">13  </w:t>
      </w:r>
      <w:r>
        <w:t xml:space="preserve">It is disputed whether at this time World-Com was considering a transaction other than the direct acquisition of Digex. Defendants claim this was only one of three template agreements that had been prepared in early August; the other two were for an Intermedia merger and a sale of Intermedia’s interest in Digex.</w:t>
      </w:r>
      <w:r>
        <w:t xml:space="preserve"> </w:t>
      </w:r>
      <w:r>
        <w:rPr>
          <w:iCs/>
          <w:i/>
        </w:rPr>
        <w:t xml:space="preserve">See</w:t>
      </w:r>
      <w:r>
        <w:t xml:space="preserve"> </w:t>
      </w:r>
      <w:r>
        <w:t xml:space="preserve">Def. Intermedia's Br. at 10.</w:t>
      </w:r>
    </w:p>
  </w:footnote>
  <w:footnote w:id="278">
    <w:p>
      <w:pPr>
        <w:pStyle w:val="CaseFootnoteText"/>
      </w:pPr>
      <w:r>
        <w:rPr>
          <w:rStyle w:val="FootnoteReference"/>
        </w:rPr>
        <w:t xml:space="preserve">13  </w:t>
      </w:r>
      <w:r>
        <w:t xml:space="preserve"/>
      </w:r>
      <w:r>
        <w:t xml:space="preserve"> </w:t>
      </w:r>
      <w:r>
        <w:rPr>
          <w:iCs/>
          <w:i/>
        </w:rPr>
        <w:t xml:space="preserve">Stone,</w:t>
      </w:r>
      <w:r>
        <w:t xml:space="preserve"> </w:t>
      </w:r>
      <w:r>
        <w:t xml:space="preserve">911 A.2d at 370</w:t>
      </w:r>
      <w:r>
        <w:t xml:space="preserve">.</w:t>
      </w:r>
    </w:p>
  </w:footnote>
  <w:footnote w:id="279">
    <w:p>
      <w:pPr>
        <w:pStyle w:val="CaseFootnoteText"/>
      </w:pPr>
      <w:r>
        <w:rPr>
          <w:rStyle w:val="FootnoteReference"/>
        </w:rPr>
        <w:t xml:space="preserve">13  </w:t>
      </w:r>
      <w:r>
        <w:t xml:space="preserve"/>
      </w:r>
      <w:r>
        <w:t xml:space="preserve"> </w:t>
      </w:r>
      <w:r>
        <w:rPr>
          <w:iCs/>
          <w:i/>
        </w:rPr>
        <w:t xml:space="preserve">C&amp;J Energy Services Current Stock Information,</w:t>
      </w:r>
      <w:r>
        <w:t xml:space="preserve"> </w:t>
      </w:r>
      <w:r>
        <w:t xml:space="preserve">http://phx.corporate-ir.net/phoenix. zhtml?c=242928&amp;p=irol-IRHome (last visited Dec. 17, 2014).</w:t>
      </w:r>
    </w:p>
  </w:footnote>
  <w:footnote w:id="280">
    <w:p>
      <w:pPr>
        <w:pStyle w:val="CaseFootnoteText"/>
      </w:pPr>
      <w:r>
        <w:rPr>
          <w:rStyle w:val="FootnoteReference"/>
        </w:rPr>
        <w:t xml:space="preserve">13  </w:t>
      </w:r>
      <w:r>
        <w:t xml:space="preserve">I leave aside the rare but occasionally encountered instance in which the board elects to do nothing at all with respect to an any and all tender offer.</w:t>
      </w:r>
    </w:p>
  </w:footnote>
  <w:footnote w:id="281">
    <w:p>
      <w:pPr>
        <w:pStyle w:val="CaseFootnoteText"/>
      </w:pPr>
      <w:r>
        <w:rPr>
          <w:rStyle w:val="FootnoteReference"/>
        </w:rPr>
        <w:t xml:space="preserve">13  </w:t>
      </w:r>
      <w:r>
        <w:t xml:space="preserve"/>
      </w:r>
      <w:r>
        <w:t xml:space="preserve"> </w:t>
      </w:r>
      <w:r>
        <w:rPr>
          <w:iCs/>
          <w:i/>
        </w:rPr>
        <w:t xml:space="preserve">See</w:t>
      </w:r>
      <w:r>
        <w:t xml:space="preserve"> </w:t>
      </w:r>
      <w:r>
        <w:t xml:space="preserve">8</w:t>
      </w:r>
      <w:r>
        <w:t xml:space="preserve"> </w:t>
      </w:r>
      <w:r>
        <w:rPr>
          <w:iCs/>
          <w:i/>
        </w:rPr>
        <w:t xml:space="preserve">Del. C.</w:t>
      </w:r>
      <w:r>
        <w:t xml:space="preserve"> </w:t>
      </w:r>
      <w:r>
        <w:t xml:space="preserve">§ 109(b);</w:t>
      </w:r>
      <w:r>
        <w:t xml:space="preserve"> </w:t>
      </w:r>
      <w:r>
        <w:rPr>
          <w:iCs/>
          <w:i/>
        </w:rPr>
        <w:t xml:space="preserve">Centaur Partners,</w:t>
      </w:r>
      <w:r>
        <w:t xml:space="preserve"> </w:t>
      </w:r>
      <w:r>
        <w:t xml:space="preserve">582 A.2d at 929</w:t>
      </w:r>
      <w:r>
        <w:t xml:space="preserve">.</w:t>
      </w:r>
    </w:p>
  </w:footnote>
  <w:footnote w:id="282">
    <w:p>
      <w:pPr>
        <w:pStyle w:val="CaseFootnoteText"/>
      </w:pPr>
      <w:r>
        <w:rPr>
          <w:rStyle w:val="FootnoteReference"/>
        </w:rPr>
        <w:t xml:space="preserve">13  </w:t>
      </w:r>
      <w:r>
        <w:t xml:space="preserve">Of this number, the directors, officers, and their affiliates owned 3,405,938 shares as of January 20, 1993, all of which were cast in favor of the Merger. Accordingly, of the votes cast in favor of the Merger, approximately 44 percent were owned by directors, officers, and their affiliates.</w:t>
      </w:r>
    </w:p>
  </w:footnote>
  <w:footnote w:id="283">
    <w:p>
      <w:pPr>
        <w:pStyle w:val="CaseFootnoteText"/>
      </w:pPr>
      <w:r>
        <w:rPr>
          <w:rStyle w:val="FootnoteReference"/>
        </w:rPr>
        <w:t xml:space="preserve">13  </w:t>
      </w:r>
      <w:r>
        <w:t xml:space="preserve">Aziz D.-Syriani was the President and Chief Operating Officer of The Olayan Group of Companies, a diversified trading, services and investment organization with interests in the Middle East and elsewhere. He had been a director of Occidental for seven years.</w:t>
      </w:r>
    </w:p>
  </w:footnote>
  <w:footnote w:id="284">
    <w:p>
      <w:pPr>
        <w:pStyle w:val="CaseFootnoteText"/>
      </w:pPr>
      <w:r>
        <w:rPr>
          <w:rStyle w:val="FootnoteReference"/>
        </w:rPr>
        <w:t xml:space="preserve">13  </w:t>
      </w:r>
      <w:r>
        <w:t xml:space="preserve">JX-16 at SP COMM 000441.</w:t>
      </w:r>
    </w:p>
  </w:footnote>
  <w:footnote w:id="286">
    <w:p>
      <w:pPr>
        <w:pStyle w:val="CaseFootnoteText"/>
      </w:pPr>
      <w:r>
        <w:rPr>
          <w:rStyle w:val="FootnoteReference"/>
        </w:rPr>
        <w:t xml:space="preserve">14  </w:t>
      </w:r>
      <w:r>
        <w:t xml:space="preserve"/>
      </w:r>
      <w:r>
        <w:t xml:space="preserve"> </w:t>
      </w:r>
      <w:r>
        <w:rPr>
          <w:iCs/>
          <w:i/>
        </w:rPr>
        <w:t xml:space="preserve">Winshall v. Viacom Int’l, Inc.,</w:t>
      </w:r>
      <w:r>
        <w:t xml:space="preserve"> </w:t>
      </w:r>
      <w:r>
        <w:t xml:space="preserve">76 A.3d 808</w:t>
      </w:r>
      <w:r>
        <w:t xml:space="preserve">, 813 (Del. 2013).</w:t>
      </w:r>
    </w:p>
  </w:footnote>
  <w:footnote w:id="287">
    <w:p>
      <w:pPr>
        <w:pStyle w:val="CaseFootnoteText"/>
      </w:pPr>
      <w:r>
        <w:rPr>
          <w:rStyle w:val="FootnoteReference"/>
        </w:rPr>
        <w:t xml:space="preserve">14  </w:t>
      </w:r>
      <w:r>
        <w:rPr>
          <w:iCs/>
          <w:i/>
        </w:rPr>
        <w:t xml:space="preserve">See</w:t>
      </w:r>
      <w:r>
        <w:t xml:space="preserve"/>
      </w:r>
      <w:r>
        <w:rPr>
          <w:iCs/>
          <w:i/>
        </w:rPr>
        <w:t xml:space="preserve">In re Oxbow Carbon LLC, Unitholder Litig.</w:t>
      </w:r>
      <w:r>
        <w:t xml:space="preserve"> </w:t>
      </w:r>
      <w:r>
        <w:t xml:space="preserve">, C.A. No. 12447-VCL, at ¶ 23(c) (Del. Ch. Aug. 10, 2016) [hereinafter</w:t>
      </w:r>
      <w:r>
        <w:t xml:space="preserve"> </w:t>
      </w:r>
      <w:r>
        <w:rPr>
          <w:iCs/>
          <w:i/>
        </w:rPr>
        <w:t xml:space="preserve">Summary Judgment Order</w:t>
      </w:r>
      <w:r>
        <w:t xml:space="preserve"> </w:t>
      </w:r>
      <w:r>
        <w:t xml:space="preserve">]; App. to Opening Br. at A2057-59. As the trial court found, the Third Amendment modified the Exit Sale Right by eliminating Crestview's right to exercise it if Crestview owned less than ten percent of the Company. Thus, when Crestview owned ten percent or more of the Company, the Third Amendment did not change the Exit Sale Right. Other amendments shortened the amount of time that the Company had to respond to the put, but the substance of the Exit Sale Right remained the same.</w:t>
      </w:r>
    </w:p>
  </w:footnote>
  <w:footnote w:id="288">
    <w:p>
      <w:pPr>
        <w:pStyle w:val="CaseFootnoteText"/>
      </w:pPr>
      <w:r>
        <w:rPr>
          <w:rStyle w:val="FootnoteReference"/>
        </w:rPr>
        <w:t xml:space="preserve">14  </w:t>
      </w:r>
      <w:r>
        <w:t xml:space="preserve"/>
      </w:r>
      <w:r>
        <w:t xml:space="preserve">See</w:t>
      </w:r>
      <w:r>
        <w:t xml:space="preserve"> </w:t>
      </w:r>
      <w:r>
        <w:rPr>
          <w:iCs/>
          <w:i/>
        </w:rPr>
        <w:t xml:space="preserve">Colorado Right to Life Comm., Inc.</w:t>
      </w:r>
      <w:r>
        <w:t xml:space="preserve"> </w:t>
      </w:r>
      <w:r>
        <w:t xml:space="preserve">v.</w:t>
      </w:r>
      <w:r>
        <w:t xml:space="preserve"> </w:t>
      </w:r>
      <w:r>
        <w:rPr>
          <w:iCs/>
          <w:i/>
        </w:rPr>
        <w:t xml:space="preserve">Coffman,</w:t>
      </w:r>
      <w:r>
        <w:t xml:space="preserve"> </w:t>
      </w:r>
      <w:r>
        <w:t xml:space="preserve">498 F. 3d 1137, 1148 (CA10 2007) (adopting this rule and noting that “every other circuit to have addressed this issue” has done likewise); Brief for Independent Sector as</w:t>
      </w:r>
      <w:r>
        <w:t xml:space="preserve"> </w:t>
      </w:r>
      <w:r>
        <w:rPr>
          <w:iCs/>
          <w:i/>
        </w:rPr>
        <w:t xml:space="preserve">Amicus Curiae</w:t>
      </w:r>
      <w:r>
        <w:t xml:space="preserve"> </w:t>
      </w:r>
      <w:r>
        <w:t xml:space="preserve">10-11 (collecting cases). The Court rejects this solution in part because the Government “merely suggests] it” and “does not say that it agrees with the interpretation.”</w:t>
      </w:r>
      <w:r>
        <w:t xml:space="preserve"> </w:t>
      </w:r>
      <w:r>
        <w:rPr>
          <w:iCs/>
          <w:i/>
        </w:rPr>
        <w:t xml:space="preserve">Ante,</w:t>
      </w:r>
      <w:r>
        <w:t xml:space="preserve"> </w:t>
      </w:r>
      <w:r>
        <w:t xml:space="preserve">at 328, 329. Our colleagues would thus punish a defendant for showing insufficient excitement about a ground it has advanced, at the same time that they decide the ease on a ground the plaintiff expressly abandoned. The Court also protests that a</w:t>
      </w:r>
      <w:r>
        <w:t xml:space="preserve"> </w:t>
      </w:r>
      <w:r>
        <w:rPr>
          <w:iCs/>
          <w:i/>
        </w:rPr>
        <w:t xml:space="preserve">de minimis</w:t>
      </w:r>
      <w:r>
        <w:t xml:space="preserve"> </w:t>
      </w:r>
      <w:r>
        <w:t xml:space="preserve">standard would “requir[e] intricate case-by-case determinations.”</w:t>
      </w:r>
      <w:r>
        <w:t xml:space="preserve"> </w:t>
      </w:r>
      <w:r>
        <w:rPr>
          <w:iCs/>
          <w:i/>
        </w:rPr>
        <w:t xml:space="preserve">Ante,</w:t>
      </w:r>
      <w:r>
        <w:t xml:space="preserve"> </w:t>
      </w:r>
      <w:r>
        <w:t xml:space="preserve">at 329. But</w:t>
      </w:r>
      <w:r>
        <w:t xml:space="preserve"> </w:t>
      </w:r>
      <w:r>
        <w:rPr>
          <w:iCs/>
          <w:i/>
        </w:rPr>
        <w:t xml:space="preserve">de minimis</w:t>
      </w:r>
      <w:r>
        <w:t xml:space="preserve"> </w:t>
      </w:r>
      <w:r>
        <w:t xml:space="preserve">tests need not be intricate at all. A test that granted</w:t>
      </w:r>
      <w:r>
        <w:t xml:space="preserve"> </w:t>
      </w:r>
      <w:r>
        <w:rPr>
          <w:iCs/>
          <w:i/>
        </w:rPr>
        <w:t xml:space="preserve">MCFL</w:t>
      </w:r>
      <w:r>
        <w:t xml:space="preserve"> </w:t>
      </w:r>
      <w:r>
        <w:t xml:space="preserve">status to § 501(c)(4) organizations if they received less than a fixed dollar amount of business donations in the previous year, or if such donations represent less than a fixed percentage of their total assets, would be perfectly easy to understand and administer.</w:t>
      </w:r>
    </w:p>
  </w:footnote>
  <w:footnote w:id="289">
    <w:p>
      <w:pPr>
        <w:pStyle w:val="CaseFootnoteText"/>
      </w:pPr>
      <w:r>
        <w:rPr>
          <w:rStyle w:val="FootnoteReference"/>
        </w:rPr>
        <w:t xml:space="preserve">14  </w:t>
      </w:r>
      <w:r>
        <w:t xml:space="preserve"/>
      </w:r>
      <w:r>
        <w:t xml:space="preserve">In addition to their principal argument that the complaint alleges a fraud under clauses (a) and (c) of Rule 10b-5, respondents also argue that the complaint alleges nondisclosure and misrepresentation in violation of clause (b) of the Rule. Their major contention in this respect is that the majority stockholder’s failure to give the minority advance notice of the merger was a material nondisclosure, even though the Delaware short-form merger statute does not require such notice. Brief for Respondents 27. But respondents do not indicate how they might have acted differently had they had prior notice of the merger. Indeed, they accept the conclusion of both courts below that under Delaware law they could not have enjoined the merger because an appraisal proceeding is their sole remedy in the Delaware courts for any alleged unfairness in the terms of the merger. Thus, the failure to give advance notice was not a material nondisclosure within the meaning of the statute or the Rule. Cf.</w:t>
      </w:r>
      <w:r>
        <w:t xml:space="preserve"> </w:t>
      </w:r>
      <w:r>
        <w:rPr>
          <w:iCs/>
          <w:i/>
        </w:rPr>
        <w:t xml:space="preserve">TSC Industries, Inc.</w:t>
      </w:r>
      <w:r>
        <w:t xml:space="preserve"> </w:t>
      </w:r>
      <w:r>
        <w:t xml:space="preserve">v.</w:t>
      </w:r>
      <w:r>
        <w:t xml:space="preserve"> </w:t>
      </w:r>
      <w:r>
        <w:rPr>
          <w:iCs/>
          <w:i/>
        </w:rPr>
        <w:t xml:space="preserve">Northway, Inc.,</w:t>
      </w:r>
      <w:r>
        <w:t xml:space="preserve"> </w:t>
      </w:r>
      <w:r>
        <w:t xml:space="preserve">426 U. S. 438</w:t>
      </w:r>
      <w:r>
        <w:t xml:space="preserve"> </w:t>
      </w:r>
      <w:r>
        <w:t xml:space="preserve">(1976).</w:t>
      </w:r>
    </w:p>
  </w:footnote>
  <w:footnote w:id="290">
    <w:p>
      <w:pPr>
        <w:pStyle w:val="CaseFootnoteText"/>
      </w:pPr>
      <w:r>
        <w:rPr>
          <w:rStyle w:val="FootnoteReference"/>
        </w:rPr>
        <w:t xml:space="preserve">14  </w:t>
      </w:r>
      <w:r>
        <w:t xml:space="preserve"/>
      </w:r>
      <w:r>
        <w:t xml:space="preserve">It is the position of National and TSC that “[s]ince National and the old TSC management . . . never drew any clear-eut battle lines, no one ever really knew who could ultimately control TSC during the entire period between the Schmidt purchase and consummation of the shareholder-approved purchase of TSC’s assets.” Brief for Petitioners 33.</w:t>
      </w:r>
    </w:p>
  </w:footnote>
  <w:footnote w:id="291">
    <w:p>
      <w:pPr>
        <w:pStyle w:val="CaseFootnoteText"/>
      </w:pPr>
      <w:r>
        <w:rPr>
          <w:rStyle w:val="FootnoteReference"/>
        </w:rPr>
        <w:t xml:space="preserve">14  </w:t>
      </w:r>
      <w:r>
        <w:t xml:space="preserve"/>
      </w:r>
      <w:r>
        <w:t xml:space="preserve">Our decision in</w:t>
      </w:r>
      <w:r>
        <w:t xml:space="preserve"> </w:t>
      </w:r>
      <w:r>
        <w:rPr>
          <w:iCs/>
          <w:i/>
        </w:rPr>
        <w:t xml:space="preserve">SEC</w:t>
      </w:r>
      <w:r>
        <w:t xml:space="preserve"> </w:t>
      </w:r>
      <w:r>
        <w:t xml:space="preserve">v.</w:t>
      </w:r>
      <w:r>
        <w:t xml:space="preserve"> </w:t>
      </w:r>
      <w:r>
        <w:rPr>
          <w:iCs/>
          <w:i/>
        </w:rPr>
        <w:t xml:space="preserve">National Securities, Inc.,</w:t>
      </w:r>
      <w:r>
        <w:t xml:space="preserve"> </w:t>
      </w:r>
      <w:r>
        <w:t xml:space="preserve">393 U. S. 453</w:t>
      </w:r>
      <w:r>
        <w:t xml:space="preserve"> </w:t>
      </w:r>
      <w:r>
        <w:t xml:space="preserve">(1969), established that the purchaser-seller rule imposes no limitation on the standing of the SEC to bring actions for injunctive relief under § 10 (b) and Rule 10b-5.</w:t>
      </w:r>
    </w:p>
  </w:footnote>
  <w:footnote w:id="292">
    <w:p>
      <w:pPr>
        <w:pStyle w:val="CaseFootnoteText"/>
      </w:pPr>
      <w:r>
        <w:rPr>
          <w:rStyle w:val="FootnoteReference"/>
        </w:rPr>
        <w:t xml:space="preserve">14  </w:t>
      </w:r>
      <w:r>
        <w:t xml:space="preserve">At the hearing I declined to receive in evidence two affidavits, Exhibits 44 and 45. I have considered their contents and find that, even had they been received, they would not have affected my decisions in any way.</w:t>
      </w:r>
    </w:p>
    <w:p>
      <w:pPr>
        <w:pStyle w:val="NodeEnd"/>
      </w:pPr>
      <w:r>
        <w:t xml:space="preserve"> </w:t>
      </w:r>
    </w:p>
    <w:p>
      <w:pPr>
        <w:pStyle w:val="NodeStart"/>
      </w:pPr>
      <w:r>
        <w:t xml:space="preserve"> </w:t>
      </w:r>
    </w:p>
    <w:p>
      <w:pPr>
        <w:pStyle w:val="HeadSeparator"/>
      </w:pPr>
      <w:r>
        <w:t xml:space="preserve"> </w:t>
      </w:r>
    </w:p>
  </w:footnote>
  <w:footnote w:id="293">
    <w:p>
      <w:pPr>
        <w:pStyle w:val="CaseFootnoteText"/>
      </w:pPr>
      <w:r>
        <w:rPr>
          <w:rStyle w:val="FootnoteReference"/>
        </w:rPr>
        <w:t xml:space="preserve">14  </w:t>
      </w:r>
      <w:r>
        <w:t xml:space="preserve"/>
      </w:r>
      <w:r>
        <w:t xml:space="preserve"> </w:t>
      </w:r>
      <w:r>
        <w:rPr>
          <w:iCs/>
          <w:i/>
        </w:rPr>
        <w:t xml:space="preserve">See</w:t>
      </w:r>
      <w:r>
        <w:t xml:space="preserve"> </w:t>
      </w:r>
      <w:r>
        <w:t xml:space="preserve">Sutcliffe Dep. at 208; Decker Dep. at 222; Grothe Dep. at 140-42.</w:t>
      </w:r>
    </w:p>
  </w:footnote>
  <w:footnote w:id="294">
    <w:p>
      <w:pPr>
        <w:pStyle w:val="CaseFootnoteText"/>
      </w:pPr>
      <w:r>
        <w:rPr>
          <w:rStyle w:val="FootnoteReference"/>
        </w:rPr>
        <w:t xml:space="preserve">14  </w:t>
      </w:r>
      <w:r>
        <w:t xml:space="preserve">Our standard of review is</w:t>
      </w:r>
      <w:r>
        <w:t xml:space="preserve"> </w:t>
      </w:r>
      <w:r>
        <w:rPr>
          <w:iCs/>
          <w:i/>
        </w:rPr>
        <w:t xml:space="preserve">de novo. Aero-Global Capital Management, LLC v. Citrus Industries, Inc.,</w:t>
      </w:r>
      <w:r>
        <w:t xml:space="preserve"> </w:t>
      </w:r>
      <w:r>
        <w:t xml:space="preserve">871 A.2d 428</w:t>
      </w:r>
      <w:r>
        <w:t xml:space="preserve">, 444 (Del.2005).</w:t>
      </w:r>
    </w:p>
  </w:footnote>
  <w:footnote w:id="295">
    <w:p>
      <w:pPr>
        <w:pStyle w:val="CaseFootnoteText"/>
      </w:pPr>
      <w:r>
        <w:rPr>
          <w:rStyle w:val="FootnoteReference"/>
        </w:rPr>
        <w:t xml:space="preserve">14  </w:t>
      </w:r>
      <w:r>
        <w:t xml:space="preserve"/>
      </w:r>
      <w:r>
        <w:t xml:space="preserve"> </w:t>
      </w:r>
      <w:r>
        <w:rPr>
          <w:iCs/>
          <w:i/>
        </w:rPr>
        <w:t xml:space="preserve">Nabors Fundamentals,</w:t>
      </w:r>
      <w:r>
        <w:t xml:space="preserve"> </w:t>
      </w:r>
      <w:r>
        <w:t xml:space="preserve">http://investor. nabors.com/phoenix.zhtml?c=70888&amp;p=irol-fundTrading (last visited Dec. 17, 2014).</w:t>
      </w:r>
    </w:p>
  </w:footnote>
  <w:footnote w:id="296">
    <w:p>
      <w:pPr>
        <w:pStyle w:val="CaseFootnoteText"/>
      </w:pPr>
      <w:r>
        <w:rPr>
          <w:rStyle w:val="FootnoteReference"/>
        </w:rPr>
        <w:t xml:space="preserve">14  </w:t>
      </w:r>
      <w:r>
        <w:t xml:space="preserve">If a board elects to conduct an auction of a company, the deployment or continuation of a poison pill will serve as a method to permit the board to act as an effective auctioneer.</w:t>
      </w:r>
    </w:p>
  </w:footnote>
  <w:footnote w:id="297">
    <w:p>
      <w:pPr>
        <w:pStyle w:val="CaseFootnoteText"/>
      </w:pPr>
      <w:r>
        <w:rPr>
          <w:rStyle w:val="FootnoteReference"/>
        </w:rPr>
        <w:t xml:space="preserve">14  </w:t>
      </w:r>
      <w:r>
        <w:t xml:space="preserve"/>
      </w:r>
      <w:r>
        <w:t xml:space="preserve"> </w:t>
      </w:r>
      <w:r>
        <w:rPr>
          <w:iCs/>
          <w:i/>
        </w:rPr>
        <w:t xml:space="preserve">See Hibbert,</w:t>
      </w:r>
      <w:r>
        <w:t xml:space="preserve"> </w:t>
      </w:r>
      <w:r>
        <w:t xml:space="preserve">457 A.2d at 343</w:t>
      </w:r>
      <w:r>
        <w:t xml:space="preserve">.</w:t>
      </w:r>
    </w:p>
  </w:footnote>
  <w:footnote w:id="298">
    <w:p>
      <w:pPr>
        <w:pStyle w:val="CaseFootnoteText"/>
      </w:pPr>
      <w:r>
        <w:rPr>
          <w:rStyle w:val="FootnoteReference"/>
        </w:rPr>
        <w:t xml:space="preserve">14  </w:t>
      </w:r>
      <w:r>
        <w:t xml:space="preserve">There may have been, theoretically, a material issue of fact on the issue of the unlikelihood of regulatory approval. But we need not decide that question because plaintiff has not predicated his appeal on that ground, and because we have assumed, solely for purposes of this analysis, that regulatory approval would not have been forthcoming.</w:t>
      </w:r>
      <w:r>
        <w:t xml:space="preserve"> </w:t>
      </w:r>
      <w:r>
        <w:rPr>
          <w:iCs/>
          <w:i/>
        </w:rPr>
        <w:t xml:space="preserve">See infra</w:t>
      </w:r>
      <w:r>
        <w:t xml:space="preserve"> </w:t>
      </w:r>
      <w:r>
        <w:t xml:space="preserve">note 19.</w:t>
      </w:r>
    </w:p>
  </w:footnote>
  <w:footnote w:id="299">
    <w:p>
      <w:pPr>
        <w:pStyle w:val="CaseFootnoteText"/>
      </w:pPr>
      <w:r>
        <w:rPr>
          <w:rStyle w:val="FootnoteReference"/>
        </w:rPr>
        <w:t xml:space="preserve">14  </w:t>
      </w:r>
      <w:r>
        <w:t xml:space="preserve">Rosemary Tomich was the owner of Hope Cattle Company, A.S. Tomich Construction Company, and Chairman and Chief Executive Officer of Livestock Clearing, Inc. She had been a director of Occidental for ten years.</w:t>
      </w:r>
    </w:p>
  </w:footnote>
  <w:footnote w:id="300">
    <w:p>
      <w:pPr>
        <w:pStyle w:val="CaseFootnoteText"/>
      </w:pPr>
      <w:r>
        <w:rPr>
          <w:rStyle w:val="FootnoteReference"/>
        </w:rPr>
        <w:t xml:space="preserve">14  </w:t>
      </w:r>
      <w:r>
        <w:t xml:space="preserve">Although both Perezalonso and Ruiz were appointed to the Board by Grupo Mexico, the plaintiff does not contest that they were independent and unaffiliated with Grupo Mexico.</w:t>
      </w:r>
      <w:r>
        <w:t xml:space="preserve"> </w:t>
      </w:r>
      <w:r>
        <w:rPr>
          <w:iCs/>
          <w:i/>
        </w:rPr>
        <w:t xml:space="preserve">See Aronson v. Lewis,</w:t>
      </w:r>
      <w:r>
        <w:t xml:space="preserve"> </w:t>
      </w:r>
      <w:r>
        <w:t xml:space="preserve">473 A.2d 805</w:t>
      </w:r>
      <w:r>
        <w:t xml:space="preserve">, 816 (Del.1984) ("[I]t is not enough to charge that a director was nominated by or elected at the behest of those controlling the outcome of a corporate election. That is the usual way a person becomes a corporate director. It is the care, attention and sense of individual responsibility to the performance of one's duties, not the method of election, that generally touches on independence.”).</w:t>
      </w:r>
    </w:p>
  </w:footnote>
  <w:footnote w:id="302">
    <w:p>
      <w:pPr>
        <w:pStyle w:val="CaseFootnoteText"/>
      </w:pPr>
      <w:r>
        <w:rPr>
          <w:rStyle w:val="FootnoteReference"/>
        </w:rPr>
        <w:t xml:space="preserve">15  </w:t>
      </w:r>
      <w:r>
        <w:t xml:space="preserve">6</w:t>
      </w:r>
      <w:r>
        <w:t xml:space="preserve"> </w:t>
      </w:r>
      <w:r>
        <w:rPr>
          <w:iCs/>
          <w:i/>
        </w:rPr>
        <w:t xml:space="preserve">Del. C.</w:t>
      </w:r>
      <w:r>
        <w:t xml:space="preserve"> </w:t>
      </w:r>
      <w:r>
        <w:t xml:space="preserve">§ 17-1101(c).</w:t>
      </w:r>
    </w:p>
  </w:footnote>
  <w:footnote w:id="303">
    <w:p>
      <w:pPr>
        <w:pStyle w:val="CaseFootnoteText"/>
      </w:pPr>
      <w:r>
        <w:rPr>
          <w:rStyle w:val="FootnoteReference"/>
        </w:rPr>
        <w:t xml:space="preserve">15  </w:t>
      </w:r>
      <w:r>
        <w:rPr>
          <w:iCs/>
          <w:i/>
        </w:rPr>
        <w:t xml:space="preserve">Chancery Opinion</w:t>
      </w:r>
      <w:r>
        <w:t xml:space="preserve"/>
      </w:r>
      <w:r>
        <w:t xml:space="preserve">,</w:t>
      </w:r>
      <w:r>
        <w:t xml:space="preserve"> </w:t>
      </w:r>
      <w:r>
        <w:t xml:space="preserve">2018 WL 818760</w:t>
      </w:r>
      <w:r>
        <w:t xml:space="preserve">, at *29.</w:t>
      </w:r>
    </w:p>
  </w:footnote>
  <w:footnote w:id="304">
    <w:p>
      <w:pPr>
        <w:pStyle w:val="CaseFootnoteText"/>
      </w:pPr>
      <w:r>
        <w:rPr>
          <w:rStyle w:val="FootnoteReference"/>
        </w:rPr>
        <w:t xml:space="preserve">15  </w:t>
      </w:r>
      <w:r>
        <w:t xml:space="preserve"/>
      </w:r>
      <w:r>
        <w:t xml:space="preserve">Another bypassed ground, not briefed by the parties, would have been to revive the Snowe-Jeffords Amendment in BORA § 203(c), allowing certain nonprofit corporations to pay for electioneering communications with general treasury funds, to the extent they can trace the payments to individual contributions. See Brief for National Rifle Association as</w:t>
      </w:r>
      <w:r>
        <w:t xml:space="preserve"> </w:t>
      </w:r>
      <w:r>
        <w:rPr>
          <w:iCs/>
          <w:i/>
        </w:rPr>
        <w:t xml:space="preserve">Amicus Curiae</w:t>
      </w:r>
      <w:r>
        <w:t xml:space="preserve"> </w:t>
      </w:r>
      <w:r>
        <w:t xml:space="preserve">5-15 (arguing forcefully that Congress intended this result).</w:t>
      </w:r>
    </w:p>
  </w:footnote>
  <w:footnote w:id="305">
    <w:p>
      <w:pPr>
        <w:pStyle w:val="CaseFootnoteText"/>
      </w:pPr>
      <w:r>
        <w:rPr>
          <w:rStyle w:val="FootnoteReference"/>
        </w:rPr>
        <w:t xml:space="preserve">15  </w:t>
      </w:r>
      <w:r>
        <w:t xml:space="preserve"/>
      </w:r>
      <w:r>
        <w:t xml:space="preserve">The decisions of this Court relied upon by respondents all involved deceptive conduct as part of the Rule 10b-5 violation alleged.</w:t>
      </w:r>
      <w:r>
        <w:t xml:space="preserve"> </w:t>
      </w:r>
      <w:r>
        <w:rPr>
          <w:iCs/>
          <w:i/>
        </w:rPr>
        <w:t xml:space="preserve">Affiliated Ute Citizens</w:t>
      </w:r>
      <w:r>
        <w:t xml:space="preserve"> </w:t>
      </w:r>
      <w:r>
        <w:t xml:space="preserve">v.</w:t>
      </w:r>
      <w:r>
        <w:t xml:space="preserve"> </w:t>
      </w:r>
      <w:r>
        <w:rPr>
          <w:iCs/>
          <w:i/>
        </w:rPr>
        <w:t xml:space="preserve">United States,</w:t>
      </w:r>
      <w:r>
        <w:t xml:space="preserve"> </w:t>
      </w:r>
      <w:r>
        <w:t xml:space="preserve">406 U. S. 128</w:t>
      </w:r>
      <w:r>
        <w:t xml:space="preserve"> </w:t>
      </w:r>
      <w:r>
        <w:t xml:space="preserve">(1972) (misstatements of material fact used by bank employees in position of market maker to acquire stock at less than fair value);</w:t>
      </w:r>
      <w:r>
        <w:t xml:space="preserve"> </w:t>
      </w:r>
      <w:r>
        <w:rPr>
          <w:iCs/>
          <w:i/>
        </w:rPr>
        <w:t xml:space="preserve">Superintendent of Insurance</w:t>
      </w:r>
      <w:r>
        <w:t xml:space="preserve"> </w:t>
      </w:r>
      <w:r>
        <w:t xml:space="preserve">v.</w:t>
      </w:r>
      <w:r>
        <w:t xml:space="preserve"> </w:t>
      </w:r>
      <w:r>
        <w:rPr>
          <w:iCs/>
          <w:i/>
        </w:rPr>
        <w:t xml:space="preserve">Bankers Life &amp; Cas. Co.,</w:t>
      </w:r>
      <w:r>
        <w:t xml:space="preserve"> </w:t>
      </w:r>
      <w:r>
        <w:t xml:space="preserve">404 U. S. 6</w:t>
      </w:r>
      <w:r>
        <w:t xml:space="preserve">, 9 (1971) (“seller [of bonds] was duped into believing that it, the seller, would receive the proceeds”). Cf.</w:t>
      </w:r>
      <w:r>
        <w:t xml:space="preserve"> </w:t>
      </w:r>
      <w:r>
        <w:rPr>
          <w:iCs/>
          <w:i/>
        </w:rPr>
        <w:t xml:space="preserve">SEC</w:t>
      </w:r>
      <w:r>
        <w:t xml:space="preserve"> </w:t>
      </w:r>
      <w:r>
        <w:t xml:space="preserve">v.</w:t>
      </w:r>
      <w:r>
        <w:t xml:space="preserve"> </w:t>
      </w:r>
      <w:r>
        <w:rPr>
          <w:iCs/>
          <w:i/>
        </w:rPr>
        <w:t xml:space="preserve">Capital Gains Research Bureau,</w:t>
      </w:r>
      <w:r>
        <w:t xml:space="preserve"> </w:t>
      </w:r>
      <w:r>
        <w:t xml:space="preserve">375 U. S. 180</w:t>
      </w:r>
      <w:r>
        <w:t xml:space="preserve"> </w:t>
      </w:r>
      <w:r>
        <w:t xml:space="preserve">(1963) (injunction under Investment Advisers Act of 1940 to compel registered investment adviser to disclose to his clients his own financial interest in his recommendations).</w:t>
      </w:r>
    </w:p>
    <w:p>
      <w:pPr>
        <w:pStyle w:val="CaseFootnoteText"/>
      </w:pPr>
      <w:r>
        <w:t xml:space="preserve">We have been cited to a large number of cases in the Courts of Appeals, all of which involved an element of deception as part of the fiduciary misconduct held to violate Rule 10b-5.</w:t>
      </w:r>
      <w:r>
        <w:t xml:space="preserve"/>
      </w:r>
      <w:r>
        <w:rPr>
          <w:iCs/>
          <w:i/>
        </w:rPr>
        <w:t xml:space="preserve">E. g., Schoenbaum</w:t>
      </w:r>
      <w:r>
        <w:t xml:space="preserve"> </w:t>
      </w:r>
      <w:r>
        <w:t xml:space="preserve">v.</w:t>
      </w:r>
      <w:r>
        <w:t xml:space="preserve"> </w:t>
      </w:r>
      <w:r>
        <w:rPr>
          <w:iCs/>
          <w:i/>
        </w:rPr>
        <w:t xml:space="preserve">Firstbrook,</w:t>
      </w:r>
      <w:r>
        <w:t xml:space="preserve"> </w:t>
      </w:r>
      <w:r>
        <w:t xml:space="preserve">405 F. 2d 215</w:t>
      </w:r>
      <w:r>
        <w:t xml:space="preserve">, 220 (CA2 1968) (en banc), cert. denied,</w:t>
      </w:r>
      <w:r>
        <w:t xml:space="preserve"> </w:t>
      </w:r>
      <w:r>
        <w:t xml:space="preserve">395 U. S. 906</w:t>
      </w:r>
      <w:r>
        <w:t xml:space="preserve"> </w:t>
      </w:r>
      <w:r>
        <w:t xml:space="preserve">(1969) (majority stockholder and board of directors “were guilty of deceiving” the minority stockholders);</w:t>
      </w:r>
      <w:r>
        <w:t xml:space="preserve"> </w:t>
      </w:r>
      <w:r>
        <w:rPr>
          <w:iCs/>
          <w:i/>
        </w:rPr>
        <w:t xml:space="preserve">Drachman</w:t>
      </w:r>
      <w:r>
        <w:t xml:space="preserve"> </w:t>
      </w:r>
      <w:r>
        <w:t xml:space="preserve">v.</w:t>
      </w:r>
      <w:r>
        <w:t xml:space="preserve"> </w:t>
      </w:r>
      <w:r>
        <w:rPr>
          <w:iCs/>
          <w:i/>
        </w:rPr>
        <w:t xml:space="preserve">Harvey,</w:t>
      </w:r>
      <w:r>
        <w:t xml:space="preserve"> </w:t>
      </w:r>
      <w:r>
        <w:t xml:space="preserve">453 F. 2d 722</w:t>
      </w:r>
      <w:r>
        <w:t xml:space="preserve">, 733, 736, 737 (CA2 1972) (en banc) (Rule 10b-5 violation alleged on facts found “indistinguishable” from</w:t>
      </w:r>
      <w:r>
        <w:t xml:space="preserve"> </w:t>
      </w:r>
      <w:r>
        <w:rPr>
          <w:iCs/>
          <w:i/>
        </w:rPr>
        <w:t xml:space="preserve">Superintendent of Insurance</w:t>
      </w:r>
      <w:r>
        <w:t xml:space="preserve"> </w:t>
      </w:r>
      <w:r>
        <w:t xml:space="preserve">v.</w:t>
      </w:r>
      <w:r>
        <w:t xml:space="preserve"> </w:t>
      </w:r>
      <w:r>
        <w:rPr>
          <w:iCs/>
          <w:i/>
        </w:rPr>
        <w:t xml:space="preserve">Bankers Life &amp; Cas. Co.); Schlick</w:t>
      </w:r>
      <w:r>
        <w:t xml:space="preserve"> </w:t>
      </w:r>
      <w:r>
        <w:t xml:space="preserve">v.</w:t>
      </w:r>
      <w:r>
        <w:t xml:space="preserve"> </w:t>
      </w:r>
      <w:r>
        <w:rPr>
          <w:iCs/>
          <w:i/>
        </w:rPr>
        <w:t xml:space="preserve">Penn-Dixie Cement Corp.,</w:t>
      </w:r>
      <w:r>
        <w:t xml:space="preserve"> </w:t>
      </w:r>
      <w:r>
        <w:t xml:space="preserve">507 F. 2d 374</w:t>
      </w:r>
      <w:r>
        <w:t xml:space="preserve"> </w:t>
      </w:r>
      <w:r>
        <w:t xml:space="preserve">(CA2 1974), cert. denied,</w:t>
      </w:r>
      <w:r>
        <w:t xml:space="preserve"> </w:t>
      </w:r>
      <w:r>
        <w:t xml:space="preserve">421 U. S. 976</w:t>
      </w:r>
      <w:r>
        <w:t xml:space="preserve"> </w:t>
      </w:r>
      <w:r>
        <w:t xml:space="preserve">(1975) (scheme of market manipulation and merger on unfair terms, one aspect of which was misrepresentation);</w:t>
      </w:r>
      <w:r>
        <w:t xml:space="preserve"> </w:t>
      </w:r>
      <w:r>
        <w:rPr>
          <w:iCs/>
          <w:i/>
        </w:rPr>
        <w:t xml:space="preserve">Pappas</w:t>
      </w:r>
      <w:r>
        <w:t xml:space="preserve"> </w:t>
      </w:r>
      <w:r>
        <w:t xml:space="preserve">v.</w:t>
      </w:r>
      <w:r>
        <w:t xml:space="preserve"> </w:t>
      </w:r>
      <w:r>
        <w:rPr>
          <w:iCs/>
          <w:i/>
        </w:rPr>
        <w:t xml:space="preserve">Moss,</w:t>
      </w:r>
      <w:r>
        <w:t xml:space="preserve"> </w:t>
      </w:r>
      <w:r>
        <w:t xml:space="preserve">393 F. 2d 865</w:t>
      </w:r>
      <w:r>
        <w:t xml:space="preserve">, 869 (CA3 1968) (“if a 'deception' is required in the present context [of § 10 (b) and Rule 10b-5], it is fairly found by viewing this fraud as though the 'independent' stockholders were standing in the place of the defrauded corporate entity,” where the board of directors passed a resolution containing at least two material misrepresentations and authorizing the sale of corporate stock to the directors at a price below fair market</w:t>
      </w:r>
      <w:r>
        <w:t xml:space="preserve"> </w:t>
      </w:r>
      <w:r>
        <w:rPr>
          <w:iCs/>
          <w:i/>
        </w:rPr>
        <w:t xml:space="preserve">value); Shell</w:t>
      </w:r>
      <w:r>
        <w:t xml:space="preserve"> </w:t>
      </w:r>
      <w:r>
        <w:t xml:space="preserve">v.</w:t>
      </w:r>
      <w:r>
        <w:t xml:space="preserve"> </w:t>
      </w:r>
      <w:r>
        <w:rPr>
          <w:iCs/>
          <w:i/>
        </w:rPr>
        <w:t xml:space="preserve">Hensley,</w:t>
      </w:r>
      <w:r>
        <w:t xml:space="preserve"> </w:t>
      </w:r>
      <w:r>
        <w:t xml:space="preserve">430 F. 2d 819</w:t>
      </w:r>
      <w:r>
        <w:t xml:space="preserve">, 825 (CA5 1970) (derivative suit alleging that corporate officers used misleading proxy materials and other reports to deceive shareholders regarding a bogus employment contract intended to conceal improper payments to the corporation president and regarding purchases by the corporation of certain securities at excessive prices);</w:t>
      </w:r>
      <w:r>
        <w:t xml:space="preserve"> </w:t>
      </w:r>
      <w:r>
        <w:rPr>
          <w:iCs/>
          <w:i/>
        </w:rPr>
        <w:t xml:space="preserve">Rekant</w:t>
      </w:r>
      <w:r>
        <w:t xml:space="preserve"> </w:t>
      </w:r>
      <w:r>
        <w:t xml:space="preserve">v.</w:t>
      </w:r>
      <w:r>
        <w:t xml:space="preserve"> </w:t>
      </w:r>
      <w:r>
        <w:rPr>
          <w:iCs/>
          <w:i/>
        </w:rPr>
        <w:t xml:space="preserve">Desser,</w:t>
      </w:r>
      <w:r>
        <w:t xml:space="preserve"> </w:t>
      </w:r>
      <w:r>
        <w:t xml:space="preserve">425 F. 2d 872</w:t>
      </w:r>
      <w:r>
        <w:t xml:space="preserve">, 882 (CA5 1970) (as part of scheme to cause corporation to issue Treasury shares and a promissory note for grossly inadequate consideration, corporate officers deceived shareholders by making affirmative misrepresentations in the corporation’s annual report and by failing to file any such report the next year). See Recent Cases,</w:t>
      </w:r>
      <w:r>
        <w:t xml:space="preserve"> </w:t>
      </w:r>
      <w:r>
        <w:t xml:space="preserve">89 Harv. L. Rev. 1917</w:t>
      </w:r>
      <w:r>
        <w:t xml:space="preserve">, 1926 (1976) (stating that no appellate decision before that of the Court of Appeals in this case and in</w:t>
      </w:r>
      <w:r>
        <w:t xml:space="preserve"> </w:t>
      </w:r>
      <w:r>
        <w:rPr>
          <w:iCs/>
          <w:i/>
        </w:rPr>
        <w:t xml:space="preserve">Marshel</w:t>
      </w:r>
      <w:r>
        <w:t xml:space="preserve"> </w:t>
      </w:r>
      <w:r>
        <w:t xml:space="preserve">v.</w:t>
      </w:r>
      <w:r>
        <w:t xml:space="preserve"> </w:t>
      </w:r>
      <w:r>
        <w:rPr>
          <w:iCs/>
          <w:i/>
        </w:rPr>
        <w:t xml:space="preserve">AFW Fabric Corp.,</w:t>
      </w:r>
      <w:r>
        <w:t xml:space="preserve"> </w:t>
      </w:r>
      <w:r>
        <w:t xml:space="preserve">533 F. 2d 1277</w:t>
      </w:r>
      <w:r>
        <w:t xml:space="preserve"> </w:t>
      </w:r>
      <w:r>
        <w:t xml:space="preserve">(CA2),</w:t>
      </w:r>
      <w:r>
        <w:t xml:space="preserve"> </w:t>
      </w:r>
      <w:r>
        <w:rPr>
          <w:iCs/>
          <w:i/>
        </w:rPr>
        <w:t xml:space="preserve">vacated</w:t>
      </w:r>
      <w:r>
        <w:t xml:space="preserve"> </w:t>
      </w:r>
      <w:r>
        <w:t xml:space="preserve">and remanded for a determination of mootness,</w:t>
      </w:r>
      <w:r>
        <w:t xml:space="preserve"> </w:t>
      </w:r>
      <w:r>
        <w:t xml:space="preserve">429 U. S. 881</w:t>
      </w:r>
      <w:r>
        <w:t xml:space="preserve"> </w:t>
      </w:r>
      <w:r>
        <w:t xml:space="preserve">(1976), “had permitted a 10b-5 claim without some element of misrepresentation or nondisclosure”) (footnote omitted).</w:t>
      </w:r>
    </w:p>
  </w:footnote>
  <w:footnote w:id="306">
    <w:p>
      <w:pPr>
        <w:pStyle w:val="CaseFootnoteText"/>
      </w:pPr>
      <w:r>
        <w:rPr>
          <w:rStyle w:val="FootnoteReference"/>
        </w:rPr>
        <w:t xml:space="preserve">15  </w:t>
      </w:r>
      <w:r>
        <w:t xml:space="preserve"/>
      </w:r>
      <w:r>
        <w:t xml:space="preserve">We emphasize that we do not intend to imply that facts suggestive of control need be disclosed only if in fact there was control. If, for example, the proxy statement in this case had failed to reveal National’s 34% stock interest in TSC and the presence of five National nominees on TSC’s board, these omissions would have rendered the statement materially misleading as a matter of law, regardless of whether National can be said with certainty to have been in “control” of TSC. The reasons for this are twofold. First, to the extent that the existence of control was, at the time of the proxy statement’s issuance, a matter of doubt to those responsible for preparing the statement, we would be unwilling to resolve that doubt against disclosure of facts so obviously suggestive of control. Second, and perhaps more to the point, even if National did not “control” TSC, its stock ownership and position on the TSC board make it quite clear that it enjoyed some influence over TSC, which would be of obvious importance to TSC shareholders.</w:t>
      </w:r>
    </w:p>
  </w:footnote>
  <w:footnote w:id="307">
    <w:p>
      <w:pPr>
        <w:pStyle w:val="CaseFootnoteText"/>
      </w:pPr>
      <w:r>
        <w:rPr>
          <w:rStyle w:val="FootnoteReference"/>
        </w:rPr>
        <w:t xml:space="preserve">15  </w:t>
      </w:r>
      <w:r>
        <w:t xml:space="preserve"/>
      </w:r>
      <w:r>
        <w:t xml:space="preserve">Blue Chip did not here present the question of whether an implied action under § 10 (b) of the 1934 Act and Rule 10b-5 will lie for actions made a violation of the 1933 Act and the subject of express civil remedies under the 1933 Act. We therefore have no occasion to pass on this issue. Compare</w:t>
      </w:r>
      <w:r>
        <w:t xml:space="preserve"> </w:t>
      </w:r>
      <w:r>
        <w:rPr>
          <w:iCs/>
          <w:i/>
        </w:rPr>
        <w:t xml:space="preserve">Rosenberg</w:t>
      </w:r>
      <w:r>
        <w:t xml:space="preserve"> </w:t>
      </w:r>
      <w:r>
        <w:t xml:space="preserve">v.</w:t>
      </w:r>
      <w:r>
        <w:t xml:space="preserve"> </w:t>
      </w:r>
      <w:r>
        <w:rPr>
          <w:iCs/>
          <w:i/>
        </w:rPr>
        <w:t xml:space="preserve">Globe Aircraft Corp.,</w:t>
      </w:r>
      <w:r>
        <w:t xml:space="preserve"> </w:t>
      </w:r>
      <w:r>
        <w:t xml:space="preserve">80 F. Supp. 123</w:t>
      </w:r>
      <w:r>
        <w:t xml:space="preserve"> </w:t>
      </w:r>
      <w:r>
        <w:t xml:space="preserve">(ED Pa. 1948), with</w:t>
      </w:r>
      <w:r>
        <w:t xml:space="preserve"> </w:t>
      </w:r>
      <w:r>
        <w:rPr>
          <w:iCs/>
          <w:i/>
        </w:rPr>
        <w:t xml:space="preserve">Thiele</w:t>
      </w:r>
      <w:r>
        <w:t xml:space="preserve"> </w:t>
      </w:r>
      <w:r>
        <w:t xml:space="preserve">v.</w:t>
      </w:r>
      <w:r>
        <w:t xml:space="preserve"> </w:t>
      </w:r>
      <w:r>
        <w:rPr>
          <w:iCs/>
          <w:i/>
        </w:rPr>
        <w:t xml:space="preserve">Shields,</w:t>
      </w:r>
      <w:r>
        <w:t xml:space="preserve"> </w:t>
      </w:r>
      <w:r>
        <w:t xml:space="preserve">131 F. Supp. 416</w:t>
      </w:r>
      <w:r>
        <w:t xml:space="preserve"> </w:t>
      </w:r>
      <w:r>
        <w:t xml:space="preserve">(SDNY 1955). Cf. 3 L. Loss, Securities Regulation 1787-1791 (2d ed. 1961); 6 L. Loss, Securities Regulation 3915-3917 (1969); Bromberg § 2.4 (2).</w:t>
      </w:r>
    </w:p>
  </w:footnote>
  <w:footnote w:id="308">
    <w:p>
      <w:pPr>
        <w:pStyle w:val="CaseFootnoteText"/>
      </w:pPr>
      <w:r>
        <w:rPr>
          <w:rStyle w:val="FootnoteReference"/>
        </w:rPr>
        <w:t xml:space="preserve">15  </w:t>
      </w:r>
      <w:r>
        <w:t xml:space="preserve"/>
      </w:r>
      <w:r>
        <w:t xml:space="preserve"> </w:t>
      </w:r>
      <w:r>
        <w:rPr>
          <w:iCs/>
          <w:i/>
        </w:rPr>
        <w:t xml:space="preserve">See</w:t>
      </w:r>
      <w:r>
        <w:t xml:space="preserve"> </w:t>
      </w:r>
      <w:r>
        <w:t xml:space="preserve">Grothe Dep. at 179-180.</w:t>
      </w:r>
    </w:p>
  </w:footnote>
  <w:footnote w:id="309">
    <w:p>
      <w:pPr>
        <w:pStyle w:val="CaseFootnoteText"/>
      </w:pPr>
      <w:r>
        <w:rPr>
          <w:rStyle w:val="FootnoteReference"/>
        </w:rPr>
        <w:t xml:space="preserve">15  </w:t>
      </w:r>
      <w:r>
        <w:t xml:space="preserve"/>
      </w:r>
      <w:r>
        <w:t xml:space="preserve"> </w:t>
      </w:r>
      <w:r>
        <w:rPr>
          <w:iCs/>
          <w:i/>
        </w:rPr>
        <w:t xml:space="preserve">Ibid.</w:t>
      </w:r>
    </w:p>
  </w:footnote>
  <w:footnote w:id="310">
    <w:p>
      <w:pPr>
        <w:pStyle w:val="CaseFootnoteText"/>
      </w:pPr>
      <w:r>
        <w:rPr>
          <w:rStyle w:val="FootnoteReference"/>
        </w:rPr>
        <w:t xml:space="preserve">15  </w:t>
      </w:r>
      <w:r>
        <w:t xml:space="preserve"/>
      </w:r>
      <w:r>
        <w:t xml:space="preserve"> </w:t>
      </w:r>
      <w:r>
        <w:rPr>
          <w:iCs/>
          <w:i/>
        </w:rPr>
        <w:t xml:space="preserve">See</w:t>
      </w:r>
      <w:r>
        <w:t xml:space="preserve"> </w:t>
      </w:r>
      <w:r>
        <w:t xml:space="preserve">App. to Opening Br. at 1643 (Comstock Deposition at 18-19).</w:t>
      </w:r>
    </w:p>
  </w:footnote>
  <w:footnote w:id="311">
    <w:p>
      <w:pPr>
        <w:pStyle w:val="CaseFootnoteText"/>
      </w:pPr>
      <w:r>
        <w:rPr>
          <w:rStyle w:val="FootnoteReference"/>
        </w:rPr>
        <w:t xml:space="preserve">15  </w:t>
      </w:r>
      <w:r>
        <w:t xml:space="preserve">The role of a poison pill in an auction setting may presumably be affected by provisions in the bid documents. For example, should a disinterested board or committee agree in good faith to a provision requiring that a pill remain in place following bidding (which they might do in order to elicit bidders), such a commitment would presumably validly bind the corporation.</w:t>
      </w:r>
    </w:p>
  </w:footnote>
  <w:footnote w:id="312">
    <w:p>
      <w:pPr>
        <w:pStyle w:val="CaseFootnoteText"/>
      </w:pPr>
      <w:r>
        <w:rPr>
          <w:rStyle w:val="FootnoteReference"/>
        </w:rPr>
        <w:t xml:space="preserve">15  </w:t>
      </w:r>
      <w:r>
        <w:t xml:space="preserve"/>
      </w:r>
      <w:r>
        <w:t xml:space="preserve"> </w:t>
      </w:r>
      <w:r>
        <w:rPr>
          <w:iCs/>
          <w:i/>
        </w:rPr>
        <w:t xml:space="preserve">Centaur Partners,</w:t>
      </w:r>
      <w:r>
        <w:t xml:space="preserve"> </w:t>
      </w:r>
      <w:r>
        <w:t xml:space="preserve">582 A.2d at 928</w:t>
      </w:r>
      <w:r>
        <w:t xml:space="preserve"> </w:t>
      </w:r>
      <w:r>
        <w:t xml:space="preserve">(quoting</w:t>
      </w:r>
      <w:r>
        <w:t xml:space="preserve"> </w:t>
      </w:r>
      <w:r>
        <w:rPr>
          <w:iCs/>
          <w:i/>
        </w:rPr>
        <w:t xml:space="preserve">Waggoner,</w:t>
      </w:r>
      <w:r>
        <w:t xml:space="preserve"> </w:t>
      </w:r>
      <w:r>
        <w:t xml:space="preserve">581 A.2d at 1134</w:t>
      </w:r>
      <w:r>
        <w:t xml:space="preserve">).</w:t>
      </w:r>
    </w:p>
  </w:footnote>
  <w:footnote w:id="313">
    <w:p>
      <w:pPr>
        <w:pStyle w:val="CaseFootnoteText"/>
      </w:pPr>
      <w:r>
        <w:rPr>
          <w:rStyle w:val="FootnoteReference"/>
        </w:rPr>
        <w:t xml:space="preserve">15  </w:t>
      </w:r>
      <w:r>
        <w:t xml:space="preserve">The relevant proxy statement material is set forth in numbered paragraphs in regular type. The findings of the Vice Chancellor are bracketed and in bold type.</w:t>
      </w:r>
    </w:p>
  </w:footnote>
  <w:footnote w:id="314">
    <w:p>
      <w:pPr>
        <w:pStyle w:val="CaseFootnoteText"/>
      </w:pPr>
      <w:r>
        <w:rPr>
          <w:rStyle w:val="FootnoteReference"/>
        </w:rPr>
        <w:t xml:space="preserve">15  </w:t>
      </w:r>
      <w:r>
        <w:t xml:space="preserve">The minutes of the February 16, 1989 meeting of the Special Committee reflect that "[n]o one else was present at any time during our meeting which was held in the boardroom on the 16th Floor of the Occidental Petroleum Center Building.”</w:t>
      </w:r>
    </w:p>
  </w:footnote>
  <w:footnote w:id="315">
    <w:p>
      <w:pPr>
        <w:pStyle w:val="CaseFootnoteText"/>
      </w:pPr>
      <w:r>
        <w:rPr>
          <w:rStyle w:val="FootnoteReference"/>
        </w:rPr>
        <w:t xml:space="preserve">15  </w:t>
      </w:r>
      <w:r>
        <w:t xml:space="preserve"/>
      </w:r>
      <w:r>
        <w:rPr>
          <w:iCs/>
          <w:i/>
        </w:rPr>
        <w:t xml:space="preserve">.See</w:t>
      </w:r>
      <w:r>
        <w:t xml:space="preserve"> </w:t>
      </w:r>
      <w:r>
        <w:t xml:space="preserve">Tr. at 21 (Palomino);</w:t>
      </w:r>
      <w:r>
        <w:t xml:space="preserve"> </w:t>
      </w:r>
      <w:r>
        <w:rPr>
          <w:iCs/>
          <w:i/>
        </w:rPr>
        <w:t xml:space="preserve">see also</w:t>
      </w:r>
      <w:r>
        <w:t xml:space="preserve"> </w:t>
      </w:r>
      <w:r>
        <w:t xml:space="preserve">JX-83 (minutes of Special Committee meeting (April 1, 2004)) (discussing the problems with the term sheet that the Special Committee had received on March 25, 2004).</w:t>
      </w:r>
    </w:p>
  </w:footnote>
  <w:footnote w:id="317">
    <w:p>
      <w:pPr>
        <w:pStyle w:val="CaseFootnoteText"/>
      </w:pPr>
      <w:r>
        <w:rPr>
          <w:rStyle w:val="FootnoteReference"/>
        </w:rPr>
        <w:t xml:space="preserve">16  </w:t>
      </w:r>
      <w:r>
        <w:t xml:space="preserve">6</w:t>
      </w:r>
      <w:r>
        <w:t xml:space="preserve"> </w:t>
      </w:r>
      <w:r>
        <w:rPr>
          <w:iCs/>
          <w:i/>
        </w:rPr>
        <w:t xml:space="preserve">Del. C.</w:t>
      </w:r>
      <w:r>
        <w:t xml:space="preserve"> </w:t>
      </w:r>
      <w:r>
        <w:t xml:space="preserve">§ L7 — 1101(d).</w:t>
      </w:r>
    </w:p>
  </w:footnote>
  <w:footnote w:id="318">
    <w:p>
      <w:pPr>
        <w:pStyle w:val="CaseFootnoteText"/>
      </w:pPr>
      <w:r>
        <w:rPr>
          <w:rStyle w:val="FootnoteReference"/>
        </w:rPr>
        <w:t xml:space="preserve">16  </w:t>
      </w:r>
      <w:r>
        <w:t xml:space="preserve">Additionally, Load Line exercised its right to tag-along with Crestview's exercise of the Put Right.</w:t>
      </w:r>
    </w:p>
  </w:footnote>
  <w:footnote w:id="319">
    <w:p>
      <w:pPr>
        <w:pStyle w:val="CaseFootnoteText"/>
      </w:pPr>
      <w:r>
        <w:rPr>
          <w:rStyle w:val="FootnoteReference"/>
        </w:rPr>
        <w:t xml:space="preserve">16  </w:t>
      </w:r>
      <w:r>
        <w:t xml:space="preserve"/>
      </w:r>
      <w:r>
        <w:t xml:space="preserve">The Chief Justice finds our discussion of these narrower solutions “quite perplexing” because we suggest that the Court should “latch on to one of them in order to avoid reaching the broader constitutional question,” without doing the same ourselves.</w:t>
      </w:r>
      <w:r>
        <w:t xml:space="preserve"> </w:t>
      </w:r>
      <w:r>
        <w:rPr>
          <w:iCs/>
          <w:i/>
        </w:rPr>
        <w:t xml:space="preserve">Ante,</w:t>
      </w:r>
      <w:r>
        <w:t xml:space="preserve"> </w:t>
      </w:r>
      <w:r>
        <w:t xml:space="preserve">at 375. There is nothing perplexing about the matter, because we are not similarly situated to our colleagues in the majority. We do not share their view of the First Amendment. Our reading of the Constitution would not lead us to strike down any statutes or overturn any precedents in this case, and we therefore have no occasion to practice constitutional avoidance or to vindicate Citizens United’s as-applied challenge. Each of the arguments made above is surely at least as strong as the statutory argument the Court accepted in last year’s Voting Rights Act case,</w:t>
      </w:r>
      <w:r>
        <w:t xml:space="preserve"> </w:t>
      </w:r>
      <w:r>
        <w:rPr>
          <w:iCs/>
          <w:i/>
        </w:rPr>
        <w:t xml:space="preserve">Northwest Austin Municipal Util. Dist. No. One</w:t>
      </w:r>
      <w:r>
        <w:t xml:space="preserve"> </w:t>
      </w:r>
      <w:r>
        <w:t xml:space="preserve">v.</w:t>
      </w:r>
      <w:r>
        <w:t xml:space="preserve"> </w:t>
      </w:r>
      <w:r>
        <w:rPr>
          <w:iCs/>
          <w:i/>
        </w:rPr>
        <w:t xml:space="preserve">Holder,</w:t>
      </w:r>
      <w:r>
        <w:t xml:space="preserve"> </w:t>
      </w:r>
      <w:r>
        <w:t xml:space="preserve">557 U. S. 193 (2009).</w:t>
      </w:r>
    </w:p>
  </w:footnote>
  <w:footnote w:id="320">
    <w:p>
      <w:pPr>
        <w:pStyle w:val="CaseFootnoteText"/>
      </w:pPr>
      <w:r>
        <w:rPr>
          <w:rStyle w:val="FootnoteReference"/>
        </w:rPr>
        <w:t xml:space="preserve">16  </w:t>
      </w:r>
      <w:r>
        <w:t xml:space="preserve"/>
      </w:r>
      <w:r>
        <w:t xml:space="preserve">For example, some States apparently require a “valid corporate purpose” for the elimination of the minority interest through a short-form merger, whereas other States do not. Compare</w:t>
      </w:r>
      <w:r>
        <w:t xml:space="preserve"> </w:t>
      </w:r>
      <w:r>
        <w:rPr>
          <w:iCs/>
          <w:i/>
        </w:rPr>
        <w:t xml:space="preserve">Bryan</w:t>
      </w:r>
      <w:r>
        <w:t xml:space="preserve"> </w:t>
      </w:r>
      <w:r>
        <w:t xml:space="preserve">v.</w:t>
      </w:r>
      <w:r>
        <w:t xml:space="preserve"> </w:t>
      </w:r>
      <w:r>
        <w:rPr>
          <w:iCs/>
          <w:i/>
        </w:rPr>
        <w:t xml:space="preserve">Brock &amp; Blevins Co.,</w:t>
      </w:r>
      <w:r>
        <w:t xml:space="preserve"> </w:t>
      </w:r>
      <w:r>
        <w:t xml:space="preserve">490 F. 2d 563</w:t>
      </w:r>
      <w:r>
        <w:t xml:space="preserve"> </w:t>
      </w:r>
      <w:r>
        <w:t xml:space="preserve">(CA5), cert. denied,</w:t>
      </w:r>
      <w:r>
        <w:t xml:space="preserve"> </w:t>
      </w:r>
      <w:r>
        <w:t xml:space="preserve">419 U. S. 844</w:t>
      </w:r>
      <w:r>
        <w:t xml:space="preserve"> </w:t>
      </w:r>
      <w:r>
        <w:t xml:space="preserve">(1974) (merger arranged by controlling stockholder for no business purpose except to eliminate 15% minority stockholder violated Georgia short-form merger statute) with</w:t>
      </w:r>
      <w:r>
        <w:t xml:space="preserve"> </w:t>
      </w:r>
      <w:r>
        <w:rPr>
          <w:iCs/>
          <w:i/>
        </w:rPr>
        <w:t xml:space="preserve">Stauffer</w:t>
      </w:r>
      <w:r>
        <w:t xml:space="preserve"> </w:t>
      </w:r>
      <w:r>
        <w:t xml:space="preserve">v.</w:t>
      </w:r>
      <w:r>
        <w:t xml:space="preserve"> </w:t>
      </w:r>
      <w:r>
        <w:rPr>
          <w:iCs/>
          <w:i/>
        </w:rPr>
        <w:t xml:space="preserve">Standard Brands, Inc.,</w:t>
      </w:r>
      <w:r>
        <w:t xml:space="preserve"> </w:t>
      </w:r>
      <w:r>
        <w:t xml:space="preserve">41 Del. Ch. 7</w:t>
      </w:r>
      <w:r>
        <w:t xml:space="preserve">,</w:t>
      </w:r>
      <w:r>
        <w:t xml:space="preserve"> </w:t>
      </w:r>
      <w:r>
        <w:t xml:space="preserve">187 A. 2d 78</w:t>
      </w:r>
      <w:r>
        <w:t xml:space="preserve"> </w:t>
      </w:r>
      <w:r>
        <w:t xml:space="preserve">(1962) (Delaware short-form merger statute allows majority stockholder to eliminate the minority interest without any corporate purpose and subject only to an appraisal remedy). Thus to the extent that Rule 10b-5 is interpreted to require a valid corporate purpose for elimination of minority shareholders as well as a fair price for their shares, it would impose a stricter standard of fiduciary duty than that required by the law of some States.</w:t>
      </w:r>
    </w:p>
  </w:footnote>
  <w:footnote w:id="321">
    <w:p>
      <w:pPr>
        <w:pStyle w:val="CaseFootnoteText"/>
      </w:pPr>
      <w:r>
        <w:rPr>
          <w:rStyle w:val="FootnoteReference"/>
        </w:rPr>
        <w:t xml:space="preserve">16  </w:t>
      </w:r>
      <w:r>
        <w:t xml:space="preserve"/>
      </w:r>
      <w:r>
        <w:t xml:space="preserve">The premium based upon November 7, 1969, closing prices is calculated as follows:</w:t>
      </w:r>
    </w:p>
    <w:p>
      <w:pPr>
        <w:pStyle w:val="BlockText"/>
      </w:pPr>
      <w:r>
        <w:t xml:space="preserve">TSC Preferred TSC Common</w:t>
      </w:r>
    </w:p>
    <w:p>
      <w:pPr>
        <w:pStyle w:val="BlockText"/>
      </w:pPr>
      <w:r>
        <w:t xml:space="preserve">National B pfd. at (16%). $9.98 (.6 sh.) $8.31 (.5 sh.)</w:t>
      </w:r>
    </w:p>
    <w:p>
      <w:pPr>
        <w:pStyle w:val="BlockText"/>
      </w:pPr>
      <w:r>
        <w:t xml:space="preserve">National warrant (at 5*4). 5.25 7.88 (1% war.)</w:t>
      </w:r>
    </w:p>
    <w:p>
      <w:pPr>
        <w:pStyle w:val="BlockText"/>
      </w:pPr>
      <w:r>
        <w:t xml:space="preserve">Total .$15.23 $16.19</w:t>
      </w:r>
    </w:p>
    <w:p>
      <w:pPr>
        <w:pStyle w:val="BlockText"/>
      </w:pPr>
      <w:r>
        <w:t xml:space="preserve">Less TSC market (pfd. 12) com. 13%). 12.00 13.25</w:t>
      </w:r>
    </w:p>
    <w:p>
      <w:pPr>
        <w:pStyle w:val="BlockText"/>
      </w:pPr>
      <w:r>
        <w:t xml:space="preserve">Premium . 3.23 2.94</w:t>
      </w:r>
    </w:p>
    <w:p>
      <w:pPr>
        <w:pStyle w:val="BlockText"/>
      </w:pPr>
      <w:r>
        <w:t xml:space="preserve">Premium expressed as a percentage of TSC market... 27% 22%</w:t>
      </w:r>
    </w:p>
  </w:footnote>
  <w:footnote w:id="322">
    <w:p>
      <w:pPr>
        <w:pStyle w:val="CaseFootnoteText"/>
      </w:pPr>
      <w:r>
        <w:rPr>
          <w:rStyle w:val="FootnoteReference"/>
        </w:rPr>
        <w:t xml:space="preserve">16  </w:t>
      </w:r>
      <w:r>
        <w:t xml:space="preserve"/>
      </w:r>
      <w:r>
        <w:t xml:space="preserve"> </w:t>
      </w:r>
      <w:r>
        <w:rPr>
          <w:iCs/>
          <w:i/>
        </w:rPr>
        <w:t xml:space="preserve">See</w:t>
      </w:r>
      <w:r>
        <w:t xml:space="preserve"> </w:t>
      </w:r>
      <w:r>
        <w:t xml:space="preserve">Decker Dep. at 226-28, 263-67; Eb-bers Dep. at 45-49, 94-95.</w:t>
      </w:r>
    </w:p>
  </w:footnote>
  <w:footnote w:id="323">
    <w:p>
      <w:pPr>
        <w:pStyle w:val="CaseFootnoteText"/>
      </w:pPr>
      <w:r>
        <w:rPr>
          <w:rStyle w:val="FootnoteReference"/>
        </w:rPr>
        <w:t xml:space="preserve">16  </w:t>
      </w:r>
      <w:r>
        <w:t xml:space="preserve"/>
      </w:r>
      <w:r>
        <w:t xml:space="preserve"> </w:t>
      </w:r>
      <w:r>
        <w:rPr>
          <w:iCs/>
          <w:i/>
        </w:rPr>
        <w:t xml:space="preserve">Ibid.</w:t>
      </w:r>
    </w:p>
  </w:footnote>
  <w:footnote w:id="324">
    <w:p>
      <w:pPr>
        <w:pStyle w:val="CaseFootnoteText"/>
      </w:pPr>
      <w:r>
        <w:rPr>
          <w:rStyle w:val="FootnoteReference"/>
        </w:rPr>
        <w:t xml:space="preserve">16  </w:t>
      </w:r>
      <w:r>
        <w:t xml:space="preserve">According to Petrello’s deposition, "every banker in the world was approaching us about ideas to do something.” App. to Opening Br. at 628 (Petrello Deposition at 15).</w:t>
      </w:r>
    </w:p>
  </w:footnote>
  <w:footnote w:id="325">
    <w:p>
      <w:pPr>
        <w:pStyle w:val="CaseFootnoteText"/>
      </w:pPr>
      <w:r>
        <w:rPr>
          <w:rStyle w:val="FootnoteReference"/>
        </w:rPr>
        <w:t xml:space="preserve">16  </w:t>
      </w:r>
      <w:r>
        <w:t xml:space="preserve"/>
      </w:r>
      <w:r>
        <w:t xml:space="preserve"> </w:t>
      </w:r>
      <w:r>
        <w:rPr>
          <w:iCs/>
          <w:i/>
        </w:rPr>
        <w:t xml:space="preserve">See</w:t>
      </w:r>
      <w:r>
        <w:t xml:space="preserve"> </w:t>
      </w:r>
      <w:r>
        <w:t xml:space="preserve">n. 6,</w:t>
      </w:r>
      <w:r>
        <w:t xml:space="preserve"> </w:t>
      </w:r>
      <w:r>
        <w:rPr>
          <w:iCs/>
          <w:i/>
        </w:rPr>
        <w:t xml:space="preserve">supra.</w:t>
      </w:r>
    </w:p>
  </w:footnote>
  <w:footnote w:id="326">
    <w:p>
      <w:pPr>
        <w:pStyle w:val="CaseFootnoteText"/>
      </w:pPr>
      <w:r>
        <w:rPr>
          <w:rStyle w:val="FootnoteReference"/>
        </w:rPr>
        <w:t xml:space="preserve">16  </w:t>
      </w:r>
      <w:r>
        <w:t xml:space="preserve"/>
      </w:r>
      <w:r>
        <w:t xml:space="preserve"> </w:t>
      </w:r>
      <w:r>
        <w:rPr>
          <w:iCs/>
          <w:i/>
        </w:rPr>
        <w:t xml:space="preserve">AT &amp; T Corp. v. Lillis,</w:t>
      </w:r>
      <w:r>
        <w:t xml:space="preserve"> </w:t>
      </w:r>
      <w:r>
        <w:t xml:space="preserve">953 A.2d 241</w:t>
      </w:r>
      <w:r>
        <w:t xml:space="preserve">, 253 (Del.2008) (quoting</w:t>
      </w:r>
      <w:r>
        <w:t xml:space="preserve"> </w:t>
      </w:r>
      <w:r>
        <w:rPr>
          <w:iCs/>
          <w:i/>
        </w:rPr>
        <w:t xml:space="preserve">Appriva S’holder Litig. Co., LLC v. ev3, Inc.,</w:t>
      </w:r>
      <w:r>
        <w:t xml:space="preserve"> </w:t>
      </w:r>
      <w:r>
        <w:t xml:space="preserve">937 A.2d 1275</w:t>
      </w:r>
      <w:r>
        <w:t xml:space="preserve">, 1291 (Del.2007)).</w:t>
      </w:r>
    </w:p>
  </w:footnote>
  <w:footnote w:id="327">
    <w:p>
      <w:pPr>
        <w:pStyle w:val="CaseFootnoteText"/>
      </w:pPr>
      <w:r>
        <w:rPr>
          <w:rStyle w:val="FootnoteReference"/>
        </w:rPr>
        <w:t xml:space="preserve">16  </w:t>
      </w:r>
      <w:r>
        <w:t xml:space="preserve"/>
      </w:r>
      <w:r>
        <w:t xml:space="preserve"> </w:t>
      </w:r>
      <w:r>
        <w:rPr>
          <w:iCs/>
          <w:i/>
        </w:rPr>
        <w:t xml:space="preserve">Cf. Freedman v. Restaurant Assocs.,</w:t>
      </w:r>
      <w:r>
        <w:t xml:space="preserve"> </w:t>
      </w:r>
      <w:r>
        <w:t xml:space="preserve">Del.Ch., C.A. No. 9212,</w:t>
      </w:r>
      <w:r>
        <w:t xml:space="preserve"> </w:t>
      </w:r>
      <w:r>
        <w:rPr>
          <w:iCs/>
          <w:i/>
        </w:rPr>
        <w:t xml:space="preserve">slip op.</w:t>
      </w:r>
      <w:r>
        <w:t xml:space="preserve"> </w:t>
      </w:r>
      <w:r>
        <w:t xml:space="preserve">at 19, Allen, C.,</w:t>
      </w:r>
      <w:r>
        <w:t xml:space="preserve"> </w:t>
      </w:r>
      <w:r>
        <w:t xml:space="preserve">1990 WL 135923</w:t>
      </w:r>
      <w:r>
        <w:t xml:space="preserve"> </w:t>
      </w:r>
      <w:r>
        <w:t xml:space="preserve">(Sept. 21, 1990)</w:t>
      </w:r>
      <w:r>
        <w:t xml:space="preserve"> </w:t>
      </w:r>
      <w:r>
        <w:rPr>
          <w:iCs/>
          <w:i/>
        </w:rPr>
        <w:t xml:space="preserve">reprinted in</w:t>
      </w:r>
      <w:r>
        <w:t xml:space="preserve"> </w:t>
      </w:r>
      <w:r>
        <w:t xml:space="preserve">16 Del.J.Corp.L. 1462</w:t>
      </w:r>
      <w:r>
        <w:t xml:space="preserve">, 1476 (1991) ("Although management may have no general obligation to disclose its purposes or motivation, once it undertook to disclose its purpose in revising the offer, it had an obligation to do so truthfully and candidly.").</w:t>
      </w:r>
    </w:p>
  </w:footnote>
  <w:footnote w:id="328">
    <w:p>
      <w:pPr>
        <w:pStyle w:val="CaseFootnoteText"/>
      </w:pPr>
      <w:r>
        <w:rPr>
          <w:rStyle w:val="FootnoteReference"/>
        </w:rPr>
        <w:t xml:space="preserve">16  </w:t>
      </w:r>
      <w:r>
        <w:t xml:space="preserve">On May 11, 1989, Martin and Evelyn Levitan, along with the plaintiffs in the</w:t>
      </w:r>
      <w:r>
        <w:t xml:space="preserve"> </w:t>
      </w:r>
      <w:r>
        <w:rPr>
          <w:iCs/>
          <w:i/>
        </w:rPr>
        <w:t xml:space="preserve">Sullivan</w:t>
      </w:r>
      <w:r>
        <w:t xml:space="preserve"> </w:t>
      </w:r>
      <w:r>
        <w:t xml:space="preserve">action, filed a suit in the Superior Court of the State of California captioned</w:t>
      </w:r>
      <w:r>
        <w:t xml:space="preserve"> </w:t>
      </w:r>
      <w:r>
        <w:rPr>
          <w:iCs/>
          <w:i/>
        </w:rPr>
        <w:t xml:space="preserve">Levitan, et al. v. Occidental Petroleum Corporation, et. al.,</w:t>
      </w:r>
      <w:r>
        <w:t xml:space="preserve"> </w:t>
      </w:r>
      <w:r>
        <w:t xml:space="preserve">C.A. No. 001175 (the</w:t>
      </w:r>
      <w:r>
        <w:t xml:space="preserve"> </w:t>
      </w:r>
      <w:r>
        <w:rPr>
          <w:iCs/>
          <w:i/>
        </w:rPr>
        <w:t xml:space="preserve">"Levitan</w:t>
      </w:r>
      <w:r>
        <w:t xml:space="preserve"> </w:t>
      </w:r>
      <w:r>
        <w:t xml:space="preserve">” action), alleging claims substantially similar to those in the</w:t>
      </w:r>
      <w:r>
        <w:t xml:space="preserve"> </w:t>
      </w:r>
      <w:r>
        <w:rPr>
          <w:iCs/>
          <w:i/>
        </w:rPr>
        <w:t xml:space="preserve">Sullivan</w:t>
      </w:r>
      <w:r>
        <w:t xml:space="preserve"> </w:t>
      </w:r>
      <w:r>
        <w:t xml:space="preserve">action.</w:t>
      </w:r>
    </w:p>
  </w:footnote>
  <w:footnote w:id="329">
    <w:p>
      <w:pPr>
        <w:pStyle w:val="CaseFootnoteText"/>
      </w:pPr>
      <w:r>
        <w:rPr>
          <w:rStyle w:val="FootnoteReference"/>
        </w:rPr>
        <w:t xml:space="preserve">16  </w:t>
      </w:r>
      <w:r>
        <w:t xml:space="preserve">Tr. at 27 (Palomino).</w:t>
      </w:r>
    </w:p>
  </w:footnote>
  <w:footnote w:id="331">
    <w:p>
      <w:pPr>
        <w:pStyle w:val="CaseFootnoteText"/>
      </w:pPr>
      <w:r>
        <w:rPr>
          <w:rStyle w:val="FootnoteReference"/>
        </w:rPr>
        <w:t xml:space="preserve">17  </w:t>
      </w:r>
      <w:r>
        <w:t xml:space="preserve"/>
      </w:r>
      <w:r>
        <w:t xml:space="preserve"> </w:t>
      </w:r>
      <w:r>
        <w:rPr>
          <w:iCs/>
          <w:i/>
        </w:rPr>
        <w:t xml:space="preserve">The Haynes Family Trust v. Kinder Morgan G.P., Inc.,</w:t>
      </w:r>
      <w:r>
        <w:t xml:space="preserve"> </w:t>
      </w:r>
      <w:r>
        <w:t xml:space="preserve">135 A.3d 76</w:t>
      </w:r>
      <w:r>
        <w:t xml:space="preserve">,</w:t>
      </w:r>
      <w:r>
        <w:t xml:space="preserve"> </w:t>
      </w:r>
      <w:r>
        <w:t xml:space="preserve">2016 WL 912184</w:t>
      </w:r>
      <w:r>
        <w:t xml:space="preserve">, at *2 (Del. Mar. 10, 2016).</w:t>
      </w:r>
    </w:p>
  </w:footnote>
  <w:footnote w:id="332">
    <w:p>
      <w:pPr>
        <w:pStyle w:val="CaseFootnoteText"/>
      </w:pPr>
      <w:r>
        <w:rPr>
          <w:rStyle w:val="FootnoteReference"/>
        </w:rPr>
        <w:t xml:space="preserve">17  </w:t>
      </w:r>
      <w:r>
        <w:rPr>
          <w:iCs/>
          <w:i/>
        </w:rPr>
        <w:t xml:space="preserve">Chancery Opinion</w:t>
      </w:r>
      <w:r>
        <w:t xml:space="preserve"/>
      </w:r>
      <w:r>
        <w:t xml:space="preserve">,</w:t>
      </w:r>
      <w:r>
        <w:t xml:space="preserve"> </w:t>
      </w:r>
      <w:r>
        <w:t xml:space="preserve">2018 WL 818760</w:t>
      </w:r>
      <w:r>
        <w:t xml:space="preserve">, at *34. In a post-oral-argument skirmish to correct their counsel's response to a question on the "roll-over" point, the Minority Members asserted that this "roll-over" option would have been available to all existing investors.</w:t>
      </w:r>
      <w:r>
        <w:t xml:space="preserve"> </w:t>
      </w:r>
      <w:r>
        <w:rPr>
          <w:iCs/>
          <w:i/>
        </w:rPr>
        <w:t xml:space="preserve">See</w:t>
      </w:r>
      <w:r>
        <w:t xml:space="preserve"> </w:t>
      </w:r>
      <w:r>
        <w:t xml:space="preserve">Minority Members' Mot. to Correct the Record Concerning a Mistaken Statement Made at Oral Argument, at 2. They further asserted that the final ArcLight proposal lacked a provision allowing any unitholder to roll-over its equity.</w:t>
      </w:r>
      <w:r>
        <w:t xml:space="preserve"> </w:t>
      </w:r>
      <w:r>
        <w:rPr>
          <w:iCs/>
          <w:i/>
        </w:rPr>
        <w:t xml:space="preserve">Id.</w:t>
      </w:r>
      <w:r>
        <w:t xml:space="preserve"> </w:t>
      </w:r>
      <w:r>
        <w:t xml:space="preserve">at 3. The Koch Parties countered by pointing to the trial court's findings that "Crestview perceived that if an Exit Sale took place, it might be able to roll over part of its interest or co-invest with the buyer," and that "[t]his would allow Crestview to continue to own what it regarded as a highly profitable business, but without the headaches of dealing with Koch."</w:t>
      </w:r>
      <w:r>
        <w:t xml:space="preserve"> </w:t>
      </w:r>
      <w:r>
        <w:rPr>
          <w:iCs/>
          <w:i/>
        </w:rPr>
        <w:t xml:space="preserve">Chancery Opinion</w:t>
      </w:r>
      <w:r>
        <w:t xml:space="preserve"> </w:t>
      </w:r>
      <w:r>
        <w:t xml:space="preserve">,</w:t>
      </w:r>
      <w:r>
        <w:t xml:space="preserve"> </w:t>
      </w:r>
      <w:r>
        <w:t xml:space="preserve">2018 WL 818760</w:t>
      </w:r>
      <w:r>
        <w:t xml:space="preserve">, at *34. The Minority Members responded that these findings referred to an earlier time period. We have considered these submissions and neither they nor the "roll-over" points in general have any impact on our holding.</w:t>
      </w:r>
    </w:p>
  </w:footnote>
  <w:footnote w:id="333">
    <w:p>
      <w:pPr>
        <w:pStyle w:val="CaseFootnoteText"/>
      </w:pPr>
      <w:r>
        <w:rPr>
          <w:rStyle w:val="FootnoteReference"/>
        </w:rPr>
        <w:t xml:space="preserve">17  </w:t>
      </w:r>
      <w:r>
        <w:t xml:space="preserve"/>
      </w:r>
      <w:r>
        <w:t xml:space="preserve">I will have more to say shortly about the merits — about why</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are not doctrinal outliers, as the Court contends, and why their logic is not only defensible but also compelling. For present purposes, I limit the discussion to siore-decisis-speeific considerations.</w:t>
      </w:r>
    </w:p>
  </w:footnote>
  <w:footnote w:id="334">
    <w:p>
      <w:pPr>
        <w:pStyle w:val="CaseFootnoteText"/>
      </w:pPr>
      <w:r>
        <w:rPr>
          <w:rStyle w:val="FootnoteReference"/>
        </w:rPr>
        <w:t xml:space="preserve">17  </w:t>
      </w:r>
      <w:r>
        <w:t xml:space="preserve"/>
      </w:r>
      <w:r>
        <w:t xml:space="preserve">Cary, Federalism and Corporate Law: Reflections Upon Delaware,</w:t>
      </w:r>
      <w:r>
        <w:t xml:space="preserve"> </w:t>
      </w:r>
      <w:r>
        <w:t xml:space="preserve">83 Yale L. J. 663</w:t>
      </w:r>
      <w:r>
        <w:t xml:space="preserve">, 700 (1974) (footnote omitted). Professor Cary argues vigorously for comprehensive federal fiduciary standards, but urges a “frontal” attack by a new federal statute rather than an extension of Rule 10b-5. He writes: “It seems anomalous to jig-saw every kind of corporate dispute into the federal courts through the securities acts as they are presently written.”</w:t>
      </w:r>
      <w:r>
        <w:t xml:space="preserve"> </w:t>
      </w:r>
      <w:r>
        <w:rPr>
          <w:iCs/>
          <w:i/>
        </w:rPr>
        <w:t xml:space="preserve">Ibid.</w:t>
      </w:r>
      <w:r>
        <w:t xml:space="preserve"> </w:t>
      </w:r>
      <w:r>
        <w:t xml:space="preserve">See also Note, Going Private,</w:t>
      </w:r>
      <w:r>
        <w:t xml:space="preserve"> </w:t>
      </w:r>
      <w:r>
        <w:t xml:space="preserve">84 Yale L. J. 903</w:t>
      </w:r>
      <w:r>
        <w:t xml:space="preserve"> </w:t>
      </w:r>
      <w:r>
        <w:t xml:space="preserve">(1975) (proposing the application of traditional doctrines of substantive corporate law to problems of fairness raised by “going private” transactions such as short-form mergers).</w:t>
      </w:r>
    </w:p>
  </w:footnote>
  <w:footnote w:id="335">
    <w:p>
      <w:pPr>
        <w:pStyle w:val="CaseFootnoteText"/>
      </w:pPr>
      <w:r>
        <w:rPr>
          <w:rStyle w:val="FootnoteReference"/>
        </w:rPr>
        <w:t xml:space="preserve">17  </w:t>
      </w:r>
      <w:r>
        <w:t xml:space="preserve"/>
      </w:r>
      <w:r>
        <w:t xml:space="preserve">The body of the subsequent Hornblower letter, dated October 31, 1969, from Mr. Noyes to Stanley Yarmuth, president of National, reads in full:</w:t>
      </w:r>
    </w:p>
    <w:p>
      <w:pPr>
        <w:pStyle w:val="BlockText"/>
      </w:pPr>
      <w:r>
        <w:t xml:space="preserve">“You have asked for our opinion as to the value of warrants to be issued in connection with your proposed acquisition of TSC Industries. We understand that these warrants have terms identical to the National Industries (Nil) warrants listed on the American Stock Exchange which allow the holder to purchase one Nil Common at the price of $21.40 until October 31, 1978. We further understand that you desire our determination as of October 9, 1969.</w:t>
      </w:r>
    </w:p>
    <w:p>
      <w:pPr>
        <w:pStyle w:val="BlockText"/>
      </w:pPr>
      <w:r>
        <w:t xml:space="preserve">“Our evaluation of these warrants was made from the point of view of the stockholders of TSC Industries, of which I am a director. In advising TSC as to the fairness of the offer from Nil it was necessary to determine whether the value of the warrants was reflected by the market price of the outstanding 487,000 warrants on the day in question. We did so in the light of the fact that approximately 2.6 million additional warrants would be issued in connection with the acquisition.</w:t>
      </w:r>
    </w:p>
    <w:p>
      <w:pPr>
        <w:pStyle w:val="BlockText"/>
      </w:pPr>
      <w:r>
        <w:t xml:space="preserve">“After studying price relationships of other warrants traded publicly, referring to customary systems of warrant evaluation, and considering the particulars of the proposed acquisition, we concluded that the warrants in question had a value of approximately $3.50.</w:t>
      </w:r>
    </w:p>
    <w:p>
      <w:pPr>
        <w:pStyle w:val="BlockText"/>
      </w:pPr>
      <w:r>
        <w:t xml:space="preserve">“If you have any questions concerning our evaluation, please feel free to call.” App. 519.</w:t>
      </w:r>
    </w:p>
  </w:footnote>
  <w:footnote w:id="336">
    <w:p>
      <w:pPr>
        <w:pStyle w:val="CaseFootnoteText"/>
      </w:pPr>
      <w:r>
        <w:rPr>
          <w:rStyle w:val="FootnoteReference"/>
        </w:rPr>
        <w:t xml:space="preserve">17  </w:t>
      </w:r>
      <w:r>
        <w:t xml:space="preserve"/>
      </w:r>
      <w:r>
        <w:t xml:space="preserve"> </w:t>
      </w:r>
      <w:r>
        <w:rPr>
          <w:iCs/>
          <w:i/>
        </w:rPr>
        <w:t xml:space="preserve">See</w:t>
      </w:r>
      <w:r>
        <w:t xml:space="preserve"> </w:t>
      </w:r>
      <w:r>
        <w:t xml:space="preserve">Decker Dep. at 229-32; Ebbers Dep. at 49-55, 94-95.</w:t>
      </w:r>
    </w:p>
  </w:footnote>
  <w:footnote w:id="337">
    <w:p>
      <w:pPr>
        <w:pStyle w:val="CaseFootnoteText"/>
      </w:pPr>
      <w:r>
        <w:rPr>
          <w:rStyle w:val="FootnoteReference"/>
        </w:rPr>
        <w:t xml:space="preserve">17  </w:t>
      </w:r>
      <w:r>
        <w:t xml:space="preserve"/>
      </w:r>
      <w:r>
        <w:t xml:space="preserve"> </w:t>
      </w:r>
      <w:r>
        <w:rPr>
          <w:iCs/>
          <w:i/>
        </w:rPr>
        <w:t xml:space="preserve">Ryan v. Lyondell Chemical Co.,</w:t>
      </w:r>
      <w:r>
        <w:t xml:space="preserve"> </w:t>
      </w:r>
      <w:r>
        <w:t xml:space="preserve">2008 WL 2923427</w:t>
      </w:r>
      <w:r>
        <w:t xml:space="preserve"> </w:t>
      </w:r>
      <w:r>
        <w:t xml:space="preserve">at *13 (Del.Ch.)</w:t>
      </w:r>
      <w:r>
        <w:t xml:space="preserve"> </w:t>
      </w:r>
      <w:r>
        <w:rPr>
          <w:iCs/>
          <w:i/>
        </w:rPr>
        <w:t xml:space="preserve">(Lyondell I).</w:t>
      </w:r>
    </w:p>
  </w:footnote>
  <w:footnote w:id="338">
    <w:p>
      <w:pPr>
        <w:pStyle w:val="CaseFootnoteText"/>
      </w:pPr>
      <w:r>
        <w:rPr>
          <w:rStyle w:val="FootnoteReference"/>
        </w:rPr>
        <w:t xml:space="preserve">17  </w:t>
      </w:r>
      <w:r>
        <w:t xml:space="preserve">App. to Opening Br. at 633-36 (Petrello Deposition at 35-46). Petrello testified that "prior to 2011,” when he became CEO, Na-bors had used Citi "more than any other banker,” but “Trauber never had a lock” on Nabors’ business, and when Petrello became CEO, he began working with other banks, including Goldman, more than Citi.</w:t>
      </w:r>
      <w:r>
        <w:t xml:space="preserve"> </w:t>
      </w:r>
      <w:r>
        <w:rPr>
          <w:iCs/>
          <w:i/>
        </w:rPr>
        <w:t xml:space="preserve">Id.</w:t>
      </w:r>
      <w:r>
        <w:t xml:space="preserve"> </w:t>
      </w:r>
      <w:r>
        <w:t xml:space="preserve">at 638-39 (Petrello Deposition at 58-62).</w:t>
      </w:r>
    </w:p>
  </w:footnote>
  <w:footnote w:id="339">
    <w:p>
      <w:pPr>
        <w:pStyle w:val="CaseFootnoteText"/>
      </w:pPr>
      <w:r>
        <w:rPr>
          <w:rStyle w:val="FootnoteReference"/>
        </w:rPr>
        <w:t xml:space="preserve">17  </w:t>
      </w:r>
      <w:r>
        <w:t xml:space="preserve">By that point, it was apparent that the board sought, by leaving the rights in place, only to "protect the restructuring"; and while not utterly clear, it by then appeared that CCA’s frustrated, self-induced successive bids had come to about the top of their range.</w:t>
      </w:r>
    </w:p>
  </w:footnote>
  <w:footnote w:id="340">
    <w:p>
      <w:pPr>
        <w:pStyle w:val="CaseFootnoteText"/>
      </w:pPr>
      <w:r>
        <w:rPr>
          <w:rStyle w:val="FootnoteReference"/>
        </w:rPr>
        <w:t xml:space="preserve">17  </w:t>
      </w:r>
      <w:r>
        <w:t xml:space="preserve"/>
      </w:r>
      <w:r>
        <w:t xml:space="preserve"> </w:t>
      </w:r>
      <w:r>
        <w:rPr>
          <w:iCs/>
          <w:i/>
        </w:rPr>
        <w:t xml:space="preserve">See, e.g., Perry v. Berkley,</w:t>
      </w:r>
      <w:r>
        <w:t xml:space="preserve"> </w:t>
      </w:r>
      <w:r>
        <w:t xml:space="preserve">996 A.2d 1262</w:t>
      </w:r>
      <w:r>
        <w:t xml:space="preserve">, 1268 (Del.2010) (relying on Federal Rules of Evidence Manual to interpret Delaware Rules of Evidence);</w:t>
      </w:r>
      <w:r>
        <w:t xml:space="preserve"> </w:t>
      </w:r>
      <w:r>
        <w:rPr>
          <w:iCs/>
          <w:i/>
        </w:rPr>
        <w:t xml:space="preserve">Hicklin v. Onyx Acceptance Corp.,</w:t>
      </w:r>
      <w:r>
        <w:t xml:space="preserve"> </w:t>
      </w:r>
      <w:r>
        <w:t xml:space="preserve">970 A.2d 244</w:t>
      </w:r>
      <w:r>
        <w:t xml:space="preserve">, 251 (Del.2009) (relying on White &amp; Summers treatise to interpret Delaware Uniform Commercial Code).</w:t>
      </w:r>
    </w:p>
  </w:footnote>
  <w:footnote w:id="341">
    <w:p>
      <w:pPr>
        <w:pStyle w:val="CaseFootnoteText"/>
      </w:pPr>
      <w:r>
        <w:rPr>
          <w:rStyle w:val="FootnoteReference"/>
        </w:rPr>
        <w:t xml:space="preserve">17  </w:t>
      </w:r>
      <w:r>
        <w:t xml:space="preserve"/>
      </w:r>
      <w:r>
        <w:t xml:space="preserve"> </w:t>
      </w:r>
      <w:r>
        <w:rPr>
          <w:iCs/>
          <w:i/>
        </w:rPr>
        <w:t xml:space="preserve">Cf. Kahn v. Household Acquisition Corp.,</w:t>
      </w:r>
      <w:r>
        <w:t xml:space="preserve"> </w:t>
      </w:r>
      <w:r>
        <w:t xml:space="preserve">Del.Supr.,</w:t>
      </w:r>
      <w:r>
        <w:t xml:space="preserve"> </w:t>
      </w:r>
      <w:r>
        <w:t xml:space="preserve">591 A.2d 166</w:t>
      </w:r>
      <w:r>
        <w:t xml:space="preserve">, 171 (1991) (not requiring supplemental disclosure of a pending, governmental subsidy to corporation);</w:t>
      </w:r>
      <w:r>
        <w:t xml:space="preserve"> </w:t>
      </w:r>
      <w:r>
        <w:rPr>
          <w:iCs/>
          <w:i/>
        </w:rPr>
        <w:t xml:space="preserve">Weinberger v. Rio Grande Indus.,</w:t>
      </w:r>
      <w:r>
        <w:t xml:space="preserve"> </w:t>
      </w:r>
      <w:r>
        <w:t xml:space="preserve">Del.Ch.,</w:t>
      </w:r>
      <w:r>
        <w:t xml:space="preserve"> </w:t>
      </w:r>
      <w:r>
        <w:t xml:space="preserve">519 A.2d 116</w:t>
      </w:r>
      <w:r>
        <w:t xml:space="preserve">, 1290-30 (1986) (not requiring disclosure of overly speculative earnings projections).</w:t>
      </w:r>
      <w:r>
        <w:t xml:space="preserve"> </w:t>
      </w:r>
      <w:r>
        <w:rPr>
          <w:iCs/>
          <w:i/>
        </w:rPr>
        <w:t xml:space="preserve">But cf. Basic Inc. v. Levinson,</w:t>
      </w:r>
      <w:r>
        <w:t xml:space="preserve"> </w:t>
      </w:r>
      <w:r>
        <w:t xml:space="preserve">485 U.S. 224</w:t>
      </w:r>
      <w:r>
        <w:t xml:space="preserve">, 232-37,</w:t>
      </w:r>
      <w:r>
        <w:t xml:space="preserve"> </w:t>
      </w:r>
      <w:r>
        <w:t xml:space="preserve">108 S.Ct. 978</w:t>
      </w:r>
      <w:r>
        <w:t xml:space="preserve">, 983-86,</w:t>
      </w:r>
      <w:r>
        <w:t xml:space="preserve"> </w:t>
      </w:r>
      <w:r>
        <w:t xml:space="preserve">99 L.Ed.2d 194</w:t>
      </w:r>
      <w:r>
        <w:t xml:space="preserve"> </w:t>
      </w:r>
      <w:r>
        <w:t xml:space="preserve">(1988) (rejecting bright line rule adopted in Bershad).</w:t>
      </w:r>
    </w:p>
  </w:footnote>
  <w:footnote w:id="342">
    <w:p>
      <w:pPr>
        <w:pStyle w:val="CaseFootnoteText"/>
      </w:pPr>
      <w:r>
        <w:rPr>
          <w:rStyle w:val="FootnoteReference"/>
        </w:rPr>
        <w:t xml:space="preserve">17  </w:t>
      </w:r>
      <w:r>
        <w:t xml:space="preserve">The supplement to the proxy statement included an identification of the directors serving on the Special Committee, and additional information about the total cost of the annuity, and details regarding Occidental’s existing option to purchase the Los Angeles headquarters property. The Objectors acknowledge that the supplement provided the disclosures sought in the</w:t>
      </w:r>
      <w:r>
        <w:t xml:space="preserve"> </w:t>
      </w:r>
      <w:r>
        <w:rPr>
          <w:iCs/>
          <w:i/>
        </w:rPr>
        <w:t xml:space="preserve">Sullivan</w:t>
      </w:r>
      <w:r>
        <w:t xml:space="preserve"> </w:t>
      </w:r>
      <w:r>
        <w:t xml:space="preserve">and</w:t>
      </w:r>
      <w:r>
        <w:t xml:space="preserve"> </w:t>
      </w:r>
      <w:r>
        <w:rPr>
          <w:iCs/>
          <w:i/>
        </w:rPr>
        <w:t xml:space="preserve">Levitan</w:t>
      </w:r>
      <w:r>
        <w:t xml:space="preserve"> </w:t>
      </w:r>
      <w:r>
        <w:t xml:space="preserve">complaints.</w:t>
      </w:r>
    </w:p>
  </w:footnote>
  <w:footnote w:id="343">
    <w:p>
      <w:pPr>
        <w:pStyle w:val="CaseFootnoteText"/>
      </w:pPr>
      <w:r>
        <w:rPr>
          <w:rStyle w:val="FootnoteReference"/>
        </w:rPr>
        <w:t xml:space="preserve">17  </w:t>
      </w:r>
      <w:r>
        <w:t xml:space="preserve">JX-156 (term sheet from Grupo Mexico to the Special Committee (May 7, 2004)) at SP COMM 007078. At this point in the negotiation process, Grupo Mexico mistakenly believed that it only owned 98.84% of Minera. As I will note, it later corrects for this error, and the final Merger consideration reflected Grupo Mexico’s full 99.15% equity ownership stake in Minera.</w:t>
      </w:r>
    </w:p>
  </w:footnote>
  <w:footnote w:id="345">
    <w:p>
      <w:pPr>
        <w:pStyle w:val="CaseFootnoteText"/>
      </w:pPr>
      <w:r>
        <w:rPr>
          <w:rStyle w:val="FootnoteReference"/>
        </w:rPr>
        <w:t xml:space="preserve">18  </w:t>
      </w:r>
      <w:r>
        <w:t xml:space="preserve"/>
      </w:r>
      <w:r>
        <w:t xml:space="preserve"> </w:t>
      </w:r>
      <w:r>
        <w:rPr>
          <w:iCs/>
          <w:i/>
        </w:rPr>
        <w:t xml:space="preserve">Bank of New York Mellon v. Commerzbank Capital Funding Trust II,</w:t>
      </w:r>
      <w:r>
        <w:t xml:space="preserve"> </w:t>
      </w:r>
      <w:r>
        <w:t xml:space="preserve">65 A.3d 539</w:t>
      </w:r>
      <w:r>
        <w:t xml:space="preserve">, 551-52 (Del. 2013) (construing an agreement against the drafter to give effect to the "investors’ reasonable expectation” using a species of the</w:t>
      </w:r>
      <w:r>
        <w:t xml:space="preserve"> </w:t>
      </w:r>
      <w:r>
        <w:rPr>
          <w:iCs/>
          <w:i/>
        </w:rPr>
        <w:t xml:space="preserve">contra proferentem</w:t>
      </w:r>
      <w:r>
        <w:t xml:space="preserve"> </w:t>
      </w:r>
      <w:r>
        <w:t xml:space="preserve">doctrine);</w:t>
      </w:r>
      <w:r>
        <w:t xml:space="preserve"> </w:t>
      </w:r>
      <w:r>
        <w:rPr>
          <w:iCs/>
          <w:i/>
        </w:rPr>
        <w:t xml:space="preserve">see also Norton v. K-Sea Transp. Partners L.P.,</w:t>
      </w:r>
      <w:r>
        <w:t xml:space="preserve"> </w:t>
      </w:r>
      <w:r>
        <w:t xml:space="preserve">67 A.3d 354</w:t>
      </w:r>
      <w:r>
        <w:t xml:space="preserve">, 365 n. 56 (Del. 2013);</w:t>
      </w:r>
      <w:r>
        <w:t xml:space="preserve"> </w:t>
      </w:r>
      <w:r>
        <w:rPr>
          <w:iCs/>
          <w:i/>
        </w:rPr>
        <w:t xml:space="preserve">SI Mgmt., L.P. v. Wininger,</w:t>
      </w:r>
      <w:r>
        <w:t xml:space="preserve"> </w:t>
      </w:r>
      <w:r>
        <w:t xml:space="preserve">707 A.2d 37</w:t>
      </w:r>
      <w:r>
        <w:t xml:space="preserve">, 42-43 (Del. 1998).</w:t>
      </w:r>
    </w:p>
  </w:footnote>
  <w:footnote w:id="346">
    <w:p>
      <w:pPr>
        <w:pStyle w:val="CaseFootnoteText"/>
      </w:pPr>
      <w:r>
        <w:rPr>
          <w:rStyle w:val="FootnoteReference"/>
        </w:rPr>
        <w:t xml:space="preserve">18  </w:t>
      </w:r>
      <w:r>
        <w:rPr>
          <w:iCs/>
          <w:i/>
        </w:rPr>
        <w:t xml:space="preserve">Chancery Opinion</w:t>
      </w:r>
      <w:r>
        <w:t xml:space="preserve"/>
      </w:r>
      <w:r>
        <w:t xml:space="preserve">,</w:t>
      </w:r>
      <w:r>
        <w:t xml:space="preserve"> </w:t>
      </w:r>
      <w:r>
        <w:t xml:space="preserve">2018 WL 818760</w:t>
      </w:r>
      <w:r>
        <w:t xml:space="preserve">, at *35. The Crestview and Load Line directors did not participate in the vote.</w:t>
      </w:r>
      <w:r>
        <w:t xml:space="preserve"> </w:t>
      </w:r>
      <w:r>
        <w:rPr>
          <w:iCs/>
          <w:i/>
        </w:rPr>
        <w:t xml:space="preserve">See</w:t>
      </w:r>
      <w:r>
        <w:t xml:space="preserve"> </w:t>
      </w:r>
      <w:r>
        <w:t xml:space="preserve">Trial JX2068, JX2076.</w:t>
      </w:r>
    </w:p>
  </w:footnote>
  <w:footnote w:id="347">
    <w:p>
      <w:pPr>
        <w:pStyle w:val="CaseFootnoteText"/>
      </w:pPr>
      <w:r>
        <w:rPr>
          <w:rStyle w:val="FootnoteReference"/>
        </w:rPr>
        <w:t xml:space="preserve">18  </w:t>
      </w:r>
      <w:r>
        <w:t xml:space="preserve"/>
      </w:r>
      <w:r>
        <w:t xml:space="preserve">The Chief Justice suggests that</w:t>
      </w:r>
      <w:r>
        <w:t xml:space="preserve"> </w:t>
      </w:r>
      <w:r>
        <w:rPr>
          <w:iCs/>
          <w:i/>
        </w:rPr>
        <w:t xml:space="preserve">Austin</w:t>
      </w:r>
      <w:r>
        <w:t xml:space="preserve"> </w:t>
      </w:r>
      <w:r>
        <w:t xml:space="preserve">has been undermined by subsequent dissenting opinions.</w:t>
      </w:r>
      <w:r>
        <w:t xml:space="preserve"> </w:t>
      </w:r>
      <w:r>
        <w:rPr>
          <w:iCs/>
          <w:i/>
        </w:rPr>
        <w:t xml:space="preserve">Ante,</w:t>
      </w:r>
      <w:r>
        <w:t xml:space="preserve"> </w:t>
      </w:r>
      <w:r>
        <w:t xml:space="preserve">at 380. Under this view, it appears that the more times the Court stands by a precedent in the face of requests to overrule it, the weaker that precedent becomes. The Chief Justice further suggests that</w:t>
      </w:r>
      <w:r>
        <w:t xml:space="preserve"> </w:t>
      </w:r>
      <w:r>
        <w:rPr>
          <w:iCs/>
          <w:i/>
        </w:rPr>
        <w:t xml:space="preserve">Austin</w:t>
      </w:r>
      <w:r>
        <w:t xml:space="preserve"> </w:t>
      </w:r>
      <w:r>
        <w:t xml:space="preserve">“is uniquely destabilizing because it threatens to subvert our Court’s decisions even outside” its particular facts, as when we applied its reasoning in</w:t>
      </w:r>
      <w:r>
        <w:t xml:space="preserve"> </w:t>
      </w:r>
      <w:r>
        <w:rPr>
          <w:iCs/>
          <w:i/>
        </w:rPr>
        <w:t xml:space="preserve">McConnell-. Ante,</w:t>
      </w:r>
      <w:r>
        <w:t xml:space="preserve"> </w:t>
      </w:r>
      <w:r>
        <w:t xml:space="preserve">at 380. Once again, the theory seems to be that the more we utilize a precedent, the more we call it into question. For those who believe</w:t>
      </w:r>
      <w:r>
        <w:t xml:space="preserve"> </w:t>
      </w:r>
      <w:r>
        <w:rPr>
          <w:iCs/>
          <w:i/>
        </w:rPr>
        <w:t xml:space="preserve">Austin</w:t>
      </w:r>
      <w:r>
        <w:t xml:space="preserve"> </w:t>
      </w:r>
      <w:r>
        <w:t xml:space="preserve">was correctly decided — as the Federal Government and the States have long believed, as the majority of Justices to have served on the Court since</w:t>
      </w:r>
      <w:r>
        <w:t xml:space="preserve"> </w:t>
      </w:r>
      <w:r>
        <w:rPr>
          <w:iCs/>
          <w:i/>
        </w:rPr>
        <w:t xml:space="preserve">Austin</w:t>
      </w:r>
      <w:r>
        <w:t xml:space="preserve"> </w:t>
      </w:r>
      <w:r>
        <w:t xml:space="preserve">have believed, and as we continue to believe — there is nothing “destabilizing” about the prospect of its continued application. It is gutting campaign finance laws across the country, as the Court does today, that will be destabilizing.</w:t>
      </w:r>
    </w:p>
  </w:footnote>
  <w:footnote w:id="348">
    <w:p>
      <w:pPr>
        <w:pStyle w:val="CaseFootnoteText"/>
      </w:pPr>
      <w:r>
        <w:rPr>
          <w:rStyle w:val="FootnoteReference"/>
        </w:rPr>
        <w:t xml:space="preserve">18  </w:t>
      </w:r>
      <w:r>
        <w:t xml:space="preserve"/>
      </w:r>
      <w:r>
        <w:t xml:space="preserve">The premium based upon a $3.50 value for the National warrants and the closing prices of the other securities involved on October 9, 1969, the day the exchange ratio was set, is calculated as follows:</w:t>
      </w:r>
    </w:p>
    <w:p>
      <w:pPr>
        <w:pStyle w:val="BlockText"/>
      </w:pPr>
      <w:r>
        <w:t xml:space="preserve">TSC Preferred TSC Common</w:t>
      </w:r>
    </w:p>
    <w:p>
      <w:pPr>
        <w:pStyle w:val="BlockText"/>
      </w:pPr>
      <w:r>
        <w:t xml:space="preserve">National B pfd. (at 16)_ $9.60 (.6 sh.) $8.00 (.5 sh.)</w:t>
      </w:r>
    </w:p>
    <w:p>
      <w:pPr>
        <w:pStyle w:val="BlockText"/>
      </w:pPr>
      <w:r>
        <w:t xml:space="preserve">National warrant (at 3. 50). 3. 50 5.25 (11/2 war.)</w:t>
      </w:r>
    </w:p>
    <w:p>
      <w:pPr>
        <w:pStyle w:val="BlockText"/>
      </w:pPr>
      <w:r>
        <w:t xml:space="preserve">Total . $13.10‘ $13.25</w:t>
      </w:r>
    </w:p>
    <w:p>
      <w:pPr>
        <w:pStyle w:val="BlockText"/>
      </w:pPr>
      <w:r>
        <w:t xml:space="preserve">Less TSC market (pfd. 11) (com. 11%). 11.00 11.63</w:t>
      </w:r>
    </w:p>
    <w:p>
      <w:pPr>
        <w:pStyle w:val="BlockText"/>
      </w:pPr>
      <w:r>
        <w:t xml:space="preserve">Premium. 2.10 1.62</w:t>
      </w:r>
    </w:p>
    <w:p>
      <w:pPr>
        <w:pStyle w:val="BlockText"/>
      </w:pPr>
      <w:r>
        <w:t xml:space="preserve">Premium expressed as a percentage of TSC market. 19% 14%</w:t>
      </w:r>
    </w:p>
  </w:footnote>
  <w:footnote w:id="349">
    <w:p>
      <w:pPr>
        <w:pStyle w:val="CaseFootnoteText"/>
      </w:pPr>
      <w:r>
        <w:rPr>
          <w:rStyle w:val="FootnoteReference"/>
        </w:rPr>
        <w:t xml:space="preserve">18  </w:t>
      </w:r>
      <w:r>
        <w:t xml:space="preserve"/>
      </w:r>
      <w:r>
        <w:t xml:space="preserve"> </w:t>
      </w:r>
      <w:r>
        <w:rPr>
          <w:iCs/>
          <w:i/>
        </w:rPr>
        <w:t xml:space="preserve">See</w:t>
      </w:r>
      <w:r>
        <w:t xml:space="preserve"> </w:t>
      </w:r>
      <w:r>
        <w:t xml:space="preserve">Sutcliffe Dep. at 226-27, 229.</w:t>
      </w:r>
    </w:p>
  </w:footnote>
  <w:footnote w:id="350">
    <w:p>
      <w:pPr>
        <w:pStyle w:val="CaseFootnoteText"/>
      </w:pPr>
      <w:r>
        <w:rPr>
          <w:rStyle w:val="FootnoteReference"/>
        </w:rPr>
        <w:t xml:space="preserve">18  </w:t>
      </w:r>
      <w:r>
        <w:t xml:space="preserve"/>
      </w:r>
      <w:r>
        <w:t xml:space="preserve"> </w:t>
      </w:r>
      <w:r>
        <w:rPr>
          <w:iCs/>
          <w:i/>
        </w:rPr>
        <w:t xml:space="preserve">Id.</w:t>
      </w:r>
      <w:r>
        <w:t xml:space="preserve"> </w:t>
      </w:r>
      <w:r>
        <w:t xml:space="preserve">at *14.</w:t>
      </w:r>
    </w:p>
  </w:footnote>
  <w:footnote w:id="351">
    <w:p>
      <w:pPr>
        <w:pStyle w:val="CaseFootnoteText"/>
      </w:pPr>
      <w:r>
        <w:rPr>
          <w:rStyle w:val="FootnoteReference"/>
        </w:rPr>
        <w:t xml:space="preserve">18  </w:t>
      </w:r>
      <w:r>
        <w:t xml:space="preserve">Goldman helped advise C &amp; J’s board on three potential acquisition targets in the fall of 2013, and led C &amp; J’s IPO in 2011. App. to Opening Br. at 1643 (Comstock Deposition at 19).</w:t>
      </w:r>
    </w:p>
  </w:footnote>
  <w:footnote w:id="352">
    <w:p>
      <w:pPr>
        <w:pStyle w:val="CaseFootnoteText"/>
      </w:pPr>
      <w:r>
        <w:rPr>
          <w:rStyle w:val="FootnoteReference"/>
        </w:rPr>
        <w:t xml:space="preserve">18  </w:t>
      </w:r>
      <w:r>
        <w:t xml:space="preserve">Here, while a class action complaint purportedly on behalf of Interco shareholders has been filed in this court, it has been inactive so far as the record discloses.</w:t>
      </w:r>
    </w:p>
  </w:footnote>
  <w:footnote w:id="353">
    <w:p>
      <w:pPr>
        <w:pStyle w:val="CaseFootnoteText"/>
      </w:pPr>
      <w:r>
        <w:rPr>
          <w:rStyle w:val="FootnoteReference"/>
        </w:rPr>
        <w:t xml:space="preserve">18  </w:t>
      </w:r>
      <w:r>
        <w:t xml:space="preserve"/>
      </w:r>
      <w:r>
        <w:t xml:space="preserve"> </w:t>
      </w:r>
      <w:r>
        <w:rPr>
          <w:iCs/>
          <w:i/>
        </w:rPr>
        <w:t xml:space="preserve">See Versata Enters. v. Selectica, Inc.,</w:t>
      </w:r>
      <w:r>
        <w:rPr>
          <w:iCs/>
          <w:i/>
        </w:rPr>
        <w:t xml:space="preserve"> </w:t>
      </w:r>
      <w:r>
        <w:rPr>
          <w:iCs/>
          <w:i/>
        </w:rPr>
        <w:t xml:space="preserve">5</w:t>
      </w:r>
      <w:r>
        <w:rPr>
          <w:iCs/>
          <w:i/>
        </w:rPr>
        <w:t xml:space="preserve"> </w:t>
      </w:r>
      <w:r>
        <w:t xml:space="preserve">A.3d 586</w:t>
      </w:r>
      <w:r>
        <w:t xml:space="preserve">, 604 (Del.2010) (" ‘[A] classified board would</w:t>
      </w:r>
      <w:r>
        <w:t xml:space="preserve"> </w:t>
      </w:r>
      <w:r>
        <w:rPr>
          <w:iCs/>
          <w:i/>
        </w:rPr>
        <w:t xml:space="preserve">delay</w:t>
      </w:r>
      <w:r>
        <w:t xml:space="preserve"> </w:t>
      </w:r>
      <w:r>
        <w:t xml:space="preserve">— but</w:t>
      </w:r>
      <w:r>
        <w:t xml:space="preserve"> </w:t>
      </w:r>
      <w:r>
        <w:rPr>
          <w:iCs/>
          <w:i/>
        </w:rPr>
        <w:t xml:space="preserve">not prevent</w:t>
      </w:r>
      <w:r>
        <w:t xml:space="preserve"> </w:t>
      </w:r>
      <w:r>
        <w:t xml:space="preserve">— a</w:t>
      </w:r>
      <w:r>
        <w:t xml:space="preserve"> </w:t>
      </w:r>
      <w:r>
        <w:rPr>
          <w:iCs/>
          <w:i/>
        </w:rPr>
        <w:t xml:space="preserve">hostile acquirer from obtaining control of the board,</w:t>
      </w:r>
      <w:r>
        <w:t xml:space="preserve"> </w:t>
      </w:r>
      <w:r>
        <w:t xml:space="preserve">since a determined acquirer could wage a proxy contest and obtain control of two thirds of the target board over a two year period, as opposed to seizing control in a single election.'</w:t>
      </w:r>
      <w:r>
        <w:t xml:space="preserve"> </w:t>
      </w:r>
      <w:r>
        <w:rPr>
          <w:iCs/>
          <w:i/>
        </w:rPr>
        <w:t xml:space="preserve">")</w:t>
      </w:r>
      <w:r>
        <w:t xml:space="preserve"> </w:t>
      </w:r>
      <w:r>
        <w:t xml:space="preserve">(quoting</w:t>
      </w:r>
      <w:r>
        <w:t xml:space="preserve"> </w:t>
      </w:r>
      <w:r>
        <w:rPr>
          <w:iCs/>
          <w:i/>
        </w:rPr>
        <w:t xml:space="preserve">Carmody v. Toll Bros., Inc.,</w:t>
      </w:r>
      <w:r>
        <w:t xml:space="preserve"> </w:t>
      </w:r>
      <w:r>
        <w:t xml:space="preserve">723 A.2d 1180</w:t>
      </w:r>
      <w:r>
        <w:t xml:space="preserve">, 1186 n. 17 (Del.Ch.1998));</w:t>
      </w:r>
      <w:r>
        <w:t xml:space="preserve"> </w:t>
      </w:r>
      <w:r>
        <w:rPr>
          <w:iCs/>
          <w:i/>
        </w:rPr>
        <w:t xml:space="preserve">Benihana of Tokyo, Inc. v. Benihana, Inc.,</w:t>
      </w:r>
      <w:r>
        <w:t xml:space="preserve"> </w:t>
      </w:r>
      <w:r>
        <w:t xml:space="preserve">906 A.2d 114</w:t>
      </w:r>
      <w:r>
        <w:t xml:space="preserve">, 116 (Del.2006) (“The nine member board of directors is classified and the directors serve three-year terms.”);</w:t>
      </w:r>
      <w:r>
        <w:t xml:space="preserve"> </w:t>
      </w:r>
      <w:r>
        <w:rPr>
          <w:iCs/>
          <w:i/>
        </w:rPr>
        <w:t xml:space="preserve">MM Cos., Inc. v. Liquid Audio, Inc.,</w:t>
      </w:r>
      <w:r>
        <w:t xml:space="preserve"> </w:t>
      </w:r>
      <w:r>
        <w:t xml:space="preserve">813 A.2d 1118</w:t>
      </w:r>
      <w:r>
        <w:t xml:space="preserve">, 1122 (Del.2003) ("The effect is to prevent an insurgent from obtaining control of the company in under two years.”).</w:t>
      </w:r>
    </w:p>
  </w:footnote>
  <w:footnote w:id="354">
    <w:p>
      <w:pPr>
        <w:pStyle w:val="CaseFootnoteText"/>
      </w:pPr>
      <w:r>
        <w:rPr>
          <w:rStyle w:val="FootnoteReference"/>
        </w:rPr>
        <w:t xml:space="preserve">18  </w:t>
      </w:r>
      <w:r>
        <w:t xml:space="preserve">The Court notes that it is not appropriate to decide whether or not, if there had been no partial disclosures, a reasonable stockholder would consider it important to know the facts regarding a sale of a corporate asset that could not be effected under any of the circumstances as they existed at the time of disclosure.</w:t>
      </w:r>
      <w:r>
        <w:t xml:space="preserve"> </w:t>
      </w:r>
      <w:r>
        <w:rPr>
          <w:iCs/>
          <w:i/>
        </w:rPr>
        <w:t xml:space="preserve">See SEC v. Texas Gulf Sulphur Co.,</w:t>
      </w:r>
      <w:r>
        <w:t xml:space="preserve"> </w:t>
      </w:r>
      <w:r>
        <w:t xml:space="preserve">2d Cir.,</w:t>
      </w:r>
      <w:r>
        <w:t xml:space="preserve"> </w:t>
      </w:r>
      <w:r>
        <w:t xml:space="preserve">401 F.2d 833</w:t>
      </w:r>
      <w:r>
        <w:t xml:space="preserve">, 849 (1968) (en banc) ("whether facts are material ... will depend at any given time upon a balancing of both the indicated probability that the event will occur and the anticipated magnitude of the event in light of the totality of the company activity”),</w:t>
      </w:r>
      <w:r>
        <w:t xml:space="preserve"> </w:t>
      </w:r>
      <w:r>
        <w:rPr>
          <w:iCs/>
          <w:i/>
        </w:rPr>
        <w:t xml:space="preserve">cert. denied,</w:t>
      </w:r>
      <w:r>
        <w:t xml:space="preserve"> </w:t>
      </w:r>
      <w:r>
        <w:t xml:space="preserve">394 U.S. 976</w:t>
      </w:r>
      <w:r>
        <w:t xml:space="preserve">,</w:t>
      </w:r>
      <w:r>
        <w:t xml:space="preserve"> </w:t>
      </w:r>
      <w:r>
        <w:t xml:space="preserve">89 S.Ct. 1454</w:t>
      </w:r>
      <w:r>
        <w:t xml:space="preserve">,</w:t>
      </w:r>
      <w:r>
        <w:t xml:space="preserve"> </w:t>
      </w:r>
      <w:r>
        <w:t xml:space="preserve">22 L.Ed.2d 756</w:t>
      </w:r>
      <w:r>
        <w:t xml:space="preserve"> </w:t>
      </w:r>
      <w:r>
        <w:t xml:space="preserve">(1969); see</w:t>
      </w:r>
      <w:r>
        <w:t xml:space="preserve"> </w:t>
      </w:r>
      <w:r>
        <w:rPr>
          <w:iCs/>
          <w:i/>
        </w:rPr>
        <w:t xml:space="preserve">also In re Anderson, Clayton Shareholders' Litig.,</w:t>
      </w:r>
      <w:r>
        <w:t xml:space="preserve"> </w:t>
      </w:r>
      <w:r>
        <w:t xml:space="preserve">Del.Ch.,</w:t>
      </w:r>
      <w:r>
        <w:t xml:space="preserve"> </w:t>
      </w:r>
      <w:r>
        <w:t xml:space="preserve">519 A.2d 680</w:t>
      </w:r>
      <w:r>
        <w:t xml:space="preserve">, 691-93 (1986) (finding success on merits of disclosure claim unlikely on preliminary injunction; rejecting argument that asset appraisal was material because the valuation was irrelevant to the recapitalization transaction at hand);</w:t>
      </w:r>
      <w:r>
        <w:t xml:space="preserve"> </w:t>
      </w:r>
      <w:r>
        <w:rPr>
          <w:iCs/>
          <w:i/>
        </w:rPr>
        <w:t xml:space="preserve">Lewis v. Charan Indus.,</w:t>
      </w:r>
      <w:r>
        <w:t xml:space="preserve"> </w:t>
      </w:r>
      <w:r>
        <w:t xml:space="preserve">Del.Ch., C.A. No. 7738,</w:t>
      </w:r>
      <w:r>
        <w:t xml:space="preserve"> </w:t>
      </w:r>
      <w:r>
        <w:rPr>
          <w:iCs/>
          <w:i/>
        </w:rPr>
        <w:t xml:space="preserve">slip op.</w:t>
      </w:r>
      <w:r>
        <w:t xml:space="preserve"> </w:t>
      </w:r>
      <w:r>
        <w:t xml:space="preserve">at 6-7, Berger, V.C.,</w:t>
      </w:r>
      <w:r>
        <w:t xml:space="preserve"> </w:t>
      </w:r>
      <w:r>
        <w:t xml:space="preserve">1984 WL 8257</w:t>
      </w:r>
      <w:r>
        <w:t xml:space="preserve"> </w:t>
      </w:r>
      <w:r>
        <w:t xml:space="preserve">(Sept. 20, 1984)</w:t>
      </w:r>
      <w:r>
        <w:t xml:space="preserve"> </w:t>
      </w:r>
      <w:r>
        <w:rPr>
          <w:iCs/>
          <w:i/>
        </w:rPr>
        <w:t xml:space="preserve">reprinted in</w:t>
      </w:r>
      <w:r>
        <w:t xml:space="preserve"> </w:t>
      </w:r>
      <w:r>
        <w:t xml:space="preserve">10 Del.J.Corp.L. 233</w:t>
      </w:r>
      <w:r>
        <w:t xml:space="preserve">, 238 (1985) (same; finding unpersuasive an argument that asset appraisal was material because the valuation was based on an irrelevant liquidation scenario and was rejected by investment advisor).</w:t>
      </w:r>
    </w:p>
  </w:footnote>
  <w:footnote w:id="355">
    <w:p>
      <w:pPr>
        <w:pStyle w:val="CaseFootnoteText"/>
      </w:pPr>
      <w:r>
        <w:rPr>
          <w:rStyle w:val="FootnoteReference"/>
        </w:rPr>
        <w:t xml:space="preserve">18  </w:t>
      </w:r>
      <w:r>
        <w:t xml:space="preserve">Each of the shareholder actions were filed without first making a demand on the Board. Occidental filed a motion to dismiss in all three civil actions.</w:t>
      </w:r>
    </w:p>
  </w:footnote>
  <w:footnote w:id="356">
    <w:p>
      <w:pPr>
        <w:pStyle w:val="CaseFootnoteText"/>
      </w:pPr>
      <w:r>
        <w:rPr>
          <w:rStyle w:val="FootnoteReference"/>
        </w:rPr>
        <w:t xml:space="preserve">18  </w:t>
      </w:r>
      <w:r>
        <w:t xml:space="preserve">JX-101 (Goldman presentation to the Special Committee (June 11, 2004)) at SP COMM 003381.</w:t>
      </w:r>
    </w:p>
  </w:footnote>
  <w:footnote w:id="358">
    <w:p>
      <w:pPr>
        <w:pStyle w:val="CaseFootnoteText"/>
      </w:pPr>
      <w:r>
        <w:rPr>
          <w:rStyle w:val="FootnoteReference"/>
        </w:rPr>
        <w:t xml:space="preserve">19  </w:t>
      </w:r>
      <w:r>
        <w:t xml:space="preserve"/>
      </w:r>
      <w:r>
        <w:rPr>
          <w:iCs/>
          <w:i/>
        </w:rPr>
        <w:t xml:space="preserve">.Stockman v. Heartland Industrial Partners, L.P.,</w:t>
      </w:r>
      <w:r>
        <w:t xml:space="preserve"> </w:t>
      </w:r>
      <w:r>
        <w:t xml:space="preserve">2009 WL 2096213</w:t>
      </w:r>
      <w:r>
        <w:t xml:space="preserve"> </w:t>
      </w:r>
      <w:r>
        <w:t xml:space="preserve">at *5 (Del. Ch. My 14, 2009) (ambiguities are construed against drafter "to protect the reasonable expectations of people who join a partnership or other entity after it was formed and must rely on the face of the operating agreement to understand their rights and obligations when making the decision to join,”).</w:t>
      </w:r>
    </w:p>
  </w:footnote>
  <w:footnote w:id="359">
    <w:p>
      <w:pPr>
        <w:pStyle w:val="CaseFootnoteText"/>
      </w:pPr>
      <w:r>
        <w:rPr>
          <w:rStyle w:val="FootnoteReference"/>
        </w:rPr>
        <w:t xml:space="preserve">19  </w:t>
      </w:r>
      <w:r>
        <w:t xml:space="preserve">App. to Opening Br. at A2006.</w:t>
      </w:r>
    </w:p>
  </w:footnote>
  <w:footnote w:id="360">
    <w:p>
      <w:pPr>
        <w:pStyle w:val="CaseFootnoteText"/>
      </w:pPr>
      <w:r>
        <w:rPr>
          <w:rStyle w:val="FootnoteReference"/>
        </w:rPr>
        <w:t xml:space="preserve">19  </w:t>
      </w:r>
      <w:r>
        <w:t xml:space="preserve"/>
      </w:r>
      <w:r>
        <w:t xml:space="preserve">Additionally, the majority cites some recent scholarship challenging the historical account of campaign finance law given in</w:t>
      </w:r>
      <w:r>
        <w:t xml:space="preserve"> </w:t>
      </w:r>
      <w:r>
        <w:rPr>
          <w:iCs/>
          <w:i/>
        </w:rPr>
        <w:t xml:space="preserve">United States</w:t>
      </w:r>
      <w:r>
        <w:t xml:space="preserve"> </w:t>
      </w:r>
      <w:r>
        <w:t xml:space="preserve">v.</w:t>
      </w:r>
      <w:r>
        <w:t xml:space="preserve"> </w:t>
      </w:r>
      <w:r>
        <w:rPr>
          <w:iCs/>
          <w:i/>
        </w:rPr>
        <w:t xml:space="preserve">Automobile Workers,</w:t>
      </w:r>
      <w:r>
        <w:t xml:space="preserve"> </w:t>
      </w:r>
      <w:r>
        <w:t xml:space="preserve">352 U. S. 567 (1957).</w:t>
      </w:r>
      <w:r>
        <w:t xml:space="preserve"> </w:t>
      </w:r>
      <w:r>
        <w:rPr>
          <w:iCs/>
          <w:i/>
        </w:rPr>
        <w:t xml:space="preserve">Ante,</w:t>
      </w:r>
      <w:r>
        <w:t xml:space="preserve"> </w:t>
      </w:r>
      <w:r>
        <w:t xml:space="preserve">at 363-364.</w:t>
      </w:r>
      <w:r>
        <w:t xml:space="preserve"> </w:t>
      </w:r>
      <w:r>
        <w:rPr>
          <w:iCs/>
          <w:i/>
        </w:rPr>
        <w:t xml:space="preserve">Austin</w:t>
      </w:r>
      <w:r>
        <w:t xml:space="preserve"> </w:t>
      </w:r>
      <w:r>
        <w:t xml:space="preserve">did not so much as allude to this historical account, much less rely on it. Even if the scholarship cited by the majority is correct that certain campaign finance reforms were less deliberate or less benignly motivated than</w:t>
      </w:r>
      <w:r>
        <w:t xml:space="preserve"> </w:t>
      </w:r>
      <w:r>
        <w:rPr>
          <w:iCs/>
          <w:i/>
        </w:rPr>
        <w:t xml:space="preserve">Automobile Workers</w:t>
      </w:r>
      <w:r>
        <w:t xml:space="preserve"> </w:t>
      </w:r>
      <w:r>
        <w:t xml:space="preserve">suggested, the point remains that this body of law has played a significant and broadly accepted role in American political life for decades upon decades.</w:t>
      </w:r>
    </w:p>
  </w:footnote>
  <w:footnote w:id="361">
    <w:p>
      <w:pPr>
        <w:pStyle w:val="CaseFootnoteText"/>
      </w:pPr>
      <w:r>
        <w:rPr>
          <w:rStyle w:val="FootnoteReference"/>
        </w:rPr>
        <w:t xml:space="preserve">19  </w:t>
      </w:r>
      <w:r>
        <w:t xml:space="preserve"/>
      </w:r>
      <w:r>
        <w:t xml:space="preserve">Employed in 1967, Merkle initially received a salary of $2,500 per year (increased in 1968 to $12,000) and an option to purchase 10,000 shares of National common stock. App. 520, 522.</w:t>
      </w:r>
    </w:p>
  </w:footnote>
  <w:footnote w:id="362">
    <w:p>
      <w:pPr>
        <w:pStyle w:val="CaseFootnoteText"/>
      </w:pPr>
      <w:r>
        <w:rPr>
          <w:rStyle w:val="FootnoteReference"/>
        </w:rPr>
        <w:t xml:space="preserve">19  </w:t>
      </w:r>
      <w:r>
        <w:t xml:space="preserve"/>
      </w:r>
      <w:r>
        <w:t xml:space="preserve"> </w:t>
      </w:r>
      <w:r>
        <w:rPr>
          <w:iCs/>
          <w:i/>
        </w:rPr>
        <w:t xml:space="preserve">Id.</w:t>
      </w:r>
      <w:r>
        <w:t xml:space="preserve"> </w:t>
      </w:r>
      <w:r>
        <w:t xml:space="preserve">at 228-29.</w:t>
      </w:r>
    </w:p>
  </w:footnote>
  <w:footnote w:id="363">
    <w:p>
      <w:pPr>
        <w:pStyle w:val="CaseFootnoteText"/>
      </w:pPr>
      <w:r>
        <w:rPr>
          <w:rStyle w:val="FootnoteReference"/>
        </w:rPr>
        <w:t xml:space="preserve">19  </w:t>
      </w:r>
      <w:r>
        <w:t xml:space="preserve"/>
      </w:r>
      <w:r>
        <w:t xml:space="preserve"> </w:t>
      </w:r>
      <w:r>
        <w:rPr>
          <w:iCs/>
          <w:i/>
        </w:rPr>
        <w:t xml:space="preserve">Id.</w:t>
      </w:r>
      <w:r>
        <w:t xml:space="preserve"> </w:t>
      </w:r>
      <w:r>
        <w:t xml:space="preserve">at *17.</w:t>
      </w:r>
    </w:p>
  </w:footnote>
  <w:footnote w:id="364">
    <w:p>
      <w:pPr>
        <w:pStyle w:val="CaseFootnoteText"/>
      </w:pPr>
      <w:r>
        <w:rPr>
          <w:rStyle w:val="FootnoteReference"/>
        </w:rPr>
        <w:t xml:space="preserve">19  </w:t>
      </w:r>
      <w:r>
        <w:t xml:space="preserve">Petrello testified at his deposition that he wanted Nabors to use Goldman because he considered them "best in class” on strategic issues. App. to Opening Br. at 640 (Petrello Deposition at 62).</w:t>
      </w:r>
    </w:p>
  </w:footnote>
  <w:footnote w:id="365">
    <w:p>
      <w:pPr>
        <w:pStyle w:val="CaseFootnoteText"/>
      </w:pPr>
      <w:r>
        <w:rPr>
          <w:rStyle w:val="FootnoteReference"/>
        </w:rPr>
        <w:t xml:space="preserve">19  </w:t>
      </w:r>
      <w:r>
        <w:t xml:space="preserve">That is, the value (using Wasserstein Perella numbers) of the distribution of cash and debt is approximately $60 and the market price of the stock is approximately $70.</w:t>
      </w:r>
    </w:p>
  </w:footnote>
  <w:footnote w:id="366">
    <w:p>
      <w:pPr>
        <w:pStyle w:val="CaseFootnoteText"/>
      </w:pPr>
      <w:r>
        <w:rPr>
          <w:rStyle w:val="FootnoteReference"/>
        </w:rPr>
        <w:t xml:space="preserve">19  </w:t>
      </w:r>
      <w:r>
        <w:t xml:space="preserve"/>
      </w:r>
      <w:r>
        <w:rPr>
          <w:iCs/>
          <w:i/>
        </w:rPr>
        <w:t xml:space="preserve">. See eBay Domestic Holdings, Inc. v. Newmark,</w:t>
      </w:r>
      <w:r>
        <w:t xml:space="preserve"> </w:t>
      </w:r>
      <w:r>
        <w:t xml:space="preserve">2010 WL 3516473</w:t>
      </w:r>
      <w:r>
        <w:t xml:space="preserve">, at *14 (Del.Ch. Sept. 9, 2010) ("The Staggered Board Amendments created three classes of directors, one director per class, with each class serving three-year terms.”);</w:t>
      </w:r>
      <w:r>
        <w:t xml:space="preserve"> </w:t>
      </w:r>
      <w:r>
        <w:rPr>
          <w:iCs/>
          <w:i/>
        </w:rPr>
        <w:t xml:space="preserve">Khanna v. McMinn,</w:t>
      </w:r>
      <w:r>
        <w:t xml:space="preserve"> </w:t>
      </w:r>
      <w:r>
        <w:t xml:space="preserve">2006 WL 1388744</w:t>
      </w:r>
      <w:r>
        <w:t xml:space="preserve">, at *31 (Del.Ch. May 9, 2006) ("The directors ... completed their three-year terms of office.”);</w:t>
      </w:r>
      <w:r>
        <w:t xml:space="preserve"> </w:t>
      </w:r>
      <w:r>
        <w:rPr>
          <w:iCs/>
          <w:i/>
        </w:rPr>
        <w:t xml:space="preserve">Benihana of Tokyo, Inc. v. Benihana, Inc.,</w:t>
      </w:r>
      <w:r>
        <w:t xml:space="preserve"> </w:t>
      </w:r>
      <w:r>
        <w:t xml:space="preserve">891 A.2d 150</w:t>
      </w:r>
      <w:r>
        <w:t xml:space="preserve">, 156 (Del.Ch.2005) ("Each year the stockholders elect one third of the directors for three year terms_”);</w:t>
      </w:r>
      <w:r>
        <w:t xml:space="preserve"> </w:t>
      </w:r>
      <w:r>
        <w:rPr>
          <w:iCs/>
          <w:i/>
        </w:rPr>
        <w:t xml:space="preserve">Jones Apparel Grp., Inc. v. Maxwell Shoe Co., Inc.,</w:t>
      </w:r>
      <w:r>
        <w:t xml:space="preserve"> </w:t>
      </w:r>
      <w:r>
        <w:t xml:space="preserve">883 A.2d 837</w:t>
      </w:r>
      <w:r>
        <w:t xml:space="preserve">, 849 (Del.Ch.2004) ("The extent to which a certificate provision could deviate from the default standard of one-year terms for directors was itself set by statute, which limited the deviation to the adoption of a staggered board with members whose three-year terms expire on a rotating basis.”);</w:t>
      </w:r>
      <w:r>
        <w:t xml:space="preserve"> </w:t>
      </w:r>
      <w:r>
        <w:rPr>
          <w:iCs/>
          <w:i/>
        </w:rPr>
        <w:t xml:space="preserve">Roven v. Cotter,</w:t>
      </w:r>
      <w:r>
        <w:t xml:space="preserve"> </w:t>
      </w:r>
      <w:r>
        <w:t xml:space="preserve">547 A.2d 603</w:t>
      </w:r>
      <w:r>
        <w:t xml:space="preserve">, 603-04 (Del.Ch.1988) (describing the Annual Meeting Term Alternative in the corporate charter as providing the director with a "three year term”);</w:t>
      </w:r>
      <w:r>
        <w:t xml:space="preserve"> </w:t>
      </w:r>
      <w:r>
        <w:rPr>
          <w:iCs/>
          <w:i/>
        </w:rPr>
        <w:t xml:space="preserve">Dolgoff v. Projectavision, Inc.,</w:t>
      </w:r>
      <w:r>
        <w:t xml:space="preserve"> </w:t>
      </w:r>
      <w:r>
        <w:t xml:space="preserve">1996 WL 91945</w:t>
      </w:r>
      <w:r>
        <w:t xml:space="preserve">, at *9 (Del.Ch. Feb. 29, 1996) ("It ordinarily requires two years for an opponent to possibly secure a majority of the seats on a staggered board.”).</w:t>
      </w:r>
    </w:p>
  </w:footnote>
  <w:footnote w:id="367">
    <w:p>
      <w:pPr>
        <w:pStyle w:val="CaseFootnoteText"/>
      </w:pPr>
      <w:r>
        <w:rPr>
          <w:rStyle w:val="FootnoteReference"/>
        </w:rPr>
        <w:t xml:space="preserve">19  </w:t>
      </w:r>
      <w:r>
        <w:t xml:space="preserve">The record is somewhat inconsistent regarding whether regulatory approval of FAC’s standalone sale was merely unlikely or impossible. Milton R. Berlinski (“Berlinski”), a Goldman Vice President, stated in his affidavit that "a sale of FAC independently of the rest of Society was not possible.” Connell in his affidavit stated that "selling FAC ... was simply</w:t>
      </w:r>
      <w:r>
        <w:t xml:space="preserve"> </w:t>
      </w:r>
      <w:r>
        <w:rPr>
          <w:iCs/>
          <w:i/>
        </w:rPr>
        <w:t xml:space="preserve">not</w:t>
      </w:r>
      <w:r>
        <w:t xml:space="preserve"> </w:t>
      </w:r>
      <w:r>
        <w:t xml:space="preserve">a viable option." Chase in his deposition stated that “[FAC] could not be sold by itself.” A document promulgated by Salomon titled "Regional Overview,” however, states that ”[i]t is highly unlikely that proceeds from the sale of FAC could be realized ... due to regulatory constraints.” A document Merrill Lynch produced, titled "Capital Alternatives,” states that "it is questionable whether regulators would give approval of the dividend or even sale of FAC.” Plaintiff’s expert, Professor Donald J. Puglisi ("Professor Puglisi”), in an affidavit submitted on plaintiff's behalf, stated in conclusory terms: "There is no basis for arguing that FAC could not be sold. Indeed, the Goldman Sachs auction bids were premised on the assumption that FAC could, indeed, be sold." We need not decide whether there was a material issue of fact relating to the regulatory approval proposition because plaintiff does not rely in his argument on such a finding. Further, for purposes of our analysis of the partial disclosure issue, we have predicated our holding on the assumption most favorable to the defendants— namely that it is undisputed that the FAC bid was contingent and interdependent on the sale of the other parts of Bancorp, and that regulatory approval of a stand-alone sale of FAC would not have been forthcoming.</w:t>
      </w:r>
    </w:p>
  </w:footnote>
  <w:footnote w:id="368">
    <w:p>
      <w:pPr>
        <w:pStyle w:val="CaseFootnoteText"/>
      </w:pPr>
      <w:r>
        <w:rPr>
          <w:rStyle w:val="FootnoteReference"/>
        </w:rPr>
        <w:t xml:space="preserve">19  </w:t>
      </w:r>
      <w:r>
        <w:t xml:space="preserve">On June 26, 1989, the Internal Revenue Service granted the Museum’s request for public charity status.</w:t>
      </w:r>
    </w:p>
  </w:footnote>
  <w:footnote w:id="369">
    <w:p>
      <w:pPr>
        <w:pStyle w:val="CaseFootnoteText"/>
      </w:pPr>
      <w:r>
        <w:rPr>
          <w:rStyle w:val="FootnoteReference"/>
        </w:rPr>
        <w:t xml:space="preserve">19  </w:t>
      </w:r>
      <w:r>
        <w:t xml:space="preserve"/>
      </w:r>
      <w:r>
        <w:t xml:space="preserve"> </w:t>
      </w:r>
      <w:r>
        <w:rPr>
          <w:iCs/>
          <w:i/>
        </w:rPr>
        <w:t xml:space="preserve">See</w:t>
      </w:r>
      <w:r>
        <w:t xml:space="preserve"> </w:t>
      </w:r>
      <w:r>
        <w:t xml:space="preserve">Tr. at 221-222 (Handelsman) ("Q [the court].... But again I just want to be clear, I am not here — when I am ultimately looking at them, I am not looking at there is some sort of thing where, you know, the market was somehow overvaluing Southern Peru and that you have to sort of normalize for that. That’s not what the committee ever considered. A. No. Q. Right. I just want you to understand there is obviously arguments you can make with respect to a thinly traded security like Southern Peru with the overhang of control that the trading price might not be as informative as something where there is a much more liquid float. A. Oh, I think there would have been a robust market for Southern Peru Copper in the copper industry at or better than the price that it traded at.”). Even though Handelsman testified that the Special Committee did not "seriously” consider whether Southern Peru could have sold 67 million shares into the market for some amount of money, because 67 million shares was close to 85% of the then-outstanding Southern Peru stock,</w:t>
      </w:r>
      <w:r>
        <w:t xml:space="preserve"> </w:t>
      </w:r>
      <w:r>
        <w:rPr>
          <w:iCs/>
          <w:i/>
        </w:rPr>
        <w:t xml:space="preserve">id.</w:t>
      </w:r>
      <w:r>
        <w:t xml:space="preserve"> </w:t>
      </w:r>
      <w:r>
        <w:t xml:space="preserve">at 202 (Handels-man), when questioned by the court, he conceded that the market price of Southern Peru was a reliable measure of Southern Peru’s worth. At the post-trial oral argument, the defendants’ counsel further clarified Handels-man’s belief that the market price was reliable.</w:t>
      </w:r>
      <w:r>
        <w:t xml:space="preserve"> </w:t>
      </w:r>
      <w:r>
        <w:rPr>
          <w:iCs/>
          <w:i/>
        </w:rPr>
        <w:t xml:space="preserve">See In re Southern Peru S'holders Litig.,</w:t>
      </w:r>
      <w:r>
        <w:t xml:space="preserve"> </w:t>
      </w:r>
      <w:r>
        <w:t xml:space="preserve">C.A. No. 961, at 98 (Del.Ch. July 12, 2011) (TRANSCRIPT) ("A. [T]he [market] price [of Southern Peru] was what it was and [Han-delsman] believed it ...”). In further exchange with the court, the defendants’ counsel never contested that the market price was not a reliable indicator of Southern Peru’s value.</w:t>
      </w:r>
      <w:r>
        <w:t xml:space="preserve"> </w:t>
      </w:r>
      <w:r>
        <w:rPr>
          <w:iCs/>
          <w:i/>
        </w:rPr>
        <w:t xml:space="preserve">See e.g., id.</w:t>
      </w:r>
      <w:r>
        <w:t xml:space="preserve"> </w:t>
      </w:r>
      <w:r>
        <w:t xml:space="preserve">at 99 (”Q. ... [I]f your clients basically tell me the market price is the market price, and the market price is 3.1 billion and you are only up to 2.7 billion, and you are trading at a multiple to DCF and you are buying something else at a multiple to DCF, that sounds like a pretty classic dumb deal. A. That's not what my clients believed ... [t]hey believed, as they testified, that they were getting a bargain; that Minera was worth more than the consideration that Gru-po [Mexico] received.”);</w:t>
      </w:r>
      <w:r>
        <w:t xml:space="preserve"> </w:t>
      </w:r>
      <w:r>
        <w:rPr>
          <w:iCs/>
          <w:i/>
        </w:rPr>
        <w:t xml:space="preserve">id.</w:t>
      </w:r>
      <w:r>
        <w:t xml:space="preserve"> </w:t>
      </w:r>
      <w:r>
        <w:t xml:space="preserve">at 105 ("Q. Let me just say my simplistic view of this is if your clients are not going to challenge, as they did not challenge, the market value of Southern Peru stock, then Southern Peru, the stock they gave up was basically worth the market price ... A. Right ...”). It is also worth noting that the Special Committee’s advisors never advised it that Southern Peru’s stock should be valued at a discount to its market value, that the defendants do not challenge the market price of Southern Peru in their briefs, and that the defendants’ trial expert did nothing to question the reliability of the then-current market price.</w:t>
      </w:r>
      <w:r>
        <w:t xml:space="preserve"> </w:t>
      </w:r>
      <w:r>
        <w:rPr>
          <w:iCs/>
          <w:i/>
        </w:rPr>
        <w:t xml:space="preserve">See</w:t>
      </w:r>
      <w:r>
        <w:t xml:space="preserve"> </w:t>
      </w:r>
      <w:r>
        <w:t xml:space="preserve">Tr. at 464 (Schwartz) ("I didn’t look at the liquidity, I didn’t look at the control issues, I didn't look at other issues. I didn't look at other corporate companies that were trading.”).</w:t>
      </w:r>
    </w:p>
  </w:footnote>
  <w:footnote w:id="371">
    <w:p>
      <w:pPr>
        <w:pStyle w:val="CaseFootnoteText"/>
      </w:pPr>
      <w:r>
        <w:rPr>
          <w:rStyle w:val="FootnoteReference"/>
        </w:rPr>
        <w:t xml:space="preserve">20  </w:t>
      </w:r>
      <w:r>
        <w:t xml:space="preserve"/>
      </w:r>
      <w:r>
        <w:t xml:space="preserve"> </w:t>
      </w:r>
      <w:r>
        <w:rPr>
          <w:iCs/>
          <w:i/>
        </w:rPr>
        <w:t xml:space="preserve">See</w:t>
      </w:r>
      <w:r>
        <w:t xml:space="preserve"> </w:t>
      </w:r>
      <w:r>
        <w:t xml:space="preserve">6</w:t>
      </w:r>
      <w:r>
        <w:t xml:space="preserve"> </w:t>
      </w:r>
      <w:r>
        <w:rPr>
          <w:iCs/>
          <w:i/>
        </w:rPr>
        <w:t xml:space="preserve">Del. C.</w:t>
      </w:r>
      <w:r>
        <w:t xml:space="preserve"> </w:t>
      </w:r>
      <w:r>
        <w:t xml:space="preserve">§ 17 — 1101(d).</w:t>
      </w:r>
    </w:p>
  </w:footnote>
  <w:footnote w:id="372">
    <w:p>
      <w:pPr>
        <w:pStyle w:val="CaseFootnoteText"/>
      </w:pPr>
      <w:r>
        <w:rPr>
          <w:rStyle w:val="FootnoteReference"/>
        </w:rPr>
        <w:t xml:space="preserve">20  </w:t>
      </w:r>
      <w:r>
        <w:rPr>
          <w:iCs/>
          <w:i/>
        </w:rPr>
        <w:t xml:space="preserve">Chancery Opinion</w:t>
      </w:r>
      <w:r>
        <w:t xml:space="preserve"/>
      </w:r>
      <w:r>
        <w:t xml:space="preserve">,</w:t>
      </w:r>
      <w:r>
        <w:t xml:space="preserve"> </w:t>
      </w:r>
      <w:r>
        <w:t xml:space="preserve">2018 WL 818760</w:t>
      </w:r>
      <w:r>
        <w:t xml:space="preserve">, at *37.</w:t>
      </w:r>
    </w:p>
  </w:footnote>
  <w:footnote w:id="373">
    <w:p>
      <w:pPr>
        <w:pStyle w:val="CaseFootnoteText"/>
      </w:pPr>
      <w:r>
        <w:rPr>
          <w:rStyle w:val="FootnoteReference"/>
        </w:rPr>
        <w:t xml:space="preserve">20  </w:t>
      </w:r>
      <w:r>
        <w:t xml:space="preserve"/>
      </w:r>
      <w:r>
        <w:t xml:space="preserve">See Brief for State of Montana et al. as</w:t>
      </w:r>
      <w:r>
        <w:t xml:space="preserve"> </w:t>
      </w:r>
      <w:r>
        <w:rPr>
          <w:iCs/>
          <w:i/>
        </w:rPr>
        <w:t xml:space="preserve">Amici Curiae</w:t>
      </w:r>
      <w:r>
        <w:t xml:space="preserve"> </w:t>
      </w:r>
      <w:r>
        <w:t xml:space="preserve">5-13; see also Supp, Brief for Senator John McCain et al. as</w:t>
      </w:r>
      <w:r>
        <w:t xml:space="preserve"> </w:t>
      </w:r>
      <w:r>
        <w:rPr>
          <w:iCs/>
          <w:i/>
        </w:rPr>
        <w:t xml:space="preserve">Amici Curiae</w:t>
      </w:r>
      <w:r>
        <w:t xml:space="preserve"> </w:t>
      </w:r>
      <w:r>
        <w:t xml:space="preserve">1a-8a (listing 24 States that presently limit or prohibit independent electioneering expenditures from corporate general treasuries).</w:t>
      </w:r>
    </w:p>
  </w:footnote>
  <w:footnote w:id="374">
    <w:p>
      <w:pPr>
        <w:pStyle w:val="CaseFootnoteText"/>
      </w:pPr>
      <w:r>
        <w:rPr>
          <w:rStyle w:val="FootnoteReference"/>
        </w:rPr>
        <w:t xml:space="preserve">20  </w:t>
      </w:r>
      <w:r>
        <w:t xml:space="preserve"/>
      </w:r>
      <w:r>
        <w:t xml:space="preserve">In a table entitled “Statements of Consolidated Stockholders’ Equity,” the proxy statement indicated that National acquired aproximately 83,000 shares of its own common stock in 1968 and 1969, while it sold approximately 67,000 shares under stock option plans, employment agreements, and warrants.</w:t>
      </w:r>
      <w:r>
        <w:t xml:space="preserve"> </w:t>
      </w:r>
      <w:r>
        <w:rPr>
          <w:iCs/>
          <w:i/>
        </w:rPr>
        <w:t xml:space="preserve">Id.,</w:t>
      </w:r>
      <w:r>
        <w:rPr>
          <w:iCs/>
          <w:i/>
        </w:rPr>
        <w:t xml:space="preserve"> </w:t>
      </w:r>
      <w:r>
        <w:t xml:space="preserve">at 324, 330</w:t>
      </w:r>
      <w:r>
        <w:t xml:space="preserve">. The proxy statement did not disclose that Madison acquired approximately 170,000 shares of National common during the two-year period, or that approximately one year prior to the proxy solicitation Madison acquired $2 million in National debentures convertible' to common.</w:t>
      </w:r>
    </w:p>
  </w:footnote>
  <w:footnote w:id="375">
    <w:p>
      <w:pPr>
        <w:pStyle w:val="CaseFootnoteText"/>
      </w:pPr>
      <w:r>
        <w:rPr>
          <w:rStyle w:val="FootnoteReference"/>
        </w:rPr>
        <w:t xml:space="preserve">20  </w:t>
      </w:r>
      <w:r>
        <w:t xml:space="preserve"/>
      </w:r>
      <w:r>
        <w:t xml:space="preserve"> </w:t>
      </w:r>
      <w:r>
        <w:rPr>
          <w:iCs/>
          <w:i/>
        </w:rPr>
        <w:t xml:space="preserve">See id.</w:t>
      </w:r>
      <w:r>
        <w:t xml:space="preserve"> </w:t>
      </w:r>
      <w:r>
        <w:t xml:space="preserve">at 223-26.</w:t>
      </w:r>
    </w:p>
  </w:footnote>
  <w:footnote w:id="376">
    <w:p>
      <w:pPr>
        <w:pStyle w:val="CaseFootnoteText"/>
      </w:pPr>
      <w:r>
        <w:rPr>
          <w:rStyle w:val="FootnoteReference"/>
        </w:rPr>
        <w:t xml:space="preserve">20  </w:t>
      </w:r>
      <w:r>
        <w:t xml:space="preserve"/>
      </w:r>
      <w:r>
        <w:t xml:space="preserve"> </w:t>
      </w:r>
      <w:r>
        <w:rPr>
          <w:iCs/>
          <w:i/>
        </w:rPr>
        <w:t xml:space="preserve">Ibid.</w:t>
      </w:r>
    </w:p>
  </w:footnote>
  <w:footnote w:id="377">
    <w:p>
      <w:pPr>
        <w:pStyle w:val="CaseFootnoteText"/>
      </w:pPr>
      <w:r>
        <w:rPr>
          <w:rStyle w:val="FootnoteReference"/>
        </w:rPr>
        <w:t xml:space="preserve">20  </w:t>
      </w:r>
      <w:r>
        <w:t xml:space="preserve">App. to Answering Br. at 718 (Comstock text message to McMullen dated Feb. 28, 2014).</w:t>
      </w:r>
    </w:p>
  </w:footnote>
  <w:footnote w:id="378">
    <w:p>
      <w:pPr>
        <w:pStyle w:val="CaseFootnoteText"/>
      </w:pPr>
      <w:r>
        <w:rPr>
          <w:rStyle w:val="FootnoteReference"/>
        </w:rPr>
        <w:t xml:space="preserve">20  </w:t>
      </w:r>
      <w:r>
        <w:t xml:space="preserve"/>
      </w:r>
      <w:r>
        <w:t xml:space="preserve"> </w:t>
      </w:r>
      <w:r>
        <w:rPr>
          <w:iCs/>
          <w:i/>
        </w:rPr>
        <w:t xml:space="preserve">Robinson v. Pittsburgh Oil Refining Corp.,</w:t>
      </w:r>
      <w:r>
        <w:t xml:space="preserve"> </w:t>
      </w:r>
      <w:r>
        <w:t xml:space="preserve">Del.Ch.,</w:t>
      </w:r>
      <w:r>
        <w:t xml:space="preserve"> </w:t>
      </w:r>
      <w:r>
        <w:t xml:space="preserve">126 A. 46</w:t>
      </w:r>
      <w:r>
        <w:t xml:space="preserve"> </w:t>
      </w:r>
      <w:r>
        <w:t xml:space="preserve">(1924);</w:t>
      </w:r>
      <w:r>
        <w:t xml:space="preserve"> </w:t>
      </w:r>
      <w:r>
        <w:rPr>
          <w:iCs/>
          <w:i/>
        </w:rPr>
        <w:t xml:space="preserve">Thomas v. Kempner,</w:t>
      </w:r>
      <w:r>
        <w:t xml:space="preserve"> </w:t>
      </w:r>
      <w:r>
        <w:t xml:space="preserve">Del.Ch., C.A. No. 4138, Marvel, V.C. (March 22, 1973) [</w:t>
      </w:r>
      <w:r>
        <w:t xml:space="preserve">1973 WL 460</w:t>
      </w:r>
      <w:r>
        <w:t xml:space="preserve">].</w:t>
      </w:r>
    </w:p>
  </w:footnote>
  <w:footnote w:id="379">
    <w:p>
      <w:pPr>
        <w:pStyle w:val="CaseFootnoteText"/>
      </w:pPr>
      <w:r>
        <w:rPr>
          <w:rStyle w:val="FootnoteReference"/>
        </w:rPr>
        <w:t xml:space="preserve">20  </w:t>
      </w:r>
      <w:r>
        <w:t xml:space="preserve"/>
      </w:r>
      <w:r>
        <w:t xml:space="preserve"> </w:t>
      </w:r>
      <w:r>
        <w:rPr>
          <w:iCs/>
          <w:i/>
        </w:rPr>
        <w:t xml:space="preserve">See SWT Acquisition Corp. v. TW Servs., Inc.,</w:t>
      </w:r>
      <w:r>
        <w:t xml:space="preserve"> </w:t>
      </w:r>
      <w:r>
        <w:t xml:space="preserve">700 F.Supp. 1323</w:t>
      </w:r>
      <w:r>
        <w:t xml:space="preserve">, 1329 (D.Del.1988) ("[T]he [] board is staggered [and] thereby preclud[es] [outside] control for two years.”);</w:t>
      </w:r>
      <w:r>
        <w:t xml:space="preserve"> </w:t>
      </w:r>
      <w:r>
        <w:rPr>
          <w:iCs/>
          <w:i/>
        </w:rPr>
        <w:t xml:space="preserve">BNS Inc. v. Koppers Co., Inc.,</w:t>
      </w:r>
      <w:r>
        <w:t xml:space="preserve"> </w:t>
      </w:r>
      <w:r>
        <w:t xml:space="preserve">683 F.Supp. 458</w:t>
      </w:r>
      <w:r>
        <w:t xml:space="preserve">, 470 (D.Del.1988) ("[A] staggered board delays shifts of control for two years.”).</w:t>
      </w:r>
    </w:p>
  </w:footnote>
  <w:footnote w:id="380">
    <w:p>
      <w:pPr>
        <w:pStyle w:val="CaseFootnoteText"/>
      </w:pPr>
      <w:r>
        <w:rPr>
          <w:rStyle w:val="FootnoteReference"/>
        </w:rPr>
        <w:t xml:space="preserve">20  </w:t>
      </w:r>
      <w:r>
        <w:t xml:space="preserve">As for the actual value of FAC, because the Merger was an exchange of stock transaction, post-Merger BoB stockholders (such as plaintiff) theoretically stand to reap the benefits of FAC’s profitability in the future. That is, in merging with Bancorp, BoB absorbed the value of FAC. Thus, FAC’s net profit would be reflected in the value of shares held by post-Merger BoB stockholders. This Court has earlier held that stockholders in certain situations are entitled to a control premium in a merger context where consummation of the proposed merger would effectively eliminate any expectation of such a premium in the future.</w:t>
      </w:r>
      <w:r>
        <w:t xml:space="preserve"> </w:t>
      </w:r>
      <w:r>
        <w:rPr>
          <w:iCs/>
          <w:i/>
        </w:rPr>
        <w:t xml:space="preserve">Paramount Communications, Inc. v. QVC Network, Inc.,</w:t>
      </w:r>
      <w:r>
        <w:t xml:space="preserve"> </w:t>
      </w:r>
      <w:r>
        <w:t xml:space="preserve">Del.Supr.,</w:t>
      </w:r>
      <w:r>
        <w:t xml:space="preserve"> </w:t>
      </w:r>
      <w:r>
        <w:t xml:space="preserve">637 A.2d 34</w:t>
      </w:r>
      <w:r>
        <w:t xml:space="preserve">, 42-43 (1994). The facts of this case did not entitle plaintiff to such a premium.</w:t>
      </w:r>
      <w:r>
        <w:t xml:space="preserve"> </w:t>
      </w:r>
      <w:r>
        <w:rPr>
          <w:iCs/>
          <w:i/>
        </w:rPr>
        <w:t xml:space="preserve">See infra</w:t>
      </w:r>
      <w:r>
        <w:t xml:space="preserve"> </w:t>
      </w:r>
      <w:r>
        <w:t xml:space="preserve">part VII (discussing plaintiff's</w:t>
      </w:r>
      <w:r>
        <w:t xml:space="preserve"> </w:t>
      </w:r>
      <w:r>
        <w:rPr>
          <w:iCs/>
          <w:i/>
        </w:rPr>
        <w:t xml:space="preserve">"Revlon</w:t>
      </w:r>
      <w:r>
        <w:t xml:space="preserve"> </w:t>
      </w:r>
      <w:r>
        <w:t xml:space="preserve">claim”). To the extent that plaintiff’s concern is that he will not realize profits stemming from FAC’s operations, as a post-Merger BoB stockholder, plaintiff has not lost such an opportunity. Nonetheless, the failure to disclose the FAC bid under these circumstances deprived plaintiff of the information necessary to make an informed choice of whether or not to support the Merger (which would place FAC as an asset in the merged entity) or to vote against the Merger and keep FAC as part of an independent Bancorp. Plaintiff was entitled to this choice whether or not the control premium is still available in the merged enterprise.</w:t>
      </w:r>
    </w:p>
  </w:footnote>
  <w:footnote w:id="381">
    <w:p>
      <w:pPr>
        <w:pStyle w:val="CaseFootnoteText"/>
      </w:pPr>
      <w:r>
        <w:rPr>
          <w:rStyle w:val="FootnoteReference"/>
        </w:rPr>
        <w:t xml:space="preserve">20  </w:t>
      </w:r>
      <w:r>
        <w:t xml:space="preserve">The following day, July 21, 1989, a lease agreement was executed for the Museum building and the four renovated floors of Occidental’s headquarters.</w:t>
      </w:r>
    </w:p>
  </w:footnote>
  <w:footnote w:id="382">
    <w:p>
      <w:pPr>
        <w:pStyle w:val="CaseFootnoteText"/>
      </w:pPr>
      <w:r>
        <w:rPr>
          <w:rStyle w:val="FootnoteReference"/>
        </w:rPr>
        <w:t xml:space="preserve">20  </w:t>
      </w:r>
      <w:r>
        <w:t xml:space="preserve">Tr. at 157 (Handelsman).</w:t>
      </w:r>
    </w:p>
  </w:footnote>
  <w:footnote w:id="384">
    <w:p>
      <w:pPr>
        <w:pStyle w:val="CaseFootnoteText"/>
      </w:pPr>
      <w:r>
        <w:rPr>
          <w:rStyle w:val="FootnoteReference"/>
        </w:rPr>
        <w:t xml:space="preserve">21  </w:t>
      </w:r>
      <w:r>
        <w:t xml:space="preserve"/>
      </w:r>
      <w:r>
        <w:t xml:space="preserve"> </w:t>
      </w:r>
      <w:r>
        <w:rPr>
          <w:iCs/>
          <w:i/>
        </w:rPr>
        <w:t xml:space="preserve">Nemec v. Shrader,</w:t>
      </w:r>
      <w:r>
        <w:t xml:space="preserve"> </w:t>
      </w:r>
      <w:r>
        <w:t xml:space="preserve">991 A.2d 1120</w:t>
      </w:r>
      <w:r>
        <w:t xml:space="preserve">, 1125 (Del. 2010) (internal citations omitted).</w:t>
      </w:r>
    </w:p>
  </w:footnote>
  <w:footnote w:id="385">
    <w:p>
      <w:pPr>
        <w:pStyle w:val="CaseFootnoteText"/>
      </w:pPr>
      <w:r>
        <w:rPr>
          <w:rStyle w:val="FootnoteReference"/>
        </w:rPr>
        <w:t xml:space="preserve">21  </w:t>
      </w:r>
      <w:r>
        <w:rPr>
          <w:iCs/>
          <w:i/>
        </w:rPr>
        <w:t xml:space="preserve">Summary Judgment Order</w:t>
      </w:r>
      <w:r>
        <w:t xml:space="preserve"/>
      </w:r>
      <w:r>
        <w:t xml:space="preserve">, C.A. No. 12447-VCL, at ¶ 23(b).</w:t>
      </w:r>
    </w:p>
  </w:footnote>
  <w:footnote w:id="386">
    <w:p>
      <w:pPr>
        <w:pStyle w:val="CaseFootnoteText"/>
      </w:pPr>
      <w:r>
        <w:rPr>
          <w:rStyle w:val="FootnoteReference"/>
        </w:rPr>
        <w:t xml:space="preserve">21  </w:t>
      </w:r>
      <w:r>
        <w:t xml:space="preserve"/>
      </w:r>
      <w:r>
        <w:t xml:space="preserve">Magleby, The Importance of the Record in</w:t>
      </w:r>
      <w:r>
        <w:t xml:space="preserve"> </w:t>
      </w:r>
      <w:r>
        <w:rPr>
          <w:iCs/>
          <w:i/>
        </w:rPr>
        <w:t xml:space="preserve">McConnell v. FEC, 3</w:t>
      </w:r>
      <w:r>
        <w:t xml:space="preserve"> </w:t>
      </w:r>
      <w:r>
        <w:t xml:space="preserve">Election L. J. 285 (2004).</w:t>
      </w:r>
    </w:p>
  </w:footnote>
  <w:footnote w:id="387">
    <w:p>
      <w:pPr>
        <w:pStyle w:val="CaseFootnoteText"/>
      </w:pPr>
      <w:r>
        <w:rPr>
          <w:rStyle w:val="FootnoteReference"/>
        </w:rPr>
        <w:t xml:space="preserve">21  </w:t>
      </w:r>
      <w:r>
        <w:t xml:space="preserve"/>
      </w:r>
      <w:r>
        <w:t xml:space="preserve">See n. 1,</w:t>
      </w:r>
      <w:r>
        <w:t xml:space="preserve"> </w:t>
      </w:r>
      <w:r>
        <w:rPr>
          <w:iCs/>
          <w:i/>
        </w:rPr>
        <w:t xml:space="preserve">supra.</w:t>
      </w:r>
    </w:p>
  </w:footnote>
  <w:footnote w:id="388">
    <w:p>
      <w:pPr>
        <w:pStyle w:val="CaseFootnoteText"/>
      </w:pPr>
      <w:r>
        <w:rPr>
          <w:rStyle w:val="FootnoteReference"/>
        </w:rPr>
        <w:t xml:space="preserve">21  </w:t>
      </w:r>
      <w:r>
        <w:t xml:space="preserve"/>
      </w:r>
      <w:r>
        <w:t xml:space="preserve"> </w:t>
      </w:r>
      <w:r>
        <w:rPr>
          <w:iCs/>
          <w:i/>
        </w:rPr>
        <w:t xml:space="preserve">See id.</w:t>
      </w:r>
      <w:r>
        <w:t xml:space="preserve"> </w:t>
      </w:r>
      <w:r>
        <w:t xml:space="preserve">at 241-5; Manning, 235-36.</w:t>
      </w:r>
    </w:p>
  </w:footnote>
  <w:footnote w:id="389">
    <w:p>
      <w:pPr>
        <w:pStyle w:val="CaseFootnoteText"/>
      </w:pPr>
      <w:r>
        <w:rPr>
          <w:rStyle w:val="FootnoteReference"/>
        </w:rPr>
        <w:t xml:space="preserve">21  </w:t>
      </w:r>
      <w:r>
        <w:t xml:space="preserve"/>
      </w:r>
      <w:r>
        <w:t xml:space="preserve"> </w:t>
      </w:r>
      <w:r>
        <w:rPr>
          <w:iCs/>
          <w:i/>
        </w:rPr>
        <w:t xml:space="preserve">Lyondell I</w:t>
      </w:r>
      <w:r>
        <w:t xml:space="preserve"> </w:t>
      </w:r>
      <w:r>
        <w:t xml:space="preserve">at * 14.</w:t>
      </w:r>
    </w:p>
  </w:footnote>
  <w:footnote w:id="390">
    <w:p>
      <w:pPr>
        <w:pStyle w:val="CaseFootnoteText"/>
      </w:pPr>
      <w:r>
        <w:rPr>
          <w:rStyle w:val="FootnoteReference"/>
        </w:rPr>
        <w:t xml:space="preserve">21  </w:t>
      </w:r>
      <w:r>
        <w:t xml:space="preserve">App. to Opening Br. at 1647 (Comstock Deposition at 36).</w:t>
      </w:r>
    </w:p>
  </w:footnote>
  <w:footnote w:id="391">
    <w:p>
      <w:pPr>
        <w:pStyle w:val="CaseFootnoteText"/>
      </w:pPr>
      <w:r>
        <w:rPr>
          <w:rStyle w:val="FootnoteReference"/>
        </w:rPr>
        <w:t xml:space="preserve">21  </w:t>
      </w:r>
      <w:r>
        <w:t xml:space="preserve">A delicate question is how far a board must go to satisfy its obligation to inform itself, with respect to the question whether the bidder would pay more. Must it disclose information? Must it negotiate? Surely it need not enter into negotiations if it has not reached a decision to sell the Company, but its duty to shareholders may not permit the board to simply ignore the offeror. This issue may come down to the reasonableness of the terms of a confidentiality and standstill agreement. These agreements which always play an important role for a period in cases of this kind rarely get litigated.</w:t>
      </w:r>
      <w:r>
        <w:t xml:space="preserve"> </w:t>
      </w:r>
      <w:r>
        <w:rPr>
          <w:iCs/>
          <w:i/>
        </w:rPr>
        <w:t xml:space="preserve">But see In Re J.P. Stevens &amp; Co., Inc. Shareholders Litigation,</w:t>
      </w:r>
      <w:r>
        <w:rPr>
          <w:iCs/>
          <w:i/>
        </w:rPr>
        <w:t xml:space="preserve"> </w:t>
      </w:r>
      <w:r>
        <w:rPr>
          <w:iCs/>
          <w:i/>
        </w:rPr>
        <w:t xml:space="preserve">supra.</w:t>
      </w:r>
    </w:p>
    <w:p>
      <w:pPr>
        <w:pStyle w:val="NodeEnd"/>
      </w:pPr>
      <w:r>
        <w:t xml:space="preserve"> </w:t>
      </w:r>
    </w:p>
    <w:p>
      <w:pPr>
        <w:pStyle w:val="NodeStart"/>
      </w:pPr>
      <w:r>
        <w:t xml:space="preserve"> </w:t>
      </w:r>
    </w:p>
    <w:p>
      <w:pPr>
        <w:pStyle w:val="HeadSeparator"/>
      </w:pPr>
      <w:r>
        <w:t xml:space="preserve"> </w:t>
      </w:r>
    </w:p>
  </w:footnote>
  <w:footnote w:id="392">
    <w:p>
      <w:pPr>
        <w:pStyle w:val="CaseFootnoteText"/>
      </w:pPr>
      <w:r>
        <w:rPr>
          <w:rStyle w:val="FootnoteReference"/>
        </w:rPr>
        <w:t xml:space="preserve">21  </w:t>
      </w:r>
      <w:r>
        <w:t xml:space="preserve">Article 10 of Air Products’ charter provides: "... [T]he directors chosen to succeed those whose terms are expiring shall be identified as being of the same class as the directors whom they succeed and shall be elected for a term expiring at the third succeeding annual meeting of stockholders or thereafter in each case when their respective successors are elected and qualified....”</w:t>
      </w:r>
    </w:p>
  </w:footnote>
  <w:footnote w:id="393">
    <w:p>
      <w:pPr>
        <w:pStyle w:val="CaseFootnoteText"/>
      </w:pPr>
      <w:r>
        <w:rPr>
          <w:rStyle w:val="FootnoteReference"/>
        </w:rPr>
        <w:t xml:space="preserve">21  </w:t>
      </w:r>
      <w:r>
        <w:t xml:space="preserve">As we note</w:t>
      </w:r>
      <w:r>
        <w:t xml:space="preserve"> </w:t>
      </w:r>
      <w:r>
        <w:rPr>
          <w:iCs/>
          <w:i/>
        </w:rPr>
        <w:t xml:space="preserve">infra</w:t>
      </w:r>
      <w:r>
        <w:t xml:space="preserve"> </w:t>
      </w:r>
      <w:r>
        <w:t xml:space="preserve">in part VIII, we leave to the Court of Chancery upon remand the question of whether plaintiff is entitled to a remedy under the circumstances of this case, and, if so, the nature of that remedy. Further, because of our holding regarding this claim, the Court also remands to the trial court plaintiff’s derivative aiding and abetting claim against BoB.</w:t>
      </w:r>
    </w:p>
  </w:footnote>
  <w:footnote w:id="394">
    <w:p>
      <w:pPr>
        <w:pStyle w:val="CaseFootnoteText"/>
      </w:pPr>
      <w:r>
        <w:rPr>
          <w:rStyle w:val="FootnoteReference"/>
        </w:rPr>
        <w:t xml:space="preserve">21  </w:t>
      </w:r>
      <w:r>
        <w:t xml:space="preserve">On June 6, 1990, after the case had already been taken under advisement, the Court of Chancery was informed that the Notice of the Settlement Hearing was not sent to a number of shareholders because of an oversight. The Court of Chancery directed that notice be sent to those stockholders. Supplemental notice was sent on June 15, 1990 providing that any additional objections to the Settlement could be filed up to July 16, 1990. In response to that notice only two letters were received, neither of which asserted any new basis for an objection.</w:t>
      </w:r>
    </w:p>
  </w:footnote>
  <w:footnote w:id="395">
    <w:p>
      <w:pPr>
        <w:pStyle w:val="CaseFootnoteText"/>
      </w:pPr>
      <w:r>
        <w:rPr>
          <w:rStyle w:val="FootnoteReference"/>
        </w:rPr>
        <w:t xml:space="preserve">21  </w:t>
      </w:r>
      <w:r>
        <w:t xml:space="preserve">Tr. at 159 (Handelsman) ("I think the committee was somewhat comforted by the fact that the DCF analysis of Minera [] and the DCF analysis of [Southern Peru] were not as different as the discounted cash flow analysis of Minera [] and the market value of Southern Peru.”).</w:t>
      </w:r>
    </w:p>
  </w:footnote>
  <w:footnote w:id="397">
    <w:p>
      <w:pPr>
        <w:pStyle w:val="CaseFootnoteText"/>
      </w:pPr>
      <w:r>
        <w:rPr>
          <w:rStyle w:val="FootnoteReference"/>
        </w:rPr>
        <w:t xml:space="preserve">22  </w:t>
      </w:r>
      <w:r>
        <w:t xml:space="preserve"/>
      </w:r>
      <w:r>
        <w:t xml:space="preserve"> </w:t>
      </w:r>
      <w:r>
        <w:rPr>
          <w:iCs/>
          <w:i/>
        </w:rPr>
        <w:t xml:space="preserve">Id.</w:t>
      </w:r>
      <w:r>
        <w:t xml:space="preserve"> </w:t>
      </w:r>
      <w:r>
        <w:t xml:space="preserve">at 1126 (citing</w:t>
      </w:r>
      <w:r>
        <w:t xml:space="preserve"> </w:t>
      </w:r>
      <w:r>
        <w:rPr>
          <w:iCs/>
          <w:i/>
        </w:rPr>
        <w:t xml:space="preserve">Dunlap v. State Farm Fire &amp; Cas. Co.,</w:t>
      </w:r>
      <w:r>
        <w:t xml:space="preserve"> </w:t>
      </w:r>
      <w:r>
        <w:t xml:space="preserve">878 A.2d 434</w:t>
      </w:r>
      <w:r>
        <w:t xml:space="preserve">, 442 (Del. 2005)).</w:t>
      </w:r>
    </w:p>
  </w:footnote>
  <w:footnote w:id="398">
    <w:p>
      <w:pPr>
        <w:pStyle w:val="CaseFootnoteText"/>
      </w:pPr>
      <w:r>
        <w:rPr>
          <w:rStyle w:val="FootnoteReference"/>
        </w:rPr>
        <w:t xml:space="preserve">22  </w:t>
      </w:r>
      <w:r>
        <w:t xml:space="preserve">The Vice Chancellor's February 12, 2018, opinion uses the term "Top Off" to refer to both a "Seller" and "Waterfall" Top-Off. Under a Seller Top-Off, "Crestview, Load Line, or the buyer in an Exit Sale would come up with greater consideration for the Small Holders."</w:t>
      </w:r>
      <w:r>
        <w:t xml:space="preserve"/>
      </w:r>
      <w:r>
        <w:rPr>
          <w:iCs/>
          <w:i/>
        </w:rPr>
        <w:t xml:space="preserve">Chancery Opinion</w:t>
      </w:r>
      <w:r>
        <w:t xml:space="preserve"> </w:t>
      </w:r>
      <w:r>
        <w:t xml:space="preserve">,</w:t>
      </w:r>
      <w:r>
        <w:t xml:space="preserve"> </w:t>
      </w:r>
      <w:r>
        <w:t xml:space="preserve">2018 WL 818760</w:t>
      </w:r>
      <w:r>
        <w:t xml:space="preserve">, at *54. A Waterfall Top-Off is another version of a top-off theory "in which the proceeds of an Exit Sale are allocated first to members who have not yet received enough distributions to satisfy the 1.5x Clause, then subsequently allocated</w:t>
      </w:r>
      <w:r>
        <w:t xml:space="preserve"> </w:t>
      </w:r>
      <w:r>
        <w:rPr>
          <w:iCs/>
          <w:i/>
        </w:rPr>
        <w:t xml:space="preserve">pro rata</w:t>
      </w:r>
      <w:r>
        <w:t xml:space="preserve"> </w:t>
      </w:r>
      <w:r>
        <w:t xml:space="preserve">to all members."</w:t>
      </w:r>
      <w:r>
        <w:t xml:space="preserve"> </w:t>
      </w:r>
      <w:r>
        <w:rPr>
          <w:iCs/>
          <w:i/>
        </w:rPr>
        <w:t xml:space="preserve">Id.</w:t>
      </w:r>
      <w:r>
        <w:t xml:space="preserve"> </w:t>
      </w:r>
      <w:r>
        <w:t xml:space="preserve">We adopt the same approach in this opinion.</w:t>
      </w:r>
    </w:p>
  </w:footnote>
  <w:footnote w:id="399">
    <w:p>
      <w:pPr>
        <w:pStyle w:val="CaseFootnoteText"/>
      </w:pPr>
      <w:r>
        <w:rPr>
          <w:rStyle w:val="FootnoteReference"/>
        </w:rPr>
        <w:t xml:space="preserve">22  </w:t>
      </w:r>
      <w:r>
        <w:t xml:space="preserve"/>
      </w:r>
      <w:r>
        <w:t xml:space="preserve">To be sure, the majority may respond that Congress can correct the imbalance by removing BCRA’s soft-money limits. Cf. Tr. of Oral Arg. 24 (Sept. 9, 2009) (query of Kennedy, J.). But this is no response to any legislature that takes campaign finance regulation seriously. It merely illustrates the breadth of the majority’s deregulatory vision.</w:t>
      </w:r>
    </w:p>
  </w:footnote>
  <w:footnote w:id="400">
    <w:p>
      <w:pPr>
        <w:pStyle w:val="CaseFootnoteText"/>
      </w:pPr>
      <w:r>
        <w:rPr>
          <w:rStyle w:val="FootnoteReference"/>
        </w:rPr>
        <w:t xml:space="preserve">22  </w:t>
      </w:r>
      <w:r>
        <w:t xml:space="preserve"/>
      </w:r>
      <w:r>
        <w:t xml:space="preserve">There has been no suggestion that the purchases in question would have any significance if there was in fact no manipulation or collusion, although there may perhaps be such a claim in another case. Nor is there any indication that manipulation or collusion are matters as to whose existence National might have been left in doubt at the time the proxy statement was issued. Cf. n. 16,</w:t>
      </w:r>
      <w:r>
        <w:t xml:space="preserve"> </w:t>
      </w:r>
      <w:r>
        <w:rPr>
          <w:iCs/>
          <w:i/>
        </w:rPr>
        <w:t xml:space="preserve">supra.</w:t>
      </w:r>
    </w:p>
  </w:footnote>
  <w:footnote w:id="401">
    <w:p>
      <w:pPr>
        <w:pStyle w:val="CaseFootnoteText"/>
      </w:pPr>
      <w:r>
        <w:rPr>
          <w:rStyle w:val="FootnoteReference"/>
        </w:rPr>
        <w:t xml:space="preserve">22  </w:t>
      </w:r>
      <w:r>
        <w:t xml:space="preserve"/>
      </w:r>
      <w:r>
        <w:t xml:space="preserve"> </w:t>
      </w:r>
      <w:r>
        <w:rPr>
          <w:iCs/>
          <w:i/>
        </w:rPr>
        <w:t xml:space="preserve">See</w:t>
      </w:r>
      <w:r>
        <w:t xml:space="preserve"> </w:t>
      </w:r>
      <w:r>
        <w:t xml:space="preserve">Grothe Dep. at 218-19; Kindler Dep. at 32. Pursuant to this call, Grothe made notes that said, in part "Intermedia talked us into switching offer” and "take public out." Plaintiffs point to these notes as evidence that Intermedia did, in fact, talk WorldCom into switching their offer. Grothe explains that the notes reflected Sutcliffe’s earlier advice that the Special Committee suspected that Intermedia had caused WorldCom to switch from Digex to Intermedia and he should be prepared to address that issue in the upcoming telephone calls. Grothe 218-19.</w:t>
      </w:r>
      <w:r>
        <w:t xml:space="preserve"> </w:t>
      </w:r>
      <w:r>
        <w:rPr>
          <w:iCs/>
          <w:i/>
        </w:rPr>
        <w:t xml:space="preserve">See also</w:t>
      </w:r>
      <w:r>
        <w:t xml:space="preserve"> </w:t>
      </w:r>
      <w:r>
        <w:t xml:space="preserve">Grothe Aff. at 10-11.</w:t>
      </w:r>
    </w:p>
  </w:footnote>
  <w:footnote w:id="402">
    <w:p>
      <w:pPr>
        <w:pStyle w:val="CaseFootnoteText"/>
      </w:pPr>
      <w:r>
        <w:rPr>
          <w:rStyle w:val="FootnoteReference"/>
        </w:rPr>
        <w:t xml:space="preserve">22  </w:t>
      </w:r>
      <w:r>
        <w:t xml:space="preserve"/>
      </w:r>
      <w:r>
        <w:t xml:space="preserve"> </w:t>
      </w:r>
      <w:r>
        <w:rPr>
          <w:iCs/>
          <w:i/>
        </w:rPr>
        <w:t xml:space="preserve">Ryan v. Lyondell Chemical Co.,</w:t>
      </w:r>
      <w:r>
        <w:t xml:space="preserve"> </w:t>
      </w:r>
      <w:r>
        <w:t xml:space="preserve">2008 WL 4174038</w:t>
      </w:r>
      <w:r>
        <w:t xml:space="preserve"> </w:t>
      </w:r>
      <w:r>
        <w:t xml:space="preserve">at *2 (Del.Ch.)</w:t>
      </w:r>
      <w:r>
        <w:t xml:space="preserve"> </w:t>
      </w:r>
      <w:r>
        <w:rPr>
          <w:iCs/>
          <w:i/>
        </w:rPr>
        <w:t xml:space="preserve">(Lyondell II).</w:t>
      </w:r>
    </w:p>
  </w:footnote>
  <w:footnote w:id="403">
    <w:p>
      <w:pPr>
        <w:pStyle w:val="CaseFootnoteText"/>
      </w:pPr>
      <w:r>
        <w:rPr>
          <w:rStyle w:val="FootnoteReference"/>
        </w:rPr>
        <w:t xml:space="preserve">22  </w:t>
      </w:r>
      <w:r>
        <w:t xml:space="preserve">App. to Opening Br. at 3167 (Ma Deposition at 16-17).</w:t>
      </w:r>
    </w:p>
  </w:footnote>
  <w:footnote w:id="404">
    <w:p>
      <w:pPr>
        <w:pStyle w:val="CaseFootnoteText"/>
      </w:pPr>
      <w:r>
        <w:rPr>
          <w:rStyle w:val="FootnoteReference"/>
        </w:rPr>
        <w:t xml:space="preserve">22  </w:t>
      </w:r>
      <w:r>
        <w:t xml:space="preserve"/>
      </w:r>
      <w:r>
        <w:rPr>
          <w:iCs/>
          <w:i/>
        </w:rPr>
        <w:t xml:space="preserve">.See</w:t>
      </w:r>
      <w:r>
        <w:t xml:space="preserve"> </w:t>
      </w:r>
      <w:r>
        <w:t xml:space="preserve">Air Products &amp; Chemicals, Inc., Definitive Proxy Statement (Schedule 14A), at 6 (Dec. 10, 2009) (emphasis added),</w:t>
      </w:r>
      <w:r>
        <w:t xml:space="preserve"> </w:t>
      </w:r>
      <w:r>
        <w:rPr>
          <w:iCs/>
          <w:i/>
        </w:rPr>
        <w:t xml:space="preserve">available at</w:t>
      </w:r>
      <w:r>
        <w:t xml:space="preserve"> </w:t>
      </w:r>
      <w:r>
        <w:t xml:space="preserve">http://www.sec.gov/Archives/edgar/data/2969/ 0001193125092503727ddefl4a.htm.</w:t>
      </w:r>
    </w:p>
  </w:footnote>
  <w:footnote w:id="405">
    <w:p>
      <w:pPr>
        <w:pStyle w:val="CaseFootnoteText"/>
      </w:pPr>
      <w:r>
        <w:rPr>
          <w:rStyle w:val="FootnoteReference"/>
        </w:rPr>
        <w:t xml:space="preserve">22  </w:t>
      </w:r>
      <w:r>
        <w:t xml:space="preserve"/>
      </w:r>
      <w:r>
        <w:t xml:space="preserve"> </w:t>
      </w:r>
      <w:r>
        <w:rPr>
          <w:iCs/>
          <w:i/>
        </w:rPr>
        <w:t xml:space="preserve">See supra</w:t>
      </w:r>
      <w:r>
        <w:t xml:space="preserve"> </w:t>
      </w:r>
      <w:r>
        <w:t xml:space="preserve">notes 14, 19.</w:t>
      </w:r>
    </w:p>
  </w:footnote>
  <w:footnote w:id="406">
    <w:p>
      <w:pPr>
        <w:pStyle w:val="CaseFootnoteText"/>
      </w:pPr>
      <w:r>
        <w:rPr>
          <w:rStyle w:val="FootnoteReference"/>
        </w:rPr>
        <w:t xml:space="preserve">22  </w:t>
      </w:r>
      <w:r>
        <w:t xml:space="preserve">In the interim, the Special Committee met on March 29, 1990 to consider a request to approve the expenditure of an additional ten million dollars on the construction of the Museum. Pri- or to the meeting, the Committee had received documents relating to the construction, including Occidental’s March 7, 1990 construction budget. During the meeting, Morris James was present to advise the Committee. Following a report given by the Occidental officer in charge of the Museum construction concerning the status of the project, the expenditures up to that point, the purpose of the requested additional funds, and the basis for the cost overruns, the Special Committee approved the expenditure of the additional ten million dollars.</w:t>
      </w:r>
    </w:p>
  </w:footnote>
  <w:footnote w:id="407">
    <w:p>
      <w:pPr>
        <w:pStyle w:val="CaseFootnoteText"/>
      </w:pPr>
      <w:r>
        <w:rPr>
          <w:rStyle w:val="FootnoteReference"/>
        </w:rPr>
        <w:t xml:space="preserve">22  </w:t>
      </w:r>
      <w:r>
        <w:t xml:space="preserve">This is a word I do not use when I have to conduct a necessarily imperfect valuation of an asset. The word itself implies a certainty better attributed to an omniscient creator than a flawed human.</w:t>
      </w:r>
    </w:p>
  </w:footnote>
  <w:footnote w:id="409">
    <w:p>
      <w:pPr>
        <w:pStyle w:val="CaseFootnoteText"/>
      </w:pPr>
      <w:r>
        <w:rPr>
          <w:rStyle w:val="FootnoteReference"/>
        </w:rPr>
        <w:t xml:space="preserve">23  </w:t>
      </w:r>
      <w:r>
        <w:t xml:space="preserve"/>
      </w:r>
      <w:r>
        <w:t xml:space="preserve"> </w:t>
      </w:r>
      <w:r>
        <w:rPr>
          <w:iCs/>
          <w:i/>
        </w:rPr>
        <w:t xml:space="preserve">Id.</w:t>
      </w:r>
      <w:r>
        <w:t xml:space="preserve"> </w:t>
      </w:r>
      <w:r>
        <w:t xml:space="preserve">(citing</w:t>
      </w:r>
      <w:r>
        <w:t xml:space="preserve"> </w:t>
      </w:r>
      <w:r>
        <w:rPr>
          <w:iCs/>
          <w:i/>
        </w:rPr>
        <w:t xml:space="preserve">Cont'l Ins. Co. v. Rutledge &amp; Co.,</w:t>
      </w:r>
      <w:r>
        <w:t xml:space="preserve"> </w:t>
      </w:r>
      <w:r>
        <w:t xml:space="preserve">750 A.2d 1219</w:t>
      </w:r>
      <w:r>
        <w:t xml:space="preserve">, 1234 (Del. Ch. 2000)).</w:t>
      </w:r>
    </w:p>
  </w:footnote>
  <w:footnote w:id="410">
    <w:p>
      <w:pPr>
        <w:pStyle w:val="CaseFootnoteText"/>
      </w:pPr>
      <w:r>
        <w:rPr>
          <w:rStyle w:val="FootnoteReference"/>
        </w:rPr>
        <w:t xml:space="preserve">23  </w:t>
      </w:r>
      <w:r>
        <w:t xml:space="preserve">App. to Opening Br. at A2093 (emphasis added).</w:t>
      </w:r>
    </w:p>
  </w:footnote>
  <w:footnote w:id="411">
    <w:p>
      <w:pPr>
        <w:pStyle w:val="CaseFootnoteText"/>
      </w:pPr>
      <w:r>
        <w:rPr>
          <w:rStyle w:val="FootnoteReference"/>
        </w:rPr>
        <w:t xml:space="preserve">23  </w:t>
      </w:r>
      <w:r>
        <w:t xml:space="preserve"/>
      </w:r>
      <w:r>
        <w:t xml:space="preserve">See Brief for Committee for Economic Development as</w:t>
      </w:r>
      <w:r>
        <w:t xml:space="preserve"> </w:t>
      </w:r>
      <w:r>
        <w:rPr>
          <w:iCs/>
          <w:i/>
        </w:rPr>
        <w:t xml:space="preserve">Amicus Curiae;</w:t>
      </w:r>
      <w:r>
        <w:t xml:space="preserve"> </w:t>
      </w:r>
      <w:r>
        <w:t xml:space="preserve">Brief for American Independent Business Alliance as</w:t>
      </w:r>
      <w:r>
        <w:t xml:space="preserve"> </w:t>
      </w:r>
      <w:r>
        <w:rPr>
          <w:iCs/>
          <w:i/>
        </w:rPr>
        <w:t xml:space="preserve">Amicus Curiae.</w:t>
      </w:r>
      <w:r>
        <w:t xml:space="preserve"> </w:t>
      </w:r>
      <w:r>
        <w:t xml:space="preserve">But see Supp. Brief for Chamber of Commerce of the United States of America as</w:t>
      </w:r>
      <w:r>
        <w:t xml:space="preserve"> </w:t>
      </w:r>
      <w:r>
        <w:rPr>
          <w:iCs/>
          <w:i/>
        </w:rPr>
        <w:t xml:space="preserve">Amicus Curiae.</w:t>
      </w:r>
    </w:p>
  </w:footnote>
  <w:footnote w:id="412">
    <w:p>
      <w:pPr>
        <w:pStyle w:val="CaseFootnoteText"/>
      </w:pPr>
      <w:r>
        <w:rPr>
          <w:rStyle w:val="FootnoteReference"/>
        </w:rPr>
        <w:t xml:space="preserve">23  </w:t>
      </w:r>
      <w:r>
        <w:t xml:space="preserve"/>
      </w:r>
      <w:r>
        <w:t xml:space="preserve"> </w:t>
      </w:r>
      <w:r>
        <w:t xml:space="preserve">In holding that the failure to disclose the National and Madison purchases violated Rule 14a-9 as a matter of law, the Court of Appeals not only found it unnecessary to consider whether there was in fact any collusion or manipulation, but also found it unnecessary to consider whether the purchases had any significant effect on the price of National common stock or, more pertinently, the price of the National preferred stock and warrants involved in the proposed transaction. Since we find the existence of a genuine issue of fact with respect to whether there was manipulation sufficient to bar summary judgment, it is unnecessary to consider the remaining aspects of the Court of Appeals’ decision.</w:t>
      </w:r>
    </w:p>
  </w:footnote>
  <w:footnote w:id="413">
    <w:p>
      <w:pPr>
        <w:pStyle w:val="CaseFootnoteText"/>
      </w:pPr>
      <w:r>
        <w:rPr>
          <w:rStyle w:val="FootnoteReference"/>
        </w:rPr>
        <w:t xml:space="preserve">23  </w:t>
      </w:r>
      <w:r>
        <w:t xml:space="preserve"/>
      </w:r>
      <w:r>
        <w:t xml:space="preserve"> </w:t>
      </w:r>
      <w:r>
        <w:rPr>
          <w:iCs/>
          <w:i/>
        </w:rPr>
        <w:t xml:space="preserve">See</w:t>
      </w:r>
      <w:r>
        <w:t xml:space="preserve"> </w:t>
      </w:r>
      <w:r>
        <w:t xml:space="preserve">Shull Dep. at 131-34, 37, 161-63; Reich Dep. at 50-55; Jalkut Dep. at 90-91.</w:t>
      </w:r>
    </w:p>
  </w:footnote>
  <w:footnote w:id="414">
    <w:p>
      <w:pPr>
        <w:pStyle w:val="CaseFootnoteText"/>
      </w:pPr>
      <w:r>
        <w:rPr>
          <w:rStyle w:val="FootnoteReference"/>
        </w:rPr>
        <w:t xml:space="preserve">23  </w:t>
      </w:r>
      <w:r>
        <w:t xml:space="preserve"/>
      </w:r>
      <w:r>
        <w:t xml:space="preserve"> </w:t>
      </w:r>
      <w:r>
        <w:rPr>
          <w:iCs/>
          <w:i/>
        </w:rPr>
        <w:t xml:space="preserve">Paramount Communications, Inc. v. Time, Inc.,</w:t>
      </w:r>
      <w:r>
        <w:t xml:space="preserve"> </w:t>
      </w:r>
      <w:r>
        <w:t xml:space="preserve">571 A.2d 1140</w:t>
      </w:r>
      <w:r>
        <w:t xml:space="preserve">, 1151 (Del.1989).</w:t>
      </w:r>
    </w:p>
  </w:footnote>
  <w:footnote w:id="415">
    <w:p>
      <w:pPr>
        <w:pStyle w:val="CaseFootnoteText"/>
      </w:pPr>
      <w:r>
        <w:rPr>
          <w:rStyle w:val="FootnoteReference"/>
        </w:rPr>
        <w:t xml:space="preserve">23  </w:t>
      </w:r>
      <w:r>
        <w:t xml:space="preserve">App. to Opening Br. at 1655 (Comstock Deposition at 67-68).</w:t>
      </w:r>
    </w:p>
  </w:footnote>
  <w:footnote w:id="416">
    <w:p>
      <w:pPr>
        <w:pStyle w:val="CaseFootnoteText"/>
      </w:pPr>
      <w:r>
        <w:rPr>
          <w:rStyle w:val="FootnoteReference"/>
        </w:rPr>
        <w:t xml:space="preserve">23  </w:t>
      </w:r>
      <w:r>
        <w:t xml:space="preserve">ABA,</w:t>
      </w:r>
      <w:r>
        <w:t xml:space="preserve"> </w:t>
      </w:r>
      <w:r>
        <w:rPr>
          <w:iCs/>
          <w:i/>
        </w:rPr>
        <w:t xml:space="preserve">Public Company Organizational Documents: Model Forms and Commentary,</w:t>
      </w:r>
      <w:r>
        <w:t xml:space="preserve"> </w:t>
      </w:r>
      <w:r>
        <w:t xml:space="preserve">67 (2009) (emphasis added).</w:t>
      </w:r>
    </w:p>
  </w:footnote>
  <w:footnote w:id="417">
    <w:p>
      <w:pPr>
        <w:pStyle w:val="CaseFootnoteText"/>
      </w:pPr>
      <w:r>
        <w:rPr>
          <w:rStyle w:val="FootnoteReference"/>
        </w:rPr>
        <w:t xml:space="preserve">23  </w:t>
      </w:r>
      <w:r>
        <w:t xml:space="preserve">The Court notes that it is unclear why plaintiff focuses on the value of Bancorp shares as of August 28, 1992, rather than the date on which Bancorp issued the proxy statement, February 1, 1993. The Court’s analysis</w:t>
      </w:r>
      <w:r>
        <w:t xml:space="preserve"> </w:t>
      </w:r>
      <w:r>
        <w:rPr>
          <w:iCs/>
          <w:i/>
        </w:rPr>
        <w:t xml:space="preserve">infra</w:t>
      </w:r>
      <w:r>
        <w:t xml:space="preserve"> </w:t>
      </w:r>
      <w:r>
        <w:t xml:space="preserve">is not dependent on which date is more appropriate, however.</w:t>
      </w:r>
    </w:p>
  </w:footnote>
  <w:footnote w:id="418">
    <w:p>
      <w:pPr>
        <w:pStyle w:val="CaseFootnoteText"/>
      </w:pPr>
      <w:r>
        <w:rPr>
          <w:rStyle w:val="FootnoteReference"/>
        </w:rPr>
        <w:t xml:space="preserve">23  </w:t>
      </w:r>
      <w:r>
        <w:t xml:space="preserve">The Court of Chancery noted:</w:t>
      </w:r>
    </w:p>
    <w:p>
      <w:pPr>
        <w:pStyle w:val="BlockText"/>
      </w:pPr>
      <w:r>
        <w:t xml:space="preserve">Despite this Court’s expressed displeasure with the settlement efforts, as set forth in its July 19, 1989 opinion in</w:t>
      </w:r>
      <w:r>
        <w:t xml:space="preserve"/>
      </w:r>
      <w:r>
        <w:rPr>
          <w:iCs/>
          <w:i/>
        </w:rPr>
        <w:t xml:space="preserve">Kahn,</w:t>
      </w:r>
      <w:r>
        <w:t xml:space="preserve"> </w:t>
      </w:r>
      <w:r>
        <w:t xml:space="preserve">the settlement now before the Court is only slightly changed from the June 3, 1989 Memorandum of Understanding.</w:t>
      </w:r>
    </w:p>
    <w:p>
      <w:pPr>
        <w:pStyle w:val="BlockText"/>
      </w:pPr>
      <w:r>
        <w:drawing>
          <wp:inline>
            <wp:extent cx="4867275" cy="314325"/>
            <wp:effectExtent b="0" l="0" r="0" t="0"/>
            <wp:docPr descr="" title="" id="1" name="Picture"/>
            <a:graphic>
              <a:graphicData uri="http://schemas.openxmlformats.org/drawingml/2006/picture">
                <pic:pic>
                  <pic:nvPicPr>
                    <pic:cNvPr descr="data:image/png;base64,iVBORw0KGgoAAAANSUhEUgAAAf8AAAAiAQAAAAB5Xe1WAAAAgUlEQVR4nGP8z0AR+M9EmX4GhlEDRg0YNWDUgFEDyDXgbwMy7wvcgP8NmGph4AIy5w+K1Du4Af8OIIt/QlG1A4WHovAB3IA/D5DF36NoqcHtuP9wA4gGLCg8RrgBLAq49bQgc1CtU4ILMTlgGAwHHChSB5B5MgwMDAyMo5Ur5QYAACZmFjB9yHjaAAAAAElFTkSuQmCC" id="0" name="Picture"/>
                    <pic:cNvPicPr>
                      <a:picLocks noChangeArrowheads="1" noChangeAspect="1"/>
                    </pic:cNvPicPr>
                  </pic:nvPicPr>
                  <pic:blipFill>
                    <a:blip r:embed="rId335"/>
                    <a:stretch>
                      <a:fillRect/>
                    </a:stretch>
                  </pic:blipFill>
                  <pic:spPr bwMode="auto">
                    <a:xfrm>
                      <a:off x="0" y="0"/>
                      <a:ext cx="4867275" cy="314325"/>
                    </a:xfrm>
                    <a:prstGeom prst="rect">
                      <a:avLst/>
                    </a:prstGeom>
                    <a:noFill/>
                    <a:ln w="9525">
                      <a:noFill/>
                      <a:headEnd/>
                      <a:tailEnd/>
                    </a:ln>
                  </pic:spPr>
                </pic:pic>
              </a:graphicData>
            </a:graphic>
          </wp:inline>
        </w:drawing>
      </w:r>
    </w:p>
    <w:p>
      <w:pPr>
        <w:pStyle w:val="BlockText"/>
      </w:pPr>
      <w:r>
        <w:t xml:space="preserve">[Therefore] ... the settlement in the Court’s opinion leaves much to be desired.</w:t>
      </w:r>
    </w:p>
    <w:p>
      <w:pPr>
        <w:pStyle w:val="BlockText"/>
      </w:pPr>
      <w:r>
        <w:t xml:space="preserve">The Court’s role in reviewing the proposed Settlement, however, is quite restricted. If the Court was a stockholder of Occidental it might vote for new directors, if it was on the Board it might vote for new management and if it was a member of the Special Committee it might vote against the Museum project. But its options are limited in reviewing a proposed settlement to applying Delaware law to the facts adduced in the record and then determining in its business judgment whether, on balance, the settlement is reasonable.</w:t>
      </w:r>
    </w:p>
  </w:footnote>
  <w:footnote w:id="419">
    <w:p>
      <w:pPr>
        <w:pStyle w:val="CaseFootnoteText"/>
      </w:pPr>
      <w:r>
        <w:rPr>
          <w:rStyle w:val="FootnoteReference"/>
        </w:rPr>
        <w:t xml:space="preserve">23  </w:t>
      </w:r>
      <w:r>
        <w:t xml:space="preserve"/>
      </w:r>
      <w:r>
        <w:rPr>
          <w:iCs/>
          <w:i/>
        </w:rPr>
        <w:t xml:space="preserve">.See</w:t>
      </w:r>
      <w:r>
        <w:t xml:space="preserve"> </w:t>
      </w:r>
      <w:r>
        <w:t xml:space="preserve">Tr. at 42 (Palomino) (“Q. ... [A]s of ... June 11, 2004, what was the special committee’s view of the transaction that had been proposed by Grupo Mexico? A. That the figures that they were asking were too high ...”); Tr. at 156-57 (Handelsman) ("Q. What did you learn from these preliminary analyses that Goldman Sachs performed? A. That their results showed that the value of Minera [ ] was substantially less than the asked price of Grupo Mexico by a substantial margin ...”).</w:t>
      </w:r>
    </w:p>
  </w:footnote>
  <w:footnote w:id="421">
    <w:p>
      <w:pPr>
        <w:pStyle w:val="CaseFootnoteText"/>
      </w:pPr>
      <w:r>
        <w:rPr>
          <w:rStyle w:val="FootnoteReference"/>
        </w:rPr>
        <w:t xml:space="preserve">24  </w:t>
      </w:r>
      <w:r>
        <w:t xml:space="preserve"/>
      </w:r>
      <w:r>
        <w:t xml:space="preserve"> </w:t>
      </w:r>
      <w:r>
        <w:rPr>
          <w:iCs/>
          <w:i/>
        </w:rPr>
        <w:t xml:space="preserve">Dutchman,</w:t>
      </w:r>
      <w:r>
        <w:t xml:space="preserve"> </w:t>
      </w:r>
      <w:r>
        <w:t xml:space="preserve">2016 WL 1223348</w:t>
      </w:r>
      <w:r>
        <w:t xml:space="preserve">, at *9.</w:t>
      </w:r>
    </w:p>
  </w:footnote>
  <w:footnote w:id="422">
    <w:p>
      <w:pPr>
        <w:pStyle w:val="CaseFootnoteText"/>
      </w:pPr>
      <w:r>
        <w:rPr>
          <w:rStyle w:val="FootnoteReference"/>
        </w:rPr>
        <w:t xml:space="preserve">24  </w:t>
      </w:r>
      <w:r>
        <w:rPr>
          <w:iCs/>
          <w:i/>
        </w:rPr>
        <w:t xml:space="preserve">Id.</w:t>
      </w:r>
      <w:r>
        <w:t xml:space="preserve"/>
      </w:r>
      <w:r>
        <w:t xml:space="preserve">at A2080 (emphasis added). Pursuant to Article IV, Section 1 of the LLC Agreement, Member interests in the Company are represented by "Units," which is also a defined term.</w:t>
      </w:r>
    </w:p>
  </w:footnote>
  <w:footnote w:id="423">
    <w:p>
      <w:pPr>
        <w:pStyle w:val="CaseFootnoteText"/>
      </w:pPr>
      <w:r>
        <w:rPr>
          <w:rStyle w:val="FootnoteReference"/>
        </w:rPr>
        <w:t xml:space="preserve">24  </w:t>
      </w:r>
      <w:r>
        <w:t xml:space="preserve"/>
      </w:r>
      <w:r>
        <w:t xml:space="preserve">See Brief for American Federation of Labor and Congress of Industrial Organizations as</w:t>
      </w:r>
      <w:r>
        <w:t xml:space="preserve"> </w:t>
      </w:r>
      <w:r>
        <w:rPr>
          <w:iCs/>
          <w:i/>
        </w:rPr>
        <w:t xml:space="preserve">Amicus Curiae</w:t>
      </w:r>
      <w:r>
        <w:t xml:space="preserve"> </w:t>
      </w:r>
      <w:r>
        <w:t xml:space="preserve">3, 9.</w:t>
      </w:r>
    </w:p>
  </w:footnote>
  <w:footnote w:id="424">
    <w:p>
      <w:pPr>
        <w:pStyle w:val="CaseFootnoteText"/>
      </w:pPr>
      <w:r>
        <w:rPr>
          <w:rStyle w:val="FootnoteReference"/>
        </w:rPr>
        <w:t xml:space="preserve">24  </w:t>
      </w:r>
      <w:r>
        <w:t xml:space="preserve"/>
      </w:r>
      <w:r>
        <w:t xml:space="preserve">Of course, such a showing may be by circumstantial as well as direct evidence, and the purchases themselves may be considered.</w:t>
      </w:r>
    </w:p>
    <w:p>
      <w:pPr>
        <w:pStyle w:val="NodeEnd"/>
      </w:pPr>
      <w:r>
        <w:t xml:space="preserve"> </w:t>
      </w:r>
    </w:p>
    <w:p>
      <w:pPr>
        <w:pStyle w:val="NodeStart"/>
      </w:pPr>
      <w:r>
        <w:t xml:space="preserve"> </w:t>
      </w:r>
    </w:p>
    <w:p>
      <w:pPr>
        <w:pStyle w:val="HeadSeparator"/>
      </w:pPr>
      <w:r>
        <w:t xml:space="preserve"> </w:t>
      </w:r>
    </w:p>
  </w:footnote>
  <w:footnote w:id="425">
    <w:p>
      <w:pPr>
        <w:pStyle w:val="CaseFootnoteText"/>
      </w:pPr>
      <w:r>
        <w:rPr>
          <w:rStyle w:val="FootnoteReference"/>
        </w:rPr>
        <w:t xml:space="preserve">24  </w:t>
      </w:r>
      <w:r>
        <w:t xml:space="preserve"/>
      </w:r>
      <w:r>
        <w:t xml:space="preserve"> </w:t>
      </w:r>
      <w:r>
        <w:rPr>
          <w:iCs/>
          <w:i/>
        </w:rPr>
        <w:t xml:space="preserve">See</w:t>
      </w:r>
      <w:r>
        <w:t xml:space="preserve"> </w:t>
      </w:r>
      <w:r>
        <w:t xml:space="preserve">Shull Dep. at 163-64.</w:t>
      </w:r>
    </w:p>
  </w:footnote>
  <w:footnote w:id="426">
    <w:p>
      <w:pPr>
        <w:pStyle w:val="CaseFootnoteText"/>
      </w:pPr>
      <w:r>
        <w:rPr>
          <w:rStyle w:val="FootnoteReference"/>
        </w:rPr>
        <w:t xml:space="preserve">24  </w:t>
      </w:r>
      <w:r>
        <w:t xml:space="preserve"/>
      </w:r>
      <w:r>
        <w:t xml:space="preserve"> </w:t>
      </w:r>
      <w:r>
        <w:rPr>
          <w:iCs/>
          <w:i/>
        </w:rPr>
        <w:t xml:space="preserve">In re Santa Fe Pac. Corp. S'holder Litig.,</w:t>
      </w:r>
      <w:r>
        <w:t xml:space="preserve"> </w:t>
      </w:r>
      <w:r>
        <w:t xml:space="preserve">669 A.2d 59</w:t>
      </w:r>
      <w:r>
        <w:t xml:space="preserve">, 71 (1995).</w:t>
      </w:r>
    </w:p>
  </w:footnote>
  <w:footnote w:id="427">
    <w:p>
      <w:pPr>
        <w:pStyle w:val="CaseFootnoteText"/>
      </w:pPr>
      <w:r>
        <w:rPr>
          <w:rStyle w:val="FootnoteReference"/>
        </w:rPr>
        <w:t xml:space="preserve">24  </w:t>
      </w:r>
      <w:r>
        <w:t xml:space="preserve">Serge Tismen, who worked with Trauber on the team at Citi that advised C&amp;J, testified during his deposition that Citi understood itself as working solely for C&amp;J from the initial discussions between Comstock and Pe-trello in January. App. to Opening Br. at 658 (Tismen Deposition at 31). C &amp; J’s board did not formally discuss the terms of the engagement letter with Citi until a board meeting on April 8.</w:t>
      </w:r>
      <w:r>
        <w:t xml:space="preserve"> </w:t>
      </w:r>
      <w:r>
        <w:rPr>
          <w:iCs/>
          <w:i/>
        </w:rPr>
        <w:t xml:space="preserve">See</w:t>
      </w:r>
      <w:r>
        <w:t xml:space="preserve"> </w:t>
      </w:r>
      <w:r>
        <w:t xml:space="preserve">App. to Opening Br. at 1619 (April 8 Meeting Minutes).</w:t>
      </w:r>
    </w:p>
  </w:footnote>
  <w:footnote w:id="428">
    <w:p>
      <w:pPr>
        <w:pStyle w:val="CaseFootnoteText"/>
      </w:pPr>
      <w:r>
        <w:rPr>
          <w:rStyle w:val="FootnoteReference"/>
        </w:rPr>
        <w:t xml:space="preserve">24  </w:t>
      </w:r>
      <w:r>
        <w:t xml:space="preserve"/>
      </w:r>
      <w:r>
        <w:t xml:space="preserve"> </w:t>
      </w:r>
      <w:r>
        <w:rPr>
          <w:iCs/>
          <w:i/>
        </w:rPr>
        <w:t xml:space="preserve">Id.</w:t>
      </w:r>
      <w:r>
        <w:t xml:space="preserve"> </w:t>
      </w:r>
      <w:r>
        <w:t xml:space="preserve">(emphasis added).</w:t>
      </w:r>
    </w:p>
  </w:footnote>
  <w:footnote w:id="429">
    <w:p>
      <w:pPr>
        <w:pStyle w:val="CaseFootnoteText"/>
      </w:pPr>
      <w:r>
        <w:rPr>
          <w:rStyle w:val="FootnoteReference"/>
        </w:rPr>
        <w:t xml:space="preserve">24  </w:t>
      </w:r>
      <w:r>
        <w:t xml:space="preserve">Plaintiff claims that the Court of Chancery erred in factoring in Chase's concern because a director’s subjective concerns are not cognizable under the objective materiality test.</w:t>
      </w:r>
      <w:r>
        <w:t xml:space="preserve"> </w:t>
      </w:r>
      <w:r>
        <w:rPr>
          <w:iCs/>
          <w:i/>
        </w:rPr>
        <w:t xml:space="preserve">See Zirn v. VLI Corp.,</w:t>
      </w:r>
      <w:r>
        <w:t xml:space="preserve"> </w:t>
      </w:r>
      <w:r>
        <w:t xml:space="preserve">Del.Supr.,</w:t>
      </w:r>
      <w:r>
        <w:t xml:space="preserve"> </w:t>
      </w:r>
      <w:r>
        <w:t xml:space="preserve">621 A.2d 773</w:t>
      </w:r>
      <w:r>
        <w:t xml:space="preserve">, 779 (1993). Even disregarding Chase’s concerns as to the unreliability of the $19.26 figure, the Executive Summary and defendants’ other submissions consistently attest that the value was a mere estimate predicated on many uncertainties. Furthermore, the Court of Chancery does not appear to have relied on Chase's subjective opinion to conclude that the figure was immaterial. Rather, the trial court used Chase's skepticism as one basis among many for its finding that the $19.26 per share figure was unreliable. In any event, this Court’s conclusion is not dependent on Chase's opinion.</w:t>
      </w:r>
    </w:p>
  </w:footnote>
  <w:footnote w:id="430">
    <w:p>
      <w:pPr>
        <w:pStyle w:val="CaseFootnoteText"/>
      </w:pPr>
      <w:r>
        <w:rPr>
          <w:rStyle w:val="FootnoteReference"/>
        </w:rPr>
        <w:t xml:space="preserve">24  </w:t>
      </w:r>
      <w:r>
        <w:t xml:space="preserve">In support of its position, the Objectors noted: Senator Gore had been an Occidental employee, including Executive Vice President of Occidental, for many years; Louis Nizer is a member of a law firm which derives a substantial percentage of its annual income from Occidental; Arthur Krim was a partner and is now of counsel to that same law firm; and George O. Nolley was the founder of the Permian Corporation which was purchased by Occidental.</w:t>
      </w:r>
    </w:p>
  </w:footnote>
  <w:footnote w:id="431">
    <w:p>
      <w:pPr>
        <w:pStyle w:val="CaseFootnoteText"/>
      </w:pPr>
      <w:r>
        <w:rPr>
          <w:rStyle w:val="FootnoteReference"/>
        </w:rPr>
        <w:t xml:space="preserve">24  </w:t>
      </w:r>
      <w:r>
        <w:t xml:space="preserve">JX-103 (Goldman presentation to the Special Committee (July 8, 2004)) at SP COMM 006896-SP COMM 006898.</w:t>
      </w:r>
    </w:p>
  </w:footnote>
  <w:footnote w:id="433">
    <w:p>
      <w:pPr>
        <w:pStyle w:val="CaseFootnoteText"/>
      </w:pPr>
      <w:r>
        <w:rPr>
          <w:rStyle w:val="FootnoteReference"/>
        </w:rPr>
        <w:t xml:space="preserve">25  </w:t>
      </w:r>
      <w:r>
        <w:t xml:space="preserve"/>
      </w:r>
      <w:r>
        <w:t xml:space="preserve"> </w:t>
      </w:r>
      <w:r>
        <w:rPr>
          <w:iCs/>
          <w:i/>
        </w:rPr>
        <w:t xml:space="preserve">Danby v. Osteopathic Hospital Ass'n of Del.,</w:t>
      </w:r>
      <w:r>
        <w:t xml:space="preserve"> </w:t>
      </w:r>
      <w:r>
        <w:t xml:space="preserve">101 A.2d 308</w:t>
      </w:r>
      <w:r>
        <w:t xml:space="preserve">, 313-14 (Del. Ch. 1953),</w:t>
      </w:r>
      <w:r>
        <w:t xml:space="preserve"> </w:t>
      </w:r>
      <w:r>
        <w:rPr>
          <w:iCs/>
          <w:i/>
        </w:rPr>
        <w:t xml:space="preserve">aff'd,</w:t>
      </w:r>
      <w:r>
        <w:t xml:space="preserve"> </w:t>
      </w:r>
      <w:r>
        <w:t xml:space="preserve">104 A.2d 903</w:t>
      </w:r>
      <w:r>
        <w:t xml:space="preserve"> </w:t>
      </w:r>
      <w:r>
        <w:t xml:space="preserve">(Del. 1954).</w:t>
      </w:r>
    </w:p>
  </w:footnote>
  <w:footnote w:id="434">
    <w:p>
      <w:pPr>
        <w:pStyle w:val="CaseFootnoteText"/>
      </w:pPr>
      <w:r>
        <w:rPr>
          <w:rStyle w:val="FootnoteReference"/>
        </w:rPr>
        <w:t xml:space="preserve">25  </w:t>
      </w:r>
      <w:r>
        <w:rPr>
          <w:iCs/>
          <w:i/>
        </w:rPr>
        <w:t xml:space="preserve">Id.</w:t>
      </w:r>
      <w:r>
        <w:t xml:space="preserve"/>
      </w:r>
      <w:r>
        <w:t xml:space="preserve">at A2110.</w:t>
      </w:r>
    </w:p>
  </w:footnote>
  <w:footnote w:id="435">
    <w:p>
      <w:pPr>
        <w:pStyle w:val="CaseFootnoteText"/>
      </w:pPr>
      <w:r>
        <w:rPr>
          <w:rStyle w:val="FootnoteReference"/>
        </w:rPr>
        <w:t xml:space="preserve">25  </w:t>
      </w:r>
      <w:r>
        <w:t xml:space="preserve"/>
      </w:r>
      <w:r>
        <w:t xml:space="preserve">See Brief for Independent Sector as</w:t>
      </w:r>
      <w:r>
        <w:t xml:space="preserve"> </w:t>
      </w:r>
      <w:r>
        <w:rPr>
          <w:iCs/>
          <w:i/>
        </w:rPr>
        <w:t xml:space="preserve">Amicus Curiae</w:t>
      </w:r>
      <w:r>
        <w:t xml:space="preserve"> </w:t>
      </w:r>
      <w:r>
        <w:t xml:space="preserve">16-20.</w:t>
      </w:r>
    </w:p>
  </w:footnote>
  <w:footnote w:id="436">
    <w:p>
      <w:pPr>
        <w:pStyle w:val="CaseFootnoteText"/>
      </w:pPr>
      <w:r>
        <w:rPr>
          <w:rStyle w:val="FootnoteReference"/>
        </w:rPr>
        <w:t xml:space="preserve">25  </w:t>
      </w:r>
      <w:r>
        <w:t xml:space="preserve"/>
      </w:r>
      <w:r>
        <w:t xml:space="preserve"> </w:t>
      </w:r>
      <w:r>
        <w:rPr>
          <w:iCs/>
          <w:i/>
        </w:rPr>
        <w:t xml:space="preserve">See id.</w:t>
      </w:r>
      <w:r>
        <w:t xml:space="preserve"> </w:t>
      </w:r>
      <w:r>
        <w:t xml:space="preserve">at 131-34, 37, 161-63; Reich Dep. at 50-55; Jalkut Dep. at 90-91.</w:t>
      </w:r>
    </w:p>
  </w:footnote>
  <w:footnote w:id="437">
    <w:p>
      <w:pPr>
        <w:pStyle w:val="CaseFootnoteText"/>
      </w:pPr>
      <w:r>
        <w:rPr>
          <w:rStyle w:val="FootnoteReference"/>
        </w:rPr>
        <w:t xml:space="preserve">25  </w:t>
      </w:r>
      <w:r>
        <w:t xml:space="preserve"/>
      </w:r>
      <w:r>
        <w:t xml:space="preserve"> </w:t>
      </w:r>
      <w:r>
        <w:rPr>
          <w:iCs/>
          <w:i/>
        </w:rPr>
        <w:t xml:space="preserve">Lyondell II</w:t>
      </w:r>
      <w:r>
        <w:t xml:space="preserve"> </w:t>
      </w:r>
      <w:r>
        <w:t xml:space="preserve">at *4.</w:t>
      </w:r>
    </w:p>
  </w:footnote>
  <w:footnote w:id="438">
    <w:p>
      <w:pPr>
        <w:pStyle w:val="CaseFootnoteText"/>
      </w:pPr>
      <w:r>
        <w:rPr>
          <w:rStyle w:val="FootnoteReference"/>
        </w:rPr>
        <w:t xml:space="preserve">25  </w:t>
      </w:r>
      <w:r>
        <w:t xml:space="preserve">App. to Opening Br. at 2352 (email chain from Comstock to Petrello, dated Jan. 16, 2014).</w:t>
      </w:r>
    </w:p>
  </w:footnote>
  <w:footnote w:id="439">
    <w:p>
      <w:pPr>
        <w:pStyle w:val="CaseFootnoteText"/>
      </w:pPr>
      <w:r>
        <w:rPr>
          <w:rStyle w:val="FootnoteReference"/>
        </w:rPr>
        <w:t xml:space="preserve">25  </w:t>
      </w:r>
      <w:r>
        <w:t xml:space="preserve"/>
      </w:r>
      <w:r>
        <w:t xml:space="preserve"> </w:t>
      </w:r>
      <w:r>
        <w:rPr>
          <w:iCs/>
          <w:i/>
        </w:rPr>
        <w:t xml:space="preserve">See Insituform of N.Am., Inc. v. Chandler,</w:t>
      </w:r>
      <w:r>
        <w:t xml:space="preserve"> </w:t>
      </w:r>
      <w:r>
        <w:t xml:space="preserve">534 A.2d 257</w:t>
      </w:r>
      <w:r>
        <w:t xml:space="preserve">, 264-65 (Del.Ch.1987) (citing 21 Del. L. Ch. 273 § 20 (1899)). The 1899 statute provided as follows: "The directors of any corporation organized as aforesaid may, by a vote of the stockholders, be divided into one, two or three classes, the term of office of those of the first class to expire at the annual meeting next ensuing, of the second class one year thereafter, of the third class three years [sic] thereafter; and at each annual election held after such classification directors shall be chosen for a full term, as the case may be, to succeed those whose terms expire.”</w:t>
      </w:r>
    </w:p>
  </w:footnote>
  <w:footnote w:id="440">
    <w:p>
      <w:pPr>
        <w:pStyle w:val="CaseFootnoteText"/>
      </w:pPr>
      <w:r>
        <w:rPr>
          <w:rStyle w:val="FootnoteReference"/>
        </w:rPr>
        <w:t xml:space="preserve">25  </w:t>
      </w:r>
      <w:r>
        <w:t xml:space="preserve">Plaintiff's argument begins with the phrase: "Even assuming, as the directors claim, Society had some undeterminable negative value...." Professor Puglisi, in a supplementary affidavit submitted on plaintiff's behalf, stated: "While I agree that a</w:t>
      </w:r>
      <w:r>
        <w:t xml:space="preserve"> </w:t>
      </w:r>
      <w:r>
        <w:rPr>
          <w:iCs/>
          <w:i/>
        </w:rPr>
        <w:t xml:space="preserve">precise</w:t>
      </w:r>
      <w:r>
        <w:t xml:space="preserve"> </w:t>
      </w:r>
      <w:r>
        <w:t xml:space="preserve">fair value cannot be assigned to Bancorp's components from reference to its Form 10-K, I am of the strong view that a reasonable estimate of such value can be derived therefrom." This statement was made in the context of his discussion of the fairness of the Merger’s exchange ratio. The Court finds that this is not sufficient to create a genuine issue of material fact regarding whether the $3.32 figure attributed to the stub reflected an attainable value.</w:t>
      </w:r>
      <w:r>
        <w:t xml:space="preserve"> </w:t>
      </w:r>
      <w:r>
        <w:rPr>
          <w:iCs/>
          <w:i/>
        </w:rPr>
        <w:t xml:space="preserve">See</w:t>
      </w:r>
      <w:r>
        <w:t xml:space="preserve"> </w:t>
      </w:r>
      <w:r>
        <w:t xml:space="preserve">Ch.Civ.R. 56(e).</w:t>
      </w:r>
    </w:p>
  </w:footnote>
  <w:footnote w:id="441">
    <w:p>
      <w:pPr>
        <w:pStyle w:val="CaseFootnoteText"/>
      </w:pPr>
      <w:r>
        <w:rPr>
          <w:rStyle w:val="FootnoteReference"/>
        </w:rPr>
        <w:t xml:space="preserve">25  </w:t>
      </w:r>
      <w:r>
        <w:t xml:space="preserve">The parties have spent a great deal of time arguing about whether</w:t>
      </w:r>
      <w:r>
        <w:t xml:space="preserve"> </w:t>
      </w:r>
      <w:r>
        <w:rPr>
          <w:iCs/>
          <w:i/>
        </w:rPr>
        <w:t xml:space="preserve">Revlon</w:t>
      </w:r>
      <w:r>
        <w:t xml:space="preserve"> </w:t>
      </w:r>
      <w:r>
        <w:t xml:space="preserve">duties apply. I find that, assuming that</w:t>
      </w:r>
      <w:r>
        <w:t xml:space="preserve"> </w:t>
      </w:r>
      <w:r>
        <w:rPr>
          <w:iCs/>
          <w:i/>
        </w:rPr>
        <w:t xml:space="preserve">Revlon</w:t>
      </w:r>
      <w:r>
        <w:t xml:space="preserve"> </w:t>
      </w:r>
      <w:r>
        <w:t xml:space="preserve">is implicated, the Complaint must still be dismissed. I nevertheless note that although there is no case directly on point, I cannot understand how the Director Defendants were</w:t>
      </w:r>
      <w:r>
        <w:t xml:space="preserve"> </w:t>
      </w:r>
      <w:r>
        <w:rPr>
          <w:iCs/>
          <w:i/>
        </w:rPr>
        <w:t xml:space="preserve">not</w:t>
      </w:r>
      <w:r>
        <w:t xml:space="preserve"> </w:t>
      </w:r>
      <w:r>
        <w:t xml:space="preserve">obliged, in the circumstances, to seek out the best price reasonably available. The defendants argue that because over 30% of the merger consideration was shares of Bethlehem common stock, a widely held company without any controlling shareholder,</w:t>
      </w:r>
      <w:r>
        <w:t xml:space="preserve"> </w:t>
      </w:r>
      <w:r>
        <w:rPr>
          <w:iCs/>
          <w:i/>
        </w:rPr>
        <w:t xml:space="preserve">Revlon</w:t>
      </w:r>
      <w:r>
        <w:t xml:space="preserve"> </w:t>
      </w:r>
      <w:r>
        <w:t xml:space="preserve">and</w:t>
      </w:r>
      <w:r>
        <w:t xml:space="preserve"> </w:t>
      </w:r>
      <w:r>
        <w:rPr>
          <w:iCs/>
          <w:i/>
        </w:rPr>
        <w:t xml:space="preserve">QVC</w:t>
      </w:r>
      <w:r>
        <w:t xml:space="preserve"> </w:t>
      </w:r>
      <w:r>
        <w:t xml:space="preserve">do not apply. I disagree. Whether 62% or 100% of the consideration was to be in cash, the directors were obliged to take reasonable steps to ensure that the shareholders received the best price available because, in any event, for a substantial majority of the then-current shareholders, "there is no long run.”</w:t>
      </w:r>
      <w:r>
        <w:t xml:space="preserve"> </w:t>
      </w:r>
      <w:r>
        <w:rPr>
          <w:iCs/>
          <w:i/>
        </w:rPr>
        <w:t xml:space="preserve">TW Servs., Inc. v.</w:t>
      </w:r>
      <w:r>
        <w:t xml:space="preserve"> </w:t>
      </w:r>
      <w:r>
        <w:t xml:space="preserve">SWT</w:t>
      </w:r>
      <w:r>
        <w:t xml:space="preserve"> </w:t>
      </w:r>
      <w:r>
        <w:rPr>
          <w:iCs/>
          <w:i/>
        </w:rPr>
        <w:t xml:space="preserve">Acquisition Corp.,</w:t>
      </w:r>
      <w:r>
        <w:t xml:space="preserve"> </w:t>
      </w:r>
      <w:r>
        <w:t xml:space="preserve">Del. Ch., C.A. Nos. 10427, 10298, mem. op. at 20,</w:t>
      </w:r>
      <w:r>
        <w:t xml:space="preserve"> </w:t>
      </w:r>
      <w:r>
        <w:t xml:space="preserve">1989 WL 20290</w:t>
      </w:r>
      <w:r>
        <w:t xml:space="preserve">, Allen, C. (Mar. 2, 1989). I do not agree with the defendants that</w:t>
      </w:r>
      <w:r>
        <w:t xml:space="preserve"> </w:t>
      </w:r>
      <w:r>
        <w:rPr>
          <w:iCs/>
          <w:i/>
        </w:rPr>
        <w:t xml:space="preserve">Santa Fe,</w:t>
      </w:r>
      <w:r>
        <w:t xml:space="preserve"> </w:t>
      </w:r>
      <w:r>
        <w:t xml:space="preserve">in which shareholders tendered 33% of their shares for cash and exchanged the remainder for common stock, controls a situation in which over 60% of the consideration is cash. The Supreme Court has not set out a black line rule explaining what percentage of the consideration can be cash without triggering</w:t>
      </w:r>
      <w:r>
        <w:t xml:space="preserve"> </w:t>
      </w:r>
      <w:r>
        <w:rPr>
          <w:iCs/>
          <w:i/>
        </w:rPr>
        <w:t xml:space="preserve">Revlon.</w:t>
      </w:r>
      <w:r>
        <w:t xml:space="preserve"> </w:t>
      </w:r>
      <w:r>
        <w:t xml:space="preserve">I take for granted, however, that a cash offer for 95% of a company’s shares, for example, even if the other 5% will be exchanged for the shares of a widely held corporation, will constitute a change of corporate control. Until instructed otherwise, I believe that purchasing more than 60% achieves the same result.</w:t>
      </w:r>
    </w:p>
  </w:footnote>
  <w:footnote w:id="442">
    <w:p>
      <w:pPr>
        <w:pStyle w:val="CaseFootnoteText"/>
      </w:pPr>
      <w:r>
        <w:rPr>
          <w:rStyle w:val="FootnoteReference"/>
        </w:rPr>
        <w:t xml:space="preserve">25  </w:t>
      </w:r>
      <w:r>
        <w:t xml:space="preserve">The Objectors submit that,</w:t>
      </w:r>
      <w:r>
        <w:t xml:space="preserve"> </w:t>
      </w:r>
      <w:r>
        <w:rPr>
          <w:iCs/>
          <w:i/>
        </w:rPr>
        <w:t xml:space="preserve">inter alia,</w:t>
      </w:r>
      <w:r>
        <w:t xml:space="preserve"> </w:t>
      </w:r>
      <w:r>
        <w:t xml:space="preserve">the Special Committee was apparently uninformed as to potential tax consequences of the charitable donation, the value of the Art Collection, how much of the Art Collection had been purchased with donations from Occidental, and what the cost for the Museum’s rent-free use of the property would be to Occidental.</w:t>
      </w:r>
    </w:p>
  </w:footnote>
  <w:footnote w:id="443">
    <w:p>
      <w:pPr>
        <w:pStyle w:val="CaseFootnoteText"/>
      </w:pPr>
      <w:r>
        <w:rPr>
          <w:rStyle w:val="FootnoteReference"/>
        </w:rPr>
        <w:t xml:space="preserve">25  </w:t>
      </w:r>
      <w:r>
        <w:t xml:space="preserve">JX-18 (list of historical stock prices of Southern Peru) at 9 ($40.30 x 28,900,000 = $1,164,670,000; $40.30 x 71,300,000 = $2,873,390,000).</w:t>
      </w:r>
    </w:p>
  </w:footnote>
  <w:footnote w:id="444">
    <w:p>
      <w:pPr>
        <w:pStyle w:val="CaseFootnoteText"/>
      </w:pPr>
      <w:r>
        <w:rPr>
          <w:rStyle w:val="FootnoteReference"/>
        </w:rPr>
        <w:t xml:space="preserve">26  </w:t>
      </w:r>
      <w:r>
        <w:t xml:space="preserve"/>
      </w:r>
      <w:r>
        <w:t xml:space="preserve"> </w:t>
      </w:r>
      <w:r>
        <w:rPr>
          <w:iCs/>
          <w:i/>
        </w:rPr>
        <w:t xml:space="preserve">In re El Paso Pipeline Partners, L.P. Deriv. Litig.,</w:t>
      </w:r>
      <w:r>
        <w:t xml:space="preserve"> </w:t>
      </w:r>
      <w:r>
        <w:t xml:space="preserve">2014 WL 2768782</w:t>
      </w:r>
      <w:r>
        <w:t xml:space="preserve">, at *16 (Del. Ch. June 12, 2014),</w:t>
      </w:r>
      <w:r>
        <w:t xml:space="preserve"> </w:t>
      </w:r>
      <w:r>
        <w:rPr>
          <w:iCs/>
          <w:i/>
        </w:rPr>
        <w:t xml:space="preserve">rev’d on other grounds sub nom. El Paso Pipeline GP Co., L.L.C. v. Brinckerhoff,</w:t>
      </w:r>
      <w:r>
        <w:t xml:space="preserve"> </w:t>
      </w:r>
      <w:r>
        <w:t xml:space="preserve">152 A.3d 1248</w:t>
      </w:r>
      <w:r>
        <w:t xml:space="preserve">,</w:t>
      </w:r>
      <w:r>
        <w:t xml:space="preserve"> </w:t>
      </w:r>
      <w:r>
        <w:t xml:space="preserve">2016 WL 7380418</w:t>
      </w:r>
      <w:r>
        <w:t xml:space="preserve"> </w:t>
      </w:r>
      <w:r>
        <w:t xml:space="preserve">(Del. 2016) (citing</w:t>
      </w:r>
      <w:r>
        <w:t xml:space="preserve"> </w:t>
      </w:r>
      <w:r>
        <w:rPr>
          <w:iCs/>
          <w:i/>
        </w:rPr>
        <w:t xml:space="preserve">Katz v. Oak Indus. Inc.,</w:t>
      </w:r>
      <w:r>
        <w:t xml:space="preserve"> </w:t>
      </w:r>
      <w:r>
        <w:t xml:space="preserve">508 A.2d 873</w:t>
      </w:r>
      <w:r>
        <w:t xml:space="preserve">, 880 (Del. Ch. 1986));</w:t>
      </w:r>
      <w:r>
        <w:t xml:space="preserve"> </w:t>
      </w:r>
      <w:r>
        <w:t xml:space="preserve">508 A.2d at 880</w:t>
      </w:r>
      <w:r>
        <w:t xml:space="preserve"> </w:t>
      </w:r>
      <w:r>
        <w:t xml:space="preserve">("[P]arties occasionally have understandings or expectations that were so fundamental that they did not need to negotiate about those expectations.”) (quoting</w:t>
      </w:r>
      <w:r>
        <w:t xml:space="preserve"> </w:t>
      </w:r>
      <w:r>
        <w:rPr>
          <w:iCs/>
          <w:i/>
        </w:rPr>
        <w:t xml:space="preserve">Corbin on Contracts</w:t>
      </w:r>
      <w:r>
        <w:t xml:space="preserve"> </w:t>
      </w:r>
      <w:r>
        <w:t xml:space="preserve">(Kaufman Supp. 1984), § 570));</w:t>
      </w:r>
      <w:r>
        <w:t xml:space="preserve"> </w:t>
      </w:r>
      <w:r>
        <w:rPr>
          <w:iCs/>
          <w:i/>
        </w:rPr>
        <w:t xml:space="preserve">see also Cincinnati SMSA Ltd. P’ship v. Cincinnati Bell Cellular Sys. Co.,</w:t>
      </w:r>
      <w:r>
        <w:t xml:space="preserve"> </w:t>
      </w:r>
      <w:r>
        <w:t xml:space="preserve">1997 WL 525873</w:t>
      </w:r>
      <w:r>
        <w:t xml:space="preserve">, at *5 (Del. Ch. Aug. 13, 1997),</w:t>
      </w:r>
      <w:r>
        <w:t xml:space="preserve"> </w:t>
      </w:r>
      <w:r>
        <w:rPr>
          <w:iCs/>
          <w:i/>
        </w:rPr>
        <w:t xml:space="preserve">aff'd, 70S</w:t>
      </w:r>
      <w:r>
        <w:t xml:space="preserve"> </w:t>
      </w:r>
      <w:r>
        <w:t xml:space="preserve">A.2d 989 (Del. 1998) ("Terms are to be implied in a contract not because they are reasonable but because they are necessarily involved in the contractual relationship so that the parties must have intended them and have only failed to express them because they are too obvious to need expression." (quoting</w:t>
      </w:r>
      <w:r>
        <w:t xml:space="preserve"> </w:t>
      </w:r>
      <w:r>
        <w:rPr>
          <w:iCs/>
          <w:i/>
        </w:rPr>
        <w:t xml:space="preserve">Danby,</w:t>
      </w:r>
      <w:r>
        <w:t xml:space="preserve"> </w:t>
      </w:r>
      <w:r>
        <w:t xml:space="preserve">101 A.2d at 313-14</w:t>
      </w:r>
      <w:r>
        <w:t xml:space="preserve">)).</w:t>
      </w:r>
    </w:p>
  </w:footnote>
  <w:footnote w:id="445">
    <w:p>
      <w:pPr>
        <w:pStyle w:val="CaseFootnoteText"/>
      </w:pPr>
      <w:r>
        <w:rPr>
          <w:rStyle w:val="FootnoteReference"/>
        </w:rPr>
        <w:t xml:space="preserve">26  </w:t>
      </w:r>
      <w:r>
        <w:rPr>
          <w:iCs/>
          <w:i/>
        </w:rPr>
        <w:t xml:space="preserve">Id.</w:t>
      </w:r>
      <w:r>
        <w:t xml:space="preserve"/>
      </w:r>
      <w:r>
        <w:t xml:space="preserve">at A2111.</w:t>
      </w:r>
    </w:p>
  </w:footnote>
  <w:footnote w:id="446">
    <w:p>
      <w:pPr>
        <w:pStyle w:val="CaseFootnoteText"/>
      </w:pPr>
      <w:r>
        <w:rPr>
          <w:rStyle w:val="FootnoteReference"/>
        </w:rPr>
        <w:t xml:space="preserve">26  </w:t>
      </w:r>
      <w:r>
        <w:t xml:space="preserve"/>
      </w:r>
      <w:r>
        <w:t xml:space="preserve">See Brief for State of Montana et al. as</w:t>
      </w:r>
      <w:r>
        <w:t xml:space="preserve"> </w:t>
      </w:r>
      <w:r>
        <w:rPr>
          <w:iCs/>
          <w:i/>
        </w:rPr>
        <w:t xml:space="preserve">Amici Curiae.</w:t>
      </w:r>
    </w:p>
  </w:footnote>
  <w:footnote w:id="447">
    <w:p>
      <w:pPr>
        <w:pStyle w:val="CaseFootnoteText"/>
      </w:pPr>
      <w:r>
        <w:rPr>
          <w:rStyle w:val="FootnoteReference"/>
        </w:rPr>
        <w:t xml:space="preserve">26  </w:t>
      </w:r>
      <w:r>
        <w:t xml:space="preserve"/>
      </w:r>
      <w:r>
        <w:t xml:space="preserve"> </w:t>
      </w:r>
      <w:r>
        <w:rPr>
          <w:iCs/>
          <w:i/>
        </w:rPr>
        <w:t xml:space="preserve">See</w:t>
      </w:r>
      <w:r>
        <w:t xml:space="preserve"> </w:t>
      </w:r>
      <w:r>
        <w:t xml:space="preserve">Reich Dep. at 146-47.</w:t>
      </w:r>
      <w:r>
        <w:t xml:space="preserve"> </w:t>
      </w:r>
      <w:r>
        <w:rPr>
          <w:iCs/>
          <w:i/>
        </w:rPr>
        <w:t xml:space="preserve">Accord</w:t>
      </w:r>
      <w:r>
        <w:t xml:space="preserve"> </w:t>
      </w:r>
      <w:r>
        <w:t xml:space="preserve">Jalkut Dep. at 96-97.</w:t>
      </w:r>
    </w:p>
  </w:footnote>
  <w:footnote w:id="448">
    <w:p>
      <w:pPr>
        <w:pStyle w:val="CaseFootnoteText"/>
      </w:pPr>
      <w:r>
        <w:rPr>
          <w:rStyle w:val="FootnoteReference"/>
        </w:rPr>
        <w:t xml:space="preserve">26  </w:t>
      </w:r>
      <w:r>
        <w:t xml:space="preserve"/>
      </w:r>
      <w:r>
        <w:t xml:space="preserve"> </w:t>
      </w:r>
      <w:r>
        <w:rPr>
          <w:iCs/>
          <w:i/>
        </w:rPr>
        <w:t xml:space="preserve">Revlon,</w:t>
      </w:r>
      <w:r>
        <w:t xml:space="preserve"> </w:t>
      </w:r>
      <w:r>
        <w:t xml:space="preserve">506 A.2d at 182</w:t>
      </w:r>
      <w:r>
        <w:t xml:space="preserve">.</w:t>
      </w:r>
    </w:p>
  </w:footnote>
  <w:footnote w:id="449">
    <w:p>
      <w:pPr>
        <w:pStyle w:val="CaseFootnoteText"/>
      </w:pPr>
      <w:r>
        <w:rPr>
          <w:rStyle w:val="FootnoteReference"/>
        </w:rPr>
        <w:t xml:space="preserve">26  </w:t>
      </w:r>
      <w:r>
        <w:t xml:space="preserve"/>
      </w:r>
      <w:r>
        <w:t xml:space="preserve"> </w:t>
      </w:r>
      <w:r>
        <w:rPr>
          <w:iCs/>
          <w:i/>
        </w:rPr>
        <w:t xml:space="preserve">See Fact Sheet: Treasury Actions to Rein in Corporate Tax Inversions,</w:t>
      </w:r>
      <w:r>
        <w:t xml:space="preserve"> </w:t>
      </w:r>
      <w:r>
        <w:t xml:space="preserve">U.S. Dept, of the Treasury, Sept. 22, 2014,</w:t>
      </w:r>
      <w:r>
        <w:t xml:space="preserve"> </w:t>
      </w:r>
      <w:r>
        <w:rPr>
          <w:iCs/>
          <w:i/>
        </w:rPr>
        <w:t xml:space="preserve">available at</w:t>
      </w:r>
      <w:r>
        <w:t xml:space="preserve"> </w:t>
      </w:r>
      <w:r>
        <w:t xml:space="preserve">http:// www.treasury.gov/press-center/press-releases/ Pages/jl2645.aspx.</w:t>
      </w:r>
    </w:p>
  </w:footnote>
  <w:footnote w:id="450">
    <w:p>
      <w:pPr>
        <w:pStyle w:val="CaseFootnoteText"/>
      </w:pPr>
      <w:r>
        <w:rPr>
          <w:rStyle w:val="FootnoteReference"/>
        </w:rPr>
        <w:t xml:space="preserve">26  </w:t>
      </w:r>
      <w:r>
        <w:t xml:space="preserve">Corporation Trust Company of America, Business Corporations Under the Laws of Delaware 18-19 (4th ed.1917).</w:t>
      </w:r>
    </w:p>
  </w:footnote>
  <w:footnote w:id="451">
    <w:p>
      <w:pPr>
        <w:pStyle w:val="CaseFootnoteText"/>
      </w:pPr>
      <w:r>
        <w:rPr>
          <w:rStyle w:val="FootnoteReference"/>
        </w:rPr>
        <w:t xml:space="preserve">26  </w:t>
      </w:r>
      <w:r>
        <w:t xml:space="preserve">The Court notes that defendants' submissions are internally inconsistent with regard to the extent that the stub’s value was less than the estimated $3.32 per share, but this inconsistency is not determinative. Chase stated that the stub had a negative value of $3 per share whereas Connell and Berlinski stated only that the value was less than $3.32, without speculating as to the exact discrepancy between the estimated and actual value. Though this variance in opinions relating to the stub's actual value created a factual dispute, the dispute was not material in this case.</w:t>
      </w:r>
      <w:r>
        <w:t xml:space="preserve"> </w:t>
      </w:r>
      <w:r>
        <w:rPr>
          <w:iCs/>
          <w:i/>
        </w:rPr>
        <w:t xml:space="preserve">See Anderson v. Liberty Lobby, Inc.,</w:t>
      </w:r>
      <w:r>
        <w:t xml:space="preserve"> </w:t>
      </w:r>
      <w:r>
        <w:t xml:space="preserve">477 U.S. 242</w:t>
      </w:r>
      <w:r>
        <w:t xml:space="preserve">, 247-48,</w:t>
      </w:r>
      <w:r>
        <w:t xml:space="preserve"> </w:t>
      </w:r>
      <w:r>
        <w:t xml:space="preserve">106 S.Ct. 2505</w:t>
      </w:r>
      <w:r>
        <w:t xml:space="preserve">, 2509-10,</w:t>
      </w:r>
      <w:r>
        <w:t xml:space="preserve"> </w:t>
      </w:r>
      <w:r>
        <w:t xml:space="preserve">91 L.Ed.2d 202</w:t>
      </w:r>
      <w:r>
        <w:t xml:space="preserve"> </w:t>
      </w:r>
      <w:r>
        <w:t xml:space="preserve">(1986) (only disputes regarding material facts can preclude summary judgment under Federal Rule of Civil Procedure 56; which facts are material depend on the specific facts and substantive law in individual cases);</w:t>
      </w:r>
      <w:r>
        <w:t xml:space="preserve"> </w:t>
      </w:r>
      <w:r>
        <w:rPr>
          <w:iCs/>
          <w:i/>
        </w:rPr>
        <w:t xml:space="preserve">Burkhart v. Davies,</w:t>
      </w:r>
      <w:r>
        <w:t xml:space="preserve"> </w:t>
      </w:r>
      <w:r>
        <w:t xml:space="preserve">Del.Supr.,</w:t>
      </w:r>
      <w:r>
        <w:t xml:space="preserve"> </w:t>
      </w:r>
      <w:r>
        <w:t xml:space="preserve">602 A.2d 56</w:t>
      </w:r>
      <w:r>
        <w:t xml:space="preserve">, 59 (1991) (noting persuasiveness of</w:t>
      </w:r>
      <w:r>
        <w:t xml:space="preserve"> </w:t>
      </w:r>
      <w:r>
        <w:rPr>
          <w:iCs/>
          <w:i/>
        </w:rPr>
        <w:t xml:space="preserve">Anderson</w:t>
      </w:r>
      <w:r>
        <w:t xml:space="preserve"> </w:t>
      </w:r>
      <w:r>
        <w:t xml:space="preserve">in Delaware summary judgment analysis),</w:t>
      </w:r>
      <w:r>
        <w:t xml:space="preserve"> </w:t>
      </w:r>
      <w:r>
        <w:rPr>
          <w:iCs/>
          <w:i/>
        </w:rPr>
        <w:t xml:space="preserve">cert. denied,</w:t>
      </w:r>
      <w:r>
        <w:t xml:space="preserve"> </w:t>
      </w:r>
      <w:r>
        <w:t xml:space="preserve">- U.S. -,</w:t>
      </w:r>
      <w:r>
        <w:t xml:space="preserve"> </w:t>
      </w:r>
      <w:r>
        <w:t xml:space="preserve">112 S.Ct. 1946</w:t>
      </w:r>
      <w:r>
        <w:t xml:space="preserve">,</w:t>
      </w:r>
      <w:r>
        <w:t xml:space="preserve"> </w:t>
      </w:r>
      <w:r>
        <w:t xml:space="preserve">118 L.Ed.2d 551</w:t>
      </w:r>
      <w:r>
        <w:t xml:space="preserve"> </w:t>
      </w:r>
      <w:r>
        <w:t xml:space="preserve">(1992). The fact that the stub’s actual value was less than the $3.32 figure was relevant only to demonstrate that the $19.26 value was not reliable, not to show that some other figure more accurately reflected Bancorp’s true value. Thus, regardless of the extent to which the stub's actual value was less than $3.32, the fact that it was less is the only material summary judgment fact. This latter factual assertion was uncontroverted and thus must be accepted as true.</w:t>
      </w:r>
      <w:r>
        <w:t xml:space="preserve"> </w:t>
      </w:r>
      <w:r>
        <w:rPr>
          <w:iCs/>
          <w:i/>
        </w:rPr>
        <w:t xml:space="preserve">See Tanzer,</w:t>
      </w:r>
      <w:r>
        <w:t xml:space="preserve"> </w:t>
      </w:r>
      <w:r>
        <w:t xml:space="preserve">402 A.2d at 385</w:t>
      </w:r>
      <w:r>
        <w:t xml:space="preserve">;</w:t>
      </w:r>
      <w:r>
        <w:t xml:space="preserve"> </w:t>
      </w:r>
      <w:r>
        <w:rPr>
          <w:iCs/>
          <w:i/>
        </w:rPr>
        <w:t xml:space="preserve">Plant v. Catalytic Constr. Co.,</w:t>
      </w:r>
      <w:r>
        <w:t xml:space="preserve"> </w:t>
      </w:r>
      <w:r>
        <w:t xml:space="preserve">Del.Super.</w:t>
      </w:r>
      <w:r>
        <w:t xml:space="preserve"> </w:t>
      </w:r>
      <w:r>
        <w:t xml:space="preserve">287 A.2d 682</w:t>
      </w:r>
      <w:r>
        <w:t xml:space="preserve">, 684,</w:t>
      </w:r>
      <w:r>
        <w:t xml:space="preserve"> </w:t>
      </w:r>
      <w:r>
        <w:rPr>
          <w:iCs/>
          <w:i/>
        </w:rPr>
        <w:t xml:space="preserve">aff'd,</w:t>
      </w:r>
      <w:r>
        <w:t xml:space="preserve"> </w:t>
      </w:r>
      <w:r>
        <w:t xml:space="preserve">Del.Supr.,</w:t>
      </w:r>
      <w:r>
        <w:t xml:space="preserve"> </w:t>
      </w:r>
      <w:r>
        <w:t xml:space="preserve">297 A.2d 37</w:t>
      </w:r>
      <w:r>
        <w:t xml:space="preserve"> </w:t>
      </w:r>
      <w:r>
        <w:t xml:space="preserve">(1972).</w:t>
      </w:r>
    </w:p>
  </w:footnote>
  <w:footnote w:id="452">
    <w:p>
      <w:pPr>
        <w:pStyle w:val="CaseFootnoteText"/>
      </w:pPr>
      <w:r>
        <w:rPr>
          <w:rStyle w:val="FootnoteReference"/>
        </w:rPr>
        <w:t xml:space="preserve">26  </w:t>
      </w:r>
      <w:r>
        <w:rPr>
          <w:rStyle w:val="Elision"/>
        </w:rPr>
        <w:t xml:space="preserve">[ … ]</w:t>
      </w:r>
    </w:p>
  </w:footnote>
  <w:footnote w:id="453">
    <w:p>
      <w:pPr>
        <w:pStyle w:val="CaseFootnoteText"/>
      </w:pPr>
      <w:r>
        <w:rPr>
          <w:rStyle w:val="FootnoteReference"/>
        </w:rPr>
        <w:t xml:space="preserve">26  </w:t>
      </w:r>
      <w:r>
        <w:t xml:space="preserve">The Objectors also argued that the Museum project duplicated facilities previously funded by Occidental; served no social need; was designed primarily to enhance the personal reputation of Dr. Hammer; and resulted in damage (not good will) to Occidental. The Court of Chancery concluded that these concerns were ones about which reasonable minds could differ. That conclusion is also supported by the record and is the product of an orderly deductive process.</w:t>
      </w:r>
      <w:r>
        <w:t xml:space="preserve"> </w:t>
      </w:r>
      <w:r>
        <w:rPr>
          <w:iCs/>
          <w:i/>
        </w:rPr>
        <w:t xml:space="preserve">Levitt v. Bouvier,</w:t>
      </w:r>
      <w:r>
        <w:t xml:space="preserve"> </w:t>
      </w:r>
      <w:r>
        <w:t xml:space="preserve">287 A.2d at 673</w:t>
      </w:r>
      <w:r>
        <w:t xml:space="preserve">. Therefore, we find no abuse of discretion by the Court of Chancery with respect to its assessment of these claims.</w:t>
      </w:r>
      <w:r>
        <w:t xml:space="preserve"> </w:t>
      </w:r>
      <w:r>
        <w:rPr>
          <w:iCs/>
          <w:i/>
        </w:rPr>
        <w:t xml:space="preserve">General Foods Corp.</w:t>
      </w:r>
      <w:r>
        <w:t xml:space="preserve"> </w:t>
      </w:r>
      <w:r>
        <w:t xml:space="preserve">v.</w:t>
      </w:r>
      <w:r>
        <w:t xml:space="preserve"> </w:t>
      </w:r>
      <w:r>
        <w:rPr>
          <w:iCs/>
          <w:i/>
        </w:rPr>
        <w:t xml:space="preserve">Cryo-Maid, Inc.,</w:t>
      </w:r>
      <w:r>
        <w:t xml:space="preserve"> </w:t>
      </w:r>
      <w:r>
        <w:t xml:space="preserve">Del.Supr.,</w:t>
      </w:r>
      <w:r>
        <w:t xml:space="preserve"> </w:t>
      </w:r>
      <w:r>
        <w:t xml:space="preserve">198 A.2d 681</w:t>
      </w:r>
      <w:r>
        <w:t xml:space="preserve">, 685 (1964),</w:t>
      </w:r>
      <w:r>
        <w:t xml:space="preserve"> </w:t>
      </w:r>
      <w:r>
        <w:rPr>
          <w:iCs/>
          <w:i/>
        </w:rPr>
        <w:t xml:space="preserve">overruled on other grounds, Pepsico, Inc. v. Pepsi Cola Bottling Co.,</w:t>
      </w:r>
      <w:r>
        <w:t xml:space="preserve"> </w:t>
      </w:r>
      <w:r>
        <w:t xml:space="preserve">Del.Supr.,</w:t>
      </w:r>
      <w:r>
        <w:t xml:space="preserve"> </w:t>
      </w:r>
      <w:r>
        <w:t xml:space="preserve">261 A.2d 520</w:t>
      </w:r>
      <w:r>
        <w:t xml:space="preserve"> </w:t>
      </w:r>
      <w:r>
        <w:t xml:space="preserve">(1969).</w:t>
      </w:r>
    </w:p>
  </w:footnote>
  <w:footnote w:id="454">
    <w:p>
      <w:pPr>
        <w:pStyle w:val="CaseFootnoteText"/>
      </w:pPr>
      <w:r>
        <w:rPr>
          <w:rStyle w:val="FootnoteReference"/>
        </w:rPr>
        <w:t xml:space="preserve">26  </w:t>
      </w:r>
      <w:r>
        <w:t xml:space="preserve"/>
      </w:r>
      <w:r>
        <w:t xml:space="preserve"> </w:t>
      </w:r>
      <w:r>
        <w:rPr>
          <w:iCs/>
          <w:i/>
        </w:rPr>
        <w:t xml:space="preserve">Id.</w:t>
      </w:r>
      <w:r>
        <w:t xml:space="preserve"> </w:t>
      </w:r>
      <w:r>
        <w:t xml:space="preserve">($40.30 x 52,000,000 $2,095,600,000).</w:t>
      </w:r>
    </w:p>
  </w:footnote>
  <w:footnote w:id="455">
    <w:p>
      <w:pPr>
        <w:pStyle w:val="CaseFootnoteText"/>
      </w:pPr>
      <w:r>
        <w:rPr>
          <w:rStyle w:val="FootnoteReference"/>
        </w:rPr>
        <w:t xml:space="preserve">27  </w:t>
      </w:r>
      <w:r>
        <w:t xml:space="preserve">App. to Opening Br. at 62 (LP Agreement § 1.1).</w:t>
      </w:r>
    </w:p>
    <w:p>
      <w:pPr>
        <w:pStyle w:val="NodeEnd"/>
      </w:pPr>
      <w:r>
        <w:t xml:space="preserve"> </w:t>
      </w:r>
    </w:p>
    <w:p>
      <w:pPr>
        <w:pStyle w:val="NodeStart"/>
      </w:pPr>
      <w:r>
        <w:t xml:space="preserve"> </w:t>
      </w:r>
    </w:p>
    <w:p>
      <w:pPr>
        <w:pStyle w:val="HeadSeparator"/>
      </w:pPr>
      <w:r>
        <w:t xml:space="preserve"> </w:t>
      </w:r>
    </w:p>
  </w:footnote>
  <w:footnote w:id="456">
    <w:p>
      <w:pPr>
        <w:pStyle w:val="CaseFootnoteText"/>
      </w:pPr>
      <w:r>
        <w:rPr>
          <w:rStyle w:val="FootnoteReference"/>
        </w:rPr>
        <w:t xml:space="preserve">27  </w:t>
      </w:r>
      <w:r>
        <w:rPr>
          <w:iCs/>
          <w:i/>
        </w:rPr>
        <w:t xml:space="preserve">Id.</w:t>
      </w:r>
      <w:r>
        <w:t xml:space="preserve"/>
      </w:r>
      <w:r>
        <w:t xml:space="preserve">at A2087, A2089. The Vice Chancellor found that the Related Party Provision applied to the issuance of units to the Small Holders because Koch controlled both entities and is related to investors in Family LLC.</w:t>
      </w:r>
      <w:r>
        <w:t xml:space="preserve"> </w:t>
      </w:r>
      <w:r>
        <w:rPr>
          <w:iCs/>
          <w:i/>
        </w:rPr>
        <w:t xml:space="preserve">See</w:t>
      </w:r>
      <w:r>
        <w:t xml:space="preserve"> </w:t>
      </w:r>
      <w:r>
        <w:rPr>
          <w:iCs/>
          <w:i/>
        </w:rPr>
        <w:t xml:space="preserve">Chancery Opinion</w:t>
      </w:r>
      <w:r>
        <w:t xml:space="preserve"> </w:t>
      </w:r>
      <w:r>
        <w:t xml:space="preserve">,</w:t>
      </w:r>
      <w:r>
        <w:t xml:space="preserve"> </w:t>
      </w:r>
      <w:r>
        <w:t xml:space="preserve">2018 WL 818760</w:t>
      </w:r>
      <w:r>
        <w:t xml:space="preserve">, at *62.</w:t>
      </w:r>
    </w:p>
  </w:footnote>
  <w:footnote w:id="457">
    <w:p>
      <w:pPr>
        <w:pStyle w:val="CaseFootnoteText"/>
      </w:pPr>
      <w:r>
        <w:rPr>
          <w:rStyle w:val="FootnoteReference"/>
        </w:rPr>
        <w:t xml:space="preserve">27  </w:t>
      </w:r>
      <w:r>
        <w:t xml:space="preserve"/>
      </w:r>
      <w:r>
        <w:t xml:space="preserve">The FEC established this process following the Court’s June 2007 decision in that case, 551 U. S. 449. In the brief interval between the establishment of this process and the 2008 election, corporations and unions used it to make $108.5 million in electioneering communications. Supp. Brief for Appellee 22-23; FEC, Electioneering Communication Summary, online at http://fee.gov/finance/disclosure/ECSummary.shtml (all Internet materials as visited Jan. 18, 2010, and available in Clerk of Court’s case file).</w:t>
      </w:r>
    </w:p>
  </w:footnote>
  <w:footnote w:id="458">
    <w:p>
      <w:pPr>
        <w:pStyle w:val="CaseFootnoteText"/>
      </w:pPr>
      <w:r>
        <w:rPr>
          <w:rStyle w:val="FootnoteReference"/>
        </w:rPr>
        <w:t xml:space="preserve">27  </w:t>
      </w:r>
      <w:r>
        <w:t xml:space="preserve"/>
      </w:r>
      <w:r>
        <w:t xml:space="preserve"> </w:t>
      </w:r>
      <w:r>
        <w:rPr>
          <w:iCs/>
          <w:i/>
        </w:rPr>
        <w:t xml:space="preserve">See</w:t>
      </w:r>
      <w:r>
        <w:t xml:space="preserve"> </w:t>
      </w:r>
      <w:r>
        <w:t xml:space="preserve">Shull Dep. at 235-39.</w:t>
      </w:r>
    </w:p>
  </w:footnote>
  <w:footnote w:id="459">
    <w:p>
      <w:pPr>
        <w:pStyle w:val="CaseFootnoteText"/>
      </w:pPr>
      <w:r>
        <w:rPr>
          <w:rStyle w:val="FootnoteReference"/>
        </w:rPr>
        <w:t xml:space="preserve">27  </w:t>
      </w:r>
      <w:r>
        <w:t xml:space="preserve"/>
      </w:r>
      <w:r>
        <w:t xml:space="preserve"> </w:t>
      </w:r>
      <w:r>
        <w:t xml:space="preserve">567 A.2d 1279</w:t>
      </w:r>
      <w:r>
        <w:t xml:space="preserve">, 1286 (Del.1989).</w:t>
      </w:r>
    </w:p>
  </w:footnote>
  <w:footnote w:id="460">
    <w:p>
      <w:pPr>
        <w:pStyle w:val="CaseFootnoteText"/>
      </w:pPr>
      <w:r>
        <w:rPr>
          <w:rStyle w:val="FootnoteReference"/>
        </w:rPr>
        <w:t xml:space="preserve">27  </w:t>
      </w:r>
      <w:r>
        <w:t xml:space="preserve">App. to Opening Br. at 2032-33 (Citi Presentation to C &amp; J Board, June 24, 2014).</w:t>
      </w:r>
    </w:p>
  </w:footnote>
  <w:footnote w:id="461">
    <w:p>
      <w:pPr>
        <w:pStyle w:val="CaseFootnoteText"/>
      </w:pPr>
      <w:r>
        <w:rPr>
          <w:rStyle w:val="FootnoteReference"/>
        </w:rPr>
        <w:t xml:space="preserve">27  </w:t>
      </w:r>
      <w:r>
        <w:t xml:space="preserve">See</w:t>
      </w:r>
      <w:r>
        <w:t xml:space="preserve"> </w:t>
      </w:r>
      <w:r>
        <w:rPr>
          <w:iCs/>
          <w:i/>
        </w:rPr>
        <w:t xml:space="preserve">also</w:t>
      </w:r>
      <w:r>
        <w:t xml:space="preserve"> </w:t>
      </w:r>
      <w:r>
        <w:t xml:space="preserve">Ernest L. Folk, III, The Red Book Digest of the New Delaware Corporation Law— 1967, at 12 (1968) ("[Directors may be divided into one, two or three classes, with terms expiring one, two or three years thereafter, after which all directors are chosen for full terms.”); S. Samuel Arsht &amp; Lewis S. Black, Analysis of the 1974 Amendments to the Delaware Corporation Law, 375, 377 (1974) ("The provisions of Section 141(d) ... permit the directors of a Delaware corporation to be 'divided into one, two or three classes,' ... and to serve for staggered terms of three years.”); Lewis S. Black, Jr. &amp; Craig B. Smith,</w:t>
      </w:r>
      <w:r>
        <w:t xml:space="preserve"> </w:t>
      </w:r>
      <w:r>
        <w:rPr>
          <w:iCs/>
          <w:i/>
        </w:rPr>
        <w:t xml:space="preserve">Antitakeover Charter Provisions: De</w:t>
      </w:r>
      <w:r>
        <w:t xml:space="preserve"> </w:t>
      </w:r>
      <w:r>
        <w:rPr>
          <w:iCs/>
          <w:i/>
        </w:rPr>
        <w:t xml:space="preserve">fending Self-Help for Takeover Targets,</w:t>
      </w:r>
      <w:r>
        <w:t xml:space="preserve"> </w:t>
      </w:r>
      <w:r>
        <w:t xml:space="preserve">36 Wash. &amp; Lee L.Rev. 699</w:t>
      </w:r>
      <w:r>
        <w:t xml:space="preserve">, 715 (1979) ("By spreading the election of the full board over a period of three years, the classified board forces the successful [tender] offeror to wait, in theory at least, two years before assuming working control of the board of directors.”); Arthur Fleischer, Jr. &amp; Alexander R. Sussman, Takeover Defense § 605, at 6-29 (2004) ("Obviously, under a [staggered board], even a majority shareholder cannot accomplish a change in control of the board in less than two years.”); Frederick H. Alexander &amp; James D. Honaker,</w:t>
      </w:r>
      <w:r>
        <w:t xml:space="preserve"> </w:t>
      </w:r>
      <w:r>
        <w:rPr>
          <w:iCs/>
          <w:i/>
        </w:rPr>
        <w:t xml:space="preserve">Power to the Franchise or the Fiduciaries?: An Analysis of the Limits on Stockholder Activist Bylaws,</w:t>
      </w:r>
      <w:r>
        <w:t xml:space="preserve"> </w:t>
      </w:r>
      <w:r>
        <w:t xml:space="preserve">33 Del. J. Corp. L. 749</w:t>
      </w:r>
      <w:r>
        <w:t xml:space="preserve">, 751 (2008) ("Section 141(d) permits stockholders to adopt bylaws creating a staggered board of directors, in which directors are elected to serve three-year terms...."); Black's Law Dictionary 197 (9th ed.2009) (citing 8</w:t>
      </w:r>
      <w:r>
        <w:t xml:space="preserve"> </w:t>
      </w:r>
      <w:r>
        <w:rPr>
          <w:iCs/>
          <w:i/>
        </w:rPr>
        <w:t xml:space="preserve">Del. C.</w:t>
      </w:r>
      <w:r>
        <w:t xml:space="preserve"> </w:t>
      </w:r>
      <w:r>
        <w:t xml:space="preserve">§ 141) (defining a staggered board as a board of directors whose "members serve terms of two or more years, with some members’ terms expiring at each annual election”); 1 David A. Drexler, Lewis S. Black &amp; A Gilchrist Sparks, III, Delaware Corporation Law and Practice § 13.01 [7] (2009) (A staggered board is one "divided into two or three classes, each member of which serves either a two or three year term depending upon the number of classes...."); 1 R. Franklin Balot-ti &amp; Jesse A. Finkelstein, The Delaware Law of Corporations and Business Organizations § 4.6 (2010) ("A real benefit to directors on a [staggered] board is that it would take two years for an insurgent to obtain control in a proxy contest-”).</w:t>
      </w:r>
    </w:p>
  </w:footnote>
  <w:footnote w:id="462">
    <w:p>
      <w:pPr>
        <w:pStyle w:val="CaseFootnoteText"/>
      </w:pPr>
      <w:r>
        <w:rPr>
          <w:rStyle w:val="FootnoteReference"/>
        </w:rPr>
        <w:t xml:space="preserve">27  </w:t>
      </w:r>
      <w:r>
        <w:t xml:space="preserve">The relevant paragraph in the Proxy Statement reads:</w:t>
      </w:r>
    </w:p>
    <w:p>
      <w:pPr>
        <w:pStyle w:val="BlockText"/>
      </w:pPr>
      <w:r>
        <w:t xml:space="preserve">[The Chairman] and Mr. Weinerman abstained from the Board's recommendation and determination. [The Chairman] stated that, while the [Merger] might be a good transaction for stockholders, he could not vote at that time to recommend it because he believed he would benefit from a lengthier period to review the transaction and he felt it was difficult to assess whether further attempts to find alternative acquirors might have resulted in the receipt of more attractive offers. Mr. Weinerman believed that he would benefit from a lengthier period to review Bank of Boston’s financial condition and business.</w:t>
      </w:r>
    </w:p>
  </w:footnote>
  <w:footnote w:id="463">
    <w:p>
      <w:pPr>
        <w:pStyle w:val="CaseFootnoteText"/>
      </w:pPr>
      <w:r>
        <w:rPr>
          <w:rStyle w:val="FootnoteReference"/>
        </w:rPr>
        <w:t xml:space="preserve">27  </w:t>
      </w:r>
      <w:r>
        <w:t xml:space="preserve">In determining the fairness of a settlement, there is no requirement that the parties be given an opportunity to have a trial. To do so would defeat the basic purpose of the settlement of litigation.</w:t>
      </w:r>
      <w:r>
        <w:t xml:space="preserve"> </w:t>
      </w:r>
      <w:r>
        <w:rPr>
          <w:iCs/>
          <w:i/>
        </w:rPr>
        <w:t xml:space="preserve">Rome v. Archer,</w:t>
      </w:r>
      <w:r>
        <w:t xml:space="preserve"> </w:t>
      </w:r>
      <w:r>
        <w:t xml:space="preserve">197 A.2d at 53</w:t>
      </w:r>
      <w:r>
        <w:t xml:space="preserve">.</w:t>
      </w:r>
    </w:p>
  </w:footnote>
  <w:footnote w:id="464">
    <w:p>
      <w:pPr>
        <w:pStyle w:val="CaseFootnoteText"/>
      </w:pPr>
      <w:r>
        <w:rPr>
          <w:rStyle w:val="FootnoteReference"/>
        </w:rPr>
        <w:t xml:space="preserve">27  </w:t>
      </w:r>
      <w:r>
        <w:t xml:space="preserve">The exact terms of the Special Committee’s proposed fixed exchange ratio are unclear on this record.</w:t>
      </w:r>
    </w:p>
  </w:footnote>
  <w:footnote w:id="466">
    <w:p>
      <w:pPr>
        <w:pStyle w:val="CaseFootnoteText"/>
      </w:pPr>
      <w:r>
        <w:rPr>
          <w:rStyle w:val="FootnoteReference"/>
        </w:rPr>
        <w:t xml:space="preserve">28  </w:t>
      </w:r>
      <w:r>
        <w:t xml:space="preserve">App. to Opening Br. at A2057-58.</w:t>
      </w:r>
    </w:p>
  </w:footnote>
  <w:footnote w:id="467">
    <w:p>
      <w:pPr>
        <w:pStyle w:val="CaseFootnoteText"/>
      </w:pPr>
      <w:r>
        <w:rPr>
          <w:rStyle w:val="FootnoteReference"/>
        </w:rPr>
        <w:t xml:space="preserve">28  </w:t>
      </w:r>
      <w:r>
        <w:t xml:space="preserve"/>
      </w:r>
      <w:r>
        <w:t xml:space="preserve">Concededly,</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were constitutional decisions, and we have often said that “claims of</w:t>
      </w:r>
      <w:r>
        <w:t xml:space="preserve"> </w:t>
      </w:r>
      <w:r>
        <w:rPr>
          <w:iCs/>
          <w:i/>
        </w:rPr>
        <w:t xml:space="preserve">stare decisis</w:t>
      </w:r>
      <w:r>
        <w:t xml:space="preserve"> </w:t>
      </w:r>
      <w:r>
        <w:t xml:space="preserve">are at their weakest in that field, where our mistakes cannot be corrected by Congress.”</w:t>
      </w:r>
      <w:r>
        <w:t xml:space="preserve"> </w:t>
      </w:r>
      <w:r>
        <w:rPr>
          <w:iCs/>
          <w:i/>
        </w:rPr>
        <w:t xml:space="preserve">Vieth</w:t>
      </w:r>
      <w:r>
        <w:t xml:space="preserve"> </w:t>
      </w:r>
      <w:r>
        <w:t xml:space="preserve">v.</w:t>
      </w:r>
      <w:r>
        <w:t xml:space="preserve"> </w:t>
      </w:r>
      <w:r>
        <w:rPr>
          <w:iCs/>
          <w:i/>
        </w:rPr>
        <w:t xml:space="preserve">Jubelirer,</w:t>
      </w:r>
      <w:r>
        <w:t xml:space="preserve"> </w:t>
      </w:r>
      <w:r>
        <w:t xml:space="preserve">541 U. S. 267, 305 (2004) (plurality opinion). As a general matter, this principle is a sound one. But the principle only takes on real force when an earlier ruling has obstructed the normal democratic process; it is the fear of making “mistakes [that] cannot be corrected by Congress,”</w:t>
      </w:r>
      <w:r>
        <w:t xml:space="preserve"> </w:t>
      </w:r>
      <w:r>
        <w:rPr>
          <w:iCs/>
          <w:i/>
        </w:rPr>
        <w:t xml:space="preserve">ibid.,</w:t>
      </w:r>
      <w:r>
        <w:t xml:space="preserve"> </w:t>
      </w:r>
      <w:r>
        <w:t xml:space="preserve">that motivates us to review constitutional precedents with a more critical eye.</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did not obstruct state or congressional legislative power in any way. Although it is unclear how high a bar today’s decision will pose to future attempts to regulate corporate electioneering, it will clearly restrain much legislative action.</w:t>
      </w:r>
    </w:p>
  </w:footnote>
  <w:footnote w:id="468">
    <w:p>
      <w:pPr>
        <w:pStyle w:val="CaseFootnoteText"/>
      </w:pPr>
      <w:r>
        <w:rPr>
          <w:rStyle w:val="FootnoteReference"/>
        </w:rPr>
        <w:t xml:space="preserve">28  </w:t>
      </w:r>
      <w:r>
        <w:t xml:space="preserve"/>
      </w:r>
      <w:r>
        <w:t xml:space="preserve"> </w:t>
      </w:r>
      <w:r>
        <w:rPr>
          <w:iCs/>
          <w:i/>
        </w:rPr>
        <w:t xml:space="preserve">See</w:t>
      </w:r>
      <w:r>
        <w:t xml:space="preserve"> </w:t>
      </w:r>
      <w:r>
        <w:t xml:space="preserve">Jalkut Dep. at 81-83.</w:t>
      </w:r>
    </w:p>
  </w:footnote>
  <w:footnote w:id="469">
    <w:p>
      <w:pPr>
        <w:pStyle w:val="CaseFootnoteText"/>
      </w:pPr>
      <w:r>
        <w:rPr>
          <w:rStyle w:val="FootnoteReference"/>
        </w:rPr>
        <w:t xml:space="preserve">28  </w:t>
      </w:r>
      <w:r>
        <w:t xml:space="preserve"/>
      </w:r>
      <w:r>
        <w:t xml:space="preserve"> </w:t>
      </w:r>
      <w:r>
        <w:rPr>
          <w:iCs/>
          <w:i/>
        </w:rPr>
        <w:t xml:space="preserve">See, e.g.: Barkan v. Amsted Industries, Inc.,</w:t>
      </w:r>
      <w:r>
        <w:t xml:space="preserve"> </w:t>
      </w:r>
      <w:r>
        <w:t xml:space="preserve">567 A.2d at 1287</w:t>
      </w:r>
      <w:r>
        <w:t xml:space="preserve"> </w:t>
      </w:r>
      <w:r>
        <w:t xml:space="preserve">(Directors need not conduct a market check if they have reliable basis for belief that price offered is best possible.);</w:t>
      </w:r>
      <w:r>
        <w:t xml:space="preserve"> </w:t>
      </w:r>
      <w:r>
        <w:rPr>
          <w:iCs/>
          <w:i/>
        </w:rPr>
        <w:t xml:space="preserve">Paramount Communications, Inc. v. QVC Network, Inc.,</w:t>
      </w:r>
      <w:r>
        <w:t xml:space="preserve"> </w:t>
      </w:r>
      <w:r>
        <w:t xml:space="preserve">637 A.2d 34</w:t>
      </w:r>
      <w:r>
        <w:t xml:space="preserve">, 49 (Del.1994) (No-shop provision impermissibly interfered with directors' ability to negotiate with another known bidder);</w:t>
      </w:r>
      <w:r>
        <w:t xml:space="preserve"> </w:t>
      </w:r>
      <w:r>
        <w:rPr>
          <w:iCs/>
          <w:i/>
        </w:rPr>
        <w:t xml:space="preserve">In re Netsmart Technologies, Inc., Shareholders Litig.,</w:t>
      </w:r>
      <w:r>
        <w:t xml:space="preserve"> </w:t>
      </w:r>
      <w:r>
        <w:t xml:space="preserve">924 A.2d 171</w:t>
      </w:r>
      <w:r>
        <w:t xml:space="preserve">, 199 (Del.Ch.2007) (Plaintiff likely to succeed on claim based on board’s failure to consider strategic buyers.)</w:t>
      </w:r>
    </w:p>
  </w:footnote>
  <w:footnote w:id="470">
    <w:p>
      <w:pPr>
        <w:pStyle w:val="CaseFootnoteText"/>
      </w:pPr>
      <w:r>
        <w:rPr>
          <w:rStyle w:val="FootnoteReference"/>
        </w:rPr>
        <w:t xml:space="preserve">28  </w:t>
      </w:r>
      <w:r>
        <w:t xml:space="preserve"/>
      </w:r>
      <w:r>
        <w:t xml:space="preserve"> </w:t>
      </w:r>
      <w:r>
        <w:rPr>
          <w:iCs/>
          <w:i/>
        </w:rPr>
        <w:t xml:space="preserve">See</w:t>
      </w:r>
      <w:r>
        <w:t xml:space="preserve"> </w:t>
      </w:r>
      <w:r>
        <w:t xml:space="preserve">App. to Opening Br. at 2225.</w:t>
      </w:r>
    </w:p>
  </w:footnote>
  <w:footnote w:id="471">
    <w:p>
      <w:pPr>
        <w:pStyle w:val="CaseFootnoteText"/>
      </w:pPr>
      <w:r>
        <w:rPr>
          <w:rStyle w:val="FootnoteReference"/>
        </w:rPr>
        <w:t xml:space="preserve">28  </w:t>
      </w:r>
      <w:r>
        <w:t xml:space="preserve"/>
      </w:r>
      <w:r>
        <w:t xml:space="preserve"> </w:t>
      </w:r>
      <w:r>
        <w:t xml:space="preserve">159 A.2d 288</w:t>
      </w:r>
      <w:r>
        <w:t xml:space="preserve"> </w:t>
      </w:r>
      <w:r>
        <w:t xml:space="preserve">(Del.Ch.1960).</w:t>
      </w:r>
    </w:p>
  </w:footnote>
  <w:footnote w:id="472">
    <w:p>
      <w:pPr>
        <w:pStyle w:val="CaseFootnoteText"/>
      </w:pPr>
      <w:r>
        <w:rPr>
          <w:rStyle w:val="FootnoteReference"/>
        </w:rPr>
        <w:t xml:space="preserve">28  </w:t>
      </w:r>
      <w:r>
        <w:t xml:space="preserve">The Connell memo states in relevant part:</w:t>
      </w:r>
    </w:p>
    <w:p>
      <w:pPr>
        <w:pStyle w:val="BlockText"/>
      </w:pPr>
      <w:r>
        <w:t xml:space="preserve">While management firmly believes it can accomplish projections in its best case scenario and is willing and fully committed to do so, given the projected value presented by Goldman Sachs &amp; Co. of $15.50 per share in a tax free exchange of stock, a stub with an estimated additional stated value of $3.50 [the stub value is highly uncertain due to various encumbrances and liquidation uncertainties], plus a profit participation, management believes the risks associated with achieving the best case results outweigh the potential of actually attaining those results and attaining those results</w:t>
      </w:r>
      <w:r>
        <w:t xml:space="preserve"/>
      </w:r>
      <w:r>
        <w:rPr>
          <w:iCs/>
          <w:i/>
        </w:rPr>
        <w:t xml:space="preserve">[sic</w:t>
      </w:r>
      <w:r>
        <w:t xml:space="preserve"> </w:t>
      </w:r>
      <w:r>
        <w:t xml:space="preserve">] and accordingly believes it would be in the best interests of the Company to proceed with the project [the May Proposal],</w:t>
      </w:r>
    </w:p>
    <w:p>
      <w:pPr>
        <w:pStyle w:val="CaseFootnoteText"/>
      </w:pPr>
      <w:r>
        <w:t xml:space="preserve">(Emphasis added).</w:t>
      </w:r>
    </w:p>
  </w:footnote>
  <w:footnote w:id="473">
    <w:p>
      <w:pPr>
        <w:pStyle w:val="CaseFootnoteText"/>
      </w:pPr>
      <w:r>
        <w:rPr>
          <w:rStyle w:val="FootnoteReference"/>
        </w:rPr>
        <w:t xml:space="preserve">28  </w:t>
      </w:r>
      <w:r>
        <w:t xml:space="preserve">In support of their arguments based upon the business judgment rule, the Objectors relied upon this Court’s decision in</w:t>
      </w:r>
      <w:r>
        <w:t xml:space="preserve"> </w:t>
      </w:r>
      <w:r>
        <w:rPr>
          <w:iCs/>
          <w:i/>
        </w:rPr>
        <w:t xml:space="preserve">Smith v. Van Gorkom,</w:t>
      </w:r>
      <w:r>
        <w:t xml:space="preserve"> </w:t>
      </w:r>
      <w:r>
        <w:t xml:space="preserve">Del.Supr.,</w:t>
      </w:r>
      <w:r>
        <w:t xml:space="preserve"> </w:t>
      </w:r>
      <w:r>
        <w:t xml:space="preserve">488 A.2d 858</w:t>
      </w:r>
      <w:r>
        <w:t xml:space="preserve"> </w:t>
      </w:r>
      <w:r>
        <w:t xml:space="preserve">(1985). However, in the case</w:t>
      </w:r>
      <w:r>
        <w:t xml:space="preserve"> </w:t>
      </w:r>
      <w:r>
        <w:rPr>
          <w:iCs/>
          <w:i/>
        </w:rPr>
        <w:t xml:space="preserve">sub judice,</w:t>
      </w:r>
      <w:r>
        <w:t xml:space="preserve"> </w:t>
      </w:r>
      <w:r>
        <w:t xml:space="preserve">the attorney for the shareholder plaintiffs who agreed to the Settlement, Prickett, was the same attorney who represented the successful shareholder plaintiffs in</w:t>
      </w:r>
      <w:r>
        <w:t xml:space="preserve"> </w:t>
      </w:r>
      <w:r>
        <w:rPr>
          <w:iCs/>
          <w:i/>
        </w:rPr>
        <w:t xml:space="preserve">Van Gorkom.</w:t>
      </w:r>
      <w:r>
        <w:t xml:space="preserve"> </w:t>
      </w:r>
      <w:r>
        <w:t xml:space="preserve">In reviewing the Objectors’ prospects for success, in reliance upon</w:t>
      </w:r>
      <w:r>
        <w:t xml:space="preserve"> </w:t>
      </w:r>
      <w:r>
        <w:rPr>
          <w:iCs/>
          <w:i/>
        </w:rPr>
        <w:t xml:space="preserve">Van Gorkom</w:t>
      </w:r>
      <w:r>
        <w:t xml:space="preserve"> </w:t>
      </w:r>
      <w:r>
        <w:t xml:space="preserve">in this litigation, the Court of Chancery had before it the deposition testimony of Prickett which outlined his assessment of the procedural and substantive obstacles which contributed to the shareholder plaintiffs’ decision to enter into the Settlement. According to the brief filed by Prickett in this appeal, those obstacles included: the fact that the shareholder plaintiffs faced a motion to stay discovery and a motion to dismiss, raising the prospect that the</w:t>
      </w:r>
      <w:r>
        <w:t xml:space="preserve"> </w:t>
      </w:r>
      <w:r>
        <w:rPr>
          <w:iCs/>
          <w:i/>
        </w:rPr>
        <w:t xml:space="preserve">Sullivan</w:t>
      </w:r>
      <w:r>
        <w:t xml:space="preserve"> </w:t>
      </w:r>
      <w:r>
        <w:t xml:space="preserve">action might be dismissed without any discovery; the shareholder plaintiffs' disclosure claim had been mooted; there was a strong possibility that the demand requirement of Court of Chancery Rule 23.1 or the application of the business judgment rule would cause dismissal of the</w:t>
      </w:r>
      <w:r>
        <w:t xml:space="preserve"> </w:t>
      </w:r>
      <w:r>
        <w:rPr>
          <w:iCs/>
          <w:i/>
        </w:rPr>
        <w:t xml:space="preserve">Sullivan</w:t>
      </w:r>
      <w:r>
        <w:t xml:space="preserve"> </w:t>
      </w:r>
      <w:r>
        <w:t xml:space="preserve">action; and proving a breach of the duty of care and/or the corporate waste claims relating to a charitable contribution would be extremely difficult.</w:t>
      </w:r>
    </w:p>
    <w:p>
      <w:pPr>
        <w:pStyle w:val="NodeEnd"/>
      </w:pPr>
      <w:r>
        <w:t xml:space="preserve"> </w:t>
      </w:r>
    </w:p>
    <w:p>
      <w:pPr>
        <w:pStyle w:val="NodeStart"/>
      </w:pPr>
      <w:r>
        <w:t xml:space="preserve"> </w:t>
      </w:r>
    </w:p>
    <w:p>
      <w:pPr>
        <w:pStyle w:val="HeadSeparator"/>
      </w:pPr>
      <w:r>
        <w:t xml:space="preserve"> </w:t>
      </w:r>
    </w:p>
  </w:footnote>
  <w:footnote w:id="474">
    <w:p>
      <w:pPr>
        <w:pStyle w:val="CaseFootnoteText"/>
      </w:pPr>
      <w:r>
        <w:rPr>
          <w:rStyle w:val="FootnoteReference"/>
        </w:rPr>
        <w:t xml:space="preserve">28  </w:t>
      </w:r>
      <w:r>
        <w:t xml:space="preserve">Tr. at 155 (Handelsman).</w:t>
      </w:r>
    </w:p>
  </w:footnote>
  <w:footnote w:id="476">
    <w:p>
      <w:pPr>
        <w:pStyle w:val="CaseFootnoteText"/>
      </w:pPr>
      <w:r>
        <w:rPr>
          <w:rStyle w:val="FootnoteReference"/>
        </w:rPr>
        <w:t xml:space="preserve">29  </w:t>
      </w:r>
      <w:r>
        <w:rPr>
          <w:iCs/>
          <w:i/>
        </w:rPr>
        <w:t xml:space="preserve">Id.</w:t>
      </w:r>
      <w:r>
        <w:t xml:space="preserve"/>
      </w:r>
      <w:r>
        <w:t xml:space="preserve">at A2058 (emphasis added).</w:t>
      </w:r>
    </w:p>
  </w:footnote>
  <w:footnote w:id="477">
    <w:p>
      <w:pPr>
        <w:pStyle w:val="CaseFootnoteText"/>
      </w:pPr>
      <w:r>
        <w:rPr>
          <w:rStyle w:val="FootnoteReference"/>
        </w:rPr>
        <w:t xml:space="preserve">29  </w:t>
      </w:r>
      <w:r>
        <w:t xml:space="preserve"/>
      </w:r>
      <w:r>
        <w:t xml:space="preserve">See FEC, Number of Federal PAC’s Increases, http://fec.gov/press/ press2008/20080812paccount.shtml.</w:t>
      </w:r>
    </w:p>
  </w:footnote>
  <w:footnote w:id="478">
    <w:p>
      <w:pPr>
        <w:pStyle w:val="CaseFootnoteText"/>
      </w:pPr>
      <w:r>
        <w:rPr>
          <w:rStyle w:val="FootnoteReference"/>
        </w:rPr>
        <w:t xml:space="preserve">29  </w:t>
      </w:r>
      <w:r>
        <w:t xml:space="preserve"/>
      </w:r>
      <w:r>
        <w:t xml:space="preserve"> </w:t>
      </w:r>
      <w:r>
        <w:rPr>
          <w:iCs/>
          <w:i/>
        </w:rPr>
        <w:t xml:space="preserve">See</w:t>
      </w:r>
      <w:r>
        <w:t xml:space="preserve"> </w:t>
      </w:r>
      <w:r>
        <w:t xml:space="preserve">Sutcliffe Dep. at 259-60.</w:t>
      </w:r>
    </w:p>
  </w:footnote>
  <w:footnote w:id="479">
    <w:p>
      <w:pPr>
        <w:pStyle w:val="CaseFootnoteText"/>
      </w:pPr>
      <w:r>
        <w:rPr>
          <w:rStyle w:val="FootnoteReference"/>
        </w:rPr>
        <w:t xml:space="preserve">29  </w:t>
      </w:r>
      <w:r>
        <w:t xml:space="preserve"/>
      </w:r>
      <w:r>
        <w:t xml:space="preserve"> </w:t>
      </w:r>
      <w:r>
        <w:rPr>
          <w:iCs/>
          <w:i/>
        </w:rPr>
        <w:t xml:space="preserve">Lyondell I</w:t>
      </w:r>
      <w:r>
        <w:t xml:space="preserve"> </w:t>
      </w:r>
      <w:r>
        <w:t xml:space="preserve">at * 12.</w:t>
      </w:r>
    </w:p>
  </w:footnote>
  <w:footnote w:id="480">
    <w:p>
      <w:pPr>
        <w:pStyle w:val="CaseFootnoteText"/>
      </w:pPr>
      <w:r>
        <w:rPr>
          <w:rStyle w:val="FootnoteReference"/>
        </w:rPr>
        <w:t xml:space="preserve">29  </w:t>
      </w:r>
      <w:r>
        <w:t xml:space="preserve">The board was advised on tax issues by representatives from Deloitte Tax LLP, which C&amp;J had retained to conduct tax and accounting due diligence on Nabors CPS.</w:t>
      </w:r>
    </w:p>
  </w:footnote>
  <w:footnote w:id="481">
    <w:p>
      <w:pPr>
        <w:pStyle w:val="CaseFootnoteText"/>
      </w:pPr>
      <w:r>
        <w:rPr>
          <w:rStyle w:val="FootnoteReference"/>
        </w:rPr>
        <w:t xml:space="preserve">29  </w:t>
      </w:r>
      <w:r>
        <w:t xml:space="preserve">The charter provision at issue relevantly provided: “At each annual election, commencing at the next annual meeting of the stockholders, the successors to the class of directors whose term expires in that year shall be elected to hold office for the term of three years to succeed those whose term expires so that the term of office of one class of directors shall expire in each year.”</w:t>
      </w:r>
      <w:r>
        <w:t xml:space="preserve"> </w:t>
      </w:r>
      <w:r>
        <w:rPr>
          <w:iCs/>
          <w:i/>
        </w:rPr>
        <w:t xml:space="preserve">Id.</w:t>
      </w:r>
      <w:r>
        <w:rPr>
          <w:iCs/>
          <w:i/>
        </w:rPr>
        <w:t xml:space="preserve"> </w:t>
      </w:r>
      <w:r>
        <w:t xml:space="preserve">at 290</w:t>
      </w:r>
      <w:r>
        <w:t xml:space="preserve">.</w:t>
      </w:r>
    </w:p>
  </w:footnote>
  <w:footnote w:id="482">
    <w:p>
      <w:pPr>
        <w:pStyle w:val="CaseFootnoteText"/>
      </w:pPr>
      <w:r>
        <w:rPr>
          <w:rStyle w:val="FootnoteReference"/>
        </w:rPr>
        <w:t xml:space="preserve">29  </w:t>
      </w:r>
      <w:r>
        <w:t xml:space="preserve">The Court of Chancery found that Connell's statement in the memo was made in support of the Merger. Opinion at 19. This finding is clearly erroneous because Connell made the statement in support of the May Proposal, not the Merger. The trial court's confusion may stem from defendants having assigned the name "Project Elite" to both the May Proposal and the Merger. Though the findings of the Court of Chancery appear somewhat flawed in this minor respect, it properly held that defendants did not breach their disclosure obligations with respect to the management projections.</w:t>
      </w:r>
    </w:p>
  </w:footnote>
  <w:footnote w:id="483">
    <w:p>
      <w:pPr>
        <w:pStyle w:val="CaseFootnoteText"/>
      </w:pPr>
      <w:r>
        <w:rPr>
          <w:rStyle w:val="FootnoteReference"/>
        </w:rPr>
        <w:t xml:space="preserve">29  </w:t>
      </w:r>
      <w:r>
        <w:t xml:space="preserve"/>
      </w:r>
      <w:r>
        <w:t xml:space="preserve"> </w:t>
      </w:r>
      <w:r>
        <w:rPr>
          <w:iCs/>
          <w:i/>
        </w:rPr>
        <w:t xml:space="preserve">Id.</w:t>
      </w:r>
    </w:p>
  </w:footnote>
  <w:footnote w:id="484">
    <w:p>
      <w:pPr>
        <w:pStyle w:val="CaseFootnoteText"/>
      </w:pPr>
      <w:r>
        <w:rPr>
          <w:rStyle w:val="FootnoteReference"/>
        </w:rPr>
        <w:t xml:space="preserve">30  </w:t>
      </w:r>
      <w:r>
        <w:rPr>
          <w:iCs/>
          <w:i/>
        </w:rPr>
        <w:t xml:space="preserve">Id.</w:t>
      </w:r>
      <w:r>
        <w:t xml:space="preserve"/>
      </w:r>
      <w:r>
        <w:t xml:space="preserve">at A2079 (emphasis added).</w:t>
      </w:r>
    </w:p>
  </w:footnote>
  <w:footnote w:id="485">
    <w:p>
      <w:pPr>
        <w:pStyle w:val="CaseFootnoteText"/>
      </w:pPr>
      <w:r>
        <w:rPr>
          <w:rStyle w:val="FootnoteReference"/>
        </w:rPr>
        <w:t xml:space="preserve">30  </w:t>
      </w:r>
      <w:r>
        <w:t xml:space="preserve"/>
      </w:r>
      <w:r>
        <w:t xml:space="preserve">See Supp. Brief for Appellee 16 (citing FEC statistics placing this figure at $840 million). The majority finds the PAC option inadequate in part because “[a] PAC is a separate association from the corporation.”</w:t>
      </w:r>
      <w:r>
        <w:t xml:space="preserve"> </w:t>
      </w:r>
      <w:r>
        <w:rPr>
          <w:iCs/>
          <w:i/>
        </w:rPr>
        <w:t xml:space="preserve">Ante,</w:t>
      </w:r>
      <w:r>
        <w:t xml:space="preserve"> </w:t>
      </w:r>
      <w:r>
        <w:t xml:space="preserve">at 337. The formal “separateness” of PACs from their host corporations — which administer and control the PACs but which cannot funnel general treasury funds into them or force members to support them — is, of course, the whole point of the PAC mechanism.</w:t>
      </w:r>
    </w:p>
  </w:footnote>
  <w:footnote w:id="486">
    <w:p>
      <w:pPr>
        <w:pStyle w:val="CaseFootnoteText"/>
      </w:pPr>
      <w:r>
        <w:rPr>
          <w:rStyle w:val="FootnoteReference"/>
        </w:rPr>
        <w:t xml:space="preserve">30  </w:t>
      </w:r>
      <w:r>
        <w:t xml:space="preserve">See Shull Dep. at 171.</w:t>
      </w:r>
    </w:p>
  </w:footnote>
  <w:footnote w:id="487">
    <w:p>
      <w:pPr>
        <w:pStyle w:val="CaseFootnoteText"/>
      </w:pPr>
      <w:r>
        <w:rPr>
          <w:rStyle w:val="FootnoteReference"/>
        </w:rPr>
        <w:t xml:space="preserve">30  </w:t>
      </w:r>
      <w:r>
        <w:t xml:space="preserve"/>
      </w:r>
      <w:r>
        <w:t xml:space="preserve"> </w:t>
      </w:r>
      <w:r>
        <w:rPr>
          <w:iCs/>
          <w:i/>
        </w:rPr>
        <w:t xml:space="preserve">Id.</w:t>
      </w:r>
      <w:r>
        <w:t xml:space="preserve"> </w:t>
      </w:r>
      <w:r>
        <w:t xml:space="preserve">at *19.</w:t>
      </w:r>
    </w:p>
  </w:footnote>
  <w:footnote w:id="488">
    <w:p>
      <w:pPr>
        <w:pStyle w:val="CaseFootnoteText"/>
      </w:pPr>
      <w:r>
        <w:rPr>
          <w:rStyle w:val="FootnoteReference"/>
        </w:rPr>
        <w:t xml:space="preserve">30  </w:t>
      </w:r>
      <w:r>
        <w:t xml:space="preserve">App. to Opening Br. at 3169 (Ma Deposition at 24).</w:t>
      </w:r>
    </w:p>
  </w:footnote>
  <w:footnote w:id="489">
    <w:p>
      <w:pPr>
        <w:pStyle w:val="CaseFootnoteText"/>
      </w:pPr>
      <w:r>
        <w:rPr>
          <w:rStyle w:val="FootnoteReference"/>
        </w:rPr>
        <w:t xml:space="preserve">30  </w:t>
      </w:r>
      <w:r>
        <w:t xml:space="preserve"/>
      </w:r>
      <w:r>
        <w:t xml:space="preserve"> </w:t>
      </w:r>
      <w:r>
        <w:rPr>
          <w:iCs/>
          <w:i/>
        </w:rPr>
        <w:t xml:space="preserve">See</w:t>
      </w:r>
      <w:r>
        <w:rPr>
          <w:iCs/>
          <w:i/>
        </w:rPr>
        <w:t xml:space="preserve"> </w:t>
      </w:r>
      <w:r>
        <w:rPr>
          <w:iCs/>
          <w:i/>
        </w:rPr>
        <w:t xml:space="preserve">id.</w:t>
      </w:r>
      <w:r>
        <w:t xml:space="preserve"> </w:t>
      </w:r>
      <w:r>
        <w:t xml:space="preserve">(emphasis added).</w:t>
      </w:r>
    </w:p>
  </w:footnote>
  <w:footnote w:id="490">
    <w:p>
      <w:pPr>
        <w:pStyle w:val="CaseFootnoteText"/>
      </w:pPr>
      <w:r>
        <w:rPr>
          <w:rStyle w:val="FootnoteReference"/>
        </w:rPr>
        <w:t xml:space="preserve">30  </w:t>
      </w:r>
      <w:r>
        <w:t xml:space="preserve">Statutory interpretation involves a purely legal determination,</w:t>
      </w:r>
      <w:r>
        <w:t xml:space="preserve"> </w:t>
      </w:r>
      <w:r>
        <w:rPr>
          <w:iCs/>
          <w:i/>
        </w:rPr>
        <w:t xml:space="preserve">see Hercules Inc. v. Leu Trust &amp; Banking,</w:t>
      </w:r>
      <w:r>
        <w:t xml:space="preserve"> </w:t>
      </w:r>
      <w:r>
        <w:t xml:space="preserve">Del.Supr.,</w:t>
      </w:r>
      <w:r>
        <w:t xml:space="preserve"> </w:t>
      </w:r>
      <w:r>
        <w:t xml:space="preserve">611 A.2d 476</w:t>
      </w:r>
      <w:r>
        <w:t xml:space="preserve">, 481 (1992),</w:t>
      </w:r>
      <w:r>
        <w:t xml:space="preserve"> </w:t>
      </w:r>
      <w:r>
        <w:rPr>
          <w:iCs/>
          <w:i/>
        </w:rPr>
        <w:t xml:space="preserve">cert. dismissed,</w:t>
      </w:r>
      <w:r>
        <w:t xml:space="preserve"> </w:t>
      </w:r>
      <w:r>
        <w:t xml:space="preserve">— U.S. -,</w:t>
      </w:r>
      <w:r>
        <w:t xml:space="preserve"> </w:t>
      </w:r>
      <w:r>
        <w:t xml:space="preserve">113 S.Ct. 1836</w:t>
      </w:r>
      <w:r>
        <w:t xml:space="preserve">,</w:t>
      </w:r>
      <w:r>
        <w:t xml:space="preserve"> </w:t>
      </w:r>
      <w:r>
        <w:t xml:space="preserve">123 L.Ed.2d 463</w:t>
      </w:r>
      <w:r>
        <w:t xml:space="preserve"> </w:t>
      </w:r>
      <w:r>
        <w:t xml:space="preserve">(1993), and thus review is de novo,</w:t>
      </w:r>
      <w:r>
        <w:t xml:space="preserve"> </w:t>
      </w:r>
      <w:r>
        <w:rPr>
          <w:iCs/>
          <w:i/>
        </w:rPr>
        <w:t xml:space="preserve">Cede &amp; Co. v. Technicolor, Inc.,</w:t>
      </w:r>
      <w:r>
        <w:t xml:space="preserve"> </w:t>
      </w:r>
      <w:r>
        <w:t xml:space="preserve">Del.Supr.,</w:t>
      </w:r>
      <w:r>
        <w:t xml:space="preserve"> </w:t>
      </w:r>
      <w:r>
        <w:t xml:space="preserve">634 A.2d 345</w:t>
      </w:r>
      <w:r>
        <w:t xml:space="preserve">, 360 (1993).</w:t>
      </w:r>
    </w:p>
  </w:footnote>
  <w:footnote w:id="491">
    <w:p>
      <w:pPr>
        <w:pStyle w:val="CaseFootnoteText"/>
      </w:pPr>
      <w:r>
        <w:rPr>
          <w:rStyle w:val="FootnoteReference"/>
        </w:rPr>
        <w:t xml:space="preserve">30  </w:t>
      </w:r>
      <w:r>
        <w:t xml:space="preserve"/>
      </w:r>
      <w:r>
        <w:t xml:space="preserve"> </w:t>
      </w:r>
      <w:r>
        <w:rPr>
          <w:iCs/>
          <w:i/>
        </w:rPr>
        <w:t xml:space="preserve">See id.</w:t>
      </w:r>
      <w:r>
        <w:t xml:space="preserve"> </w:t>
      </w:r>
      <w:r>
        <w:t xml:space="preserve">at 48 (Palomino) (explaining that his impression at the time negotiations began was that Southern Peru was doing well in the market because "the market was estimating higher ore grades and higher copper prices than we thought were in fact going to be maintained in the long run");</w:t>
      </w:r>
      <w:r>
        <w:t xml:space="preserve"> </w:t>
      </w:r>
      <w:r>
        <w:rPr>
          <w:iCs/>
          <w:i/>
        </w:rPr>
        <w:t xml:space="preserve">id.</w:t>
      </w:r>
      <w:r>
        <w:t xml:space="preserve"> </w:t>
      </w:r>
      <w:r>
        <w:t xml:space="preserve">at 313 (Jacob) (discussing rising copper prices in 2004).</w:t>
      </w:r>
    </w:p>
  </w:footnote>
  <w:footnote w:id="492">
    <w:p>
      <w:pPr>
        <w:pStyle w:val="CaseFootnoteText"/>
      </w:pPr>
      <w:r>
        <w:rPr>
          <w:rStyle w:val="FootnoteReference"/>
        </w:rPr>
        <w:t xml:space="preserve">31  </w:t>
      </w:r>
      <w:r>
        <w:rPr>
          <w:iCs/>
          <w:i/>
        </w:rPr>
        <w:t xml:space="preserve">Id.</w:t>
      </w:r>
      <w:r>
        <w:t xml:space="preserve"/>
      </w:r>
      <w:r>
        <w:t xml:space="preserve">at A2116 (emphasis added).</w:t>
      </w:r>
    </w:p>
  </w:footnote>
  <w:footnote w:id="493">
    <w:p>
      <w:pPr>
        <w:pStyle w:val="CaseFootnoteText"/>
      </w:pPr>
      <w:r>
        <w:rPr>
          <w:rStyle w:val="FootnoteReference"/>
        </w:rPr>
        <w:t xml:space="preserve">31  </w:t>
      </w:r>
      <w:r>
        <w:t xml:space="preserve"/>
      </w:r>
      <w:r>
        <w:t xml:space="preserve">Roaming far afield from the case at hand, the majority worries that the Government will use § 203 to ban books, pamphlets, and blogs.</w:t>
      </w:r>
      <w:r>
        <w:t xml:space="preserve"> </w:t>
      </w:r>
      <w:r>
        <w:rPr>
          <w:iCs/>
          <w:i/>
        </w:rPr>
        <w:t xml:space="preserve">Ante,</w:t>
      </w:r>
      <w:r>
        <w:t xml:space="preserve"> </w:t>
      </w:r>
      <w:r>
        <w:t xml:space="preserve">at 333, 337, 349, 364. Yet by its plain terms, §203 does not apply to printed material. See 2 U. S. C. §434(f)(3)(A)(i); see also 11 CFR § 100.29(c)(1) (“[Electioneering communication does not include communications appearing in print media”). And in light of the ordinary understanding of the terms “broadcast, cable, [and] satellite,” 2 U. S. C. §434(f)(3)(A)(i), coupled with Congress’ dear aim of targeting “a virtual torrent of televised election-related ads,”</w:t>
      </w:r>
      <w:r>
        <w:t xml:space="preserve"> </w:t>
      </w:r>
      <w:r>
        <w:rPr>
          <w:iCs/>
          <w:i/>
        </w:rPr>
        <w:t xml:space="preserve">McConnell,</w:t>
      </w:r>
      <w:r>
        <w:t xml:space="preserve"> </w:t>
      </w:r>
      <w:r>
        <w:t xml:space="preserve">540 U. S., at 207, we highly doubt that §203 could be interpreted to apply to a Web site or book that happens to be transmitted at some stage over airwaves or cable lines, or that the FEC would ever try to do so. See 11 CFR § 100.26 (exempting most Internet communications from regulation as advertising); § 100.155 (exempting uncompensated Internet activity from regulation as an expenditure); Supp. Brief for Center for Independent Media et al. as</w:t>
      </w:r>
      <w:r>
        <w:t xml:space="preserve"> </w:t>
      </w:r>
      <w:r>
        <w:rPr>
          <w:iCs/>
          <w:i/>
        </w:rPr>
        <w:t xml:space="preserve">Amici Curiae</w:t>
      </w:r>
      <w:r>
        <w:t xml:space="preserve"> </w:t>
      </w:r>
      <w:r>
        <w:t xml:space="preserve">14 (explaining that “the FEC has consistently construed [BCRA’s] media exemption to apply to a variety of non-traditional media”). If it should, the Government acknowledges “there would be quite [a] good as-applied challenge.” Tr. of Oral Arg. 65 (Sept. 9, 2009).</w:t>
      </w:r>
    </w:p>
  </w:footnote>
  <w:footnote w:id="494">
    <w:p>
      <w:pPr>
        <w:pStyle w:val="CaseFootnoteText"/>
      </w:pPr>
      <w:r>
        <w:rPr>
          <w:rStyle w:val="FootnoteReference"/>
        </w:rPr>
        <w:t xml:space="preserve">31  </w:t>
      </w:r>
      <w:r>
        <w:t xml:space="preserve"/>
      </w:r>
      <w:r>
        <w:t xml:space="preserve"> </w:t>
      </w:r>
      <w:r>
        <w:rPr>
          <w:iCs/>
          <w:i/>
        </w:rPr>
        <w:t xml:space="preserve">See</w:t>
      </w:r>
      <w:r>
        <w:t xml:space="preserve"> </w:t>
      </w:r>
      <w:r>
        <w:t xml:space="preserve">Def. Intermedia's Br. at 20-21 and Pis.' Br. at 27.</w:t>
      </w:r>
    </w:p>
  </w:footnote>
  <w:footnote w:id="495">
    <w:p>
      <w:pPr>
        <w:pStyle w:val="CaseFootnoteText"/>
      </w:pPr>
      <w:r>
        <w:rPr>
          <w:rStyle w:val="FootnoteReference"/>
        </w:rPr>
        <w:t xml:space="preserve">31  </w:t>
      </w:r>
      <w:r>
        <w:t xml:space="preserve"/>
      </w:r>
      <w:r>
        <w:t xml:space="preserve"> </w:t>
      </w:r>
      <w:r>
        <w:rPr>
          <w:iCs/>
          <w:i/>
        </w:rPr>
        <w:t xml:space="preserve">Disney</w:t>
      </w:r>
      <w:r>
        <w:t xml:space="preserve"> </w:t>
      </w:r>
      <w:r>
        <w:t xml:space="preserve">at 67.</w:t>
      </w:r>
    </w:p>
  </w:footnote>
  <w:footnote w:id="496">
    <w:p>
      <w:pPr>
        <w:pStyle w:val="CaseFootnoteText"/>
      </w:pPr>
      <w:r>
        <w:rPr>
          <w:rStyle w:val="FootnoteReference"/>
        </w:rPr>
        <w:t xml:space="preserve">31  </w:t>
      </w:r>
      <w:r>
        <w:t xml:space="preserve">For example, the plaintiffs point out that Comstock's initial offer letter on April 4 stated that employment agreements would "need to be incorporated into our definitive transaction agreements.” App. to Opening Br. at 1864. Comstock also mentioned in a text message to McMullen on April 11 that Petrel-lo said "he would give us what we wanted as management contracts but he wanted us there.” App. to Answering Br. at 781.</w:t>
      </w:r>
    </w:p>
  </w:footnote>
  <w:footnote w:id="497">
    <w:p>
      <w:pPr>
        <w:pStyle w:val="CaseFootnoteText"/>
      </w:pPr>
      <w:r>
        <w:rPr>
          <w:rStyle w:val="FootnoteReference"/>
        </w:rPr>
        <w:t xml:space="preserve">31  </w:t>
      </w:r>
      <w:r>
        <w:t xml:space="preserve"/>
      </w:r>
      <w:r>
        <w:t xml:space="preserve"> </w:t>
      </w:r>
      <w:r>
        <w:rPr>
          <w:iCs/>
          <w:i/>
        </w:rPr>
        <w:t xml:space="preserve">See</w:t>
      </w:r>
      <w:r>
        <w:rPr>
          <w:iCs/>
          <w:i/>
        </w:rPr>
        <w:t xml:space="preserve"> </w:t>
      </w:r>
      <w:r>
        <w:rPr>
          <w:iCs/>
          <w:i/>
        </w:rPr>
        <w:t xml:space="preserve">id.</w:t>
      </w:r>
      <w:r>
        <w:rPr>
          <w:iCs/>
          <w:i/>
        </w:rPr>
        <w:t xml:space="preserve"> </w:t>
      </w:r>
      <w:r>
        <w:t xml:space="preserve">at 290-91</w:t>
      </w:r>
      <w:r>
        <w:t xml:space="preserve">.</w:t>
      </w:r>
    </w:p>
  </w:footnote>
  <w:footnote w:id="498">
    <w:p>
      <w:pPr>
        <w:pStyle w:val="CaseFootnoteText"/>
      </w:pPr>
      <w:r>
        <w:rPr>
          <w:rStyle w:val="FootnoteReference"/>
        </w:rPr>
        <w:t xml:space="preserve">31  </w:t>
      </w:r>
      <w:r>
        <w:t xml:space="preserve"/>
      </w:r>
      <w:r>
        <w:t xml:space="preserve"> </w:t>
      </w:r>
      <w:r>
        <w:rPr>
          <w:iCs/>
          <w:i/>
        </w:rPr>
        <w:t xml:space="preserve">See also Burlington N.R.R. Co. v. Oklahoma Tax Comm’n,</w:t>
      </w:r>
      <w:r>
        <w:t xml:space="preserve"> </w:t>
      </w:r>
      <w:r>
        <w:t xml:space="preserve">481 U.S. 454</w:t>
      </w:r>
      <w:r>
        <w:t xml:space="preserve">, 461,</w:t>
      </w:r>
      <w:r>
        <w:t xml:space="preserve"> </w:t>
      </w:r>
      <w:r>
        <w:t xml:space="preserve">107 S.Ct. 1855</w:t>
      </w:r>
      <w:r>
        <w:t xml:space="preserve">, 1860,</w:t>
      </w:r>
      <w:r>
        <w:t xml:space="preserve"> </w:t>
      </w:r>
      <w:r>
        <w:t xml:space="preserve">95 L.Ed.2d 404</w:t>
      </w:r>
      <w:r>
        <w:t xml:space="preserve"> </w:t>
      </w:r>
      <w:r>
        <w:t xml:space="preserve">(1987) (“Unless exceptional circumstances dictate otherwise, ‘[w]hen [a court] find[s] the terms of a statute unambiguous, judicial inquiry is completed' ”) (citation omitted);</w:t>
      </w:r>
      <w:r>
        <w:t xml:space="preserve"> </w:t>
      </w:r>
      <w:r>
        <w:rPr>
          <w:iCs/>
          <w:i/>
        </w:rPr>
        <w:t xml:space="preserve">Uniform Stat. &amp; Rule Constr. Act</w:t>
      </w:r>
      <w:r>
        <w:t xml:space="preserve"> </w:t>
      </w:r>
      <w:r>
        <w:t xml:space="preserve">§ 19 (Proposed Official Draft June 10, 1994) ("The text of a statute or rule is the primary, essential source of its meaning[]'');</w:t>
      </w:r>
      <w:r>
        <w:t xml:space="preserve"> </w:t>
      </w:r>
      <w:r>
        <w:rPr>
          <w:iCs/>
          <w:i/>
        </w:rPr>
        <w:t xml:space="preserve">id.</w:t>
      </w:r>
      <w:r>
        <w:rPr>
          <w:iCs/>
          <w:i/>
        </w:rPr>
        <w:t xml:space="preserve"> </w:t>
      </w:r>
      <w:r>
        <w:rPr>
          <w:iCs/>
          <w:i/>
        </w:rPr>
        <w:t xml:space="preserve">§</w:t>
      </w:r>
      <w:r>
        <w:t xml:space="preserve"> </w:t>
      </w:r>
      <w:r>
        <w:t xml:space="preserve">18 cmts. (“The starting point is always the text; an examination of it and its context may yield a construction that is certain. If so, that ends the inquiry! ]”); 2A</w:t>
      </w:r>
      <w:r>
        <w:t xml:space="preserve"> </w:t>
      </w:r>
      <w:r>
        <w:rPr>
          <w:iCs/>
          <w:i/>
        </w:rPr>
        <w:t xml:space="preserve">Sutherland Stat. Constr.</w:t>
      </w:r>
      <w:r>
        <w:t xml:space="preserve"> </w:t>
      </w:r>
      <w:r>
        <w:t xml:space="preserve">§ 48.01, at 302 (“extrinsic aids [such as legislative history] may [generally] be considered only when a statute is ambiguous and unclear”). Further,' where the statute expressly enumerates specific exceptions, courts should not imply or create new exceptions from otherwise generally-applicable language,</w:t>
      </w:r>
      <w:r>
        <w:t xml:space="preserve"> </w:t>
      </w:r>
      <w:r>
        <w:rPr>
          <w:iCs/>
          <w:i/>
        </w:rPr>
        <w:t xml:space="preserve">id.</w:t>
      </w:r>
      <w:r>
        <w:t xml:space="preserve"> </w:t>
      </w:r>
      <w:r>
        <w:t xml:space="preserve">§ 47.11, at 165, unless failure to do so would lead to a "manifest contradiction of the apparent purpose of [the] statute,”</w:t>
      </w:r>
      <w:r>
        <w:t xml:space="preserve"> </w:t>
      </w:r>
      <w:r>
        <w:rPr>
          <w:iCs/>
          <w:i/>
        </w:rPr>
        <w:t xml:space="preserve">id.</w:t>
      </w:r>
      <w:r>
        <w:t xml:space="preserve"> </w:t>
      </w:r>
      <w:r>
        <w:t xml:space="preserve">at 50 (Supp.1994).</w:t>
      </w:r>
    </w:p>
  </w:footnote>
  <w:footnote w:id="499">
    <w:p>
      <w:pPr>
        <w:pStyle w:val="CaseFootnoteText"/>
      </w:pPr>
      <w:r>
        <w:rPr>
          <w:rStyle w:val="FootnoteReference"/>
        </w:rPr>
        <w:t xml:space="preserve">31  </w:t>
      </w:r>
      <w:r>
        <w:t xml:space="preserve">Between July 20, 2004 and August 21, 2004, the average closing price of Southern Peru stock was $38.28. JX-18 at 8-9 ($38.28 x 80,000,000 = $3,062,400,000).</w:t>
      </w:r>
    </w:p>
  </w:footnote>
  <w:footnote w:id="500">
    <w:p>
      <w:pPr>
        <w:pStyle w:val="CaseFootnoteText"/>
      </w:pPr>
      <w:r>
        <w:rPr>
          <w:rStyle w:val="FootnoteReference"/>
        </w:rPr>
        <w:t xml:space="preserve">32  </w:t>
      </w:r>
      <w:r>
        <w:rPr>
          <w:iCs/>
          <w:i/>
        </w:rPr>
        <w:t xml:space="preserve">Id.</w:t>
      </w:r>
      <w:r>
        <w:t xml:space="preserve"/>
      </w:r>
      <w:r>
        <w:t xml:space="preserve">at A2114.</w:t>
      </w:r>
    </w:p>
  </w:footnote>
  <w:footnote w:id="501">
    <w:p>
      <w:pPr>
        <w:pStyle w:val="CaseFootnoteText"/>
      </w:pPr>
      <w:r>
        <w:rPr>
          <w:rStyle w:val="FootnoteReference"/>
        </w:rPr>
        <w:t xml:space="preserve">32  </w:t>
      </w:r>
      <w:r>
        <w:t xml:space="preserve"/>
      </w:r>
      <w:r>
        <w:t xml:space="preserve">As the Government points out, with a media corporation there is also a lesser risk that investors will not understand, learn about, or support the advocacy messages that the corporation disseminates. Supp. Reply Brief for Appellee 10. Everyone knows and expects that media outlets may seek to influence elections in this way.</w:t>
      </w:r>
    </w:p>
  </w:footnote>
  <w:footnote w:id="502">
    <w:p>
      <w:pPr>
        <w:pStyle w:val="CaseFootnoteText"/>
      </w:pPr>
      <w:r>
        <w:rPr>
          <w:rStyle w:val="FootnoteReference"/>
        </w:rPr>
        <w:t xml:space="preserve">32  </w:t>
      </w:r>
      <w:r>
        <w:t xml:space="preserve">Sutcliffe Dep. at 267.</w:t>
      </w:r>
    </w:p>
  </w:footnote>
  <w:footnote w:id="503">
    <w:p>
      <w:pPr>
        <w:pStyle w:val="CaseFootnoteText"/>
      </w:pPr>
      <w:r>
        <w:rPr>
          <w:rStyle w:val="FootnoteReference"/>
        </w:rPr>
        <w:t xml:space="preserve">32  </w:t>
      </w:r>
      <w:r>
        <w:t xml:space="preserve"/>
      </w:r>
      <w:r>
        <w:t xml:space="preserve"> </w:t>
      </w:r>
      <w:r>
        <w:rPr>
          <w:iCs/>
          <w:i/>
        </w:rPr>
        <w:t xml:space="preserve">Lyondell I</w:t>
      </w:r>
      <w:r>
        <w:t xml:space="preserve"> </w:t>
      </w:r>
      <w:r>
        <w:t xml:space="preserve">at *19.</w:t>
      </w:r>
    </w:p>
  </w:footnote>
  <w:footnote w:id="504">
    <w:p>
      <w:pPr>
        <w:pStyle w:val="CaseFootnoteText"/>
      </w:pPr>
      <w:r>
        <w:rPr>
          <w:rStyle w:val="FootnoteReference"/>
        </w:rPr>
        <w:t xml:space="preserve">32  </w:t>
      </w:r>
      <w:r>
        <w:t xml:space="preserve">App. to Opening Br. at 703 (Comstock email dated April 14, 2014).</w:t>
      </w:r>
    </w:p>
  </w:footnote>
  <w:footnote w:id="505">
    <w:p>
      <w:pPr>
        <w:pStyle w:val="CaseFootnoteText"/>
      </w:pPr>
      <w:r>
        <w:rPr>
          <w:rStyle w:val="FootnoteReference"/>
        </w:rPr>
        <w:t xml:space="preserve">32  </w:t>
      </w:r>
      <w:r>
        <w:t xml:space="preserve">See</w:t>
      </w:r>
      <w:r>
        <w:t xml:space="preserve"> </w:t>
      </w:r>
      <w:r>
        <w:t xml:space="preserve">id. at 291</w:t>
      </w:r>
      <w:r>
        <w:t xml:space="preserve">.</w:t>
      </w:r>
    </w:p>
  </w:footnote>
  <w:footnote w:id="506">
    <w:p>
      <w:pPr>
        <w:pStyle w:val="CaseFootnoteText"/>
      </w:pPr>
      <w:r>
        <w:rPr>
          <w:rStyle w:val="FootnoteReference"/>
        </w:rPr>
        <w:t xml:space="preserve">32  </w:t>
      </w:r>
      <w:r>
        <w:t xml:space="preserve"/>
      </w:r>
      <w:r>
        <w:rPr>
          <w:iCs/>
          <w:i/>
        </w:rPr>
        <w:t xml:space="preserve">.See Zirn v. VLI Corp.,</w:t>
      </w:r>
      <w:r>
        <w:t xml:space="preserve"> </w:t>
      </w:r>
      <w:r>
        <w:t xml:space="preserve">Del.Supr.,</w:t>
      </w:r>
      <w:r>
        <w:t xml:space="preserve"> </w:t>
      </w:r>
      <w:r>
        <w:t xml:space="preserve">621 A.2d 773</w:t>
      </w:r>
      <w:r>
        <w:t xml:space="preserve">, 778 (1993) ("The requirement that a director disclose to shareholders all material facts bearing upon a merger vote arises under the duties of care and loyalty! ]”);</w:t>
      </w:r>
      <w:r>
        <w:t xml:space="preserve"> </w:t>
      </w:r>
      <w:r>
        <w:rPr>
          <w:iCs/>
          <w:i/>
        </w:rPr>
        <w:t xml:space="preserve">see also</w:t>
      </w:r>
      <w:r>
        <w:t xml:space="preserve"> </w:t>
      </w:r>
      <w:r>
        <w:t xml:space="preserve">Bradford D. Bimson, Comment,</w:t>
      </w:r>
      <w:r>
        <w:t xml:space="preserve"> </w:t>
      </w:r>
      <w:r>
        <w:rPr>
          <w:iCs/>
          <w:i/>
        </w:rPr>
        <w:t xml:space="preserve">Zirn v. VLI Corp.: The Far-Reaching Implications of Loquacity,</w:t>
      </w:r>
      <w:r>
        <w:t xml:space="preserve"> </w:t>
      </w:r>
      <w:r>
        <w:t xml:space="preserve">19 Del.J.Corp.L. 1067</w:t>
      </w:r>
      <w:r>
        <w:t xml:space="preserve">, 1116 (1994) (arguing that it would be a misinterpretation of</w:t>
      </w:r>
      <w:r>
        <w:t xml:space="preserve"> </w:t>
      </w:r>
      <w:r>
        <w:rPr>
          <w:iCs/>
          <w:i/>
        </w:rPr>
        <w:t xml:space="preserve">Zim</w:t>
      </w:r>
      <w:r>
        <w:t xml:space="preserve"> </w:t>
      </w:r>
      <w:r>
        <w:t xml:space="preserve">to conclude that the case subsumed Delaware's disclosure obligations solely within the duly of loyalty).</w:t>
      </w:r>
    </w:p>
  </w:footnote>
  <w:footnote w:id="507">
    <w:p>
      <w:pPr>
        <w:pStyle w:val="CaseFootnoteText"/>
      </w:pPr>
      <w:r>
        <w:rPr>
          <w:rStyle w:val="FootnoteReference"/>
        </w:rPr>
        <w:t xml:space="preserve">32  </w:t>
      </w:r>
      <w:r>
        <w:t xml:space="preserve">JX-129 (Southern Peru Copper Corporation Schedule 14A (February 25, 2005) (Proxy Statement)) at 22.</w:t>
      </w:r>
    </w:p>
  </w:footnote>
  <w:footnote w:id="508">
    <w:p>
      <w:pPr>
        <w:pStyle w:val="CaseFootnoteText"/>
      </w:pPr>
      <w:r>
        <w:rPr>
          <w:rStyle w:val="FootnoteReference"/>
        </w:rPr>
        <w:t xml:space="preserve">33  </w:t>
      </w:r>
      <w:r>
        <w:rPr>
          <w:iCs/>
          <w:i/>
        </w:rPr>
        <w:t xml:space="preserve">Id.</w:t>
      </w:r>
      <w:r>
        <w:t xml:space="preserve"/>
      </w:r>
      <w:r>
        <w:t xml:space="preserve">(emphasis added).</w:t>
      </w:r>
    </w:p>
  </w:footnote>
  <w:footnote w:id="509">
    <w:p>
      <w:pPr>
        <w:pStyle w:val="CaseFootnoteText"/>
      </w:pPr>
      <w:r>
        <w:rPr>
          <w:rStyle w:val="FootnoteReference"/>
        </w:rPr>
        <w:t xml:space="preserve">33  </w:t>
      </w:r>
      <w:r>
        <w:t xml:space="preserve"/>
      </w:r>
      <w:r>
        <w:t xml:space="preserve">2 U. S. C. §434(f)(3)(A)(i).</w:t>
      </w:r>
    </w:p>
  </w:footnote>
  <w:footnote w:id="510">
    <w:p>
      <w:pPr>
        <w:pStyle w:val="CaseFootnoteText"/>
      </w:pPr>
      <w:r>
        <w:rPr>
          <w:rStyle w:val="FootnoteReference"/>
        </w:rPr>
        <w:t xml:space="preserve">33  </w:t>
      </w:r>
      <w:r>
        <w:t xml:space="preserve"/>
      </w:r>
      <w:r>
        <w:t xml:space="preserve"> </w:t>
      </w:r>
      <w:r>
        <w:rPr>
          <w:iCs/>
          <w:i/>
        </w:rPr>
        <w:t xml:space="preserve">See</w:t>
      </w:r>
      <w:r>
        <w:t xml:space="preserve"> </w:t>
      </w:r>
      <w:r>
        <w:t xml:space="preserve">Decker Dep. at 327; Shull Dep. at 191-92; Sutcliffe Dep. at 310-11.</w:t>
      </w:r>
    </w:p>
  </w:footnote>
  <w:footnote w:id="511">
    <w:p>
      <w:pPr>
        <w:pStyle w:val="CaseFootnoteText"/>
      </w:pPr>
      <w:r>
        <w:rPr>
          <w:rStyle w:val="FootnoteReference"/>
        </w:rPr>
        <w:t xml:space="preserve">33  </w:t>
      </w:r>
      <w:r>
        <w:t xml:space="preserve"/>
      </w:r>
      <w:r>
        <w:t xml:space="preserve"> </w:t>
      </w:r>
      <w:r>
        <w:rPr>
          <w:iCs/>
          <w:i/>
        </w:rPr>
        <w:t xml:space="preserve">Paramount Communications, Inc. v. QVC Network, Inc.,</w:t>
      </w:r>
      <w:r>
        <w:t xml:space="preserve"> </w:t>
      </w:r>
      <w:r>
        <w:t xml:space="preserve">637 A.2d at 45</w:t>
      </w:r>
      <w:r>
        <w:t xml:space="preserve">.</w:t>
      </w:r>
    </w:p>
  </w:footnote>
  <w:footnote w:id="512">
    <w:p>
      <w:pPr>
        <w:pStyle w:val="CaseFootnoteText"/>
      </w:pPr>
      <w:r>
        <w:rPr>
          <w:rStyle w:val="FootnoteReference"/>
        </w:rPr>
        <w:t xml:space="preserve">33  </w:t>
      </w:r>
      <w:r>
        <w:t xml:space="preserve"/>
      </w:r>
      <w:r>
        <w:t xml:space="preserve"> </w:t>
      </w:r>
      <w:r>
        <w:rPr>
          <w:iCs/>
          <w:i/>
        </w:rPr>
        <w:t xml:space="preserve">Id.</w:t>
      </w:r>
    </w:p>
  </w:footnote>
  <w:footnote w:id="513">
    <w:p>
      <w:pPr>
        <w:pStyle w:val="CaseFootnoteText"/>
      </w:pPr>
      <w:r>
        <w:rPr>
          <w:rStyle w:val="FootnoteReference"/>
        </w:rPr>
        <w:t xml:space="preserve">33  </w:t>
      </w:r>
      <w:r>
        <w:t xml:space="preserve"/>
      </w:r>
      <w:r>
        <w:t xml:space="preserve"> </w:t>
      </w:r>
      <w:r>
        <w:rPr>
          <w:iCs/>
          <w:i/>
        </w:rPr>
        <w:t xml:space="preserve">Airgas,</w:t>
      </w:r>
      <w:r>
        <w:t xml:space="preserve"> </w:t>
      </w:r>
      <w:r>
        <w:t xml:space="preserve">2010 WL 3960599</w:t>
      </w:r>
      <w:r>
        <w:t xml:space="preserve">, at *11 (citations omitted).</w:t>
      </w:r>
    </w:p>
  </w:footnote>
  <w:footnote w:id="514">
    <w:p>
      <w:pPr>
        <w:pStyle w:val="CaseFootnoteText"/>
      </w:pPr>
      <w:r>
        <w:rPr>
          <w:rStyle w:val="FootnoteReference"/>
        </w:rPr>
        <w:t xml:space="preserve">33  </w:t>
      </w:r>
      <w:r>
        <w:t xml:space="preserve">In support of this latter argument, plaintiff cites</w:t>
      </w:r>
      <w:r>
        <w:t xml:space="preserve"> </w:t>
      </w:r>
      <w:r>
        <w:rPr>
          <w:iCs/>
          <w:i/>
        </w:rPr>
        <w:t xml:space="preserve">Mills Acquisition Co. v. MacMillan, Inc.,</w:t>
      </w:r>
      <w:r>
        <w:t xml:space="preserve"> </w:t>
      </w:r>
      <w:r>
        <w:t xml:space="preserve">Del.Supr.,</w:t>
      </w:r>
      <w:r>
        <w:t xml:space="preserve"> </w:t>
      </w:r>
      <w:r>
        <w:t xml:space="preserve">559 A.2d 1261</w:t>
      </w:r>
      <w:r>
        <w:t xml:space="preserve">, 1287 (1988), and</w:t>
      </w:r>
      <w:r>
        <w:t xml:space="preserve"> </w:t>
      </w:r>
      <w:r>
        <w:rPr>
          <w:iCs/>
          <w:i/>
        </w:rPr>
        <w:t xml:space="preserve">Unocal Corp. v. Mesa Petroleum Co.,</w:t>
      </w:r>
      <w:r>
        <w:t xml:space="preserve"> </w:t>
      </w:r>
      <w:r>
        <w:t xml:space="preserve">Del.Supr.,</w:t>
      </w:r>
      <w:r>
        <w:t xml:space="preserve"> </w:t>
      </w:r>
      <w:r>
        <w:t xml:space="preserve">493 A.2d 946</w:t>
      </w:r>
      <w:r>
        <w:t xml:space="preserve">, 954 (1985).</w:t>
      </w:r>
    </w:p>
  </w:footnote>
  <w:footnote w:id="515">
    <w:p>
      <w:pPr>
        <w:pStyle w:val="CaseFootnoteText"/>
      </w:pPr>
      <w:r>
        <w:rPr>
          <w:rStyle w:val="FootnoteReference"/>
        </w:rPr>
        <w:t xml:space="preserve">33  </w:t>
      </w:r>
      <w:r>
        <w:t xml:space="preserve">JX-18 at 8 ($41.20 x 67,000,000= $2,760,400,000).</w:t>
      </w:r>
    </w:p>
  </w:footnote>
  <w:footnote w:id="516">
    <w:p>
      <w:pPr>
        <w:pStyle w:val="CaseFootnoteText"/>
      </w:pPr>
      <w:r>
        <w:rPr>
          <w:rStyle w:val="FootnoteReference"/>
        </w:rPr>
        <w:t xml:space="preserve">34  </w:t>
      </w:r>
      <w:r>
        <w:rPr>
          <w:iCs/>
          <w:i/>
        </w:rPr>
        <w:t xml:space="preserve">Id.</w:t>
      </w:r>
      <w:r>
        <w:t xml:space="preserve"/>
      </w:r>
      <w:r>
        <w:t xml:space="preserve">at A2116 (emphasis added).</w:t>
      </w:r>
    </w:p>
  </w:footnote>
  <w:footnote w:id="517">
    <w:p>
      <w:pPr>
        <w:pStyle w:val="CaseFootnoteText"/>
      </w:pPr>
      <w:r>
        <w:rPr>
          <w:rStyle w:val="FootnoteReference"/>
        </w:rPr>
        <w:t xml:space="preserve">34  </w:t>
      </w:r>
      <w:r>
        <w:t xml:space="preserve"/>
      </w:r>
      <w:r>
        <w:t xml:space="preserve">§ 434(f)(3)(C).</w:t>
      </w:r>
    </w:p>
  </w:footnote>
  <w:footnote w:id="518">
    <w:p>
      <w:pPr>
        <w:pStyle w:val="CaseFootnoteText"/>
      </w:pPr>
      <w:r>
        <w:rPr>
          <w:rStyle w:val="FootnoteReference"/>
        </w:rPr>
        <w:t xml:space="preserve">34  </w:t>
      </w:r>
      <w:r>
        <w:t xml:space="preserve"/>
      </w:r>
      <w:r>
        <w:t xml:space="preserve"> </w:t>
      </w:r>
      <w:r>
        <w:rPr>
          <w:iCs/>
          <w:i/>
        </w:rPr>
        <w:t xml:space="preserve">Mills Acquisition Co. v. MacMillan, Inc.,</w:t>
      </w:r>
      <w:r>
        <w:t xml:space="preserve"> </w:t>
      </w:r>
      <w:r>
        <w:t xml:space="preserve">Del.Supr.,</w:t>
      </w:r>
      <w:r>
        <w:t xml:space="preserve"> </w:t>
      </w:r>
      <w:r>
        <w:t xml:space="preserve">559 A.2d 1261</w:t>
      </w:r>
      <w:r>
        <w:t xml:space="preserve">, 1278-79 (1988).</w:t>
      </w:r>
      <w:r>
        <w:t xml:space="preserve"> </w:t>
      </w:r>
      <w:r>
        <w:rPr>
          <w:iCs/>
          <w:i/>
        </w:rPr>
        <w:t xml:space="preserve">See also Kaiser Aluminum Corp. v. Matheson,</w:t>
      </w:r>
      <w:r>
        <w:t xml:space="preserve"> </w:t>
      </w:r>
      <w:r>
        <w:t xml:space="preserve">Del.Supr.,</w:t>
      </w:r>
      <w:r>
        <w:t xml:space="preserve"> </w:t>
      </w:r>
      <w:r>
        <w:t xml:space="preserve">681 A.2d 392</w:t>
      </w:r>
      <w:r>
        <w:t xml:space="preserve">, 394 (1996).</w:t>
      </w:r>
    </w:p>
  </w:footnote>
  <w:footnote w:id="519">
    <w:p>
      <w:pPr>
        <w:pStyle w:val="CaseFootnoteText"/>
      </w:pPr>
      <w:r>
        <w:rPr>
          <w:rStyle w:val="FootnoteReference"/>
        </w:rPr>
        <w:t xml:space="preserve">34  </w:t>
      </w:r>
      <w:r>
        <w:t xml:space="preserve"/>
      </w:r>
      <w:r>
        <w:t xml:space="preserve"> </w:t>
      </w:r>
      <w:r>
        <w:rPr>
          <w:iCs/>
          <w:i/>
        </w:rPr>
        <w:t xml:space="preserve">In re Lear Corp. S’holder Litig.,</w:t>
      </w:r>
      <w:r>
        <w:t xml:space="preserve"> </w:t>
      </w:r>
      <w:r>
        <w:t xml:space="preserve">2008 WL 4053221</w:t>
      </w:r>
      <w:r>
        <w:t xml:space="preserve"> </w:t>
      </w:r>
      <w:r>
        <w:t xml:space="preserve">at *11 (Del.Ch.).</w:t>
      </w:r>
    </w:p>
  </w:footnote>
  <w:footnote w:id="520">
    <w:p>
      <w:pPr>
        <w:pStyle w:val="CaseFootnoteText"/>
      </w:pPr>
      <w:r>
        <w:rPr>
          <w:rStyle w:val="FootnoteReference"/>
        </w:rPr>
        <w:t xml:space="preserve">34  </w:t>
      </w:r>
      <w:r>
        <w:t xml:space="preserve">Comstock testified during his deposition that he did not need the board’s formal approval to increase the offer, because he had received board approval on April 3 to "negotiate the best deal possible for the shareholders.... ” But he was "just keeping my board abreast of everything that we were doing.” App to Opening Br. at 1664 (Comstock Deposition at 103-04).</w:t>
      </w:r>
    </w:p>
  </w:footnote>
  <w:footnote w:id="521">
    <w:p>
      <w:pPr>
        <w:pStyle w:val="CaseFootnoteText"/>
      </w:pPr>
      <w:r>
        <w:rPr>
          <w:rStyle w:val="FootnoteReference"/>
        </w:rPr>
        <w:t xml:space="preserve">34  </w:t>
      </w:r>
      <w:r>
        <w:t xml:space="preserve">We recognize that Delaware corporations have some latitude in setting the date for an annual meeting.</w:t>
      </w:r>
      <w:r>
        <w:t xml:space="preserve"> </w:t>
      </w:r>
      <w:r>
        <w:rPr>
          <w:iCs/>
          <w:i/>
        </w:rPr>
        <w:t xml:space="preserve">See</w:t>
      </w:r>
      <w:r>
        <w:t xml:space="preserve"> </w:t>
      </w:r>
      <w:r>
        <w:t xml:space="preserve">8</w:t>
      </w:r>
      <w:r>
        <w:t xml:space="preserve"> </w:t>
      </w:r>
      <w:r>
        <w:rPr>
          <w:iCs/>
          <w:i/>
        </w:rPr>
        <w:t xml:space="preserve">Del. C.</w:t>
      </w:r>
      <w:r>
        <w:t xml:space="preserve"> </w:t>
      </w:r>
      <w:r>
        <w:t xml:space="preserve">§ 211. Therefore, a director’s term may properly end at an annual meeting even though that director only served approximately three years rather than exactly three years. In this case, however, we need not decide the parameters of an approximate term of three years because twenty-eight months is not approximately three years.</w:t>
      </w:r>
    </w:p>
  </w:footnote>
  <w:footnote w:id="522">
    <w:p>
      <w:pPr>
        <w:pStyle w:val="CaseFootnoteText"/>
      </w:pPr>
      <w:r>
        <w:rPr>
          <w:rStyle w:val="FootnoteReference"/>
        </w:rPr>
        <w:t xml:space="preserve">34  </w:t>
      </w:r>
      <w:r>
        <w:t xml:space="preserve">That rule states in relevant part: "Only questions fairly presented to the trial court may be presented for review; provided, however, that when the interests of justice so require, the Court may consider and determine any question not so presented.” Supr.Ct.R. 8.</w:t>
      </w:r>
    </w:p>
  </w:footnote>
  <w:footnote w:id="523">
    <w:p>
      <w:pPr>
        <w:pStyle w:val="CaseFootnoteText"/>
      </w:pPr>
      <w:r>
        <w:rPr>
          <w:rStyle w:val="FootnoteReference"/>
        </w:rPr>
        <w:t xml:space="preserve">34  </w:t>
      </w:r>
      <w:r>
        <w:t xml:space="preserve"/>
      </w:r>
      <w:r>
        <w:t xml:space="preserve"> </w:t>
      </w:r>
      <w:r>
        <w:rPr>
          <w:iCs/>
          <w:i/>
        </w:rPr>
        <w:t xml:space="preserve">Id.</w:t>
      </w:r>
      <w:r>
        <w:t xml:space="preserve"> </w:t>
      </w:r>
      <w:r>
        <w:t xml:space="preserve">($45.72 x 67,000,000 $3,063,240,000).</w:t>
      </w:r>
    </w:p>
  </w:footnote>
  <w:footnote w:id="524">
    <w:p>
      <w:pPr>
        <w:pStyle w:val="CaseFootnoteText"/>
      </w:pPr>
      <w:r>
        <w:rPr>
          <w:rStyle w:val="FootnoteReference"/>
        </w:rPr>
        <w:t xml:space="preserve">35  </w:t>
      </w:r>
      <w:r>
        <w:rPr>
          <w:iCs/>
          <w:i/>
        </w:rPr>
        <w:t xml:space="preserve">Id.</w:t>
      </w:r>
      <w:r>
        <w:t xml:space="preserve"/>
      </w:r>
      <w:r>
        <w:t xml:space="preserve">at A2106 (emphasis added).</w:t>
      </w:r>
    </w:p>
  </w:footnote>
  <w:footnote w:id="525">
    <w:p>
      <w:pPr>
        <w:pStyle w:val="CaseFootnoteText"/>
      </w:pPr>
      <w:r>
        <w:rPr>
          <w:rStyle w:val="FootnoteReference"/>
        </w:rPr>
        <w:t xml:space="preserve">35  </w:t>
      </w:r>
      <w:r>
        <w:t xml:space="preserve"/>
      </w:r>
      <w:r>
        <w:t xml:space="preserve">§ 434(f)(3)(A)(i)(II).</w:t>
      </w:r>
    </w:p>
  </w:footnote>
  <w:footnote w:id="526">
    <w:p>
      <w:pPr>
        <w:pStyle w:val="CaseFootnoteText"/>
      </w:pPr>
      <w:r>
        <w:rPr>
          <w:rStyle w:val="FootnoteReference"/>
        </w:rPr>
        <w:t xml:space="preserve">35  </w:t>
      </w:r>
      <w:r>
        <w:t xml:space="preserve"/>
      </w:r>
      <w:r>
        <w:t xml:space="preserve"> </w:t>
      </w:r>
      <w:r>
        <w:rPr>
          <w:iCs/>
          <w:i/>
        </w:rPr>
        <w:t xml:space="preserve">Yiannatsis v. Stephanis,</w:t>
      </w:r>
      <w:r>
        <w:t xml:space="preserve"> </w:t>
      </w:r>
      <w:r>
        <w:t xml:space="preserve">Del.Supr.,</w:t>
      </w:r>
      <w:r>
        <w:t xml:space="preserve"> </w:t>
      </w:r>
      <w:r>
        <w:t xml:space="preserve">653 A.2d 275</w:t>
      </w:r>
      <w:r>
        <w:t xml:space="preserve"> </w:t>
      </w:r>
      <w:r>
        <w:t xml:space="preserve">(1995) (quoting</w:t>
      </w:r>
      <w:r>
        <w:t xml:space="preserve"> </w:t>
      </w:r>
      <w:r>
        <w:rPr>
          <w:iCs/>
          <w:i/>
        </w:rPr>
        <w:t xml:space="preserve">Guth v. Loft, Inc.,</w:t>
      </w:r>
      <w:r>
        <w:t xml:space="preserve"> </w:t>
      </w:r>
      <w:r>
        <w:t xml:space="preserve">Del.Supr.,</w:t>
      </w:r>
      <w:r>
        <w:t xml:space="preserve"> </w:t>
      </w:r>
      <w:r>
        <w:t xml:space="preserve">5 A.2d 503</w:t>
      </w:r>
      <w:r>
        <w:t xml:space="preserve"> </w:t>
      </w:r>
      <w:r>
        <w:t xml:space="preserve">(1939)).</w:t>
      </w:r>
    </w:p>
  </w:footnote>
  <w:footnote w:id="527">
    <w:p>
      <w:pPr>
        <w:pStyle w:val="CaseFootnoteText"/>
      </w:pPr>
      <w:r>
        <w:rPr>
          <w:rStyle w:val="FootnoteReference"/>
        </w:rPr>
        <w:t xml:space="preserve">35  </w:t>
      </w:r>
      <w:r>
        <w:t xml:space="preserve"/>
      </w:r>
      <w:r>
        <w:rPr>
          <w:iCs/>
          <w:i/>
        </w:rPr>
        <w:t xml:space="preserve">. Lyondell II</w:t>
      </w:r>
      <w:r>
        <w:t xml:space="preserve"> </w:t>
      </w:r>
      <w:r>
        <w:t xml:space="preserve">at *5.</w:t>
      </w:r>
    </w:p>
  </w:footnote>
  <w:footnote w:id="528">
    <w:p>
      <w:pPr>
        <w:pStyle w:val="CaseFootnoteText"/>
      </w:pPr>
      <w:r>
        <w:rPr>
          <w:rStyle w:val="FootnoteReference"/>
        </w:rPr>
        <w:t xml:space="preserve">35  </w:t>
      </w:r>
      <w:r>
        <w:t xml:space="preserve">App. to Opening Br. at 1660 (Comstock Deposition at 89) ("We were caught completely off guard with [the first quarter performance.]”).</w:t>
      </w:r>
    </w:p>
  </w:footnote>
  <w:footnote w:id="529">
    <w:p>
      <w:pPr>
        <w:pStyle w:val="CaseFootnoteText"/>
      </w:pPr>
      <w:r>
        <w:rPr>
          <w:rStyle w:val="FootnoteReference"/>
        </w:rPr>
        <w:t xml:space="preserve">35  </w:t>
      </w:r>
      <w:r>
        <w:t xml:space="preserve"/>
      </w:r>
      <w:r>
        <w:rPr>
          <w:iCs/>
          <w:i/>
        </w:rPr>
        <w:t xml:space="preserve">. See Essential Enterprises,</w:t>
      </w:r>
      <w:r>
        <w:t xml:space="preserve"> </w:t>
      </w:r>
      <w:r>
        <w:t xml:space="preserve">159 A.2d at 291</w:t>
      </w:r>
      <w:r>
        <w:t xml:space="preserve">; 8</w:t>
      </w:r>
      <w:r>
        <w:t xml:space="preserve"> </w:t>
      </w:r>
      <w:r>
        <w:rPr>
          <w:iCs/>
          <w:i/>
        </w:rPr>
        <w:t xml:space="preserve">Del. C.</w:t>
      </w:r>
      <w:r>
        <w:t xml:space="preserve"> </w:t>
      </w:r>
      <w:r>
        <w:t xml:space="preserve">§ 141(d) (providing that "the term of office ... of the second class 1 year thereafter; of the third class 2 years thereafter_”).</w:t>
      </w:r>
    </w:p>
    <w:p>
      <w:pPr>
        <w:pStyle w:val="NodeEnd"/>
      </w:pPr>
      <w:r>
        <w:t xml:space="preserve"> </w:t>
      </w:r>
    </w:p>
    <w:p>
      <w:pPr>
        <w:pStyle w:val="NodeStart"/>
      </w:pPr>
      <w:r>
        <w:t xml:space="preserve"> </w:t>
      </w:r>
    </w:p>
    <w:p>
      <w:pPr>
        <w:pStyle w:val="HeadSeparator"/>
      </w:pPr>
      <w:r>
        <w:t xml:space="preserve"> </w:t>
      </w:r>
    </w:p>
  </w:footnote>
  <w:footnote w:id="530">
    <w:p>
      <w:pPr>
        <w:pStyle w:val="CaseFootnoteText"/>
      </w:pPr>
      <w:r>
        <w:rPr>
          <w:rStyle w:val="FootnoteReference"/>
        </w:rPr>
        <w:t xml:space="preserve">35  </w:t>
      </w:r>
      <w:r>
        <w:t xml:space="preserve">The Court finds unpersuasive plaintiff's contention during oral argument that defendants' intentional decision to disseminate the proxy statement leads ineluctably to a finding that they deliberately violated their disclosure obligations.</w:t>
      </w:r>
    </w:p>
  </w:footnote>
  <w:footnote w:id="531">
    <w:p>
      <w:pPr>
        <w:pStyle w:val="CaseFootnoteText"/>
      </w:pPr>
      <w:r>
        <w:rPr>
          <w:rStyle w:val="FootnoteReference"/>
        </w:rPr>
        <w:t xml:space="preserve">35  </w:t>
      </w:r>
      <w:r>
        <w:t xml:space="preserve">JX-105 at SP COMM 006805.</w:t>
      </w:r>
    </w:p>
  </w:footnote>
  <w:footnote w:id="532">
    <w:p>
      <w:pPr>
        <w:pStyle w:val="CaseFootnoteText"/>
      </w:pPr>
      <w:r>
        <w:rPr>
          <w:rStyle w:val="FootnoteReference"/>
        </w:rPr>
        <w:t xml:space="preserve">36  </w:t>
      </w:r>
      <w:r>
        <w:rPr>
          <w:iCs/>
          <w:i/>
        </w:rPr>
        <w:t xml:space="preserve">Id.</w:t>
      </w:r>
    </w:p>
  </w:footnote>
  <w:footnote w:id="533">
    <w:p>
      <w:pPr>
        <w:pStyle w:val="CaseFootnoteText"/>
      </w:pPr>
      <w:r>
        <w:rPr>
          <w:rStyle w:val="FootnoteReference"/>
        </w:rPr>
        <w:t xml:space="preserve">36  </w:t>
      </w:r>
      <w:r>
        <w:t xml:space="preserve"/>
      </w:r>
      <w:r>
        <w:t xml:space="preserve">§ 441b(b);</w:t>
      </w:r>
      <w:r>
        <w:t xml:space="preserve"> </w:t>
      </w:r>
      <w:r>
        <w:rPr>
          <w:iCs/>
          <w:i/>
        </w:rPr>
        <w:t xml:space="preserve">McConnell,</w:t>
      </w:r>
      <w:r>
        <w:t xml:space="preserve"> </w:t>
      </w:r>
      <w:r>
        <w:t xml:space="preserve">540 U. S, at 211.</w:t>
      </w:r>
    </w:p>
  </w:footnote>
  <w:footnote w:id="534">
    <w:p>
      <w:pPr>
        <w:pStyle w:val="CaseFootnoteText"/>
      </w:pPr>
      <w:r>
        <w:rPr>
          <w:rStyle w:val="FootnoteReference"/>
        </w:rPr>
        <w:t xml:space="preserve">36  </w:t>
      </w:r>
      <w:r>
        <w:t xml:space="preserve">The precise conduct of the Intermedia-af-filiated Digex directors and WorldCom’s representatives is seriously disputed by the parties. Moreover, it is quite difficult on the record currently before the Court to believe one party over the other because the Court has no opportunity to evaluate the credibility of witnesses. Thus, where the facts are in dispute, I will acknowledge such during the discussion of particular issues.</w:t>
      </w:r>
    </w:p>
  </w:footnote>
  <w:footnote w:id="535">
    <w:p>
      <w:pPr>
        <w:pStyle w:val="CaseFootnoteText"/>
      </w:pPr>
      <w:r>
        <w:rPr>
          <w:rStyle w:val="FootnoteReference"/>
        </w:rPr>
        <w:t xml:space="preserve">36  </w:t>
      </w:r>
      <w:r>
        <w:t xml:space="preserve"/>
      </w:r>
      <w:r>
        <w:t xml:space="preserve"> </w:t>
      </w:r>
      <w:r>
        <w:rPr>
          <w:iCs/>
          <w:i/>
        </w:rPr>
        <w:t xml:space="preserve">See Stone</w:t>
      </w:r>
      <w:r>
        <w:t xml:space="preserve"> </w:t>
      </w:r>
      <w:r>
        <w:t xml:space="preserve">at 369.</w:t>
      </w:r>
    </w:p>
  </w:footnote>
  <w:footnote w:id="536">
    <w:p>
      <w:pPr>
        <w:pStyle w:val="CaseFootnoteText"/>
      </w:pPr>
      <w:r>
        <w:rPr>
          <w:rStyle w:val="FootnoteReference"/>
        </w:rPr>
        <w:t xml:space="preserve">36  </w:t>
      </w:r>
      <w:r>
        <w:t xml:space="preserve">App. to Opening Br. at 1660 (Comstock Deposition at 88-89).</w:t>
      </w:r>
    </w:p>
  </w:footnote>
  <w:footnote w:id="537">
    <w:p>
      <w:pPr>
        <w:pStyle w:val="CaseFootnoteText"/>
      </w:pPr>
      <w:r>
        <w:rPr>
          <w:rStyle w:val="FootnoteReference"/>
        </w:rPr>
        <w:t xml:space="preserve">36  </w:t>
      </w:r>
      <w:r>
        <w:t xml:space="preserve">We agree with defendants that, on this record, the single disclosure violation which we have found was consistent only with a good faith omission. Thus, the equitable fraud claim argued in</w:t>
      </w:r>
      <w:r>
        <w:t xml:space="preserve"> </w:t>
      </w:r>
      <w:r>
        <w:rPr>
          <w:iCs/>
          <w:i/>
        </w:rPr>
        <w:t xml:space="preserve">Zim,</w:t>
      </w:r>
      <w:r>
        <w:t xml:space="preserve"> </w:t>
      </w:r>
      <w:r>
        <w:t xml:space="preserve">621 A.2d at 783</w:t>
      </w:r>
      <w:r>
        <w:t xml:space="preserve">, is inapplicable under the facts of this case.</w:t>
      </w:r>
    </w:p>
  </w:footnote>
  <w:footnote w:id="538">
    <w:p>
      <w:pPr>
        <w:pStyle w:val="CaseFootnoteText"/>
      </w:pPr>
      <w:r>
        <w:rPr>
          <w:rStyle w:val="FootnoteReference"/>
        </w:rPr>
        <w:t xml:space="preserve">36  </w:t>
      </w:r>
      <w:r>
        <w:t xml:space="preserve">The EV/2005E EBITDA multiple of 6.3x used in this presentation was not a real market multiple, or even a Wall Street analysis consensus multiple, but an internal Southern Peru management number supposedly based on Southern Peru’s internal projections for its 2005E EBITDA, unadjusted for royalty tax owed to the Peruvian government. As will be discussed, it seems aggressive, at the very least.</w:t>
      </w:r>
    </w:p>
  </w:footnote>
  <w:footnote w:id="539">
    <w:p>
      <w:pPr>
        <w:pStyle w:val="CaseFootnoteText"/>
      </w:pPr>
      <w:r>
        <w:rPr>
          <w:rStyle w:val="FootnoteReference"/>
        </w:rPr>
        <w:t xml:space="preserve">37  </w:t>
      </w:r>
      <w:r>
        <w:rPr>
          <w:iCs/>
          <w:i/>
        </w:rPr>
        <w:t xml:space="preserve">Id.</w:t>
      </w:r>
    </w:p>
  </w:footnote>
  <w:footnote w:id="540">
    <w:p>
      <w:pPr>
        <w:pStyle w:val="CaseFootnoteText"/>
      </w:pPr>
      <w:r>
        <w:rPr>
          <w:rStyle w:val="FootnoteReference"/>
        </w:rPr>
        <w:t xml:space="preserve">37  </w:t>
      </w:r>
      <w:r>
        <w:t xml:space="preserve"/>
      </w:r>
      <w:r>
        <w:t xml:space="preserve">§441b(b)(2)(C).</w:t>
      </w:r>
    </w:p>
  </w:footnote>
  <w:footnote w:id="541">
    <w:p>
      <w:pPr>
        <w:pStyle w:val="CaseFootnoteText"/>
      </w:pPr>
      <w:r>
        <w:rPr>
          <w:rStyle w:val="FootnoteReference"/>
        </w:rPr>
        <w:t xml:space="preserve">37  </w:t>
      </w:r>
      <w:r>
        <w:t xml:space="preserve">Pis.’ Opening Br., p. 33.</w:t>
      </w:r>
    </w:p>
  </w:footnote>
  <w:footnote w:id="542">
    <w:p>
      <w:pPr>
        <w:pStyle w:val="CaseFootnoteText"/>
      </w:pPr>
      <w:r>
        <w:rPr>
          <w:rStyle w:val="FootnoteReference"/>
        </w:rPr>
        <w:t xml:space="preserve">37  </w:t>
      </w:r>
      <w:r>
        <w:t xml:space="preserve"/>
      </w:r>
      <w:r>
        <w:t xml:space="preserve"> </w:t>
      </w:r>
      <w:r>
        <w:rPr>
          <w:iCs/>
          <w:i/>
        </w:rPr>
        <w:t xml:space="preserve">Lyondell I</w:t>
      </w:r>
      <w:r>
        <w:t xml:space="preserve"> </w:t>
      </w:r>
      <w:r>
        <w:t xml:space="preserve">at *1. The trial court disparages the Lyondell directors' characterization of $48 per share as a "blowout” premium. But the record evidence — including testimony from Basell directors who voted against the merger because they believed the price was too high — supports such a description.</w:t>
      </w:r>
    </w:p>
  </w:footnote>
  <w:footnote w:id="543">
    <w:p>
      <w:pPr>
        <w:pStyle w:val="CaseFootnoteText"/>
      </w:pPr>
      <w:r>
        <w:rPr>
          <w:rStyle w:val="FootnoteReference"/>
        </w:rPr>
        <w:t xml:space="preserve">37  </w:t>
      </w:r>
      <w:r>
        <w:t xml:space="preserve">App. to Opening Br. at 859 (email chain between Comstock and Rice, dated June 13, 2014) ("Costs aren't matching up, costs are moved out, etc, etc, just to show improved results. I’m close to calling it quits on this deal."). But C &amp; J's diligence team ultimately determined that what had seemed to be "creative accounting” was actually miscoded expenses. See App. to Opening Br. at 1673-75 (Comstock Deposition at 141-148).</w:t>
      </w:r>
    </w:p>
  </w:footnote>
  <w:footnote w:id="544">
    <w:p>
      <w:pPr>
        <w:pStyle w:val="CaseFootnoteText"/>
      </w:pPr>
      <w:r>
        <w:rPr>
          <w:rStyle w:val="FootnoteReference"/>
        </w:rPr>
        <w:t xml:space="preserve">37  </w:t>
      </w:r>
      <w:r>
        <w:t xml:space="preserve">Plaintiffs argument that Connell and Stang were interested directors who violated the duty of loyalty is without merit.</w:t>
      </w:r>
    </w:p>
  </w:footnote>
  <w:footnote w:id="545">
    <w:p>
      <w:pPr>
        <w:pStyle w:val="CaseFootnoteText"/>
      </w:pPr>
      <w:r>
        <w:rPr>
          <w:rStyle w:val="FootnoteReference"/>
        </w:rPr>
        <w:t xml:space="preserve">37  </w:t>
      </w:r>
      <w:r>
        <w:t xml:space="preserve">JX-18 at 8 ($45.34 x 61,000,000 = $2,765,740,000; $45.34 x 72,000,000 = $3,264,480,000).</w:t>
      </w:r>
    </w:p>
  </w:footnote>
  <w:footnote w:id="546">
    <w:p>
      <w:pPr>
        <w:pStyle w:val="CaseFootnoteText"/>
      </w:pPr>
      <w:r>
        <w:rPr>
          <w:rStyle w:val="FootnoteReference"/>
        </w:rPr>
        <w:t xml:space="preserve">38  </w:t>
      </w:r>
      <w:r>
        <w:rPr>
          <w:iCs/>
          <w:i/>
        </w:rPr>
        <w:t xml:space="preserve">See</w:t>
      </w:r>
      <w:r>
        <w:t xml:space="preserve"/>
      </w:r>
      <w:r>
        <w:rPr>
          <w:iCs/>
          <w:i/>
        </w:rPr>
        <w:t xml:space="preserve">In re Oxbow Carbon LLC Unitholder Litig.</w:t>
      </w:r>
      <w:r>
        <w:t xml:space="preserve"> </w:t>
      </w:r>
      <w:r>
        <w:t xml:space="preserve">, C.A. No. 12447-VCL,</w:t>
      </w:r>
      <w:r>
        <w:t xml:space="preserve"> </w:t>
      </w:r>
      <w:r>
        <w:t xml:space="preserve">2018 WL 3655257</w:t>
      </w:r>
      <w:r>
        <w:t xml:space="preserve"> </w:t>
      </w:r>
      <w:r>
        <w:t xml:space="preserve">(Del. Ch. Aug. 1, 2018).</w:t>
      </w:r>
    </w:p>
  </w:footnote>
  <w:footnote w:id="547">
    <w:p>
      <w:pPr>
        <w:pStyle w:val="CaseFootnoteText"/>
      </w:pPr>
      <w:r>
        <w:rPr>
          <w:rStyle w:val="FootnoteReference"/>
        </w:rPr>
        <w:t xml:space="preserve">38  </w:t>
      </w:r>
      <w:r>
        <w:t xml:space="preserve"/>
      </w:r>
      <w:r>
        <w:rPr>
          <w:iCs/>
          <w:i/>
        </w:rPr>
        <w:t xml:space="preserve">WRTL,</w:t>
      </w:r>
      <w:r>
        <w:t xml:space="preserve"> </w:t>
      </w:r>
      <w:r>
        <w:t xml:space="preserve">551 U. S. 449, 470 (2007) (opinion of Roberts, C. J.).</w:t>
      </w:r>
    </w:p>
  </w:footnote>
  <w:footnote w:id="548">
    <w:p>
      <w:pPr>
        <w:pStyle w:val="CaseFootnoteText"/>
      </w:pPr>
      <w:r>
        <w:rPr>
          <w:rStyle w:val="FootnoteReference"/>
        </w:rPr>
        <w:t xml:space="preserve">38  </w:t>
      </w:r>
      <w:r>
        <w:t xml:space="preserve"/>
      </w:r>
      <w:r>
        <w:t xml:space="preserve"> </w:t>
      </w:r>
      <w:r>
        <w:rPr>
          <w:iCs/>
          <w:i/>
        </w:rPr>
        <w:t xml:space="preserve">Id.</w:t>
      </w:r>
      <w:r>
        <w:t xml:space="preserve"> </w:t>
      </w:r>
      <w:r>
        <w:t xml:space="preserve">at 35.</w:t>
      </w:r>
    </w:p>
  </w:footnote>
  <w:footnote w:id="549">
    <w:p>
      <w:pPr>
        <w:pStyle w:val="CaseFootnoteText"/>
      </w:pPr>
      <w:r>
        <w:rPr>
          <w:rStyle w:val="FootnoteReference"/>
        </w:rPr>
        <w:t xml:space="preserve">38  </w:t>
      </w:r>
      <w:r>
        <w:t xml:space="preserve"/>
      </w:r>
      <w:r>
        <w:rPr>
          <w:iCs/>
          <w:i/>
        </w:rPr>
        <w:t xml:space="preserve">. Lyondell I</w:t>
      </w:r>
      <w:r>
        <w:t xml:space="preserve"> </w:t>
      </w:r>
      <w:r>
        <w:t xml:space="preserve">at *8.</w:t>
      </w:r>
    </w:p>
    <w:p>
      <w:pPr>
        <w:pStyle w:val="NodeEnd"/>
      </w:pPr>
      <w:r>
        <w:t xml:space="preserve"> </w:t>
      </w:r>
    </w:p>
    <w:p>
      <w:pPr>
        <w:pStyle w:val="NodeStart"/>
      </w:pPr>
      <w:r>
        <w:t xml:space="preserve"> </w:t>
      </w:r>
    </w:p>
    <w:p>
      <w:pPr>
        <w:pStyle w:val="HeadSeparator"/>
      </w:pPr>
      <w:r>
        <w:t xml:space="preserve"> </w:t>
      </w:r>
    </w:p>
  </w:footnote>
  <w:footnote w:id="550">
    <w:p>
      <w:pPr>
        <w:pStyle w:val="CaseFootnoteText"/>
      </w:pPr>
      <w:r>
        <w:rPr>
          <w:rStyle w:val="FootnoteReference"/>
        </w:rPr>
        <w:t xml:space="preserve">38  </w:t>
      </w:r>
      <w:r>
        <w:t xml:space="preserve">App. to Opening Br. at 1888.</w:t>
      </w:r>
    </w:p>
  </w:footnote>
  <w:footnote w:id="551">
    <w:p>
      <w:pPr>
        <w:pStyle w:val="CaseFootnoteText"/>
      </w:pPr>
      <w:r>
        <w:rPr>
          <w:rStyle w:val="FootnoteReference"/>
        </w:rPr>
        <w:t xml:space="preserve">38  </w:t>
      </w:r>
      <w:r>
        <w:t xml:space="preserve">The Court does not decide, but only assumes</w:t>
      </w:r>
      <w:r>
        <w:t xml:space="preserve"> </w:t>
      </w:r>
      <w:r>
        <w:rPr>
          <w:iCs/>
          <w:i/>
        </w:rPr>
        <w:t xml:space="preserve">arguendo,</w:t>
      </w:r>
      <w:r>
        <w:t xml:space="preserve"> </w:t>
      </w:r>
      <w:r>
        <w:t xml:space="preserve">that directors of Delaware corporations can waive their Section 102(b)(7) protection because the parties have so stipulated. In any event, as discussed</w:t>
      </w:r>
      <w:r>
        <w:t xml:space="preserve"> </w:t>
      </w:r>
      <w:r>
        <w:rPr>
          <w:iCs/>
          <w:i/>
        </w:rPr>
        <w:t xml:space="preserve">infra,</w:t>
      </w:r>
      <w:r>
        <w:t xml:space="preserve"> </w:t>
      </w:r>
      <w:r>
        <w:t xml:space="preserve">we find that the individual defendants did not waive the shield.</w:t>
      </w:r>
    </w:p>
  </w:footnote>
  <w:footnote w:id="552">
    <w:p>
      <w:pPr>
        <w:pStyle w:val="CaseFootnoteText"/>
      </w:pPr>
      <w:r>
        <w:rPr>
          <w:rStyle w:val="FootnoteReference"/>
        </w:rPr>
        <w:t xml:space="preserve">38  </w:t>
      </w:r>
      <w:r>
        <w:t xml:space="preserve"/>
      </w:r>
      <w:r>
        <w:t xml:space="preserve"> </w:t>
      </w:r>
      <w:r>
        <w:rPr>
          <w:iCs/>
          <w:i/>
        </w:rPr>
        <w:t xml:space="preserve">Id.</w:t>
      </w:r>
      <w:r>
        <w:t xml:space="preserve"> </w:t>
      </w:r>
      <w:r>
        <w:t xml:space="preserve">at 8 ($46.22 x 64,000,000 million = $2,958,080,000).</w:t>
      </w:r>
    </w:p>
  </w:footnote>
  <w:footnote w:id="553">
    <w:p>
      <w:pPr>
        <w:pStyle w:val="CaseFootnoteText"/>
      </w:pPr>
      <w:r>
        <w:rPr>
          <w:rStyle w:val="FootnoteReference"/>
        </w:rPr>
        <w:t xml:space="preserve">39  </w:t>
      </w:r>
      <w:r>
        <w:rPr>
          <w:iCs/>
          <w:i/>
        </w:rPr>
        <w:t xml:space="preserve">Chancery Opinion</w:t>
      </w:r>
      <w:r>
        <w:t xml:space="preserve"/>
      </w:r>
      <w:r>
        <w:t xml:space="preserve">,</w:t>
      </w:r>
      <w:r>
        <w:t xml:space="preserve"> </w:t>
      </w:r>
      <w:r>
        <w:t xml:space="preserve">2018 WL 818760</w:t>
      </w:r>
      <w:r>
        <w:t xml:space="preserve">, at *48.</w:t>
      </w:r>
    </w:p>
  </w:footnote>
  <w:footnote w:id="554">
    <w:p>
      <w:pPr>
        <w:pStyle w:val="CaseFootnoteText"/>
      </w:pPr>
      <w:r>
        <w:rPr>
          <w:rStyle w:val="FootnoteReference"/>
        </w:rPr>
        <w:t xml:space="preserve">39  </w:t>
      </w:r>
      <w:r>
        <w:t xml:space="preserve"/>
      </w:r>
      <w:r>
        <w:t xml:space="preserve">It is likewise nonsense to suggest that the FEC’s ‘“business is to censor.’”</w:t>
      </w:r>
      <w:r>
        <w:t xml:space="preserve"> </w:t>
      </w:r>
      <w:r>
        <w:rPr>
          <w:iCs/>
          <w:i/>
        </w:rPr>
        <w:t xml:space="preserve">Ante,</w:t>
      </w:r>
      <w:r>
        <w:t xml:space="preserve"> </w:t>
      </w:r>
      <w:r>
        <w:t xml:space="preserve">at 335 (quoting</w:t>
      </w:r>
      <w:r>
        <w:t xml:space="preserve"> </w:t>
      </w:r>
      <w:r>
        <w:rPr>
          <w:iCs/>
          <w:i/>
        </w:rPr>
        <w:t xml:space="preserve">Freedman</w:t>
      </w:r>
      <w:r>
        <w:t xml:space="preserve"> </w:t>
      </w:r>
      <w:r>
        <w:t xml:space="preserve">v.</w:t>
      </w:r>
      <w:r>
        <w:t xml:space="preserve"> </w:t>
      </w:r>
      <w:r>
        <w:rPr>
          <w:iCs/>
          <w:i/>
        </w:rPr>
        <w:t xml:space="preserve">Maryland,</w:t>
      </w:r>
      <w:r>
        <w:t xml:space="preserve"> </w:t>
      </w:r>
      <w:r>
        <w:t xml:space="preserve">380 U. S. 51, 57 (1965)). The FEC’s business is to administer and enforce the campaign finance laws. The regulatory body at issue in</w:t>
      </w:r>
      <w:r>
        <w:t xml:space="preserve"> </w:t>
      </w:r>
      <w:r>
        <w:rPr>
          <w:iCs/>
          <w:i/>
        </w:rPr>
        <w:t xml:space="preserve">Freedman</w:t>
      </w:r>
      <w:r>
        <w:t xml:space="preserve"> </w:t>
      </w:r>
      <w:r>
        <w:t xml:space="preserve">was a state</w:t>
      </w:r>
      <w:r>
        <w:t xml:space="preserve"> </w:t>
      </w:r>
      <w:r>
        <w:rPr>
          <w:iCs/>
          <w:i/>
        </w:rPr>
        <w:t xml:space="preserve">board of censors</w:t>
      </w:r>
      <w:r>
        <w:t xml:space="preserve"> </w:t>
      </w:r>
      <w:r>
        <w:t xml:space="preserve">that had virtually unfettered discretion to bar distribution of motion picture films it deemed not to be “ “moral and proper. ’ ” See</w:t>
      </w:r>
      <w:r>
        <w:t xml:space="preserve"> </w:t>
      </w:r>
      <w:r>
        <w:rPr>
          <w:iCs/>
          <w:i/>
        </w:rPr>
        <w:t xml:space="preserve">id.,</w:t>
      </w:r>
      <w:r>
        <w:t xml:space="preserve"> </w:t>
      </w:r>
      <w:r>
        <w:t xml:space="preserve">at 52-53, and n. 2. No movie could be shown in the State of Maryland that was not first approved and licensed by the board of censors.</w:t>
      </w:r>
      <w:r>
        <w:t xml:space="preserve"> </w:t>
      </w:r>
      <w:r>
        <w:rPr>
          <w:iCs/>
          <w:i/>
        </w:rPr>
        <w:t xml:space="preserve">Id.,</w:t>
      </w:r>
      <w:r>
        <w:t xml:space="preserve"> </w:t>
      </w:r>
      <w:r>
        <w:t xml:space="preserve">at 52, n. 1. It is an understatement to say that</w:t>
      </w:r>
      <w:r>
        <w:t xml:space="preserve"> </w:t>
      </w:r>
      <w:r>
        <w:rPr>
          <w:iCs/>
          <w:i/>
        </w:rPr>
        <w:t xml:space="preserve">Freedman</w:t>
      </w:r>
      <w:r>
        <w:t xml:space="preserve"> </w:t>
      </w:r>
      <w:r>
        <w:t xml:space="preserve">is not on point, and the majority’s characterization of the FEC is deeply disconcerting.</w:t>
      </w:r>
    </w:p>
  </w:footnote>
  <w:footnote w:id="555">
    <w:p>
      <w:pPr>
        <w:pStyle w:val="CaseFootnoteText"/>
      </w:pPr>
      <w:r>
        <w:rPr>
          <w:rStyle w:val="FootnoteReference"/>
        </w:rPr>
        <w:t xml:space="preserve">39  </w:t>
      </w:r>
      <w:r>
        <w:t xml:space="preserve">Intermedia’s Answering Br., p. 26.</w:t>
      </w:r>
    </w:p>
  </w:footnote>
  <w:footnote w:id="556">
    <w:p>
      <w:pPr>
        <w:pStyle w:val="CaseFootnoteText"/>
      </w:pPr>
      <w:r>
        <w:rPr>
          <w:rStyle w:val="FootnoteReference"/>
        </w:rPr>
        <w:t xml:space="preserve">39  </w:t>
      </w:r>
      <w:r>
        <w:t xml:space="preserve">App. to Opening Br. at 945 (email chain between Restreppo and Petrello, dated June 19).</w:t>
      </w:r>
    </w:p>
  </w:footnote>
  <w:footnote w:id="557">
    <w:p>
      <w:pPr>
        <w:pStyle w:val="CaseFootnoteText"/>
      </w:pPr>
      <w:r>
        <w:rPr>
          <w:rStyle w:val="FootnoteReference"/>
        </w:rPr>
        <w:t xml:space="preserve">39  </w:t>
      </w:r>
      <w:r>
        <w:t xml:space="preserve"/>
      </w:r>
      <w:r>
        <w:t xml:space="preserve"> </w:t>
      </w:r>
      <w:r>
        <w:rPr>
          <w:iCs/>
          <w:i/>
        </w:rPr>
        <w:t xml:space="preserve">Revlon, Inc. v. MacAndrews &amp; Forbes Holdings, Inc.,</w:t>
      </w:r>
      <w:r>
        <w:t xml:space="preserve"> </w:t>
      </w:r>
      <w:r>
        <w:t xml:space="preserve">Del.Supr.,</w:t>
      </w:r>
      <w:r>
        <w:t xml:space="preserve"> </w:t>
      </w:r>
      <w:r>
        <w:t xml:space="preserve">506 A.2d 173</w:t>
      </w:r>
      <w:r>
        <w:t xml:space="preserve"> </w:t>
      </w:r>
      <w:r>
        <w:t xml:space="preserve">(1986).</w:t>
      </w:r>
    </w:p>
  </w:footnote>
  <w:footnote w:id="558">
    <w:p>
      <w:pPr>
        <w:pStyle w:val="CaseFootnoteText"/>
      </w:pPr>
      <w:r>
        <w:rPr>
          <w:rStyle w:val="FootnoteReference"/>
        </w:rPr>
        <w:t xml:space="preserve">39  </w:t>
      </w:r>
      <w:r>
        <w:t xml:space="preserve">Minera was contractually obligated to make mandatory prepayments on its long-term credit facilities when, among other things, the price of copper exceeded $0.88 per pound.</w:t>
      </w:r>
      <w:r>
        <w:t xml:space="preserve"> </w:t>
      </w:r>
      <w:r>
        <w:rPr>
          <w:iCs/>
          <w:i/>
        </w:rPr>
        <w:t xml:space="preserve">See</w:t>
      </w:r>
      <w:r>
        <w:t xml:space="preserve"> </w:t>
      </w:r>
      <w:r>
        <w:t xml:space="preserve">JX-125 at 55 ("when the price[] of copper ... exceedfs] $0.88 per pound ... we will pay an amount equal to 75% of the excess cash flow generated by the sales of such metals at the higher metal price, which will be applied first, to the amortization of Tranche B, then to the amortization of Tranche A.”). The price of copper went north of $0.88 per pound on October 15, 2003. The record shows that Minera was paying down its debt, presumably in compliance with its prepayment obligation.</w:t>
      </w:r>
      <w:r>
        <w:t xml:space="preserve"> </w:t>
      </w:r>
      <w:r>
        <w:rPr>
          <w:iCs/>
          <w:i/>
        </w:rPr>
        <w:t xml:space="preserve">See</w:t>
      </w:r>
      <w:r>
        <w:t xml:space="preserve"> </w:t>
      </w:r>
      <w:r>
        <w:t xml:space="preserve">JX-103 at SP COMM 006861 (Minera’s net debt as of May 31, 2004 was $1.189 million); JX-107 (road show presentation (November 2004)) at SP COMM 006674 (Minera’s net debt as of June 30, 2004 was $1.06 billion).</w:t>
      </w:r>
    </w:p>
  </w:footnote>
  <w:footnote w:id="559">
    <w:p>
      <w:pPr>
        <w:pStyle w:val="CaseFootnoteText"/>
      </w:pPr>
      <w:r>
        <w:rPr>
          <w:rStyle w:val="FootnoteReference"/>
        </w:rPr>
        <w:t xml:space="preserve">40  </w:t>
      </w:r>
      <w:r>
        <w:rPr>
          <w:iCs/>
          <w:i/>
        </w:rPr>
        <w:t xml:space="preserve">Id.</w:t>
      </w:r>
      <w:r>
        <w:t xml:space="preserve"/>
      </w:r>
      <w:r>
        <w:t xml:space="preserve">at *49.</w:t>
      </w:r>
    </w:p>
  </w:footnote>
  <w:footnote w:id="560">
    <w:p>
      <w:pPr>
        <w:pStyle w:val="CaseFootnoteText"/>
      </w:pPr>
      <w:r>
        <w:rPr>
          <w:rStyle w:val="FootnoteReference"/>
        </w:rPr>
        <w:t xml:space="preserve">40  </w:t>
      </w:r>
      <w:r>
        <w:t xml:space="preserve"/>
      </w:r>
      <w:r>
        <w:t xml:space="preserve">Citizens United has administered this PAC for over a decade. See Defendant FEC’s Memorandum in Opposition to Plaintiff’s Second Motion for Preliminary Injunction in No. 07-2240 (ARR, RCL, RWR) (DC), p. 20. Citizens United also operates multiple “527” organizations that engage in partisan political activity. See Defendant FEC’s Statement of Material Facts as to Which There Is No Genuine Dispute in No. 07-2240 (DC),</w:t>
      </w:r>
      <w:r>
        <w:t xml:space="preserve"> </w:t>
      </w:r>
      <w:r>
        <w:rPr>
          <w:iCs/>
          <w:i/>
        </w:rPr>
        <w:t xml:space="preserve">n</w:t>
      </w:r>
      <w:r>
        <w:t xml:space="preserve"> </w:t>
      </w:r>
      <w:r>
        <w:t xml:space="preserve">22-24.</w:t>
      </w:r>
    </w:p>
  </w:footnote>
  <w:footnote w:id="561">
    <w:p>
      <w:pPr>
        <w:pStyle w:val="CaseFootnoteText"/>
      </w:pPr>
      <w:r>
        <w:rPr>
          <w:rStyle w:val="FootnoteReference"/>
        </w:rPr>
        <w:t xml:space="preserve">40  </w:t>
      </w:r>
      <w:r>
        <w:t xml:space="preserve"/>
      </w:r>
      <w:r>
        <w:rPr>
          <w:iCs/>
          <w:i/>
        </w:rPr>
        <w:t xml:space="preserve">.See Cooke v. Oolie,</w:t>
      </w:r>
      <w:r>
        <w:t xml:space="preserve"> </w:t>
      </w:r>
      <w:r>
        <w:t xml:space="preserve">Del.Ch., C.A. No. 11134,</w:t>
      </w:r>
      <w:r>
        <w:t xml:space="preserve"> </w:t>
      </w:r>
      <w:r>
        <w:t xml:space="preserve">1997 WL 367034</w:t>
      </w:r>
      <w:r>
        <w:t xml:space="preserve">, Chandler, V.C. (June 23, 1997) mem. op. at 33, n. 96.</w:t>
      </w:r>
    </w:p>
  </w:footnote>
  <w:footnote w:id="562">
    <w:p>
      <w:pPr>
        <w:pStyle w:val="CaseFootnoteText"/>
      </w:pPr>
      <w:r>
        <w:rPr>
          <w:rStyle w:val="FootnoteReference"/>
        </w:rPr>
        <w:t xml:space="preserve">40  </w:t>
      </w:r>
      <w:r>
        <w:t xml:space="preserve">App. to Opening Br. at 1878.</w:t>
      </w:r>
    </w:p>
  </w:footnote>
  <w:footnote w:id="563">
    <w:p>
      <w:pPr>
        <w:pStyle w:val="CaseFootnoteText"/>
      </w:pPr>
      <w:r>
        <w:rPr>
          <w:rStyle w:val="FootnoteReference"/>
        </w:rPr>
        <w:t xml:space="preserve">40  </w:t>
      </w:r>
      <w:r>
        <w:t xml:space="preserve">Presumably, plaintiff is referring colloquially but inappropriately to the enhanced scrutiny courts accord to certain types of transactions described</w:t>
      </w:r>
      <w:r>
        <w:t xml:space="preserve"> </w:t>
      </w:r>
      <w:r>
        <w:rPr>
          <w:iCs/>
          <w:i/>
        </w:rPr>
        <w:t xml:space="preserve">infra. See</w:t>
      </w:r>
      <w:r>
        <w:t xml:space="preserve"> </w:t>
      </w:r>
      <w:r>
        <w:t xml:space="preserve">Lawrence A. Cunningham &amp; Charles M. Yablon,</w:t>
      </w:r>
      <w:r>
        <w:t xml:space="preserve"> </w:t>
      </w:r>
      <w:r>
        <w:rPr>
          <w:iCs/>
          <w:i/>
        </w:rPr>
        <w:t xml:space="preserve">Delaware Fiduciary Duty Law After QVC and Technicolor: A Unified Standard (and the End of Revlon Duties?),</w:t>
      </w:r>
      <w:r>
        <w:t xml:space="preserve"> </w:t>
      </w:r>
      <w:r>
        <w:t xml:space="preserve">49 Bus. Law. 1593, 1593-94 (1994) (noting inappropriateness of such colloquialisms as</w:t>
      </w:r>
      <w:r>
        <w:t xml:space="preserve"> </w:t>
      </w:r>
      <w:r>
        <w:rPr>
          <w:iCs/>
          <w:i/>
        </w:rPr>
        <w:t xml:space="preserve">“Revlon</w:t>
      </w:r>
      <w:r>
        <w:t xml:space="preserve"> </w:t>
      </w:r>
      <w:r>
        <w:t xml:space="preserve">duties" and ".Revfotr-land” in arguments before this Court).</w:t>
      </w:r>
    </w:p>
  </w:footnote>
  <w:footnote w:id="564">
    <w:p>
      <w:pPr>
        <w:pStyle w:val="CaseFootnoteText"/>
      </w:pPr>
      <w:r>
        <w:rPr>
          <w:rStyle w:val="FootnoteReference"/>
        </w:rPr>
        <w:t xml:space="preserve">40  </w:t>
      </w:r>
      <w:r>
        <w:t xml:space="preserve">Tr. at 175 (Handelsman).</w:t>
      </w:r>
    </w:p>
  </w:footnote>
  <w:footnote w:id="565">
    <w:p>
      <w:pPr>
        <w:pStyle w:val="CaseFootnoteText"/>
      </w:pPr>
      <w:r>
        <w:rPr>
          <w:rStyle w:val="FootnoteReference"/>
        </w:rPr>
        <w:t xml:space="preserve">41  </w:t>
      </w:r>
      <w:r>
        <w:rPr>
          <w:iCs/>
          <w:i/>
        </w:rPr>
        <w:t xml:space="preserve">Id.</w:t>
      </w:r>
      <w:r>
        <w:t xml:space="preserve"/>
      </w:r>
      <w:r>
        <w:t xml:space="preserve">at *51. In its summary judgment order, the court held that "[a]s a matter of plain language, the Company's reading is correct."</w:t>
      </w:r>
      <w:r>
        <w:t xml:space="preserve"> </w:t>
      </w:r>
      <w:r>
        <w:rPr>
          <w:iCs/>
          <w:i/>
        </w:rPr>
        <w:t xml:space="preserve">Summary Judgment Order</w:t>
      </w:r>
      <w:r>
        <w:t xml:space="preserve"> </w:t>
      </w:r>
      <w:r>
        <w:t xml:space="preserve">, C.A. No. 12447-VCL, at ¶ 16. Further, it held that the plain language of the definition of "Exit Sale" contemplates a transaction "in which all members participate and in which all members receive a proportionate share of the consideration," and that it "does not contemplate a partial sale that would leave behind particular assets, portions of the Company, or investors," nor does it contemplate "a transaction in which some investors get greater amounts than others."</w:t>
      </w:r>
      <w:r>
        <w:t xml:space="preserve"> </w:t>
      </w:r>
      <w:r>
        <w:rPr>
          <w:iCs/>
          <w:i/>
        </w:rPr>
        <w:t xml:space="preserve">Id.</w:t>
      </w:r>
      <w:r>
        <w:t xml:space="preserve"> </w:t>
      </w:r>
      <w:r>
        <w:t xml:space="preserve">at ¶ 17.</w:t>
      </w:r>
    </w:p>
  </w:footnote>
  <w:footnote w:id="566">
    <w:p>
      <w:pPr>
        <w:pStyle w:val="CaseFootnoteText"/>
      </w:pPr>
      <w:r>
        <w:rPr>
          <w:rStyle w:val="FootnoteReference"/>
        </w:rPr>
        <w:t xml:space="preserve">41  </w:t>
      </w:r>
      <w:r>
        <w:t xml:space="preserve"/>
      </w:r>
      <w:r>
        <w:t xml:space="preserve">See,</w:t>
      </w:r>
      <w:r>
        <w:t xml:space="preserve"> </w:t>
      </w:r>
      <w:r>
        <w:rPr>
          <w:iCs/>
          <w:i/>
        </w:rPr>
        <w:t xml:space="preserve">e. g., Bethel School Dist. No. 403</w:t>
      </w:r>
      <w:r>
        <w:t xml:space="preserve"> </w:t>
      </w:r>
      <w:r>
        <w:t xml:space="preserve">v.</w:t>
      </w:r>
      <w:r>
        <w:t xml:space="preserve"> </w:t>
      </w:r>
      <w:r>
        <w:rPr>
          <w:iCs/>
          <w:i/>
        </w:rPr>
        <w:t xml:space="preserve">Fraser,</w:t>
      </w:r>
      <w:r>
        <w:t xml:space="preserve"> </w:t>
      </w:r>
      <w:r>
        <w:t xml:space="preserve">478 U. S. 675, 682 (1986) ("[T]he constitutional rights of students in public school are not automatically coextensive with the rights of adults in other settings”).</w:t>
      </w:r>
    </w:p>
  </w:footnote>
  <w:footnote w:id="567">
    <w:p>
      <w:pPr>
        <w:pStyle w:val="CaseFootnoteText"/>
      </w:pPr>
      <w:r>
        <w:rPr>
          <w:rStyle w:val="FootnoteReference"/>
        </w:rPr>
        <w:t xml:space="preserve">41  </w:t>
      </w:r>
      <w:r>
        <w:t xml:space="preserve">Donald J. Wolfe and Michael A. Pittenger,</w:t>
      </w:r>
      <w:r>
        <w:t xml:space="preserve"> </w:t>
      </w:r>
      <w:r>
        <w:rPr>
          <w:iCs/>
          <w:i/>
        </w:rPr>
        <w:t xml:space="preserve">Corporate and Commercial Practice in the Delaware Court of Chancery</w:t>
      </w:r>
      <w:r>
        <w:t xml:space="preserve"> </w:t>
      </w:r>
      <w:r>
        <w:t xml:space="preserve">§ 9-2(a), at 517-18 (1998).</w:t>
      </w:r>
    </w:p>
  </w:footnote>
  <w:footnote w:id="568">
    <w:p>
      <w:pPr>
        <w:pStyle w:val="CaseFootnoteText"/>
      </w:pPr>
      <w:r>
        <w:rPr>
          <w:rStyle w:val="FootnoteReference"/>
        </w:rPr>
        <w:t xml:space="preserve">41  </w:t>
      </w:r>
      <w:r>
        <w:t xml:space="preserve"/>
      </w:r>
      <w:r>
        <w:t xml:space="preserve"> </w:t>
      </w:r>
      <w:r>
        <w:rPr>
          <w:iCs/>
          <w:i/>
        </w:rPr>
        <w:t xml:space="preserve">See, e.g.,</w:t>
      </w:r>
      <w:r>
        <w:t xml:space="preserve"> </w:t>
      </w:r>
      <w:r>
        <w:t xml:space="preserve">App. to Opening Br. at 3174 (Ma Deposition at 42-43).</w:t>
      </w:r>
    </w:p>
  </w:footnote>
  <w:footnote w:id="569">
    <w:p>
      <w:pPr>
        <w:pStyle w:val="CaseFootnoteText"/>
      </w:pPr>
      <w:r>
        <w:rPr>
          <w:rStyle w:val="FootnoteReference"/>
        </w:rPr>
        <w:t xml:space="preserve">41  </w:t>
      </w:r>
      <w:r>
        <w:t xml:space="preserve">To combat defendants’ argument that Ban-corp stockholders ratified any improprieties, plaintiff argued in the Court of Chancery that defendants were liable for corporate waste, which if proven purportedly requires a unanimous stockholder vote to constitute ratification. Plaintiff appears to have abandoned his corporate waste claim on appeal.</w:t>
      </w:r>
    </w:p>
  </w:footnote>
  <w:footnote w:id="570">
    <w:p>
      <w:pPr>
        <w:pStyle w:val="CaseFootnoteText"/>
      </w:pPr>
      <w:r>
        <w:rPr>
          <w:rStyle w:val="FootnoteReference"/>
        </w:rPr>
        <w:t xml:space="preserve">41  </w:t>
      </w:r>
      <w:r>
        <w:t xml:space="preserve"/>
      </w:r>
      <w:r>
        <w:t xml:space="preserve"> </w:t>
      </w:r>
      <w:r>
        <w:rPr>
          <w:iCs/>
          <w:i/>
        </w:rPr>
        <w:t xml:space="preserve">Id.</w:t>
      </w:r>
      <w:r>
        <w:t xml:space="preserve"> </w:t>
      </w:r>
      <w:r>
        <w:t xml:space="preserve">at 185 (Handelsman).</w:t>
      </w:r>
    </w:p>
  </w:footnote>
  <w:footnote w:id="571">
    <w:p>
      <w:pPr>
        <w:pStyle w:val="CaseFootnoteText"/>
      </w:pPr>
      <w:r>
        <w:rPr>
          <w:rStyle w:val="FootnoteReference"/>
        </w:rPr>
        <w:t xml:space="preserve">42  </w:t>
      </w:r>
      <w:r>
        <w:rPr>
          <w:iCs/>
          <w:i/>
        </w:rPr>
        <w:t xml:space="preserve">Chancery Opinion</w:t>
      </w:r>
      <w:r>
        <w:t xml:space="preserve"/>
      </w:r>
      <w:r>
        <w:t xml:space="preserve">,</w:t>
      </w:r>
      <w:r>
        <w:t xml:space="preserve"> </w:t>
      </w:r>
      <w:r>
        <w:t xml:space="preserve">2018 WL 818760</w:t>
      </w:r>
      <w:r>
        <w:t xml:space="preserve">, at *53 ("When the 1.5x Clause is read in light of the definition of Exit Sale, the Leave Behind Theory is no longer viable.").</w:t>
      </w:r>
    </w:p>
  </w:footnote>
  <w:footnote w:id="572">
    <w:p>
      <w:pPr>
        <w:pStyle w:val="CaseFootnoteText"/>
      </w:pPr>
      <w:r>
        <w:rPr>
          <w:rStyle w:val="FootnoteReference"/>
        </w:rPr>
        <w:t xml:space="preserve">42  </w:t>
      </w:r>
      <w:r>
        <w:t xml:space="preserve"/>
      </w:r>
      <w:r>
        <w:t xml:space="preserve">See,</w:t>
      </w:r>
      <w:r>
        <w:t xml:space="preserve"> </w:t>
      </w:r>
      <w:r>
        <w:rPr>
          <w:iCs/>
          <w:i/>
        </w:rPr>
        <w:t xml:space="preserve">e. g., Jones</w:t>
      </w:r>
      <w:r>
        <w:t xml:space="preserve"> </w:t>
      </w:r>
      <w:r>
        <w:t xml:space="preserve">v.</w:t>
      </w:r>
      <w:r>
        <w:t xml:space="preserve"> </w:t>
      </w:r>
      <w:r>
        <w:rPr>
          <w:iCs/>
          <w:i/>
        </w:rPr>
        <w:t xml:space="preserve">North Carolina Prisoners’ Labor Union, Inc.,</w:t>
      </w:r>
      <w:r>
        <w:t xml:space="preserve"> </w:t>
      </w:r>
      <w:r>
        <w:t xml:space="preserve">433 U. S. 119, 129 (1977) (“In a prison context, an inmate does.not retain those First Amendment rights that are inconsistent with his status as a prisoner or with the legitimate penological objectives of the corrections system” (internal quotation marks omitted)).</w:t>
      </w:r>
    </w:p>
  </w:footnote>
  <w:footnote w:id="573">
    <w:p>
      <w:pPr>
        <w:pStyle w:val="CaseFootnoteText"/>
      </w:pPr>
      <w:r>
        <w:rPr>
          <w:rStyle w:val="FootnoteReference"/>
        </w:rPr>
        <w:t xml:space="preserve">42  </w:t>
      </w:r>
      <w:r>
        <w:t xml:space="preserve">No party has argued that the "demand” requirement for a derivative suit has not been satisfied. I do not reach that issue, however, because it has not been raised and it appears likely that demand would have been "futile” given the record before me.</w:t>
      </w:r>
    </w:p>
  </w:footnote>
  <w:footnote w:id="574">
    <w:p>
      <w:pPr>
        <w:pStyle w:val="CaseFootnoteText"/>
      </w:pPr>
      <w:r>
        <w:rPr>
          <w:rStyle w:val="FootnoteReference"/>
        </w:rPr>
        <w:t xml:space="preserve">42  </w:t>
      </w:r>
      <w:r>
        <w:t xml:space="preserve">The record does not reflect any additional detail beyond that update, including whether or not the board formally approved offering more than $2.75 billion. App. to Opening Br. at 1623.</w:t>
      </w:r>
    </w:p>
  </w:footnote>
  <w:footnote w:id="575">
    <w:p>
      <w:pPr>
        <w:pStyle w:val="CaseFootnoteText"/>
      </w:pPr>
      <w:r>
        <w:rPr>
          <w:rStyle w:val="FootnoteReference"/>
        </w:rPr>
        <w:t xml:space="preserve">42  </w:t>
      </w:r>
      <w:r>
        <w:t xml:space="preserve">Opinion at 20-25. The trial court declined to reach the stockholder ratification issue in light of this holding. This Court similarly does not reach the issue.</w:t>
      </w:r>
    </w:p>
  </w:footnote>
  <w:footnote w:id="576">
    <w:p>
      <w:pPr>
        <w:pStyle w:val="CaseFootnoteText"/>
      </w:pPr>
      <w:r>
        <w:rPr>
          <w:rStyle w:val="FootnoteReference"/>
        </w:rPr>
        <w:t xml:space="preserve">42  </w:t>
      </w:r>
      <w:r>
        <w:t xml:space="preserve"/>
      </w:r>
      <w:r>
        <w:t xml:space="preserve"> </w:t>
      </w:r>
      <w:r>
        <w:rPr>
          <w:iCs/>
          <w:i/>
        </w:rPr>
        <w:t xml:space="preserve">Id.</w:t>
      </w:r>
      <w:r>
        <w:t xml:space="preserve"> </w:t>
      </w:r>
      <w:r>
        <w:t xml:space="preserve">at 176 (Handelsman).</w:t>
      </w:r>
    </w:p>
  </w:footnote>
  <w:footnote w:id="577">
    <w:p>
      <w:pPr>
        <w:pStyle w:val="CaseFootnoteText"/>
      </w:pPr>
      <w:r>
        <w:rPr>
          <w:rStyle w:val="FootnoteReference"/>
        </w:rPr>
        <w:t xml:space="preserve">43  </w:t>
      </w:r>
      <w:r>
        <w:rPr>
          <w:iCs/>
          <w:i/>
        </w:rPr>
        <w:t xml:space="preserve">See</w:t>
      </w:r>
      <w:r>
        <w:t xml:space="preserve"/>
      </w:r>
      <w:r>
        <w:rPr>
          <w:iCs/>
          <w:i/>
        </w:rPr>
        <w:t xml:space="preserve">id.</w:t>
      </w:r>
      <w:r>
        <w:t xml:space="preserve"> </w:t>
      </w:r>
      <w:r>
        <w:t xml:space="preserve">at *3 ("The record at trial demonstrated that during the negotiations over the LLC Agreement, the majority member revised the 1.5x Clause to implement a Blocking Option.");</w:t>
      </w:r>
      <w:r>
        <w:t xml:space="preserve"> </w:t>
      </w:r>
      <w:r>
        <w:rPr>
          <w:iCs/>
          <w:i/>
        </w:rPr>
        <w:t xml:space="preserve">id.</w:t>
      </w:r>
      <w:r>
        <w:t xml:space="preserve"> </w:t>
      </w:r>
      <w:r>
        <w:t xml:space="preserve">at *7 (noting that in Oxbow Holdings' March 30, 2007 draft, "[t]he Leave Behind Option had flipped into a Blocking Option");</w:t>
      </w:r>
      <w:r>
        <w:t xml:space="preserve"> </w:t>
      </w:r>
      <w:r>
        <w:rPr>
          <w:iCs/>
          <w:i/>
        </w:rPr>
        <w:t xml:space="preserve">id.</w:t>
      </w:r>
      <w:r>
        <w:t xml:space="preserve"> </w:t>
      </w:r>
      <w:r>
        <w:t xml:space="preserve">at *9 ("To my eye, Koch's revisions eliminated the Leave Behind Option and created a Blocking Option. At trial, Koch testified that he revised the Exit Sale Right to implement a Blocking Option.... Koch's testimony was logical and credible.");</w:t>
      </w:r>
      <w:r>
        <w:t xml:space="preserve"> </w:t>
      </w:r>
      <w:r>
        <w:rPr>
          <w:iCs/>
          <w:i/>
        </w:rPr>
        <w:t xml:space="preserve">id.</w:t>
      </w:r>
      <w:r>
        <w:t xml:space="preserve"> </w:t>
      </w:r>
      <w:r>
        <w:t xml:space="preserve">at *11 (stating that Oxbow Holdings circulated a draft LLC Agreement and noting that "[t]he language continued to contemplate a Blocking Option, consistent with Koch's revisions");</w:t>
      </w:r>
      <w:r>
        <w:t xml:space="preserve"> </w:t>
      </w:r>
      <w:r>
        <w:rPr>
          <w:iCs/>
          <w:i/>
        </w:rPr>
        <w:t xml:space="preserve">id.</w:t>
      </w:r>
      <w:r>
        <w:t xml:space="preserve"> </w:t>
      </w:r>
      <w:r>
        <w:t xml:space="preserve">at *56 ("Although Crestview and ArcLight initially proposed the 1.5x Clause as a Leave Behind Option for ArcLight, Koch personally revised the provision to change it to a Blocking Option. Koch explained credibly what he was seeking to achieve, which fit with his economic interests at the time and matched up with the plain language of his changes.").</w:t>
      </w:r>
    </w:p>
  </w:footnote>
  <w:footnote w:id="578">
    <w:p>
      <w:pPr>
        <w:pStyle w:val="CaseFootnoteText"/>
      </w:pPr>
      <w:r>
        <w:rPr>
          <w:rStyle w:val="FootnoteReference"/>
        </w:rPr>
        <w:t xml:space="preserve">43  </w:t>
      </w:r>
      <w:r>
        <w:t xml:space="preserve"/>
      </w:r>
      <w:r>
        <w:t xml:space="preserve">See,</w:t>
      </w:r>
      <w:r>
        <w:t xml:space="preserve"> </w:t>
      </w:r>
      <w:r>
        <w:rPr>
          <w:iCs/>
          <w:i/>
        </w:rPr>
        <w:t xml:space="preserve">e. g., Parker</w:t>
      </w:r>
      <w:r>
        <w:t xml:space="preserve"> </w:t>
      </w:r>
      <w:r>
        <w:t xml:space="preserve">v.</w:t>
      </w:r>
      <w:r>
        <w:t xml:space="preserve"> </w:t>
      </w:r>
      <w:r>
        <w:rPr>
          <w:iCs/>
          <w:i/>
        </w:rPr>
        <w:t xml:space="preserve">Levy,</w:t>
      </w:r>
      <w:r>
        <w:t xml:space="preserve"> </w:t>
      </w:r>
      <w:r>
        <w:t xml:space="preserve">417 U. S. 733, 758 (1974) (“While the members of the military are not excluded from the protection granted by the First Amendment, the different character of the military community and of the military mission requires a different application of those protections”).</w:t>
      </w:r>
    </w:p>
  </w:footnote>
  <w:footnote w:id="579">
    <w:p>
      <w:pPr>
        <w:pStyle w:val="CaseFootnoteText"/>
      </w:pPr>
      <w:r>
        <w:rPr>
          <w:rStyle w:val="FootnoteReference"/>
        </w:rPr>
        <w:t xml:space="preserve">43  </w:t>
      </w:r>
      <w:r>
        <w:t xml:space="preserve">Del.Supr.,</w:t>
      </w:r>
      <w:r>
        <w:t xml:space="preserve"> </w:t>
      </w:r>
      <w:r>
        <w:t xml:space="preserve">676 A.2d 436</w:t>
      </w:r>
      <w:r>
        <w:t xml:space="preserve"> </w:t>
      </w:r>
      <w:r>
        <w:t xml:space="preserve">(1996).</w:t>
      </w:r>
    </w:p>
  </w:footnote>
  <w:footnote w:id="580">
    <w:p>
      <w:pPr>
        <w:pStyle w:val="CaseFootnoteText"/>
      </w:pPr>
      <w:r>
        <w:rPr>
          <w:rStyle w:val="FootnoteReference"/>
        </w:rPr>
        <w:t xml:space="preserve">43  </w:t>
      </w:r>
      <w:r>
        <w:t xml:space="preserve">Although the plaintiffs attempt to cast many of Comstock’s statements in an ominous light, at least a plausible reading of the record suggests that Comstock was aggressively negotiating to create value for C &amp; J’s stockholders, and that his belief that the deal would be valuable to them was sincere. Comstock could have been using his communications as a "cover” for his true self-interest in pursuing a deal, but many of his emails and text messages — in which he discusses his often negative perceptions of Nabors; Na-bors’ banker, Goldman; his own bankers, Citi and Tudor; Petrello; and others — read as authentically salty, sent by a sophisticated businessman and the founder of the company, who believed he had found a deal that would grow “his” company and benefit all stockholders.</w:t>
      </w:r>
    </w:p>
  </w:footnote>
  <w:footnote w:id="581">
    <w:p>
      <w:pPr>
        <w:pStyle w:val="CaseFootnoteText"/>
      </w:pPr>
      <w:r>
        <w:rPr>
          <w:rStyle w:val="FootnoteReference"/>
        </w:rPr>
        <w:t xml:space="preserve">43  </w:t>
      </w:r>
      <w:r>
        <w:t xml:space="preserve">In agreeing with the conclusion reached by the Vice Chancellor we do not necessarily adopt all of that court’s language, Opinion at 20-25, but note merely that the language of</w:t>
      </w:r>
      <w:r>
        <w:t xml:space="preserve"> </w:t>
      </w:r>
      <w:r>
        <w:rPr>
          <w:iCs/>
          <w:i/>
        </w:rPr>
        <w:t xml:space="preserve">Paramount Communications, Inc. v. QVC Network, Inc.,</w:t>
      </w:r>
      <w:r>
        <w:t xml:space="preserve"> </w:t>
      </w:r>
      <w:r>
        <w:t xml:space="preserve">Del.Supr.,</w:t>
      </w:r>
      <w:r>
        <w:t xml:space="preserve"> </w:t>
      </w:r>
      <w:r>
        <w:t xml:space="preserve">637 A.2d 34</w:t>
      </w:r>
      <w:r>
        <w:t xml:space="preserve"> </w:t>
      </w:r>
      <w:r>
        <w:t xml:space="preserve">(1994), controls on this issue.</w:t>
      </w:r>
    </w:p>
  </w:footnote>
  <w:footnote w:id="582">
    <w:p>
      <w:pPr>
        <w:pStyle w:val="CaseFootnoteText"/>
      </w:pPr>
      <w:r>
        <w:rPr>
          <w:rStyle w:val="FootnoteReference"/>
        </w:rPr>
        <w:t xml:space="preserve">43  </w:t>
      </w:r>
      <w:r>
        <w:t xml:space="preserve">JX-18 at 8 ($53.16 x 67,000,000 = $3,561,720,000).</w:t>
      </w:r>
    </w:p>
  </w:footnote>
  <w:footnote w:id="583">
    <w:p>
      <w:pPr>
        <w:pStyle w:val="CaseFootnoteText"/>
      </w:pPr>
      <w:r>
        <w:rPr>
          <w:rStyle w:val="FootnoteReference"/>
        </w:rPr>
        <w:t xml:space="preserve">44  </w:t>
      </w:r>
      <w:r>
        <w:rPr>
          <w:iCs/>
          <w:i/>
        </w:rPr>
        <w:t xml:space="preserve">Id.</w:t>
      </w:r>
      <w:r>
        <w:t xml:space="preserve"/>
      </w:r>
      <w:r>
        <w:t xml:space="preserve">at *54.</w:t>
      </w:r>
    </w:p>
  </w:footnote>
  <w:footnote w:id="584">
    <w:p>
      <w:pPr>
        <w:pStyle w:val="CaseFootnoteText"/>
      </w:pPr>
      <w:r>
        <w:rPr>
          <w:rStyle w:val="FootnoteReference"/>
        </w:rPr>
        <w:t xml:space="preserve">44  </w:t>
      </w:r>
      <w:r>
        <w:t xml:space="preserve"/>
      </w:r>
      <w:r>
        <w:t xml:space="preserve">See,</w:t>
      </w:r>
      <w:r>
        <w:t xml:space="preserve"> </w:t>
      </w:r>
      <w:r>
        <w:rPr>
          <w:iCs/>
          <w:i/>
        </w:rPr>
        <w:t xml:space="preserve">e. g.,</w:t>
      </w:r>
      <w:r>
        <w:t xml:space="preserve"> </w:t>
      </w:r>
      <w:r>
        <w:t xml:space="preserve">2 U. S. C. § 441e(a)(1) (foreign nationals may not directly or indirectly make contributions or independent expenditures in connection with a U. S. election).</w:t>
      </w:r>
    </w:p>
  </w:footnote>
  <w:footnote w:id="585">
    <w:p>
      <w:pPr>
        <w:pStyle w:val="CaseFootnoteText"/>
      </w:pPr>
      <w:r>
        <w:rPr>
          <w:rStyle w:val="FootnoteReference"/>
        </w:rPr>
        <w:t xml:space="preserve">44  </w:t>
      </w:r>
      <w:r>
        <w:t xml:space="preserve"/>
      </w:r>
      <w:r>
        <w:t xml:space="preserve"> </w:t>
      </w:r>
      <w:r>
        <w:rPr>
          <w:iCs/>
          <w:i/>
        </w:rPr>
        <w:t xml:space="preserve">Id.</w:t>
      </w:r>
      <w:r>
        <w:rPr>
          <w:iCs/>
          <w:i/>
        </w:rPr>
        <w:t xml:space="preserve"> </w:t>
      </w:r>
      <w:r>
        <w:t xml:space="preserve">at 443</w:t>
      </w:r>
      <w:r>
        <w:t xml:space="preserve">.</w:t>
      </w:r>
    </w:p>
  </w:footnote>
  <w:footnote w:id="586">
    <w:p>
      <w:pPr>
        <w:pStyle w:val="CaseFootnoteText"/>
      </w:pPr>
      <w:r>
        <w:rPr>
          <w:rStyle w:val="FootnoteReference"/>
        </w:rPr>
        <w:t xml:space="preserve">44  </w:t>
      </w:r>
      <w:r>
        <w:t xml:space="preserve"/>
      </w:r>
      <w:r>
        <w:t xml:space="preserve"> </w:t>
      </w:r>
      <w:r>
        <w:rPr>
          <w:iCs/>
          <w:i/>
        </w:rPr>
        <w:t xml:space="preserve">See, e.g.,</w:t>
      </w:r>
      <w:r>
        <w:t xml:space="preserve"> </w:t>
      </w:r>
      <w:r>
        <w:t xml:space="preserve">App. to Opening Br. at 2343 (email from Comstock to Ma, dated April 30, 2014, explaining that "If we find on Monday [during a meeting with Nabors] that we can’t get our needs on governance, we walk”); 2487 (email from Comstock to Citi advisors, dated June 11, stating that "At the end of the day [] to lose all the work we’ve done, but fair is fair. I can’t do the deal without these concessions. I’m even struggling with $2.8b. The shareholder value is at [C &amp; J] not [Na-bors CPS]. I have to create more through this deal, not less”); 2489 (earlier email in exchange from Comstock noting that "I think this move is necessary for Fairness Opinion and to meet my and my Board’s fiduciary duties to our shareholders”).</w:t>
      </w:r>
    </w:p>
  </w:footnote>
  <w:footnote w:id="587">
    <w:p>
      <w:pPr>
        <w:pStyle w:val="CaseFootnoteText"/>
      </w:pPr>
      <w:r>
        <w:rPr>
          <w:rStyle w:val="FootnoteReference"/>
        </w:rPr>
        <w:t xml:space="preserve">44  </w:t>
      </w:r>
      <w:r>
        <w:t xml:space="preserve"/>
      </w:r>
      <w:r>
        <w:t xml:space="preserve"> </w:t>
      </w:r>
      <w:r>
        <w:rPr>
          <w:iCs/>
          <w:i/>
        </w:rPr>
        <w:t xml:space="preserve">See also</w:t>
      </w:r>
      <w:r>
        <w:t xml:space="preserve"> </w:t>
      </w:r>
      <w:r>
        <w:t xml:space="preserve">Marcel Kahan,</w:t>
      </w:r>
      <w:r>
        <w:t xml:space="preserve"> </w:t>
      </w:r>
      <w:r>
        <w:rPr>
          <w:iCs/>
          <w:i/>
        </w:rPr>
        <w:t xml:space="preserve">Paramount or Paradox: The Delaware Supreme Court's Takeover Jurisprudence,</w:t>
      </w:r>
      <w:r>
        <w:t xml:space="preserve"> </w:t>
      </w:r>
      <w:r>
        <w:t xml:space="preserve">19 J.Corp.L. 583</w:t>
      </w:r>
      <w:r>
        <w:t xml:space="preserve">, 595 (1994) ("What is important about the fact that 'control remains in the hands of unaffiliated shareholders, 'in the market,' is that all these unaffiliated shareholders have virtually identical interests with respect to the company: to maximize the value of their shares.”).</w:t>
      </w:r>
    </w:p>
  </w:footnote>
  <w:footnote w:id="588">
    <w:p>
      <w:pPr>
        <w:pStyle w:val="CaseFootnoteText"/>
      </w:pPr>
      <w:r>
        <w:rPr>
          <w:rStyle w:val="FootnoteReference"/>
        </w:rPr>
        <w:t xml:space="preserve">44  </w:t>
      </w:r>
      <w:r>
        <w:t xml:space="preserve">The parties further agreed that for the purposes of the two-thirds vote, each share would only be entitled to one vote. Thus, Grupo Mexico could only vote its 54.17% equity ownership, not the 63.08% voting power it ordinarily held due to the super-voting rights of the Founders Shares.</w:t>
      </w:r>
    </w:p>
  </w:footnote>
  <w:footnote w:id="589">
    <w:p>
      <w:pPr>
        <w:pStyle w:val="CaseFootnoteText"/>
      </w:pPr>
      <w:r>
        <w:rPr>
          <w:rStyle w:val="FootnoteReference"/>
        </w:rPr>
        <w:t xml:space="preserve">45  </w:t>
      </w:r>
      <w:r>
        <w:t xml:space="preserve">App. to Opening Br. at A2114.</w:t>
      </w:r>
    </w:p>
  </w:footnote>
  <w:footnote w:id="590">
    <w:p>
      <w:pPr>
        <w:pStyle w:val="CaseFootnoteText"/>
      </w:pPr>
      <w:r>
        <w:rPr>
          <w:rStyle w:val="FootnoteReference"/>
        </w:rPr>
        <w:t xml:space="preserve">45  </w:t>
      </w:r>
      <w:r>
        <w:t xml:space="preserve"/>
      </w:r>
      <w:r>
        <w:t xml:space="preserve">See,</w:t>
      </w:r>
      <w:r>
        <w:t xml:space="preserve"> </w:t>
      </w:r>
      <w:r>
        <w:rPr>
          <w:iCs/>
          <w:i/>
        </w:rPr>
        <w:t xml:space="preserve">e. g., Civil Service Comm’n</w:t>
      </w:r>
      <w:r>
        <w:t xml:space="preserve"> </w:t>
      </w:r>
      <w:r>
        <w:t xml:space="preserve">v.</w:t>
      </w:r>
      <w:r>
        <w:t xml:space="preserve"> </w:t>
      </w:r>
      <w:r>
        <w:rPr>
          <w:iCs/>
          <w:i/>
        </w:rPr>
        <w:t xml:space="preserve">Letter Carriers,</w:t>
      </w:r>
      <w:r>
        <w:t xml:space="preserve"> </w:t>
      </w:r>
      <w:r>
        <w:t xml:space="preserve">413 U. S. 548, 550 (1973) (upholding statute prohibiting Executive Branch employees from taking “an active part in political management or in political campaigns” (internal quotation marks omitted));</w:t>
      </w:r>
      <w:r>
        <w:t xml:space="preserve"> </w:t>
      </w:r>
      <w:r>
        <w:rPr>
          <w:iCs/>
          <w:i/>
        </w:rPr>
        <w:t xml:space="preserve">Public Workers</w:t>
      </w:r>
      <w:r>
        <w:t xml:space="preserve"> </w:t>
      </w:r>
      <w:r>
        <w:t xml:space="preserve">v.</w:t>
      </w:r>
      <w:r>
        <w:t xml:space="preserve"> </w:t>
      </w:r>
      <w:r>
        <w:rPr>
          <w:iCs/>
          <w:i/>
        </w:rPr>
        <w:t xml:space="preserve">Mitchell,</w:t>
      </w:r>
      <w:r>
        <w:t xml:space="preserve"> </w:t>
      </w:r>
      <w:r>
        <w:t xml:space="preserve">330 U. S. 75 (1947) (same);</w:t>
      </w:r>
      <w:r>
        <w:t xml:space="preserve"> </w:t>
      </w:r>
      <w:r>
        <w:rPr>
          <w:iCs/>
          <w:i/>
        </w:rPr>
        <w:t xml:space="preserve">United States</w:t>
      </w:r>
      <w:r>
        <w:t xml:space="preserve"> </w:t>
      </w:r>
      <w:r>
        <w:t xml:space="preserve">v.</w:t>
      </w:r>
      <w:r>
        <w:t xml:space="preserve"> </w:t>
      </w:r>
      <w:r>
        <w:rPr>
          <w:iCs/>
          <w:i/>
        </w:rPr>
        <w:t xml:space="preserve">Wurzbach,</w:t>
      </w:r>
      <w:r>
        <w:t xml:space="preserve"> </w:t>
      </w:r>
      <w:r>
        <w:t xml:space="preserve">280 U. S. 396, 398 (1930) (upholding statute prohibiting federal employees from making contributions to Members of Congress for “any political purpose whatever” (internal quotation marks omitted));</w:t>
      </w:r>
      <w:r>
        <w:t xml:space="preserve"> </w:t>
      </w:r>
      <w:r>
        <w:rPr>
          <w:iCs/>
          <w:i/>
        </w:rPr>
        <w:t xml:space="preserve">Ex parte Curtis,</w:t>
      </w:r>
      <w:r>
        <w:t xml:space="preserve"> </w:t>
      </w:r>
      <w:r>
        <w:t xml:space="preserve">106 U. S. 371 (1882) (upholding statute prohibiting certain federal employees from giving money to other employees for political purposes).</w:t>
      </w:r>
    </w:p>
  </w:footnote>
  <w:footnote w:id="591">
    <w:p>
      <w:pPr>
        <w:pStyle w:val="CaseFootnoteText"/>
      </w:pPr>
      <w:r>
        <w:rPr>
          <w:rStyle w:val="FootnoteReference"/>
        </w:rPr>
        <w:t xml:space="preserve">45  </w:t>
      </w:r>
      <w:r>
        <w:t xml:space="preserve">Apparently, the third party was unaware of the Erikson’s voting control over CERBCO.</w:t>
      </w:r>
      <w:r>
        <w:t xml:space="preserve"> </w:t>
      </w:r>
      <w:r>
        <w:rPr>
          <w:iCs/>
          <w:i/>
        </w:rPr>
        <w:t xml:space="preserve">Id.</w:t>
      </w:r>
      <w:r>
        <w:rPr>
          <w:iCs/>
          <w:i/>
        </w:rPr>
        <w:t xml:space="preserve"> </w:t>
      </w:r>
      <w:r>
        <w:t xml:space="preserve">at 438</w:t>
      </w:r>
      <w:r>
        <w:t xml:space="preserve">.</w:t>
      </w:r>
    </w:p>
  </w:footnote>
  <w:footnote w:id="592">
    <w:p>
      <w:pPr>
        <w:pStyle w:val="CaseFootnoteText"/>
      </w:pPr>
      <w:r>
        <w:rPr>
          <w:rStyle w:val="FootnoteReference"/>
        </w:rPr>
        <w:t xml:space="preserve">45  </w:t>
      </w:r>
      <w:r>
        <w:t xml:space="preserve"/>
      </w:r>
      <w:r>
        <w:t xml:space="preserve"> </w:t>
      </w:r>
      <w:r>
        <w:rPr>
          <w:iCs/>
          <w:i/>
        </w:rPr>
        <w:t xml:space="preserve">See, e.g.,</w:t>
      </w:r>
      <w:r>
        <w:t xml:space="preserve"> </w:t>
      </w:r>
      <w:r>
        <w:t xml:space="preserve">App. to Opening Br. at 703-06.</w:t>
      </w:r>
    </w:p>
  </w:footnote>
  <w:footnote w:id="593">
    <w:p>
      <w:pPr>
        <w:pStyle w:val="CaseFootnoteText"/>
      </w:pPr>
      <w:r>
        <w:rPr>
          <w:rStyle w:val="FootnoteReference"/>
        </w:rPr>
        <w:t xml:space="preserve">45  </w:t>
      </w:r>
      <w:r>
        <w:t xml:space="preserve"/>
      </w:r>
      <w:r>
        <w:t xml:space="preserve"> </w:t>
      </w:r>
      <w:r>
        <w:rPr>
          <w:iCs/>
          <w:i/>
        </w:rPr>
        <w:t xml:space="preserve">See QVC,</w:t>
      </w:r>
      <w:r>
        <w:t xml:space="preserve"> </w:t>
      </w:r>
      <w:r>
        <w:t xml:space="preserve">637 A.2d at 47-48</w:t>
      </w:r>
      <w:r>
        <w:t xml:space="preserve"> </w:t>
      </w:r>
      <w:r>
        <w:t xml:space="preserve">(finding, under the facts of that case, that a single person would have control of the surviving corporation and the stockholders would lose their opportunity to command a control premium).</w:t>
      </w:r>
      <w:r>
        <w:t xml:space="preserve"> </w:t>
      </w:r>
      <w:r>
        <w:rPr>
          <w:iCs/>
          <w:i/>
        </w:rPr>
        <w:t xml:space="preserve">See also supra</w:t>
      </w:r>
      <w:r>
        <w:t xml:space="preserve"> </w:t>
      </w:r>
      <w:r>
        <w:t xml:space="preserve">part V.A., note 20.</w:t>
      </w:r>
    </w:p>
    <w:p>
      <w:pPr>
        <w:pStyle w:val="NodeEnd"/>
      </w:pPr>
      <w:r>
        <w:t xml:space="preserve"> </w:t>
      </w:r>
    </w:p>
    <w:p>
      <w:pPr>
        <w:pStyle w:val="NodeStart"/>
      </w:pPr>
      <w:r>
        <w:t xml:space="preserve"> </w:t>
      </w:r>
    </w:p>
    <w:p>
      <w:pPr>
        <w:pStyle w:val="HeadSeparator"/>
      </w:pPr>
      <w:r>
        <w:t xml:space="preserve"> </w:t>
      </w:r>
    </w:p>
  </w:footnote>
  <w:footnote w:id="594">
    <w:p>
      <w:pPr>
        <w:pStyle w:val="CaseFootnoteText"/>
      </w:pPr>
      <w:r>
        <w:rPr>
          <w:rStyle w:val="FootnoteReference"/>
        </w:rPr>
        <w:t xml:space="preserve">45  </w:t>
      </w:r>
      <w:r>
        <w:t xml:space="preserve">14.2% and 13.95% respectively.</w:t>
      </w:r>
    </w:p>
  </w:footnote>
  <w:footnote w:id="595">
    <w:p>
      <w:pPr>
        <w:pStyle w:val="CaseFootnoteText"/>
      </w:pPr>
      <w:r>
        <w:rPr>
          <w:rStyle w:val="FootnoteReference"/>
        </w:rPr>
        <w:t xml:space="preserve">46  </w:t>
      </w:r>
      <w:r>
        <w:rPr>
          <w:iCs/>
          <w:i/>
        </w:rPr>
        <w:t xml:space="preserve">Chancery Opinion</w:t>
      </w:r>
      <w:r>
        <w:t xml:space="preserve"/>
      </w:r>
      <w:r>
        <w:t xml:space="preserve">,</w:t>
      </w:r>
      <w:r>
        <w:t xml:space="preserve"> </w:t>
      </w:r>
      <w:r>
        <w:t xml:space="preserve">2018 WL 818760</w:t>
      </w:r>
      <w:r>
        <w:t xml:space="preserve">, at *54 (citations omitted).</w:t>
      </w:r>
    </w:p>
  </w:footnote>
  <w:footnote w:id="596">
    <w:p>
      <w:pPr>
        <w:pStyle w:val="CaseFootnoteText"/>
      </w:pPr>
      <w:r>
        <w:rPr>
          <w:rStyle w:val="FootnoteReference"/>
        </w:rPr>
        <w:t xml:space="preserve">46  </w:t>
      </w:r>
      <w:r>
        <w:t xml:space="preserve"/>
      </w:r>
      <w:r>
        <w:t xml:space="preserve">The majority states that the cases just cited are “inapposite” because they “stand only for the proposition that there are certain governmental functions that cannot operate without some restrictions on particular kinds of speech.”</w:t>
      </w:r>
      <w:r>
        <w:t xml:space="preserve"> </w:t>
      </w:r>
      <w:r>
        <w:rPr>
          <w:iCs/>
          <w:i/>
        </w:rPr>
        <w:t xml:space="preserve">Ante,</w:t>
      </w:r>
      <w:r>
        <w:t xml:space="preserve"> </w:t>
      </w:r>
      <w:r>
        <w:t xml:space="preserve">at 341. The majority’s creative suggestion that these cases stand only for that one proposition is quite implausible. In any event, the proposition lies at the heart of this case, as Congress and half the state legislatures have concluded, over many decades, that their core functions of administering elections and passing legislation cannot operate effectively without some narrow restrictions on corporate electioneering paid for by general treasury funds.</w:t>
      </w:r>
    </w:p>
  </w:footnote>
  <w:footnote w:id="597">
    <w:p>
      <w:pPr>
        <w:pStyle w:val="CaseFootnoteText"/>
      </w:pPr>
      <w:r>
        <w:rPr>
          <w:rStyle w:val="FootnoteReference"/>
        </w:rPr>
        <w:t xml:space="preserve">46  </w:t>
      </w:r>
      <w:r>
        <w:t xml:space="preserve"/>
      </w:r>
      <w:r>
        <w:t xml:space="preserve"> </w:t>
      </w:r>
      <w:r>
        <w:rPr>
          <w:iCs/>
          <w:i/>
        </w:rPr>
        <w:t xml:space="preserve">CERBCO</w:t>
      </w:r>
      <w:r>
        <w:t xml:space="preserve"> </w:t>
      </w:r>
      <w:r>
        <w:t xml:space="preserve">also contains an extensive discussion of the Eriksons’ duties of loyalty to CERBCO. The facts germane to that discussion will be highlighted in the following section of this opinion.</w:t>
      </w:r>
    </w:p>
  </w:footnote>
  <w:footnote w:id="598">
    <w:p>
      <w:pPr>
        <w:pStyle w:val="CaseFootnoteText"/>
      </w:pPr>
      <w:r>
        <w:rPr>
          <w:rStyle w:val="FootnoteReference"/>
        </w:rPr>
        <w:t xml:space="preserve">46  </w:t>
      </w:r>
      <w:r>
        <w:t xml:space="preserve">App. to Opening Br. at 2432.</w:t>
      </w:r>
    </w:p>
  </w:footnote>
  <w:footnote w:id="599">
    <w:p>
      <w:pPr>
        <w:pStyle w:val="CaseFootnoteText"/>
      </w:pPr>
      <w:r>
        <w:rPr>
          <w:rStyle w:val="FootnoteReference"/>
        </w:rPr>
        <w:t xml:space="preserve">46  </w:t>
      </w:r>
      <w:r>
        <w:t xml:space="preserve">The Founders Shares held by Cerro and Phelps Dodge were unregistered and thus could not be publicly sold in the marketplace. Securities Act of 1933 § 5(a), 15 U.S.C. § 77e(a) (2010). SEC Rule 144 provides an exemption from the registration requirements and allows public resale of restricted securities if certain conditions are met. But, Rule 144 contains volume restrictions that made it impossible for Cerro or Phelps Dodge to sell a bloc of their shares. Specifically, Cerro and Phelps Dodge, as "affiliates” of Southern Peru, were prevented from selling an amount greater than one percent of the outstanding Founders Shares in any three-month period.</w:t>
      </w:r>
      <w:r>
        <w:t xml:space="preserve"> </w:t>
      </w:r>
      <w:r>
        <w:t xml:space="preserve">17 C.F.R. § 230.144</w:t>
      </w:r>
      <w:r>
        <w:t xml:space="preserve">(e) (2010). Absent registration, Cerro and Phelps Dodge faced a prolonged goodbye.</w:t>
      </w:r>
    </w:p>
  </w:footnote>
  <w:footnote w:id="600">
    <w:p>
      <w:pPr>
        <w:pStyle w:val="CaseFootnoteText"/>
      </w:pPr>
      <w:r>
        <w:rPr>
          <w:rStyle w:val="FootnoteReference"/>
        </w:rPr>
        <w:t xml:space="preserve">47  </w:t>
      </w:r>
      <w:r>
        <w:rPr>
          <w:iCs/>
          <w:i/>
        </w:rPr>
        <w:t xml:space="preserve">Id.</w:t>
      </w:r>
    </w:p>
  </w:footnote>
  <w:footnote w:id="601">
    <w:p>
      <w:pPr>
        <w:pStyle w:val="CaseFootnoteText"/>
      </w:pPr>
      <w:r>
        <w:rPr>
          <w:rStyle w:val="FootnoteReference"/>
        </w:rPr>
        <w:t xml:space="preserve">47  </w:t>
      </w:r>
      <w:r>
        <w:t xml:space="preserve"/>
      </w:r>
      <w:r>
        <w:t xml:space="preserve">Outside of the law, of course, it is a commonplace that the identity and incentives of the speaker might be relevant to an assessment of his speech. See Aristotle, Poetics § 11.2(vi), pp. 43-44 (M. Heath transl. 1996) (“In evaluating any utterance or action, one must take into account not just the moral qualities of what is actually done or said, but also the identity of the agent or speaker, the addressee, the occasion, the means, and the motive”). The insight that the identity of speakers is a proper subject of regulatory concern, it bears noting, motivates the disclaimer and disclosure provisions that the Court today upholds.</w:t>
      </w:r>
    </w:p>
  </w:footnote>
  <w:footnote w:id="602">
    <w:p>
      <w:pPr>
        <w:pStyle w:val="CaseFootnoteText"/>
      </w:pPr>
      <w:r>
        <w:rPr>
          <w:rStyle w:val="FootnoteReference"/>
        </w:rPr>
        <w:t xml:space="preserve">47  </w:t>
      </w:r>
      <w:r>
        <w:t xml:space="preserve"/>
      </w:r>
      <w:r>
        <w:t xml:space="preserve"> </w:t>
      </w:r>
      <w:r>
        <w:rPr>
          <w:iCs/>
          <w:i/>
        </w:rPr>
        <w:t xml:space="preserve">Id.</w:t>
      </w:r>
      <w:r>
        <w:rPr>
          <w:iCs/>
          <w:i/>
        </w:rPr>
        <w:t xml:space="preserve"> </w:t>
      </w:r>
      <w:r>
        <w:t xml:space="preserve">at 441</w:t>
      </w:r>
      <w:r>
        <w:t xml:space="preserve">.</w:t>
      </w:r>
    </w:p>
  </w:footnote>
  <w:footnote w:id="603">
    <w:p>
      <w:pPr>
        <w:pStyle w:val="CaseFootnoteText"/>
      </w:pPr>
      <w:r>
        <w:rPr>
          <w:rStyle w:val="FootnoteReference"/>
        </w:rPr>
        <w:t xml:space="preserve">47  </w:t>
      </w:r>
      <w:r>
        <w:t xml:space="preserve"/>
      </w:r>
      <w:r>
        <w:t xml:space="preserve"> </w:t>
      </w:r>
      <w:r>
        <w:rPr>
          <w:iCs/>
          <w:i/>
        </w:rPr>
        <w:t xml:space="preserve">See, e.g.,</w:t>
      </w:r>
      <w:r>
        <w:t xml:space="preserve"> </w:t>
      </w:r>
      <w:r>
        <w:t xml:space="preserve">App. to Opening Br. at 703-706 (email exchange between Comstock and other board members about valuation, dated April 13-14, 2014); 2291 (email Comstock to directors Ma, Roemer, and Friedman, dated April 10, 2014) ("Since you three are the PE professionals on the board, I wanted to get your advice on a few things tonight [for a meeting with Petrello].”).</w:t>
      </w:r>
    </w:p>
  </w:footnote>
  <w:footnote w:id="604">
    <w:p>
      <w:pPr>
        <w:pStyle w:val="CaseFootnoteText"/>
      </w:pPr>
      <w:r>
        <w:rPr>
          <w:rStyle w:val="FootnoteReference"/>
        </w:rPr>
        <w:t xml:space="preserve">47  </w:t>
      </w:r>
      <w:r>
        <w:t xml:space="preserve">Tr. at 182 (Handelsman) ("I had talked to the general counsel both of Grupo Mexico and Southern Peru about registration rights from the time of the first term sheet that Grupo Mexico sent.”).</w:t>
      </w:r>
    </w:p>
  </w:footnote>
  <w:footnote w:id="605">
    <w:p>
      <w:pPr>
        <w:pStyle w:val="CaseFootnoteText"/>
      </w:pPr>
      <w:r>
        <w:rPr>
          <w:rStyle w:val="FootnoteReference"/>
        </w:rPr>
        <w:t xml:space="preserve">48  </w:t>
      </w:r>
      <w:r>
        <w:rPr>
          <w:iCs/>
          <w:i/>
        </w:rPr>
        <w:t xml:space="preserve">Id.</w:t>
      </w:r>
    </w:p>
  </w:footnote>
  <w:footnote w:id="606">
    <w:p>
      <w:pPr>
        <w:pStyle w:val="CaseFootnoteText"/>
      </w:pPr>
      <w:r>
        <w:rPr>
          <w:rStyle w:val="FootnoteReference"/>
        </w:rPr>
        <w:t xml:space="preserve">48  </w:t>
      </w:r>
      <w:r>
        <w:t xml:space="preserve"/>
      </w:r>
      <w:r>
        <w:t xml:space="preserve">I dissented in</w:t>
      </w:r>
      <w:r>
        <w:t xml:space="preserve"> </w:t>
      </w:r>
      <w:r>
        <w:rPr>
          <w:iCs/>
          <w:i/>
        </w:rPr>
        <w:t xml:space="preserve">Forbes</w:t>
      </w:r>
      <w:r>
        <w:t xml:space="preserve"> </w:t>
      </w:r>
      <w:r>
        <w:t xml:space="preserve">because the broadcaster’s decision to exclude the respondent from its debate was done “on the basis of entirely subjective, ad hoc judgments,” 523 U. S., at 690, that suggested anticompetitive viewpoint discrimination,</w:t>
      </w:r>
      <w:r>
        <w:t xml:space="preserve"> </w:t>
      </w:r>
      <w:r>
        <w:rPr>
          <w:iCs/>
          <w:i/>
        </w:rPr>
        <w:t xml:space="preserve">id.,</w:t>
      </w:r>
      <w:r>
        <w:t xml:space="preserve"> </w:t>
      </w:r>
      <w:r>
        <w:t xml:space="preserve">at 693-694, and lacked a compelling justification. Needless to say, my concerns do not apply to the instant case.</w:t>
      </w:r>
    </w:p>
  </w:footnote>
  <w:footnote w:id="607">
    <w:p>
      <w:pPr>
        <w:pStyle w:val="CaseFootnoteText"/>
      </w:pPr>
      <w:r>
        <w:rPr>
          <w:rStyle w:val="FootnoteReference"/>
        </w:rPr>
        <w:t xml:space="preserve">48  </w:t>
      </w:r>
      <w:r>
        <w:t xml:space="preserve">This section of the DGCL provides the procedure for a sale, lease, or exchange of all or substantially all of a corporation’s assets.</w:t>
      </w:r>
    </w:p>
  </w:footnote>
  <w:footnote w:id="608">
    <w:p>
      <w:pPr>
        <w:pStyle w:val="CaseFootnoteText"/>
      </w:pPr>
      <w:r>
        <w:rPr>
          <w:rStyle w:val="FootnoteReference"/>
        </w:rPr>
        <w:t xml:space="preserve">48  </w:t>
      </w:r>
      <w:r>
        <w:t xml:space="preserve">App. to Opening Br. at 3174 (Ma Deposition at 42-43). Ma recalled that ”[i]t was never my expectation for [Comstock] to check with us every single step of the way in arriving at an agreed upon price below 3 billion that’s non-binding where we can go and diligence the business and go after synergies. [Comstock] chose to keep us abreast every step of the way partly because he always keeps the Board involved.” App. to Opening Br. at 3172 (Ma Deposition at 36).</w:t>
      </w:r>
    </w:p>
  </w:footnote>
  <w:footnote w:id="609">
    <w:p>
      <w:pPr>
        <w:pStyle w:val="CaseFootnoteText"/>
      </w:pPr>
      <w:r>
        <w:rPr>
          <w:rStyle w:val="FootnoteReference"/>
        </w:rPr>
        <w:t xml:space="preserve">48  </w:t>
      </w:r>
      <w:r>
        <w:t xml:space="preserve"/>
      </w:r>
      <w:r>
        <w:t xml:space="preserve"> </w:t>
      </w:r>
      <w:r>
        <w:rPr>
          <w:iCs/>
          <w:i/>
        </w:rPr>
        <w:t xml:space="preserve">Id.</w:t>
      </w:r>
      <w:r>
        <w:rPr>
          <w:iCs/>
          <w:i/>
        </w:rPr>
        <w:t xml:space="preserve"> </w:t>
      </w:r>
      <w:r>
        <w:t xml:space="preserve">at 167</w:t>
      </w:r>
      <w:r>
        <w:t xml:space="preserve"> </w:t>
      </w:r>
      <w:r>
        <w:t xml:space="preserve">(Handelsman) ("[W]e were all long-term holders, and we all had directors, so we were all affiliates. So none of us could really sell our shares.”);</w:t>
      </w:r>
      <w:r>
        <w:t xml:space="preserve"> </w:t>
      </w:r>
      <w:r>
        <w:rPr>
          <w:iCs/>
          <w:i/>
        </w:rPr>
        <w:t xml:space="preserve">cf.</w:t>
      </w:r>
      <w:r>
        <w:rPr>
          <w:iCs/>
          <w:i/>
        </w:rPr>
        <w:t xml:space="preserve"> </w:t>
      </w:r>
      <w:r>
        <w:rPr>
          <w:iCs/>
          <w:i/>
        </w:rPr>
        <w:t xml:space="preserve">id.</w:t>
      </w:r>
      <w:r>
        <w:rPr>
          <w:iCs/>
          <w:i/>
        </w:rPr>
        <w:t xml:space="preserve"> </w:t>
      </w:r>
      <w:r>
        <w:t xml:space="preserve">at 184</w:t>
      </w:r>
      <w:r>
        <w:t xml:space="preserve"> </w:t>
      </w:r>
      <w:r>
        <w:t xml:space="preserve">(Han-delsman) (discussing market difficulties of selling stock even if Cerro could cease to be an affiliate for purposes of the volume restrictions of Rule 144).</w:t>
      </w:r>
    </w:p>
  </w:footnote>
  <w:footnote w:id="610">
    <w:p>
      <w:pPr>
        <w:pStyle w:val="CaseFootnoteText"/>
      </w:pPr>
      <w:r>
        <w:rPr>
          <w:rStyle w:val="FootnoteReference"/>
        </w:rPr>
        <w:t xml:space="preserve">49  </w:t>
      </w:r>
      <w:r>
        <w:rPr>
          <w:iCs/>
          <w:i/>
        </w:rPr>
        <w:t xml:space="preserve">Id.</w:t>
      </w:r>
      <w:r>
        <w:t xml:space="preserve"/>
      </w:r>
      <w:r>
        <w:t xml:space="preserve">(quoting Article XI, Section 1 of the LLC Agreement (App. to Opening Br. at A2106) ).</w:t>
      </w:r>
    </w:p>
  </w:footnote>
  <w:footnote w:id="611">
    <w:p>
      <w:pPr>
        <w:pStyle w:val="CaseFootnoteText"/>
      </w:pPr>
      <w:r>
        <w:rPr>
          <w:rStyle w:val="FootnoteReference"/>
        </w:rPr>
        <w:t xml:space="preserve">49  </w:t>
      </w:r>
      <w:r>
        <w:t xml:space="preserve"/>
      </w:r>
      <w:r>
        <w:t xml:space="preserve">The law at issue in</w:t>
      </w:r>
      <w:r>
        <w:t xml:space="preserve"> </w:t>
      </w:r>
      <w:r>
        <w:rPr>
          <w:iCs/>
          <w:i/>
        </w:rPr>
        <w:t xml:space="preserve">Burson</w:t>
      </w:r>
      <w:r>
        <w:t xml:space="preserve"> </w:t>
      </w:r>
      <w:r>
        <w:t xml:space="preserve">was far from unusual. “[A]ll 50 States,” the Court observed, “limit access to the areas in or around polling places.” 504 U. S., at 206 (plurality opinion); see also Note, 91 Ky. L. J. 715, 729, n. 89, 747-769 (2003) (collecting statutes). I dissented in</w:t>
      </w:r>
      <w:r>
        <w:t xml:space="preserve"> </w:t>
      </w:r>
      <w:r>
        <w:rPr>
          <w:iCs/>
          <w:i/>
        </w:rPr>
        <w:t xml:space="preserve">Burson</w:t>
      </w:r>
      <w:r>
        <w:t xml:space="preserve"> </w:t>
      </w:r>
      <w:r>
        <w:t xml:space="preserve">because the evidence adduced to justify Tennessee’s law was “exceptionally thin,” 504 U. S., at 219, and “the reason for [the] restriction [had] disappeared]” over time,</w:t>
      </w:r>
      <w:r>
        <w:t xml:space="preserve"> </w:t>
      </w:r>
      <w:r>
        <w:rPr>
          <w:iCs/>
          <w:i/>
        </w:rPr>
        <w:t xml:space="preserve">id.,</w:t>
      </w:r>
      <w:r>
        <w:t xml:space="preserve"> </w:t>
      </w:r>
      <w:r>
        <w:t xml:space="preserve">at 223. “In short,” I concluded, “Tennessee ha[d] failed to point to any legitimate interest that would justify its selective regulation of campaign-related expression.”</w:t>
      </w:r>
      <w:r>
        <w:t xml:space="preserve"> </w:t>
      </w:r>
      <w:r>
        <w:rPr>
          <w:iCs/>
          <w:i/>
        </w:rPr>
        <w:t xml:space="preserve">Id.,</w:t>
      </w:r>
      <w:r>
        <w:t xml:space="preserve"> </w:t>
      </w:r>
      <w:r>
        <w:t xml:space="preserve">at 225. These criticisms are inapplicable to the ease before us.</w:t>
      </w:r>
    </w:p>
  </w:footnote>
  <w:footnote w:id="612">
    <w:p>
      <w:pPr>
        <w:pStyle w:val="CaseFootnoteText"/>
      </w:pPr>
      <w:r>
        <w:rPr>
          <w:rStyle w:val="FootnoteReference"/>
        </w:rPr>
        <w:t xml:space="preserve">49  </w:t>
      </w:r>
      <w:r>
        <w:t xml:space="preserve"/>
      </w:r>
      <w:r>
        <w:t xml:space="preserve"> </w:t>
      </w:r>
      <w:r>
        <w:rPr>
          <w:iCs/>
          <w:i/>
        </w:rPr>
        <w:t xml:space="preserve">CERBCO,</w:t>
      </w:r>
      <w:r>
        <w:t xml:space="preserve"> </w:t>
      </w:r>
      <w:r>
        <w:t xml:space="preserve">676 A.2d at 443</w:t>
      </w:r>
      <w:r>
        <w:t xml:space="preserve">.</w:t>
      </w:r>
    </w:p>
  </w:footnote>
  <w:footnote w:id="613">
    <w:p>
      <w:pPr>
        <w:pStyle w:val="CaseFootnoteText"/>
      </w:pPr>
      <w:r>
        <w:rPr>
          <w:rStyle w:val="FootnoteReference"/>
        </w:rPr>
        <w:t xml:space="preserve">49  </w:t>
      </w:r>
      <w:r>
        <w:t xml:space="preserve">App. to Opening Br. at 709 (Trauber email to Comstock dated April 15, 2014).</w:t>
      </w:r>
    </w:p>
  </w:footnote>
  <w:footnote w:id="614">
    <w:p>
      <w:pPr>
        <w:pStyle w:val="CaseFootnoteText"/>
      </w:pPr>
      <w:r>
        <w:rPr>
          <w:rStyle w:val="FootnoteReference"/>
        </w:rPr>
        <w:t xml:space="preserve">49  </w:t>
      </w:r>
      <w:r>
        <w:t xml:space="preserve">See</w:t>
      </w:r>
      <w:r>
        <w:t xml:space="preserve"> </w:t>
      </w:r>
      <w:r>
        <w:rPr>
          <w:iCs/>
          <w:i/>
        </w:rPr>
        <w:t xml:space="preserve">id.</w:t>
      </w:r>
      <w:r>
        <w:rPr>
          <w:iCs/>
          <w:i/>
        </w:rPr>
        <w:t xml:space="preserve"> </w:t>
      </w:r>
      <w:r>
        <w:t xml:space="preserve">at 205</w:t>
      </w:r>
      <w:r>
        <w:t xml:space="preserve"> </w:t>
      </w:r>
      <w:r>
        <w:t xml:space="preserve">(Handelsman) ("Q. Do you know whether there were other people on behalf of Cerro that were speaking to Mr. Larrea at about that time [of the agreement to vote Cerro's shares in accordance with the Special Committee in exchange for registration rights] about Cerro’s interest in selling its shares? A. I am sure there weren’t.”).</w:t>
      </w:r>
    </w:p>
  </w:footnote>
  <w:footnote w:id="615">
    <w:p>
      <w:pPr>
        <w:pStyle w:val="CaseFootnoteText"/>
      </w:pPr>
      <w:r>
        <w:rPr>
          <w:rStyle w:val="FootnoteReference"/>
        </w:rPr>
        <w:t xml:space="preserve">50  </w:t>
      </w:r>
      <w:r>
        <w:rPr>
          <w:iCs/>
          <w:i/>
        </w:rPr>
        <w:t xml:space="preserve">Id.</w:t>
      </w:r>
    </w:p>
  </w:footnote>
  <w:footnote w:id="616">
    <w:p>
      <w:pPr>
        <w:pStyle w:val="CaseFootnoteText"/>
      </w:pPr>
      <w:r>
        <w:rPr>
          <w:rStyle w:val="FootnoteReference"/>
        </w:rPr>
        <w:t xml:space="preserve">50  </w:t>
      </w:r>
      <w:r>
        <w:t xml:space="preserve"/>
      </w:r>
      <w:r>
        <w:t xml:space="preserve">They are likewise entitled to regulate media corporations differently from other corporations “to ensure that the law ‘does not hinder or prevent the institutional press from reporting on, and publishing editorials about, newsworthy events.’ ”</w:t>
      </w:r>
      <w:r>
        <w:t xml:space="preserve"> </w:t>
      </w:r>
      <w:r>
        <w:rPr>
          <w:iCs/>
          <w:i/>
        </w:rPr>
        <w:t xml:space="preserve">McConnell,</w:t>
      </w:r>
      <w:r>
        <w:t xml:space="preserve"> </w:t>
      </w:r>
      <w:r>
        <w:t xml:space="preserve">540 U. S., at 208 (quoting</w:t>
      </w:r>
      <w:r>
        <w:t xml:space="preserve"> </w:t>
      </w:r>
      <w:r>
        <w:rPr>
          <w:iCs/>
          <w:i/>
        </w:rPr>
        <w:t xml:space="preserve">Austin</w:t>
      </w:r>
      <w:r>
        <w:t xml:space="preserve"> </w:t>
      </w:r>
      <w:r>
        <w:t xml:space="preserve">v.</w:t>
      </w:r>
      <w:r>
        <w:t xml:space="preserve"> </w:t>
      </w:r>
      <w:r>
        <w:rPr>
          <w:iCs/>
          <w:i/>
        </w:rPr>
        <w:t xml:space="preserve">Michigan Chamber of Commerce,</w:t>
      </w:r>
      <w:r>
        <w:t xml:space="preserve"> </w:t>
      </w:r>
      <w:r>
        <w:t xml:space="preserve">494 U. S. 652, 668 (1990)).</w:t>
      </w:r>
    </w:p>
  </w:footnote>
  <w:footnote w:id="617">
    <w:p>
      <w:pPr>
        <w:pStyle w:val="CaseFootnoteText"/>
      </w:pPr>
      <w:r>
        <w:rPr>
          <w:rStyle w:val="FootnoteReference"/>
        </w:rPr>
        <w:t xml:space="preserve">50  </w:t>
      </w:r>
      <w:r>
        <w:t xml:space="preserve"/>
      </w:r>
      <w:r>
        <w:t xml:space="preserve"> </w:t>
      </w:r>
      <w:r>
        <w:rPr>
          <w:iCs/>
          <w:i/>
        </w:rPr>
        <w:t xml:space="preserve">Id.</w:t>
      </w:r>
      <w:r>
        <w:rPr>
          <w:iCs/>
          <w:i/>
        </w:rPr>
        <w:t xml:space="preserve"> </w:t>
      </w:r>
      <w:r>
        <w:t xml:space="preserve">at 444</w:t>
      </w:r>
      <w:r>
        <w:t xml:space="preserve">.</w:t>
      </w:r>
    </w:p>
  </w:footnote>
  <w:footnote w:id="618">
    <w:p>
      <w:pPr>
        <w:pStyle w:val="CaseFootnoteText"/>
      </w:pPr>
      <w:r>
        <w:rPr>
          <w:rStyle w:val="FootnoteReference"/>
        </w:rPr>
        <w:t xml:space="preserve">50  </w:t>
      </w:r>
      <w:r>
        <w:t xml:space="preserve">App. to Opening Br. at 3176 (Ma Deposition at 53).</w:t>
      </w:r>
    </w:p>
  </w:footnote>
  <w:footnote w:id="619">
    <w:p>
      <w:pPr>
        <w:pStyle w:val="CaseFootnoteText"/>
      </w:pPr>
      <w:r>
        <w:rPr>
          <w:rStyle w:val="FootnoteReference"/>
        </w:rPr>
        <w:t xml:space="preserve">50  </w:t>
      </w:r>
      <w:r>
        <w:t xml:space="preserve"/>
      </w:r>
      <w:r>
        <w:t xml:space="preserve"> </w:t>
      </w:r>
      <w:r>
        <w:rPr>
          <w:iCs/>
          <w:i/>
        </w:rPr>
        <w:t xml:space="preserve">Id.</w:t>
      </w:r>
      <w:r>
        <w:rPr>
          <w:iCs/>
          <w:i/>
        </w:rPr>
        <w:t xml:space="preserve"> </w:t>
      </w:r>
      <w:r>
        <w:t xml:space="preserve">at 168</w:t>
      </w:r>
      <w:r>
        <w:t xml:space="preserve"> </w:t>
      </w:r>
      <w:r>
        <w:t xml:space="preserve">(Handelsman) ("And both we and Phelps Dodge wanted to get out.”);</w:t>
      </w:r>
      <w:r>
        <w:t xml:space="preserve"> </w:t>
      </w:r>
      <w:r>
        <w:rPr>
          <w:iCs/>
          <w:i/>
        </w:rPr>
        <w:t xml:space="preserve">id.</w:t>
      </w:r>
      <w:r>
        <w:rPr>
          <w:iCs/>
          <w:i/>
        </w:rPr>
        <w:t xml:space="preserve"> </w:t>
      </w:r>
      <w:r>
        <w:t xml:space="preserve">at 167</w:t>
      </w:r>
      <w:r>
        <w:t xml:space="preserve"> </w:t>
      </w:r>
      <w:r>
        <w:t xml:space="preserve">(Handelsman) (“And quite frankly, we had an interest in selling our shares.”).</w:t>
      </w:r>
    </w:p>
  </w:footnote>
  <w:footnote w:id="620">
    <w:p>
      <w:pPr>
        <w:pStyle w:val="CaseFootnoteText"/>
      </w:pPr>
      <w:r>
        <w:rPr>
          <w:rStyle w:val="FootnoteReference"/>
        </w:rPr>
        <w:t xml:space="preserve">51  </w:t>
      </w:r>
      <w:r>
        <w:rPr>
          <w:iCs/>
          <w:i/>
        </w:rPr>
        <w:t xml:space="preserve">Id.</w:t>
      </w:r>
      <w:r>
        <w:t xml:space="preserve"/>
      </w:r>
      <w:r>
        <w:t xml:space="preserve">at *56.</w:t>
      </w:r>
    </w:p>
  </w:footnote>
  <w:footnote w:id="621">
    <w:p>
      <w:pPr>
        <w:pStyle w:val="CaseFootnoteText"/>
      </w:pPr>
      <w:r>
        <w:rPr>
          <w:rStyle w:val="FootnoteReference"/>
        </w:rPr>
        <w:t xml:space="preserve">51  </w:t>
      </w:r>
      <w:r>
        <w:t xml:space="preserve"/>
      </w:r>
      <w:r>
        <w:t xml:space="preserve">The Court all but confesses that a categorical approach to speaker identity is untenable when it acknowledges that Congress might be allowed to take measures aimed at “preventing foreign individuals or associations from influencing our Nation’s political process.”</w:t>
      </w:r>
      <w:r>
        <w:t xml:space="preserve"> </w:t>
      </w:r>
      <w:r>
        <w:rPr>
          <w:iCs/>
          <w:i/>
        </w:rPr>
        <w:t xml:space="preserve">Ante,</w:t>
      </w:r>
      <w:r>
        <w:t xml:space="preserve"> </w:t>
      </w:r>
      <w:r>
        <w:t xml:space="preserve">at 362. Such measures have been a part of U. S. campaign finance law for many years. The notion that Congress might lack the authority to distinguish foreigners from citizens in the regulation of electioneering would certainly have surprised the Framers, whose “obsession with foreign influence derived from a fear that foreign powers and individuals had no basic investment in the well-being of the country.” Teachout, The Anti-Corruption Principle, 94 Cornell L. Rev. 341, 393, n. 245 (2009) (hereinafter Teachout); see also U. S. Const., Art. I, §9, cl. 8 (“[N]o Person holding any Office of Profit or Trust. . . shall, -without the Consent of the Congress, accept of any present, Emolument, Office, or Title, of any kind whatever, from any King, Prince, or foreign State”). Professor Teachout observes that a corporation might be analogized to a foreign power in this respect, “inasmuch as its legal loyalties necessarily exclude patriotism.” Teachout 393, n. 245.</w:t>
      </w:r>
    </w:p>
  </w:footnote>
  <w:footnote w:id="622">
    <w:p>
      <w:pPr>
        <w:pStyle w:val="CaseFootnoteText"/>
      </w:pPr>
      <w:r>
        <w:rPr>
          <w:rStyle w:val="FootnoteReference"/>
        </w:rPr>
        <w:t xml:space="preserve">51  </w:t>
      </w:r>
      <w:r>
        <w:t xml:space="preserve">I acknowledge the plaintiffs' lengthy argument that Intermedia was in no financial condition to resist any and all deals. While that may or may not be the case, no matter what the financial condition of Intermedia, one solution was to do exactly as it has — sell itself.</w:t>
      </w:r>
    </w:p>
  </w:footnote>
  <w:footnote w:id="623">
    <w:p>
      <w:pPr>
        <w:pStyle w:val="CaseFootnoteText"/>
      </w:pPr>
      <w:r>
        <w:rPr>
          <w:rStyle w:val="FootnoteReference"/>
        </w:rPr>
        <w:t xml:space="preserve">51  </w:t>
      </w:r>
      <w:r>
        <w:t xml:space="preserve">For example, Comstock testified at -his deposition that he did not inform the board of his decision to change the multiple used to value Nabors CPS. App. to Opening Br. at 1680 (Comstock Deposition at 168). But Ma testified that the board "recognized the multiple that we’re paying for [Nabors CPS] going into this deal." App. to Opening Br. at 3177 (Ma Deposition at 55). And Comstock did discuss his plan to offer to use a 6.5 multiple to increase the valuation with directors Ma, Roemer, and Friedman in an email dated April 10, 2014. App. to Opening Br. at 2291.</w:t>
      </w:r>
    </w:p>
  </w:footnote>
  <w:footnote w:id="624">
    <w:p>
      <w:pPr>
        <w:pStyle w:val="CaseFootnoteText"/>
      </w:pPr>
      <w:r>
        <w:rPr>
          <w:rStyle w:val="FootnoteReference"/>
        </w:rPr>
        <w:t xml:space="preserve">51  </w:t>
      </w:r>
      <w:r>
        <w:t xml:space="preserve"/>
      </w:r>
      <w:r>
        <w:t xml:space="preserve"> </w:t>
      </w:r>
      <w:r>
        <w:rPr>
          <w:iCs/>
          <w:i/>
        </w:rPr>
        <w:t xml:space="preserve">Id.</w:t>
      </w:r>
      <w:r>
        <w:rPr>
          <w:iCs/>
          <w:i/>
        </w:rPr>
        <w:t xml:space="preserve"> </w:t>
      </w:r>
      <w:r>
        <w:t xml:space="preserve">at 184-85</w:t>
      </w:r>
      <w:r>
        <w:t xml:space="preserve"> </w:t>
      </w:r>
      <w:r>
        <w:t xml:space="preserve">(Handelsman).</w:t>
      </w:r>
    </w:p>
  </w:footnote>
  <w:footnote w:id="625">
    <w:p>
      <w:pPr>
        <w:pStyle w:val="CaseFootnoteText"/>
      </w:pPr>
      <w:r>
        <w:rPr>
          <w:rStyle w:val="FootnoteReference"/>
        </w:rPr>
        <w:t xml:space="preserve">52  </w:t>
      </w:r>
      <w:r>
        <w:rPr>
          <w:iCs/>
          <w:i/>
        </w:rPr>
        <w:t xml:space="preserve">Id.</w:t>
      </w:r>
      <w:r>
        <w:t xml:space="preserve"/>
      </w:r>
      <w:r>
        <w:t xml:space="preserve">at *16.</w:t>
      </w:r>
    </w:p>
  </w:footnote>
  <w:footnote w:id="626">
    <w:p>
      <w:pPr>
        <w:pStyle w:val="CaseFootnoteText"/>
      </w:pPr>
      <w:r>
        <w:rPr>
          <w:rStyle w:val="FootnoteReference"/>
        </w:rPr>
        <w:t xml:space="preserve">52  </w:t>
      </w:r>
      <w:r>
        <w:t xml:space="preserve"/>
      </w:r>
      <w:r>
        <w:t xml:space="preserve">See A. Bickel, The Supreme Court and the Idea of Progress 59-60 (1978); A. Meiklejohn, Political Freedom: The Constitutional Powers of the People 39-40 (1965); Tokaji, First Amendment Equal Protection: On Discretion, Inequality, and Participation, 101 Mich. L. Rev. 2409, 2508-2509 (2003). Of course, voting is not speech in a pure or formal sense, but then again neither is a campaign expenditure; both are nevertheless communicative acts aimed at influencing electoral outcomes. Cf. Strauss, Corruption, Equality, and Campaign Finance Reform, 94 Colum. L. Rev. 1369, 1383-1384 (1994) (hereinafter Strauss).</w:t>
      </w:r>
    </w:p>
  </w:footnote>
  <w:footnote w:id="627">
    <w:p>
      <w:pPr>
        <w:pStyle w:val="CaseFootnoteText"/>
      </w:pPr>
      <w:r>
        <w:rPr>
          <w:rStyle w:val="FootnoteReference"/>
        </w:rPr>
        <w:t xml:space="preserve">52  </w:t>
      </w:r>
      <w:r>
        <w:t xml:space="preserve">Del.Supr., No. 611,1999,</w:t>
      </w:r>
      <w:r>
        <w:t xml:space="preserve"> </w:t>
      </w:r>
      <w:r>
        <w:t xml:space="preserve">765 A.2d 910</w:t>
      </w:r>
      <w:r>
        <w:t xml:space="preserve">, Holland, J. (2000).</w:t>
      </w:r>
    </w:p>
  </w:footnote>
  <w:footnote w:id="628">
    <w:p>
      <w:pPr>
        <w:pStyle w:val="CaseFootnoteText"/>
      </w:pPr>
      <w:r>
        <w:rPr>
          <w:rStyle w:val="FootnoteReference"/>
        </w:rPr>
        <w:t xml:space="preserve">52  </w:t>
      </w:r>
      <w:r>
        <w:t xml:space="preserve">App. to Opening Br. at 3168 (Ma Deposition at 19-20).</w:t>
      </w:r>
    </w:p>
  </w:footnote>
  <w:footnote w:id="629">
    <w:p>
      <w:pPr>
        <w:pStyle w:val="CaseFootnoteText"/>
      </w:pPr>
      <w:r>
        <w:rPr>
          <w:rStyle w:val="FootnoteReference"/>
        </w:rPr>
        <w:t xml:space="preserve">52  </w:t>
      </w:r>
      <w:r>
        <w:t xml:space="preserve">JX-15 (letter agreement between AMC and Phelps Dodge (December 22, 2004)) at AMC0024877.</w:t>
      </w:r>
    </w:p>
  </w:footnote>
  <w:footnote w:id="630">
    <w:p>
      <w:pPr>
        <w:pStyle w:val="CaseFootnoteText"/>
      </w:pPr>
      <w:r>
        <w:rPr>
          <w:rStyle w:val="FootnoteReference"/>
        </w:rPr>
        <w:t xml:space="preserve">53  </w:t>
      </w:r>
      <w:r>
        <w:rPr>
          <w:iCs/>
          <w:i/>
        </w:rPr>
        <w:t xml:space="preserve">Id.</w:t>
      </w:r>
      <w:r>
        <w:t xml:space="preserve"/>
      </w:r>
      <w:r>
        <w:t xml:space="preserve">at *56.</w:t>
      </w:r>
    </w:p>
  </w:footnote>
  <w:footnote w:id="631">
    <w:p>
      <w:pPr>
        <w:pStyle w:val="CaseFootnoteText"/>
      </w:pPr>
      <w:r>
        <w:rPr>
          <w:rStyle w:val="FootnoteReference"/>
        </w:rPr>
        <w:t xml:space="preserve">53  </w:t>
      </w:r>
      <w:r>
        <w:t xml:space="preserve"/>
      </w:r>
      <w:r>
        <w:t xml:space="preserve">Scholars have found that only a handful of business corporations were issued charters during the colonial period, and only a few hundred during all of the 18th century. See E. Dodd, American Business Corporations Until 1860, p. 197 (1954); L. Friedman, A History of American Law 188-189 (2d ed. 1985); Baldwin, American Business Corporations Before 1789, 8 Am. Hist. Rev. 449, 450-459 (1903). Justice Scalia quibbles with these figures; whereas we say that “a few hundred” charters were issued to business corporations during the 18th century, he says that the number is “approximately 335.”</w:t>
      </w:r>
      <w:r>
        <w:t xml:space="preserve"> </w:t>
      </w:r>
      <w:r>
        <w:rPr>
          <w:iCs/>
          <w:i/>
        </w:rPr>
        <w:t xml:space="preserve">Ante,</w:t>
      </w:r>
      <w:r>
        <w:t xml:space="preserve"> </w:t>
      </w:r>
      <w:r>
        <w:t xml:space="preserve">at 387 (concurring opinion). Justice Scalia also raises the more serious point that it is improper to assess these figures by today’s standards,</w:t>
      </w:r>
      <w:r>
        <w:t xml:space="preserve"> </w:t>
      </w:r>
      <w:r>
        <w:rPr>
          <w:iCs/>
          <w:i/>
        </w:rPr>
        <w:t xml:space="preserve">ibid.,</w:t>
      </w:r>
      <w:r>
        <w:t xml:space="preserve"> </w:t>
      </w:r>
      <w:r>
        <w:t xml:space="preserve">though I believe he fails to substantiate his claim that “the corporation was a familiar figure in American economic life” by the century’s end,</w:t>
      </w:r>
      <w:r>
        <w:t xml:space="preserve"> </w:t>
      </w:r>
      <w:r>
        <w:rPr>
          <w:iCs/>
          <w:i/>
        </w:rPr>
        <w:t xml:space="preserve">ibid,</w:t>
      </w:r>
      <w:r>
        <w:t xml:space="preserve"> </w:t>
      </w:r>
      <w:r>
        <w:t xml:space="preserve">(internal quotation marks omitted). His formulation of that claim is also misleading, because the relevant reference point is not 1800 but the date of the First Amendment’s ratification, in 1791. And at that time, the number of business charters must have been significantly smaller than 335, because the pace of chartering only began to pick up steam in the last decade of the 18th century. More than half of the century’s total business charters were issued between 1796 and 1800. Friedman, History of American Law, at 189.</w:t>
      </w:r>
    </w:p>
  </w:footnote>
  <w:footnote w:id="632">
    <w:p>
      <w:pPr>
        <w:pStyle w:val="CaseFootnoteText"/>
      </w:pPr>
      <w:r>
        <w:rPr>
          <w:rStyle w:val="FootnoteReference"/>
        </w:rPr>
        <w:t xml:space="preserve">53  </w:t>
      </w:r>
      <w:r>
        <w:t xml:space="preserve"/>
      </w:r>
      <w:r>
        <w:t xml:space="preserve"> </w:t>
      </w:r>
      <w:r>
        <w:rPr>
          <w:iCs/>
          <w:i/>
        </w:rPr>
        <w:t xml:space="preserve">Thorpe v. CERBCO, Inc.,</w:t>
      </w:r>
      <w:r>
        <w:t xml:space="preserve"> </w:t>
      </w:r>
      <w:r>
        <w:t xml:space="preserve">676 A.2d at 438</w:t>
      </w:r>
      <w:r>
        <w:t xml:space="preserve">.</w:t>
      </w:r>
    </w:p>
  </w:footnote>
  <w:footnote w:id="633">
    <w:p>
      <w:pPr>
        <w:pStyle w:val="CaseFootnoteText"/>
      </w:pPr>
      <w:r>
        <w:rPr>
          <w:rStyle w:val="FootnoteReference"/>
        </w:rPr>
        <w:t xml:space="preserve">53  </w:t>
      </w:r>
      <w:r>
        <w:t xml:space="preserve"/>
      </w:r>
      <w:r>
        <w:t xml:space="preserve"> </w:t>
      </w:r>
      <w:r>
        <w:rPr>
          <w:iCs/>
          <w:i/>
        </w:rPr>
        <w:t xml:space="preserve">Id.</w:t>
      </w:r>
      <w:r>
        <w:t xml:space="preserve"> </w:t>
      </w:r>
      <w:r>
        <w:t xml:space="preserve">at 3169 (Ma Deposition at 22).</w:t>
      </w:r>
    </w:p>
  </w:footnote>
  <w:footnote w:id="634">
    <w:p>
      <w:pPr>
        <w:pStyle w:val="CaseFootnoteText"/>
      </w:pPr>
      <w:r>
        <w:rPr>
          <w:rStyle w:val="FootnoteReference"/>
        </w:rPr>
        <w:t xml:space="preserve">53  </w:t>
      </w:r>
      <w:r>
        <w:t xml:space="preserve">JX-13 (Agreement and Plan of Merger (October 21, 2004)) § 5.9(b) ("In the event that, prior to the Effective Time the Special Committee believes, in its good faith judgment, after receiving the advice of its outside legal counsel, that failing to do so would create a reasonable likelihood of breaching its fiduciary duties under applicable law, the Special Committee ... may ... withdraw or modify its approval or recommendation in favor of the [Merger].”).</w:t>
      </w:r>
    </w:p>
  </w:footnote>
  <w:footnote w:id="635">
    <w:p>
      <w:pPr>
        <w:pStyle w:val="CaseFootnoteText"/>
      </w:pPr>
      <w:r>
        <w:rPr>
          <w:rStyle w:val="FootnoteReference"/>
        </w:rPr>
        <w:t xml:space="preserve">54  </w:t>
      </w:r>
      <w:r>
        <w:rPr>
          <w:iCs/>
          <w:i/>
        </w:rPr>
        <w:t xml:space="preserve">Id.</w:t>
      </w:r>
    </w:p>
  </w:footnote>
  <w:footnote w:id="636">
    <w:p>
      <w:pPr>
        <w:pStyle w:val="CaseFootnoteText"/>
      </w:pPr>
      <w:r>
        <w:rPr>
          <w:rStyle w:val="FootnoteReference"/>
        </w:rPr>
        <w:t xml:space="preserve">54  </w:t>
      </w:r>
      <w:r>
        <w:t xml:space="preserve"/>
      </w:r>
      <w:r>
        <w:t xml:space="preserve">See Letter from Thomas Jefferson to Tom Logan (Nov. 12, 1816), in 12 The Works of Thomas Jefferson 42, 44 (P. Ford ed. 1905) (“I hope we shall . . . crush in [its] birth the aristocracy of our monied corporations which dare already to challenge our government to a trial of strength and bid defiance to the laws of our country”).</w:t>
      </w:r>
    </w:p>
  </w:footnote>
  <w:footnote w:id="637">
    <w:p>
      <w:pPr>
        <w:pStyle w:val="CaseFootnoteText"/>
      </w:pPr>
      <w:r>
        <w:rPr>
          <w:rStyle w:val="FootnoteReference"/>
        </w:rPr>
        <w:t xml:space="preserve">54  </w:t>
      </w:r>
      <w:r>
        <w:t xml:space="preserve"/>
      </w:r>
      <w:r>
        <w:t xml:space="preserve"> </w:t>
      </w:r>
      <w:r>
        <w:rPr>
          <w:iCs/>
          <w:i/>
        </w:rPr>
        <w:t xml:space="preserve">IcL.</w:t>
      </w:r>
      <w:r>
        <w:t xml:space="preserve"> </w:t>
      </w:r>
      <w:r>
        <w:t xml:space="preserve">at 439.</w:t>
      </w:r>
    </w:p>
  </w:footnote>
  <w:footnote w:id="638">
    <w:p>
      <w:pPr>
        <w:pStyle w:val="CaseFootnoteText"/>
      </w:pPr>
      <w:r>
        <w:rPr>
          <w:rStyle w:val="FootnoteReference"/>
        </w:rPr>
        <w:t xml:space="preserve">54  </w:t>
      </w:r>
      <w:r>
        <w:t xml:space="preserve">Although the plaintiffs discovered an email purportedly from C &amp; J’s CFO, McMullen, to Comstock palling $445 million an "upside case,” McMullen asserted in an affidavit that $445 represented “management’s expected or base case,” not an "upside case.” App. to Opening Br. at 1853 (McMullen Affidavit at 3). McMullen’s email did not originally contain the phrase "upside case,” but in a version forwarded to Petrello, Comstock added a sentence suggesting that $445 was “an upside case.”</w:t>
      </w:r>
      <w:r>
        <w:t xml:space="preserve"> </w:t>
      </w:r>
      <w:r>
        <w:rPr>
          <w:iCs/>
          <w:i/>
        </w:rPr>
        <w:t xml:space="preserve">Compare</w:t>
      </w:r>
      <w:r>
        <w:t xml:space="preserve"> </w:t>
      </w:r>
      <w:r>
        <w:t xml:space="preserve">App. to Opening Br. at 1856 (original email from McMullen)</w:t>
      </w:r>
      <w:r>
        <w:t xml:space="preserve"> </w:t>
      </w:r>
      <w:r>
        <w:rPr>
          <w:iCs/>
          <w:i/>
        </w:rPr>
        <w:t xml:space="preserve">with</w:t>
      </w:r>
      <w:r>
        <w:t xml:space="preserve"> </w:t>
      </w:r>
      <w:r>
        <w:t xml:space="preserve">1860 (email forwarded by Comstock). Comstock submitted an affidavit recalling that he had added the sentence as "a negotiating tactic.” App. to Opening Br. at 2553 (Comstock Affidavit at 2). Comstock also explained to the Citi team that his team was comfortable with forecasting EBITDA of $450 million based on their diligence. App. to Opening Br. at 2517. The defendants also point out that because their deal thesis was premised on what "C &amp; J could do with” Nabors CPS, it "benefitted C &amp; J to steer price negotiations away from</w:t>
      </w:r>
      <w:r>
        <w:t xml:space="preserve"> </w:t>
      </w:r>
      <w:r>
        <w:rPr>
          <w:iCs/>
          <w:i/>
        </w:rPr>
        <w:t xml:space="preserve">pro forma</w:t>
      </w:r>
      <w:r>
        <w:t xml:space="preserve"> </w:t>
      </w:r>
      <w:r>
        <w:t xml:space="preserve">value"</w:t>
      </w:r>
      <w:r>
        <w:t xml:space="preserve"> </w:t>
      </w:r>
      <w:r>
        <w:rPr>
          <w:iCs/>
          <w:i/>
        </w:rPr>
        <w:t xml:space="preserve">(i.e.,</w:t>
      </w:r>
      <w:r>
        <w:t xml:space="preserve"> </w:t>
      </w:r>
      <w:r>
        <w:t xml:space="preserve">how valuable Nabors was when the synergies with C&amp;J were considered) and focus on stand-alone EBITDA (what it could earn on its own as a going concern). Reply Br. at 15.</w:t>
      </w:r>
    </w:p>
  </w:footnote>
  <w:footnote w:id="639">
    <w:p>
      <w:pPr>
        <w:pStyle w:val="CaseFootnoteText"/>
      </w:pPr>
      <w:r>
        <w:rPr>
          <w:rStyle w:val="FootnoteReference"/>
        </w:rPr>
        <w:t xml:space="preserve">54  </w:t>
      </w:r>
      <w:r>
        <w:t xml:space="preserve"/>
      </w:r>
      <w:r>
        <w:rPr>
          <w:iCs/>
          <w:i/>
        </w:rPr>
        <w:t xml:space="preserve">.Id.</w:t>
      </w:r>
      <w:r>
        <w:t xml:space="preserve"> </w:t>
      </w:r>
      <w:r>
        <w:t xml:space="preserve">§ 7.1(d).</w:t>
      </w:r>
    </w:p>
  </w:footnote>
  <w:footnote w:id="640">
    <w:p>
      <w:pPr>
        <w:pStyle w:val="CaseFootnoteText"/>
      </w:pPr>
      <w:r>
        <w:rPr>
          <w:rStyle w:val="FootnoteReference"/>
        </w:rPr>
        <w:t xml:space="preserve">55  </w:t>
      </w:r>
      <w:r>
        <w:rPr>
          <w:iCs/>
          <w:i/>
        </w:rPr>
        <w:t xml:space="preserve">See</w:t>
      </w:r>
      <w:r>
        <w:t xml:space="preserve"/>
      </w:r>
      <w:r>
        <w:rPr>
          <w:iCs/>
          <w:i/>
        </w:rPr>
        <w:t xml:space="preserve">id.</w:t>
      </w:r>
      <w:r>
        <w:t xml:space="preserve"> </w:t>
      </w:r>
      <w:r>
        <w:t xml:space="preserve">at *3 ("[T]he Highest Amount Interpretation is the only reading that gives effect to the LLC Agreement as a whole ....");</w:t>
      </w:r>
      <w:r>
        <w:t xml:space="preserve"> </w:t>
      </w:r>
      <w:r>
        <w:rPr>
          <w:iCs/>
          <w:i/>
        </w:rPr>
        <w:t xml:space="preserve">id.</w:t>
      </w:r>
      <w:r>
        <w:t xml:space="preserve"> </w:t>
      </w:r>
      <w:r>
        <w:t xml:space="preserve">at *46 ("By Order dated August 10, 2016, I held that the plain language of the LLC Agreement, read as a whole, implemented the Highest Amount Interpretation and foreclosed the Leave Behind Interpretation.... I continue to adhere to that view.");</w:t>
      </w:r>
      <w:r>
        <w:t xml:space="preserve"> </w:t>
      </w:r>
      <w:r>
        <w:rPr>
          <w:iCs/>
          <w:i/>
        </w:rPr>
        <w:t xml:space="preserve">id.</w:t>
      </w:r>
      <w:r>
        <w:t xml:space="preserve"> </w:t>
      </w:r>
      <w:r>
        <w:t xml:space="preserve">at *50 ("I continue to believe that the meaning of the 1.5x Clause is clear when its language is read in the context of the LLC Agreement as a whole.");</w:t>
      </w:r>
      <w:r>
        <w:t xml:space="preserve"> </w:t>
      </w:r>
      <w:r>
        <w:rPr>
          <w:iCs/>
          <w:i/>
        </w:rPr>
        <w:t xml:space="preserve">id.</w:t>
      </w:r>
      <w:r>
        <w:t xml:space="preserve"> </w:t>
      </w:r>
      <w:r>
        <w:t xml:space="preserve">at *51 ("[T]his decision ... holds that the plain language of [the 1.5x Clause], read in the context of the LLC Agreement as a whole, implements the Highest Amount Theory.");</w:t>
      </w:r>
      <w:r>
        <w:t xml:space="preserve"> </w:t>
      </w:r>
      <w:r>
        <w:rPr>
          <w:iCs/>
          <w:i/>
        </w:rPr>
        <w:t xml:space="preserve">id.</w:t>
      </w:r>
      <w:r>
        <w:t xml:space="preserve"> </w:t>
      </w:r>
      <w:r>
        <w:t xml:space="preserve">at *56 ("Because the meaning of the 1.5x Clause is plain when read in the context of the Exit Sale Right and the LLC Agreement as a whole, the parole evidence rule forecloses the consideration of that evidence [of the parties' interpretations, negotiation of the 1.5x Clause, and circumstances surrounding the issuance of units to Small Holders] for purposes of interpreting the Exit Sale Right.");</w:t>
      </w:r>
      <w:r>
        <w:t xml:space="preserve"> </w:t>
      </w:r>
      <w:r>
        <w:rPr>
          <w:iCs/>
          <w:i/>
        </w:rPr>
        <w:t xml:space="preserve">id</w:t>
      </w:r>
      <w:r>
        <w:t xml:space="preserve"> </w:t>
      </w:r>
      <w:r>
        <w:t xml:space="preserve">at *57 ("The fact that the Mintz Levin lawyers came to this reading [the Highest Amount Interpretation] late in the day is a reason to be skeptical about it, but it ends up being the only reading that gives meaning to the LLC Agreement when read as a whole.").</w:t>
      </w:r>
    </w:p>
  </w:footnote>
  <w:footnote w:id="641">
    <w:p>
      <w:pPr>
        <w:pStyle w:val="CaseFootnoteText"/>
      </w:pPr>
      <w:r>
        <w:rPr>
          <w:rStyle w:val="FootnoteReference"/>
        </w:rPr>
        <w:t xml:space="preserve">55  </w:t>
      </w:r>
      <w:r>
        <w:t xml:space="preserve"/>
      </w:r>
      <w:r>
        <w:t xml:space="preserve">In normal usage then, as now, the term “speech” referred to oral communications by individuals. See,</w:t>
      </w:r>
      <w:r>
        <w:t xml:space="preserve"> </w:t>
      </w:r>
      <w:r>
        <w:rPr>
          <w:iCs/>
          <w:i/>
        </w:rPr>
        <w:t xml:space="preserve">e. g.,</w:t>
      </w:r>
      <w:r>
        <w:t xml:space="preserve"> </w:t>
      </w:r>
      <w:r>
        <w:t xml:space="preserve">2 S. Johnson, Dictionary of the English Language 1853-1854 (4th ed. 1773) (reprinted 1978) (listing as primary definition of “speech”: “The power of articulate utterance; the power of expressing thoughts by vocal words”); 2 N. Webster, American Dictionary of the English Language (1828) (reprinted 1970) (listing as primary definition of “speech”: “The faculty of uttering articulate sounds or words, as in human beings; the faculty of expressing thoughts by words or articulate sounds.</w:t>
      </w:r>
      <w:r>
        <w:t xml:space="preserve"> </w:t>
      </w:r>
      <w:r>
        <w:rPr>
          <w:iCs/>
          <w:i/>
        </w:rPr>
        <w:t xml:space="preserve">Speech</w:t>
      </w:r>
      <w:r>
        <w:t xml:space="preserve"> </w:t>
      </w:r>
      <w:r>
        <w:t xml:space="preserve">was given to man by his Creator for the noblest purposes”). Indeed, it has been “claimed that the notion of institutional speech ... did not exist in post-revolutionary America.” Fagundes, State Actors as First Amendment Speakers, 100 Nw. U. L. Rev. 1637, 1654 (2006); see also Bezanson, Institutional Speech, 80 Iowa L. Rev. 735, 775 (1995) (“In the intellectual heritage of the eighteenth century, the idea that free speech was individual and personal was deeply rooted and clearly manifest in the writings of Locke, Milton, and others on whom the framers of the Constitution and the Bill of Rights drew”). Given that corporations were conceived of as artificial entities and do not have the technical capacity to “speak,” the burden of establishing that the Framers and ratifiers understood “the freedom of speech” to encompass corporate speech is, I believe, far heavier than the majority acknowledges.</w:t>
      </w:r>
    </w:p>
  </w:footnote>
  <w:footnote w:id="642">
    <w:p>
      <w:pPr>
        <w:pStyle w:val="CaseFootnoteText"/>
      </w:pPr>
      <w:r>
        <w:rPr>
          <w:rStyle w:val="FootnoteReference"/>
        </w:rPr>
        <w:t xml:space="preserve">55  </w:t>
      </w:r>
      <w:r>
        <w:t xml:space="preserve">See</w:t>
      </w:r>
      <w:r>
        <w:t xml:space="preserve"> </w:t>
      </w:r>
      <w:r>
        <w:t xml:space="preserve">id. at 441</w:t>
      </w:r>
      <w:r>
        <w:t xml:space="preserve">.</w:t>
      </w:r>
    </w:p>
  </w:footnote>
  <w:footnote w:id="643">
    <w:p>
      <w:pPr>
        <w:pStyle w:val="CaseFootnoteText"/>
      </w:pPr>
      <w:r>
        <w:rPr>
          <w:rStyle w:val="FootnoteReference"/>
        </w:rPr>
        <w:t xml:space="preserve">55  </w:t>
      </w:r>
      <w:r>
        <w:t xml:space="preserve"/>
      </w:r>
      <w:r>
        <w:t xml:space="preserve"> </w:t>
      </w:r>
      <w:r>
        <w:rPr>
          <w:iCs/>
          <w:i/>
        </w:rPr>
        <w:t xml:space="preserve">See</w:t>
      </w:r>
      <w:r>
        <w:t xml:space="preserve"> </w:t>
      </w:r>
      <w:r>
        <w:t xml:space="preserve">App. to Opening Br. at 2023 (Citi valuation analysis presented to C &amp; J board on June 24). Alternatively, the deal reflected a 7.3 multiple of Nabors CPS’ estimated EBIT-DA for the second quarter of 2014 through the first quarter of 2015, which was forecast as $390 million. By comparison, Nabors CPS' 2014 EBITDA was estimated at $340 million. Both companies considered Nabors CPS’ first quarter 2014 performance to be anomalous because of weather conditions that did not affect C &amp; J’s business.</w:t>
      </w:r>
    </w:p>
  </w:footnote>
  <w:footnote w:id="644">
    <w:p>
      <w:pPr>
        <w:pStyle w:val="CaseFootnoteText"/>
      </w:pPr>
      <w:r>
        <w:rPr>
          <w:rStyle w:val="FootnoteReference"/>
        </w:rPr>
        <w:t xml:space="preserve">55  </w:t>
      </w:r>
      <w:r>
        <w:t xml:space="preserve">JX-18 at 7 ($45.90 x 67,200,000 = $3,084,480,000).</w:t>
      </w:r>
    </w:p>
  </w:footnote>
  <w:footnote w:id="645">
    <w:p>
      <w:pPr>
        <w:pStyle w:val="CaseFootnoteText"/>
      </w:pPr>
      <w:r>
        <w:rPr>
          <w:rStyle w:val="FootnoteReference"/>
        </w:rPr>
        <w:t xml:space="preserve">56  </w:t>
      </w:r>
      <w:r>
        <w:rPr>
          <w:iCs/>
          <w:i/>
        </w:rPr>
        <w:t xml:space="preserve">Id.</w:t>
      </w:r>
      <w:r>
        <w:t xml:space="preserve"/>
      </w:r>
      <w:r>
        <w:t xml:space="preserve">at *58.</w:t>
      </w:r>
    </w:p>
  </w:footnote>
  <w:footnote w:id="646">
    <w:p>
      <w:pPr>
        <w:pStyle w:val="CaseFootnoteText"/>
      </w:pPr>
      <w:r>
        <w:rPr>
          <w:rStyle w:val="FootnoteReference"/>
        </w:rPr>
        <w:t xml:space="preserve">56  </w:t>
      </w:r>
      <w:r>
        <w:t xml:space="preserve"/>
      </w:r>
      <w:r>
        <w:t xml:space="preserve">Postratifieation practice bolsters the conclusion that the First Amendment, “as originally understood,”</w:t>
      </w:r>
      <w:r>
        <w:t xml:space="preserve"> </w:t>
      </w:r>
      <w:r>
        <w:rPr>
          <w:iCs/>
          <w:i/>
        </w:rPr>
        <w:t xml:space="preserve">ante,</w:t>
      </w:r>
      <w:r>
        <w:t xml:space="preserve"> </w:t>
      </w:r>
      <w:r>
        <w:t xml:space="preserve">at 353, did not give corporations political speech rights on a par with the rights of individuals. Well into the modern era of general incorporation statutes, “[t]he common law was generally interpreted as prohibiting corporate political participation,”</w:t>
      </w:r>
      <w:r>
        <w:t xml:space="preserve"> </w:t>
      </w:r>
      <w:r>
        <w:rPr>
          <w:iCs/>
          <w:i/>
        </w:rPr>
        <w:t xml:space="preserve">First Nat. Bank of Boston</w:t>
      </w:r>
      <w:r>
        <w:t xml:space="preserve"> </w:t>
      </w:r>
      <w:r>
        <w:t xml:space="preserve">v.</w:t>
      </w:r>
      <w:r>
        <w:t xml:space="preserve"> </w:t>
      </w:r>
      <w:r>
        <w:rPr>
          <w:iCs/>
          <w:i/>
        </w:rPr>
        <w:t xml:space="preserve">Bellotti,</w:t>
      </w:r>
      <w:r>
        <w:t xml:space="preserve"> </w:t>
      </w:r>
      <w:r>
        <w:t xml:space="preserve">435 U. S. 765, 819 (1978) (White, J., dissenting), and this Court did not recognize</w:t>
      </w:r>
      <w:r>
        <w:t xml:space="preserve"> </w:t>
      </w:r>
      <w:r>
        <w:rPr>
          <w:iCs/>
          <w:i/>
        </w:rPr>
        <w:t xml:space="preserve">any</w:t>
      </w:r>
      <w:r>
        <w:t xml:space="preserve"> </w:t>
      </w:r>
      <w:r>
        <w:t xml:space="preserve">First Amendment protections for corporations until the middle part of the 20th century, see</w:t>
      </w:r>
      <w:r>
        <w:t xml:space="preserve"> </w:t>
      </w:r>
      <w:r>
        <w:rPr>
          <w:iCs/>
          <w:i/>
        </w:rPr>
        <w:t xml:space="preserve">ante,</w:t>
      </w:r>
      <w:r>
        <w:t xml:space="preserve"> </w:t>
      </w:r>
      <w:r>
        <w:t xml:space="preserve">at 342 (listing cases).</w:t>
      </w:r>
    </w:p>
  </w:footnote>
  <w:footnote w:id="647">
    <w:p>
      <w:pPr>
        <w:pStyle w:val="CaseFootnoteText"/>
      </w:pPr>
      <w:r>
        <w:rPr>
          <w:rStyle w:val="FootnoteReference"/>
        </w:rPr>
        <w:t xml:space="preserve">56  </w:t>
      </w:r>
      <w:r>
        <w:t xml:space="preserve"/>
      </w:r>
      <w:r>
        <w:t xml:space="preserve"> </w:t>
      </w:r>
      <w:r>
        <w:rPr>
          <w:iCs/>
          <w:i/>
        </w:rPr>
        <w:t xml:space="preserve">Id.</w:t>
      </w:r>
      <w:r>
        <w:rPr>
          <w:iCs/>
          <w:i/>
        </w:rPr>
        <w:t xml:space="preserve"> </w:t>
      </w:r>
      <w:r>
        <w:t xml:space="preserve">at 442</w:t>
      </w:r>
      <w:r>
        <w:t xml:space="preserve"> </w:t>
      </w:r>
      <w:r>
        <w:t xml:space="preserve">(citations omitted).</w:t>
      </w:r>
    </w:p>
  </w:footnote>
  <w:footnote w:id="648">
    <w:p>
      <w:pPr>
        <w:pStyle w:val="CaseFootnoteText"/>
      </w:pPr>
      <w:r>
        <w:rPr>
          <w:rStyle w:val="FootnoteReference"/>
        </w:rPr>
        <w:t xml:space="preserve">56  </w:t>
      </w:r>
      <w:r>
        <w:t xml:space="preserve">The total will be dependent on C &amp; J’s stock price at the time of closing.</w:t>
      </w:r>
    </w:p>
  </w:footnote>
  <w:footnote w:id="649">
    <w:p>
      <w:pPr>
        <w:pStyle w:val="CaseFootnoteText"/>
      </w:pPr>
      <w:r>
        <w:rPr>
          <w:rStyle w:val="FootnoteReference"/>
        </w:rPr>
        <w:t xml:space="preserve">56  </w:t>
      </w:r>
      <w:r>
        <w:t xml:space="preserve">During discovery, two Microsoft Excel worksheets were unearthed that appear to suggest the implied equity values of Minera and Southern Peru that underlie Goldman's October 21 presentation. One worksheet, which contains the Minera model, indicates an implied equity value for Minera of $1.25 billion using a long-term copper price of $0.90/lb and a discount rate of 8.5%. The other worksheet, which contains the Southern Peru model, indicates an implied equity value for Southern Peru of $1.6 billion using a copper price of $0.90 and a discount rate of 9.0%, and assuming a royalty tax of 2%. Both the plaintiff’s expert and the defendants’ expert relied on the projections contained in these worksheets in their reports. The defendants have also not contested the plaintiff’s expert’s contention that these worksheets include Goldman’s discounted cash flow estimates as of October 21, 2004.</w:t>
      </w:r>
    </w:p>
  </w:footnote>
  <w:footnote w:id="650">
    <w:p>
      <w:pPr>
        <w:pStyle w:val="CaseFootnoteText"/>
      </w:pPr>
      <w:r>
        <w:rPr>
          <w:rStyle w:val="FootnoteReference"/>
        </w:rPr>
        <w:t xml:space="preserve">57  </w:t>
      </w:r>
      <w:r>
        <w:rPr>
          <w:iCs/>
          <w:i/>
        </w:rPr>
        <w:t xml:space="preserve">Id.</w:t>
      </w:r>
    </w:p>
  </w:footnote>
  <w:footnote w:id="651">
    <w:p>
      <w:pPr>
        <w:pStyle w:val="CaseFootnoteText"/>
      </w:pPr>
      <w:r>
        <w:rPr>
          <w:rStyle w:val="FootnoteReference"/>
        </w:rPr>
        <w:t xml:space="preserve">57  </w:t>
      </w:r>
      <w:r>
        <w:t xml:space="preserve"/>
      </w:r>
      <w:r>
        <w:t xml:space="preserve">In fact, the Free Press Clause might be toned against Justice Scalia, for two reasons. First, we learn from it that the drafters of the First Amendment did draw distinctions — explicit distinctions — between types of “speakers,” or speech outlets or forms. Second, the Court’s strongest historical evidence all relates to the Framers’ views on the press, see</w:t>
      </w:r>
      <w:r>
        <w:t xml:space="preserve"> </w:t>
      </w:r>
      <w:r>
        <w:rPr>
          <w:iCs/>
          <w:i/>
        </w:rPr>
        <w:t xml:space="preserve">ante,</w:t>
      </w:r>
      <w:r>
        <w:t xml:space="preserve"> </w:t>
      </w:r>
      <w:r>
        <w:t xml:space="preserve">at 353-354;</w:t>
      </w:r>
      <w:r>
        <w:t xml:space="preserve"> </w:t>
      </w:r>
      <w:r>
        <w:rPr>
          <w:iCs/>
          <w:i/>
        </w:rPr>
        <w:t xml:space="preserve">ante,</w:t>
      </w:r>
      <w:r>
        <w:t xml:space="preserve"> </w:t>
      </w:r>
      <w:r>
        <w:t xml:space="preserve">at 388-390 (Scalia, J., concurring), yet while the Court tries to sweep this evidence into the Free Speech Clause, the Free Press Clause provides a more natural textual home. The text and history highlighted by our colleagues suggests why one type of corporation, those that are part of the press, might be able to claim special First Amendment status, and therefore why some kinds of “identity”-based distinctions might be permissible after all. Once one accepts that much, the intellectual edifice of the majority opinion crumbles.</w:t>
      </w:r>
    </w:p>
  </w:footnote>
  <w:footnote w:id="652">
    <w:p>
      <w:pPr>
        <w:pStyle w:val="CaseFootnoteText"/>
      </w:pPr>
      <w:r>
        <w:rPr>
          <w:rStyle w:val="FootnoteReference"/>
        </w:rPr>
        <w:t xml:space="preserve">57  </w:t>
      </w:r>
      <w:r>
        <w:t xml:space="preserve"/>
      </w:r>
      <w:r>
        <w:t xml:space="preserve"> </w:t>
      </w:r>
      <w:r>
        <w:rPr>
          <w:iCs/>
          <w:i/>
        </w:rPr>
        <w:t xml:space="preserve">Id.</w:t>
      </w:r>
    </w:p>
  </w:footnote>
  <w:footnote w:id="653">
    <w:p>
      <w:pPr>
        <w:pStyle w:val="CaseFootnoteText"/>
      </w:pPr>
      <w:r>
        <w:rPr>
          <w:rStyle w:val="FootnoteReference"/>
        </w:rPr>
        <w:t xml:space="preserve">57  </w:t>
      </w:r>
      <w:r>
        <w:t xml:space="preserve">Nabors described the selection of Com-stock as chair as a mutual decision..</w:t>
      </w:r>
      <w:r>
        <w:t xml:space="preserve"> </w:t>
      </w:r>
      <w:r>
        <w:rPr>
          <w:iCs/>
          <w:i/>
        </w:rPr>
        <w:t xml:space="preserve">See</w:t>
      </w:r>
      <w:r>
        <w:t xml:space="preserve"> </w:t>
      </w:r>
      <w:r>
        <w:t xml:space="preserve">App. to Opening Br. at 633 (Petrello Deposition at 34). The plaintiffs attempted to portray the decision to guarantee board seats to four former C &amp; J directors as a potential conflict, which the Court of Chancery effectively rejected: "The five-year guarantee is a unique status and it raises concern. But it certainly does not call into question the independence of the board or the disinterestedness of the board, especially since who was going to serve on the new board was not fully determined at the time the merger agreement was entered into.” Bench Opinion at 12.</w:t>
      </w:r>
    </w:p>
  </w:footnote>
  <w:footnote w:id="654">
    <w:p>
      <w:pPr>
        <w:pStyle w:val="CaseFootnoteText"/>
      </w:pPr>
      <w:r>
        <w:rPr>
          <w:rStyle w:val="FootnoteReference"/>
        </w:rPr>
        <w:t xml:space="preserve">57  </w:t>
      </w:r>
      <w:r>
        <w:t xml:space="preserve">JX-106 (Goldman presentation to the Special Committee (October 21, 2004)).</w:t>
      </w:r>
    </w:p>
  </w:footnote>
  <w:footnote w:id="655">
    <w:p>
      <w:pPr>
        <w:pStyle w:val="CaseFootnoteText"/>
      </w:pPr>
      <w:r>
        <w:rPr>
          <w:rStyle w:val="FootnoteReference"/>
        </w:rPr>
        <w:t xml:space="preserve">58  </w:t>
      </w:r>
      <w:r>
        <w:rPr>
          <w:iCs/>
          <w:i/>
        </w:rPr>
        <w:t xml:space="preserve">Id.</w:t>
      </w:r>
    </w:p>
  </w:footnote>
  <w:footnote w:id="656">
    <w:p>
      <w:pPr>
        <w:pStyle w:val="CaseFootnoteText"/>
      </w:pPr>
      <w:r>
        <w:rPr>
          <w:rStyle w:val="FootnoteReference"/>
        </w:rPr>
        <w:t xml:space="preserve">58  </w:t>
      </w:r>
      <w:r>
        <w:t xml:space="preserve"/>
      </w:r>
      <w:r>
        <w:t xml:space="preserve">Cf. L. Levy, Legacy of Suppression: Freedom o'f Speech and Press in Early American History 4 (1960) (“The meaning of no other clause of the Bill of Rights at the time of its framing and ratification has been so obscure to us” as the Free Speech and Press Clause).</w:t>
      </w:r>
    </w:p>
  </w:footnote>
  <w:footnote w:id="657">
    <w:p>
      <w:pPr>
        <w:pStyle w:val="CaseFootnoteText"/>
      </w:pPr>
      <w:r>
        <w:rPr>
          <w:rStyle w:val="FootnoteReference"/>
        </w:rPr>
        <w:t xml:space="preserve">58  </w:t>
      </w:r>
      <w:r>
        <w:t xml:space="preserve"/>
      </w:r>
      <w:r>
        <w:t xml:space="preserve"> </w:t>
      </w:r>
      <w:r>
        <w:rPr>
          <w:iCs/>
          <w:i/>
        </w:rPr>
        <w:t xml:space="preserve">Id.</w:t>
      </w:r>
      <w:r>
        <w:rPr>
          <w:iCs/>
          <w:i/>
        </w:rPr>
        <w:t xml:space="preserve"> </w:t>
      </w:r>
      <w:r>
        <w:t xml:space="preserve">at 442</w:t>
      </w:r>
      <w:r>
        <w:t xml:space="preserve">.</w:t>
      </w:r>
    </w:p>
  </w:footnote>
  <w:footnote w:id="658">
    <w:p>
      <w:pPr>
        <w:pStyle w:val="CaseFootnoteText"/>
      </w:pPr>
      <w:r>
        <w:rPr>
          <w:rStyle w:val="FootnoteReference"/>
        </w:rPr>
        <w:t xml:space="preserve">58  </w:t>
      </w:r>
      <w:r>
        <w:t xml:space="preserve">App. to Opening Br. at 146-243 (Merger Agreement).</w:t>
      </w:r>
    </w:p>
  </w:footnote>
  <w:footnote w:id="659">
    <w:p>
      <w:pPr>
        <w:pStyle w:val="CaseFootnoteText"/>
      </w:pPr>
      <w:r>
        <w:rPr>
          <w:rStyle w:val="FootnoteReference"/>
        </w:rPr>
        <w:t xml:space="preserve">58  </w:t>
      </w:r>
      <w:r>
        <w:t xml:space="preserve">JX-18 at 7 ($45.92 X 47,200,000 = $2,167,424,000; $45.92 x 87,800,000 = $4,031,776,000).</w:t>
      </w:r>
    </w:p>
  </w:footnote>
  <w:footnote w:id="660">
    <w:p>
      <w:pPr>
        <w:pStyle w:val="CaseFootnoteText"/>
      </w:pPr>
      <w:r>
        <w:rPr>
          <w:rStyle w:val="FootnoteReference"/>
        </w:rPr>
        <w:t xml:space="preserve">59  </w:t>
      </w:r>
      <w:r>
        <w:t xml:space="preserve">App. to Opening Br. at A2093.</w:t>
      </w:r>
    </w:p>
  </w:footnote>
  <w:footnote w:id="661">
    <w:p>
      <w:pPr>
        <w:pStyle w:val="CaseFootnoteText"/>
      </w:pPr>
      <w:r>
        <w:rPr>
          <w:rStyle w:val="FootnoteReference"/>
        </w:rPr>
        <w:t xml:space="preserve">59  </w:t>
      </w:r>
      <w:r>
        <w:t xml:space="preserve"/>
      </w:r>
      <w:r>
        <w:t xml:space="preserve">As the majority notes, there is some academic debate about the precise origins of these developments.</w:t>
      </w:r>
      <w:r>
        <w:t xml:space="preserve"> </w:t>
      </w:r>
      <w:r>
        <w:rPr>
          <w:iCs/>
          <w:i/>
        </w:rPr>
        <w:t xml:space="preserve">Ante,</w:t>
      </w:r>
      <w:r>
        <w:t xml:space="preserve"> </w:t>
      </w:r>
      <w:r>
        <w:t xml:space="preserve">at 363-364; see also n. 19,</w:t>
      </w:r>
      <w:r>
        <w:t xml:space="preserve"> </w:t>
      </w:r>
      <w:r>
        <w:rPr>
          <w:iCs/>
          <w:i/>
        </w:rPr>
        <w:t xml:space="preserve">supra.</w:t>
      </w:r>
      <w:r>
        <w:t xml:space="preserve"> </w:t>
      </w:r>
      <w:r>
        <w:t xml:space="preserve">There is</w:t>
      </w:r>
      <w:r>
        <w:t xml:space="preserve"> </w:t>
      </w:r>
      <w:r>
        <w:rPr>
          <w:iCs/>
          <w:i/>
        </w:rPr>
        <w:t xml:space="preserve">always</w:t>
      </w:r>
      <w:r>
        <w:t xml:space="preserve"> </w:t>
      </w:r>
      <w:r>
        <w:t xml:space="preserve">some academic debate about such developments; the motives of legislatures are never entirely clear or unitary. Yet the basic shape and trajectory of 20th-century campaign finance reform are clear, and one need not take a naive or triumphalist view of this history to find it highly relevant. The Court’s skepticism does nothing to mitigate the absurdity of its claim that</w:t>
      </w:r>
      <w:r>
        <w:t xml:space="preserve"> </w:t>
      </w:r>
      <w:r>
        <w:rPr>
          <w:iCs/>
          <w:i/>
        </w:rPr>
        <w:t xml:space="preserve">Austin</w:t>
      </w:r>
      <w:r>
        <w:t xml:space="preserve"> </w:t>
      </w:r>
      <w:r>
        <w:t xml:space="preserve">and</w:t>
      </w:r>
      <w:r>
        <w:t xml:space="preserve"> </w:t>
      </w:r>
      <w:r>
        <w:rPr>
          <w:iCs/>
          <w:i/>
        </w:rPr>
        <w:t xml:space="preserve">McConnell</w:t>
      </w:r>
      <w:r>
        <w:t xml:space="preserve"> </w:t>
      </w:r>
      <w:r>
        <w:t xml:space="preserve">were outliers. Nor does it alter the fact that five Justices today destroy a longstanding American practice.</w:t>
      </w:r>
    </w:p>
  </w:footnote>
  <w:footnote w:id="662">
    <w:p>
      <w:pPr>
        <w:pStyle w:val="CaseFootnoteText"/>
      </w:pPr>
      <w:r>
        <w:rPr>
          <w:rStyle w:val="FootnoteReference"/>
        </w:rPr>
        <w:t xml:space="preserve">59  </w:t>
      </w:r>
      <w:r>
        <w:t xml:space="preserve"/>
      </w:r>
      <w:r>
        <w:t xml:space="preserve"> </w:t>
      </w:r>
      <w:r>
        <w:rPr>
          <w:iCs/>
          <w:i/>
        </w:rPr>
        <w:t xml:space="preserve">Id.</w:t>
      </w:r>
      <w:r>
        <w:rPr>
          <w:iCs/>
          <w:i/>
        </w:rPr>
        <w:t xml:space="preserve"> </w:t>
      </w:r>
      <w:r>
        <w:t xml:space="preserve">at 444</w:t>
      </w:r>
      <w:r>
        <w:t xml:space="preserve">.</w:t>
      </w:r>
    </w:p>
  </w:footnote>
  <w:footnote w:id="663">
    <w:p>
      <w:pPr>
        <w:pStyle w:val="CaseFootnoteText"/>
      </w:pPr>
      <w:r>
        <w:rPr>
          <w:rStyle w:val="FootnoteReference"/>
        </w:rPr>
        <w:t xml:space="preserve">59  </w:t>
      </w:r>
      <w:r>
        <w:t xml:space="preserve"/>
      </w:r>
      <w:r>
        <w:t xml:space="preserve"> </w:t>
      </w:r>
      <w:r>
        <w:rPr>
          <w:iCs/>
          <w:i/>
        </w:rPr>
        <w:t xml:space="preserve">See</w:t>
      </w:r>
      <w:r>
        <w:t xml:space="preserve"> </w:t>
      </w:r>
      <w:r>
        <w:t xml:space="preserve">App. to Opening Br. at 372 (Support Agreement Section 1.3: Non-Solicitation); 377 (Section 2.12: Stockholder Capacity).</w:t>
      </w:r>
    </w:p>
  </w:footnote>
  <w:footnote w:id="664">
    <w:p>
      <w:pPr>
        <w:pStyle w:val="CaseFootnoteText"/>
      </w:pPr>
      <w:r>
        <w:rPr>
          <w:rStyle w:val="FootnoteReference"/>
        </w:rPr>
        <w:t xml:space="preserve">59  </w:t>
      </w:r>
      <w:r>
        <w:t xml:space="preserve"/>
      </w:r>
      <w:r>
        <w:t xml:space="preserve"> </w:t>
      </w:r>
      <w:r>
        <w:rPr>
          <w:iCs/>
          <w:i/>
        </w:rPr>
        <w:t xml:space="preserve">See</w:t>
      </w:r>
      <w:r>
        <w:t xml:space="preserve"> </w:t>
      </w:r>
      <w:r>
        <w:t xml:space="preserve">Tr. at 181-82 (Handelsman) ("We were sitting in Goldman Sachs’ office in Mexico City on this October day, and a lawyer from Goldman’s counsel called Goldman and said that — did they recognize that I had something that was the appearance of a conflict. And everybody looked at each other, and it was sort of incredulous about this and how it would come up on the morning of the date that the committee was supposed to vote. And I looked at it and I said, Well, if I have a conflict or they think I have a conflict or this is a potential for a conflict or there is an appearance of a conflict, then I won’t vote.”).</w:t>
      </w:r>
    </w:p>
  </w:footnote>
  <w:footnote w:id="665">
    <w:p>
      <w:pPr>
        <w:pStyle w:val="CaseFootnoteText"/>
      </w:pPr>
      <w:r>
        <w:rPr>
          <w:rStyle w:val="FootnoteReference"/>
        </w:rPr>
        <w:t xml:space="preserve">60  </w:t>
      </w:r>
      <w:r>
        <w:rPr>
          <w:iCs/>
          <w:i/>
        </w:rPr>
        <w:t xml:space="preserve">Id.</w:t>
      </w:r>
    </w:p>
  </w:footnote>
  <w:footnote w:id="666">
    <w:p>
      <w:pPr>
        <w:pStyle w:val="CaseFootnoteText"/>
      </w:pPr>
      <w:r>
        <w:rPr>
          <w:rStyle w:val="FootnoteReference"/>
        </w:rPr>
        <w:t xml:space="preserve">60  </w:t>
      </w:r>
      <w:r>
        <w:t xml:space="preserve"/>
      </w:r>
      <w:r>
        <w:t xml:space="preserve">See</w:t>
      </w:r>
      <w:r>
        <w:t xml:space="preserve"> </w:t>
      </w:r>
      <w:r>
        <w:rPr>
          <w:iCs/>
          <w:i/>
        </w:rPr>
        <w:t xml:space="preserve">Pipefitters</w:t>
      </w:r>
      <w:r>
        <w:t xml:space="preserve"> </w:t>
      </w:r>
      <w:r>
        <w:t xml:space="preserve">v.</w:t>
      </w:r>
      <w:r>
        <w:t xml:space="preserve"> </w:t>
      </w:r>
      <w:r>
        <w:rPr>
          <w:iCs/>
          <w:i/>
        </w:rPr>
        <w:t xml:space="preserve">United States,</w:t>
      </w:r>
      <w:r>
        <w:t xml:space="preserve"> </w:t>
      </w:r>
      <w:r>
        <w:t xml:space="preserve">407 U.S. 385, 409, 414-415 (1972) (reading the statutory bar on corporate and union campaign spending not to apply to “the voluntary donations of employees,” when maintained in a separate account, because “[t]he dominant [legislative] concern in requiring that contributions be voluntary was, after all, to protect the dissenting stockholder or union member”);</w:t>
      </w:r>
      <w:r>
        <w:t xml:space="preserve"> </w:t>
      </w:r>
      <w:r>
        <w:rPr>
          <w:iCs/>
          <w:i/>
        </w:rPr>
        <w:t xml:space="preserve">Automobile Workers,</w:t>
      </w:r>
      <w:r>
        <w:t xml:space="preserve"> </w:t>
      </w:r>
      <w:r>
        <w:t xml:space="preserve">352 U. S., at 592 (advising the District Court to consider on remand whether the broadcast in question was “paid for out of the general dues of the union membership or [whether] the funds [could] be fairly said to have been obtained on a voluntary basis”);</w:t>
      </w:r>
      <w:r>
        <w:t xml:space="preserve"> </w:t>
      </w:r>
      <w:r>
        <w:rPr>
          <w:iCs/>
          <w:i/>
        </w:rPr>
        <w:t xml:space="preserve">United States</w:t>
      </w:r>
      <w:r>
        <w:t xml:space="preserve"> </w:t>
      </w:r>
      <w:r>
        <w:t xml:space="preserve">v.</w:t>
      </w:r>
      <w:r>
        <w:t xml:space="preserve"> </w:t>
      </w:r>
      <w:r>
        <w:rPr>
          <w:iCs/>
          <w:i/>
        </w:rPr>
        <w:t xml:space="preserve">CIO,</w:t>
      </w:r>
      <w:r>
        <w:t xml:space="preserve"> </w:t>
      </w:r>
      <w:r>
        <w:t xml:space="preserve">335 U. S. 106, 123 (1948) (observing that “funds voluntarily contributed [by union members or corporate stockholders] for election purposes” might not be covered by the expenditure bar). Both the</w:t>
      </w:r>
      <w:r>
        <w:t xml:space="preserve"> </w:t>
      </w:r>
      <w:r>
        <w:rPr>
          <w:iCs/>
          <w:i/>
        </w:rPr>
        <w:t xml:space="preserve">Pipefitters</w:t>
      </w:r>
      <w:r>
        <w:t xml:space="preserve"> </w:t>
      </w:r>
      <w:r>
        <w:t xml:space="preserve">and the</w:t>
      </w:r>
      <w:r>
        <w:t xml:space="preserve"> </w:t>
      </w:r>
      <w:r>
        <w:rPr>
          <w:iCs/>
          <w:i/>
        </w:rPr>
        <w:t xml:space="preserve">Automobile Workers</w:t>
      </w:r>
      <w:r>
        <w:t xml:space="preserve"> </w:t>
      </w:r>
      <w:r>
        <w:t xml:space="preserve">Courts approvingly referenced Congress’ goal of reducing “the effect of aggregated wealth on federal elections,” understood as wealth drawn from a corporate or union general treasury without the stockholders’ or members’ “free and knowing choice.”</w:t>
      </w:r>
      <w:r>
        <w:t xml:space="preserve"> </w:t>
      </w:r>
      <w:r>
        <w:rPr>
          <w:iCs/>
          <w:i/>
        </w:rPr>
        <w:t xml:space="preserve">Pipefitters,</w:t>
      </w:r>
      <w:r>
        <w:t xml:space="preserve"> </w:t>
      </w:r>
      <w:r>
        <w:t xml:space="preserve">407 U. S., at 416; see</w:t>
      </w:r>
      <w:r>
        <w:t xml:space="preserve"> </w:t>
      </w:r>
      <w:r>
        <w:rPr>
          <w:iCs/>
          <w:i/>
        </w:rPr>
        <w:t xml:space="preserve">Automobile Workers,</w:t>
      </w:r>
      <w:r>
        <w:t xml:space="preserve"> </w:t>
      </w:r>
      <w:r>
        <w:t xml:space="preserve">352 U. S., at 582.</w:t>
      </w:r>
    </w:p>
    <w:p>
      <w:pPr>
        <w:pStyle w:val="CaseFootnoteText"/>
      </w:pPr>
      <w:r>
        <w:t xml:space="preserve">The two dissenters in</w:t>
      </w:r>
      <w:r>
        <w:t xml:space="preserve"/>
      </w:r>
      <w:r>
        <w:rPr>
          <w:iCs/>
          <w:i/>
        </w:rPr>
        <w:t xml:space="preserve">Pipefitters</w:t>
      </w:r>
      <w:r>
        <w:t xml:space="preserve"> </w:t>
      </w:r>
      <w:r>
        <w:t xml:space="preserve">would not have read the statutory provision in question, a successor to § 304 of the Taft-Hartley Act, to allow such robust use of corporate and union funds to finance otherwise prohibited electioneering. “This opening of the door to extensive corporate and union influence on the elective and legislative processes,” Justice Powell wrote, “must be viewed with genuine concern. This seems to me to be a regressive step as contrasted with the numerous legislative and judicial actions in recent years designed to assure that elections are indeed free and representative.” 407 U. S., at 450 (opinion of Powell, J., joined by Burger, C. J.).</w:t>
      </w:r>
    </w:p>
  </w:footnote>
  <w:footnote w:id="667">
    <w:p>
      <w:pPr>
        <w:pStyle w:val="CaseFootnoteText"/>
      </w:pPr>
      <w:r>
        <w:rPr>
          <w:rStyle w:val="FootnoteReference"/>
        </w:rPr>
        <w:t xml:space="preserve">60  </w:t>
      </w:r>
      <w:r>
        <w:t xml:space="preserve">I note that the parties hotly contest the events on August 31, 2000 that led WorldCom to switch from a purchase of Digex to a purchase of Intermedia. After substantial discovery, the plaintiffs can point to little concrete evidence in the record to refute the defendants' claim that the decision to acquire Intermedia was solely WorldCom’s decision. The plaintiffs point to much circumstantial evidence that suggests impropriety, yet after carefully reviewing the deposition testimony, together with later affidavits which in some respects contradict the depositions, it nonetheless appears doubtful to me that the plaintiffs will be able to overcome the testimony that the decision to switch deals was World-Com’s alone. For the sake of this discussion, however, I will limit my references and consideration to those facts that are not seriously in dispute.</w:t>
      </w:r>
    </w:p>
  </w:footnote>
  <w:footnote w:id="668">
    <w:p>
      <w:pPr>
        <w:pStyle w:val="CaseFootnoteText"/>
      </w:pPr>
      <w:r>
        <w:rPr>
          <w:rStyle w:val="FootnoteReference"/>
        </w:rPr>
        <w:t xml:space="preserve">60  </w:t>
      </w:r>
      <w:r>
        <w:t xml:space="preserve">Citi estimated that C&amp;J stockholders would enjoy a 27% increase in EPS in 2015, an 18% increase in 2016, and a 17% increase in 2017. Citi’s discounted cash flow model predicted a 15% premium. Tudor estimated that the value of C &amp; J’s stock would increase between $1.09 and $3.17 per share.</w:t>
      </w:r>
    </w:p>
  </w:footnote>
  <w:footnote w:id="669">
    <w:p>
      <w:pPr>
        <w:pStyle w:val="CaseFootnoteText"/>
      </w:pPr>
      <w:r>
        <w:rPr>
          <w:rStyle w:val="FootnoteReference"/>
        </w:rPr>
        <w:t xml:space="preserve">60  </w:t>
      </w:r>
      <w:r>
        <w:t xml:space="preserve"/>
      </w:r>
      <w:r>
        <w:t xml:space="preserve"> </w:t>
      </w:r>
      <w:r>
        <w:rPr>
          <w:iCs/>
          <w:i/>
        </w:rPr>
        <w:t xml:space="preserve">See, e.g.,</w:t>
      </w:r>
      <w:r>
        <w:t xml:space="preserve"> </w:t>
      </w:r>
      <w:r>
        <w:t xml:space="preserve">List of Historical Stock Prices of Antofagasta (October 21,</w:t>
      </w:r>
      <w:r>
        <w:t xml:space="preserve"> </w:t>
      </w:r>
      <w:r>
        <w:rPr>
          <w:iCs/>
          <w:i/>
        </w:rPr>
        <w:t xml:space="preserve">2004</w:t>
      </w:r>
      <w:r>
        <w:t xml:space="preserve"> </w:t>
      </w:r>
      <w:r>
        <w:t xml:space="preserve">to April 1, 2005), http://uk.finance.yahoo.com/q/hp?s= ANTO.L&amp;b=21&amp;a=09&amp;c=2004&amp;e=l&amp;d= 03&amp;f=2005&amp;g=d; List of Historical Stock Prices of FreeportMcMoRan (October 21, 2004 to April 1, 2005), http://finance.yahoo. com/q/hp?s=FCX&amp;a=09&amp;b=21&amp;c=2004&amp; d=03&amp;e=l&amp;f=2005&amp;g=d; List of Historical Stock Prices of Grupo Mexico (October 21, 2004 to April 1, 2005), http://flnance. yahoo.com/q/hp?s=GMEXICOB.MX&amp;a=09&amp; b=21&amp;c=2004&amp;d=03&amp;e=l&amp;f=2005&amp;g=d.</w:t>
      </w:r>
    </w:p>
  </w:footnote>
  <w:footnote w:id="670">
    <w:p>
      <w:pPr>
        <w:pStyle w:val="CaseFootnoteText"/>
      </w:pPr>
      <w:r>
        <w:rPr>
          <w:rStyle w:val="FootnoteReference"/>
        </w:rPr>
        <w:t xml:space="preserve">61  </w:t>
      </w:r>
      <w:r>
        <w:rPr>
          <w:iCs/>
          <w:i/>
        </w:rPr>
        <w:t xml:space="preserve">Chancery Opinion</w:t>
      </w:r>
      <w:r>
        <w:t xml:space="preserve"/>
      </w:r>
      <w:r>
        <w:t xml:space="preserve">,</w:t>
      </w:r>
      <w:r>
        <w:t xml:space="preserve"> </w:t>
      </w:r>
      <w:r>
        <w:t xml:space="preserve">2018 WL 818760</w:t>
      </w:r>
      <w:r>
        <w:t xml:space="preserve">, at *60.</w:t>
      </w:r>
    </w:p>
  </w:footnote>
  <w:footnote w:id="671">
    <w:p>
      <w:pPr>
        <w:pStyle w:val="CaseFootnoteText"/>
      </w:pPr>
      <w:r>
        <w:rPr>
          <w:rStyle w:val="FootnoteReference"/>
        </w:rPr>
        <w:t xml:space="preserve">61  </w:t>
      </w:r>
      <w:r>
        <w:t xml:space="preserve"/>
      </w:r>
      <w:r>
        <w:t xml:space="preserve">Specifically, these corporations had to meet three conditions. First, they had to be formed “for the express purpose of promoting political ideas,” so that their resources reflected political support rather than commercial success.</w:t>
      </w:r>
      <w:r>
        <w:t xml:space="preserve"> </w:t>
      </w:r>
      <w:r>
        <w:rPr>
          <w:iCs/>
          <w:i/>
        </w:rPr>
        <w:t xml:space="preserve">MCFL,</w:t>
      </w:r>
      <w:r>
        <w:t xml:space="preserve"> </w:t>
      </w:r>
      <w:r>
        <w:t xml:space="preserve">479 U. S., at 264. Next, they had to have no shareholders, so that “persons connected with the organization will have no economic disincentive for disassociating with it if they disagree with its political activity.”</w:t>
      </w:r>
      <w:r>
        <w:t xml:space="preserve"> </w:t>
      </w:r>
      <w:r>
        <w:rPr>
          <w:iCs/>
          <w:i/>
        </w:rPr>
        <w:t xml:space="preserve">Ibid.</w:t>
      </w:r>
      <w:r>
        <w:t xml:space="preserve"> </w:t>
      </w:r>
      <w:r>
        <w:t xml:space="preserve">Finally, they could not be “established by a business corporation or a labor union,” nor “accept contributions from such entities,” lest they “serv[e] as conduits for the type of direct spending that creates a threat to the political marketplace.”</w:t>
      </w:r>
      <w:r>
        <w:t xml:space="preserve"> </w:t>
      </w:r>
      <w:r>
        <w:rPr>
          <w:iCs/>
          <w:i/>
        </w:rPr>
        <w:t xml:space="preserve">Ibid.</w:t>
      </w:r>
    </w:p>
  </w:footnote>
  <w:footnote w:id="672">
    <w:p>
      <w:pPr>
        <w:pStyle w:val="CaseFootnoteText"/>
      </w:pPr>
      <w:r>
        <w:rPr>
          <w:rStyle w:val="FootnoteReference"/>
        </w:rPr>
        <w:t xml:space="preserve">61  </w:t>
      </w:r>
      <w:r>
        <w:t xml:space="preserve"/>
      </w:r>
      <w:r>
        <w:t xml:space="preserve"> </w:t>
      </w:r>
      <w:r>
        <w:rPr>
          <w:iCs/>
          <w:i/>
        </w:rPr>
        <w:t xml:space="preserve">Cooke v. Oolie,</w:t>
      </w:r>
      <w:r>
        <w:t xml:space="preserve"> </w:t>
      </w:r>
      <w:r>
        <w:t xml:space="preserve">Del. Ch., C.A. No. 11134, Chandler, C. (May 24, 2000) mem. op. at 45.</w:t>
      </w:r>
    </w:p>
  </w:footnote>
  <w:footnote w:id="673">
    <w:p>
      <w:pPr>
        <w:pStyle w:val="CaseFootnoteText"/>
      </w:pPr>
      <w:r>
        <w:rPr>
          <w:rStyle w:val="FootnoteReference"/>
        </w:rPr>
        <w:t xml:space="preserve">61  </w:t>
      </w:r>
      <w:r>
        <w:t xml:space="preserve"/>
      </w:r>
      <w:r>
        <w:t xml:space="preserve"> </w:t>
      </w:r>
      <w:r>
        <w:rPr>
          <w:iCs/>
          <w:i/>
        </w:rPr>
        <w:t xml:space="preserve">See, e.g.,</w:t>
      </w:r>
      <w:r>
        <w:t xml:space="preserve"> </w:t>
      </w:r>
      <w:r>
        <w:t xml:space="preserve">Tess Stynes,</w:t>
      </w:r>
      <w:r>
        <w:t xml:space="preserve"> </w:t>
      </w:r>
      <w:r>
        <w:rPr>
          <w:iCs/>
          <w:i/>
        </w:rPr>
        <w:t xml:space="preserve">C &amp; J Energy to Merge With Nabors Industries Unit,</w:t>
      </w:r>
      <w:r>
        <w:t xml:space="preserve"> </w:t>
      </w:r>
      <w:r>
        <w:t xml:space="preserve">Wall Street Journal (June 25, 2014)</w:t>
      </w:r>
      <w:r>
        <w:t xml:space="preserve"> </w:t>
      </w:r>
      <w:r>
        <w:rPr>
          <w:iCs/>
          <w:i/>
        </w:rPr>
        <w:t xml:space="preserve">("C &amp;</w:t>
      </w:r>
      <w:r>
        <w:t xml:space="preserve"> </w:t>
      </w:r>
      <w:r>
        <w:t xml:space="preserve">J Energy shares soared 20% to $39.50 in after-hours trading, while Nabors shares rose as much as 10% to $30.”);</w:t>
      </w:r>
      <w:r>
        <w:t xml:space="preserve"> </w:t>
      </w:r>
      <w:r>
        <w:rPr>
          <w:iCs/>
          <w:i/>
        </w:rPr>
        <w:t xml:space="preserve">see also C &amp; I Energy's $2.8B Merger with Nabors Fracking Unit is Win-Win for Both,</w:t>
      </w:r>
      <w:r>
        <w:t xml:space="preserve"> </w:t>
      </w:r>
      <w:r>
        <w:t xml:space="preserve">TheStreet.com (June 26, 2014), http://www.thestreet.eom/_ yahoo/video/1275863 5/cj-energys-2 8b-merger-with-nabors-fracking-unit-is-win-win-for-both. html; Matt DiLallo,</w:t>
      </w:r>
      <w:r>
        <w:t xml:space="preserve"> </w:t>
      </w:r>
      <w:r>
        <w:rPr>
          <w:iCs/>
          <w:i/>
        </w:rPr>
        <w:t xml:space="preserve">Deal Pushes C&amp;J Energy Services Inc. Into the Fracking Top 5,</w:t>
      </w:r>
      <w:r>
        <w:t xml:space="preserve"> </w:t>
      </w:r>
      <w:r>
        <w:t xml:space="preserve">The Motley Fool (June 26, 2014), http://www.fool. com/investing/general/2014/06/26/fracking-deal-fuels-cj-energy-services-inc-into-th.aspx ("With one deal, C&amp;J Energy Services has transformed from a niche premium completion service provider to an all-around oil-field service provider.”).</w:t>
      </w:r>
    </w:p>
  </w:footnote>
  <w:footnote w:id="674">
    <w:p>
      <w:pPr>
        <w:pStyle w:val="CaseFootnoteText"/>
      </w:pPr>
      <w:r>
        <w:rPr>
          <w:rStyle w:val="FootnoteReference"/>
        </w:rPr>
        <w:t xml:space="preserve">61  </w:t>
      </w:r>
      <w:r>
        <w:rPr>
          <w:rStyle w:val="Elision"/>
        </w:rPr>
        <w:t xml:space="preserve">[ … ]</w:t>
      </w:r>
    </w:p>
    <w:p>
      <w:pPr>
        <w:pStyle w:val="NodeEnd"/>
      </w:pPr>
      <w:r>
        <w:t xml:space="preserve"> </w:t>
      </w:r>
    </w:p>
    <w:p>
      <w:pPr>
        <w:pStyle w:val="NodeStart"/>
      </w:pPr>
      <w:r>
        <w:t xml:space="preserve"> </w:t>
      </w:r>
    </w:p>
    <w:p>
      <w:pPr>
        <w:pStyle w:val="HeadSeparator"/>
      </w:pPr>
      <w:r>
        <w:t xml:space="preserve"> </w:t>
      </w:r>
    </w:p>
  </w:footnote>
  <w:footnote w:id="676">
    <w:p>
      <w:pPr>
        <w:pStyle w:val="CaseFootnoteText"/>
      </w:pPr>
      <w:r>
        <w:rPr>
          <w:rStyle w:val="FootnoteReference"/>
        </w:rPr>
        <w:t xml:space="preserve">62  </w:t>
      </w:r>
      <w:r>
        <w:rPr>
          <w:iCs/>
          <w:i/>
        </w:rPr>
        <w:t xml:space="preserve">Id.</w:t>
      </w:r>
    </w:p>
  </w:footnote>
  <w:footnote w:id="677">
    <w:p>
      <w:pPr>
        <w:pStyle w:val="CaseFootnoteText"/>
      </w:pPr>
      <w:r>
        <w:rPr>
          <w:rStyle w:val="FootnoteReference"/>
        </w:rPr>
        <w:t xml:space="preserve">62  </w:t>
      </w:r>
      <w:r>
        <w:t xml:space="preserve"/>
      </w:r>
      <w:r>
        <w:t xml:space="preserve">According to The Chief Justice, we are “erroneou[s]” in claiming that</w:t>
      </w:r>
      <w:r>
        <w:t xml:space="preserve"> </w:t>
      </w:r>
      <w:r>
        <w:rPr>
          <w:iCs/>
          <w:i/>
        </w:rPr>
        <w:t xml:space="preserve">McConnell</w:t>
      </w:r>
      <w:r>
        <w:t xml:space="preserve"> </w:t>
      </w:r>
      <w:r>
        <w:t xml:space="preserve">and</w:t>
      </w:r>
      <w:r>
        <w:t xml:space="preserve"> </w:t>
      </w:r>
      <w:r>
        <w:rPr>
          <w:iCs/>
          <w:i/>
        </w:rPr>
        <w:t xml:space="preserve">Beaumont</w:t>
      </w:r>
      <w:r>
        <w:t xml:space="preserve"> </w:t>
      </w:r>
      <w:r>
        <w:t xml:space="preserve">“ 'reaffirmed’ ”</w:t>
      </w:r>
      <w:r>
        <w:t xml:space="preserve"> </w:t>
      </w:r>
      <w:r>
        <w:rPr>
          <w:iCs/>
          <w:i/>
        </w:rPr>
        <w:t xml:space="preserve">Austin. Ante,</w:t>
      </w:r>
      <w:r>
        <w:t xml:space="preserve"> </w:t>
      </w:r>
      <w:r>
        <w:t xml:space="preserve">at 376-377. In both cases, the Court explicitly relied on</w:t>
      </w:r>
      <w:r>
        <w:t xml:space="preserve"> </w:t>
      </w:r>
      <w:r>
        <w:rPr>
          <w:iCs/>
          <w:i/>
        </w:rPr>
        <w:t xml:space="preserve">Austin</w:t>
      </w:r>
      <w:r>
        <w:t xml:space="preserve"> </w:t>
      </w:r>
      <w:r>
        <w:t xml:space="preserve">and quoted from it at length. See 540 U. S., at 204-205; 539 U. S., at 153-155, 158, 160, 163; see also</w:t>
      </w:r>
      <w:r>
        <w:t xml:space="preserve"> </w:t>
      </w:r>
      <w:r>
        <w:rPr>
          <w:iCs/>
          <w:i/>
        </w:rPr>
        <w:t xml:space="preserve">ante,</w:t>
      </w:r>
      <w:r>
        <w:t xml:space="preserve"> </w:t>
      </w:r>
      <w:r>
        <w:t xml:space="preserve">at 332 (opinion of the Court) (“The holding and validity of</w:t>
      </w:r>
      <w:r>
        <w:t xml:space="preserve"> </w:t>
      </w:r>
      <w:r>
        <w:rPr>
          <w:iCs/>
          <w:i/>
        </w:rPr>
        <w:t xml:space="preserve">Austin</w:t>
      </w:r>
      <w:r>
        <w:t xml:space="preserve"> </w:t>
      </w:r>
      <w:r>
        <w:t xml:space="preserve">were essential to the reasoning of the</w:t>
      </w:r>
      <w:r>
        <w:t xml:space="preserve"> </w:t>
      </w:r>
      <w:r>
        <w:rPr>
          <w:iCs/>
          <w:i/>
        </w:rPr>
        <w:t xml:space="preserve">McConnell</w:t>
      </w:r>
      <w:r>
        <w:t xml:space="preserve"> </w:t>
      </w:r>
      <w:r>
        <w:t xml:space="preserve">majority opinion”); Brief for Appellants National Rifle Association et al., O. T. 2003, No. 02-1675, p. 21</w:t>
      </w:r>
      <w:r>
        <w:t xml:space="preserve"> </w:t>
      </w:r>
      <w:r>
        <w:rPr>
          <w:iCs/>
          <w:i/>
        </w:rPr>
        <w:t xml:space="preserve">(“Beaumont</w:t>
      </w:r>
      <w:r>
        <w:t xml:space="preserve"> </w:t>
      </w:r>
      <w:r>
        <w:t xml:space="preserve">reaffirmed ... the</w:t>
      </w:r>
      <w:r>
        <w:t xml:space="preserve"> </w:t>
      </w:r>
      <w:r>
        <w:rPr>
          <w:iCs/>
          <w:i/>
        </w:rPr>
        <w:t xml:space="preserve">Austin</w:t>
      </w:r>
      <w:r>
        <w:t xml:space="preserve"> </w:t>
      </w:r>
      <w:r>
        <w:t xml:space="preserve">rationale for restricting expenditures”). The</w:t>
      </w:r>
      <w:r>
        <w:t xml:space="preserve"> </w:t>
      </w:r>
      <w:r>
        <w:rPr>
          <w:iCs/>
          <w:i/>
        </w:rPr>
        <w:t xml:space="preserve">McConnell</w:t>
      </w:r>
      <w:r>
        <w:t xml:space="preserve"> </w:t>
      </w:r>
      <w:r>
        <w:t xml:space="preserve">Court did so in the teeth of vigorous protests by Justices in today’s majority that</w:t>
      </w:r>
      <w:r>
        <w:t xml:space="preserve"> </w:t>
      </w:r>
      <w:r>
        <w:rPr>
          <w:iCs/>
          <w:i/>
        </w:rPr>
        <w:t xml:space="preserve">Austin</w:t>
      </w:r>
      <w:r>
        <w:t xml:space="preserve"> </w:t>
      </w:r>
      <w:r>
        <w:t xml:space="preserve">should be overruled. See</w:t>
      </w:r>
      <w:r>
        <w:t xml:space="preserve"> </w:t>
      </w:r>
      <w:r>
        <w:rPr>
          <w:iCs/>
          <w:i/>
        </w:rPr>
        <w:t xml:space="preserve">ante,</w:t>
      </w:r>
      <w:r>
        <w:t xml:space="preserve"> </w:t>
      </w:r>
      <w:r>
        <w:t xml:space="preserve">at 332 (citing relevant passages); see also</w:t>
      </w:r>
      <w:r>
        <w:t xml:space="preserve"> </w:t>
      </w:r>
      <w:r>
        <w:rPr>
          <w:iCs/>
          <w:i/>
        </w:rPr>
        <w:t xml:space="preserve">Beaumont,</w:t>
      </w:r>
      <w:r>
        <w:t xml:space="preserve"> </w:t>
      </w:r>
      <w:r>
        <w:t xml:space="preserve">539 U. S., at 163-164 (Kennedy, J., concurring in judgment). Both Courts also heard criticisms of</w:t>
      </w:r>
      <w:r>
        <w:t xml:space="preserve"> </w:t>
      </w:r>
      <w:r>
        <w:rPr>
          <w:iCs/>
          <w:i/>
        </w:rPr>
        <w:t xml:space="preserve">Austin</w:t>
      </w:r>
      <w:r>
        <w:t xml:space="preserve"> </w:t>
      </w:r>
      <w:r>
        <w:t xml:space="preserve">from parties or</w:t>
      </w:r>
      <w:r>
        <w:t xml:space="preserve"> </w:t>
      </w:r>
      <w:r>
        <w:rPr>
          <w:iCs/>
          <w:i/>
        </w:rPr>
        <w:t xml:space="preserve">amici.</w:t>
      </w:r>
      <w:r>
        <w:t xml:space="preserve"> </w:t>
      </w:r>
      <w:r>
        <w:t xml:space="preserve">See Brief for Appellants Chamber of Commerce of the United States et al., O. T. 2003, No. 02-1756, p. 35, n. 22; Reply Brief for Appellants/Cross-Appellees Senator Mitch McConnell et al., O. T. 2003, No. 02-1674, pp. 13-14; Brief for Pacific Legal Foundation as</w:t>
      </w:r>
      <w:r>
        <w:t xml:space="preserve"> </w:t>
      </w:r>
      <w:r>
        <w:rPr>
          <w:iCs/>
          <w:i/>
        </w:rPr>
        <w:t xml:space="preserve">Amicus Curiae</w:t>
      </w:r>
      <w:r>
        <w:t xml:space="preserve"> </w:t>
      </w:r>
      <w:r>
        <w:t xml:space="preserve">in</w:t>
      </w:r>
      <w:r>
        <w:t xml:space="preserve"> </w:t>
      </w:r>
      <w:r>
        <w:rPr>
          <w:iCs/>
          <w:i/>
        </w:rPr>
        <w:t xml:space="preserve">FEC</w:t>
      </w:r>
      <w:r>
        <w:t xml:space="preserve"> </w:t>
      </w:r>
      <w:r>
        <w:t xml:space="preserve">v.</w:t>
      </w:r>
      <w:r>
        <w:t xml:space="preserve"> </w:t>
      </w:r>
      <w:r>
        <w:rPr>
          <w:iCs/>
          <w:i/>
        </w:rPr>
        <w:t xml:space="preserve">Beaumont,</w:t>
      </w:r>
      <w:r>
        <w:t xml:space="preserve"> </w:t>
      </w:r>
      <w:r>
        <w:t xml:space="preserve">O. T. 2002, No. 02-403,</w:t>
      </w:r>
      <w:r>
        <w:t xml:space="preserve"> </w:t>
      </w:r>
      <w:r>
        <w:rPr>
          <w:iCs/>
          <w:i/>
        </w:rPr>
        <w:t xml:space="preserve">passim.</w:t>
      </w:r>
      <w:r>
        <w:t xml:space="preserve"> </w:t>
      </w:r>
      <w:r>
        <w:t xml:space="preserve">If this does not qualify as reaffirmation of a precedent, then I do not know what would.</w:t>
      </w:r>
    </w:p>
  </w:footnote>
  <w:footnote w:id="678">
    <w:p>
      <w:pPr>
        <w:pStyle w:val="CaseFootnoteText"/>
      </w:pPr>
      <w:r>
        <w:rPr>
          <w:rStyle w:val="FootnoteReference"/>
        </w:rPr>
        <w:t xml:space="preserve">62  </w:t>
      </w:r>
      <w:r>
        <w:t xml:space="preserve">Pis.’ Reply Br. states the argument as: "Intermedia’s fiduciary duties, as well as the doctrines of promissory estoppel and equitable estoppel, prevent Intermedia from selling its shares in its own interest in this case.” Reply Br. at 19.</w:t>
      </w:r>
    </w:p>
  </w:footnote>
  <w:footnote w:id="679">
    <w:p>
      <w:pPr>
        <w:pStyle w:val="CaseFootnoteText"/>
      </w:pPr>
      <w:r>
        <w:rPr>
          <w:rStyle w:val="FootnoteReference"/>
        </w:rPr>
        <w:t xml:space="preserve">62  </w:t>
      </w:r>
      <w:r>
        <w:t xml:space="preserve">App. to Opening Br. at 2519 (Comstock email dated June 12, 2014). Comstock stated in an email exchange on June 11 to the Citi advisors that "once agreed on terms [of the merger agreement], we will then share employment agreements. I don’t want one leveraged against the other and the potential conflict associated with that. We can negotiate those separately once deal terms are set.” App. to Opening Br. at 2489.</w:t>
      </w:r>
    </w:p>
  </w:footnote>
  <w:footnote w:id="680">
    <w:p>
      <w:pPr>
        <w:pStyle w:val="CaseFootnoteText"/>
      </w:pPr>
      <w:r>
        <w:rPr>
          <w:rStyle w:val="FootnoteReference"/>
        </w:rPr>
        <w:t xml:space="preserve">62  </w:t>
      </w:r>
      <w:r>
        <w:t xml:space="preserve">Southern Peru’s 2004 full financial performance was publicly disclosed in its 2004 10-K, which was filed on March 16, 2005; the stockholder vote took place on March 28, 2005. Southern Peru's previously filed quarterly reports did not indicate that it would achieve such a high EBITDA.</w:t>
      </w:r>
      <w:r>
        <w:t xml:space="preserve"> </w:t>
      </w:r>
      <w:r>
        <w:rPr>
          <w:iCs/>
          <w:i/>
        </w:rPr>
        <w:t xml:space="preserve">See, e.g.,</w:t>
      </w:r>
      <w:r>
        <w:t xml:space="preserve"> </w:t>
      </w:r>
      <w:r>
        <w:t xml:space="preserve">Southern Peru Copper Corporation 10-Q for the quarter ending September 30, 2004 (November 9, 2004) at 3,</w:t>
      </w:r>
      <w:r>
        <w:t xml:space="preserve"> </w:t>
      </w:r>
      <w:r>
        <w:rPr>
          <w:iCs/>
          <w:i/>
        </w:rPr>
        <w:t xml:space="preserve">available at</w:t>
      </w:r>
      <w:r>
        <w:t xml:space="preserve"> </w:t>
      </w:r>
      <w:r>
        <w:t xml:space="preserve">http://sec. gov/Archives/edgar/data/100183 8/00011 046590403462 l/a04-13088_l 10q.htm, (showing 2004 EBITDA for the last nine months of $597.8 million). But, the members of the Special Committee, as directors of the company, would have had access to the basic information contained in the 2004 10-K before it became public. Either way, the results were out 12 days before the Merger vote.</w:t>
      </w:r>
    </w:p>
  </w:footnote>
  <w:footnote w:id="681">
    <w:p>
      <w:pPr>
        <w:pStyle w:val="CaseFootnoteText"/>
      </w:pPr>
      <w:r>
        <w:rPr>
          <w:rStyle w:val="FootnoteReference"/>
        </w:rPr>
        <w:t xml:space="preserve">63  </w:t>
      </w:r>
      <w:r>
        <w:rPr>
          <w:iCs/>
          <w:i/>
        </w:rPr>
        <w:t xml:space="preserve">Id.</w:t>
      </w:r>
    </w:p>
  </w:footnote>
  <w:footnote w:id="682">
    <w:p>
      <w:pPr>
        <w:pStyle w:val="CaseFootnoteText"/>
      </w:pPr>
      <w:r>
        <w:rPr>
          <w:rStyle w:val="FootnoteReference"/>
        </w:rPr>
        <w:t xml:space="preserve">63  </w:t>
      </w:r>
      <w:r>
        <w:t xml:space="preserve"/>
      </w:r>
      <w:r>
        <w:t xml:space="preserve">Cf.</w:t>
      </w:r>
      <w:r>
        <w:t xml:space="preserve"> </w:t>
      </w:r>
      <w:r>
        <w:rPr>
          <w:iCs/>
          <w:i/>
        </w:rPr>
        <w:t xml:space="preserve">Nixon</w:t>
      </w:r>
      <w:r>
        <w:t xml:space="preserve"> </w:t>
      </w:r>
      <w:r>
        <w:t xml:space="preserve">v.</w:t>
      </w:r>
      <w:r>
        <w:t xml:space="preserve"> </w:t>
      </w:r>
      <w:r>
        <w:rPr>
          <w:iCs/>
          <w:i/>
        </w:rPr>
        <w:t xml:space="preserve">Shrink Missouri Government PAC,</w:t>
      </w:r>
      <w:r>
        <w:t xml:space="preserve"> </w:t>
      </w:r>
      <w:r>
        <w:t xml:space="preserve">528 U. S. 377, 389 (2000) (recognizing “the broader threat from politicians too compliant with the wishes of large contributors”)- Though discrete in scope, these experiments must impose some meaningful limits if they are to have a chance at functioning effectively and preserving the public’s trust. “Even if it occurs only occasionally, the potential for such undue influence is manifest. And unlike straight cash-for-votes transactions, such corruption is neither easily detected nor practical to criminalize.”</w:t>
      </w:r>
      <w:r>
        <w:t xml:space="preserve"> </w:t>
      </w:r>
      <w:r>
        <w:rPr>
          <w:iCs/>
          <w:i/>
        </w:rPr>
        <w:t xml:space="preserve">McConnell,</w:t>
      </w:r>
      <w:r>
        <w:t xml:space="preserve"> </w:t>
      </w:r>
      <w:r>
        <w:t xml:space="preserve">540 U.S., at 153. There should be nothing controversial about the proposition that the influence being targeted is “undue.” In a democracy, officeholders should not make public decisions with the aim of placating a financial benefactor, except to the extent that the benefactor is seen as representative of a larger constituency or its arguments are seen as especially persuasive.</w:t>
      </w:r>
    </w:p>
  </w:footnote>
  <w:footnote w:id="683">
    <w:p>
      <w:pPr>
        <w:pStyle w:val="CaseFootnoteText"/>
      </w:pPr>
      <w:r>
        <w:rPr>
          <w:rStyle w:val="FootnoteReference"/>
        </w:rPr>
        <w:t xml:space="preserve">63  </w:t>
      </w:r>
      <w:r>
        <w:t xml:space="preserve">Pis.’ Ex. 13 (July 11, 2000, Intermedia press release) (emphasis added).</w:t>
      </w:r>
    </w:p>
  </w:footnote>
  <w:footnote w:id="684">
    <w:p>
      <w:pPr>
        <w:pStyle w:val="CaseFootnoteText"/>
      </w:pPr>
      <w:r>
        <w:rPr>
          <w:rStyle w:val="FootnoteReference"/>
        </w:rPr>
        <w:t xml:space="preserve">63  </w:t>
      </w:r>
      <w:r>
        <w:t xml:space="preserve">The Court of Chancery also observed that the employment "agreements were not negotiated until a couple of months after the merger agreement was signed.” Bench Opinion at 6.</w:t>
      </w:r>
    </w:p>
  </w:footnote>
  <w:footnote w:id="685">
    <w:p>
      <w:pPr>
        <w:pStyle w:val="CaseFootnoteText"/>
      </w:pPr>
      <w:r>
        <w:rPr>
          <w:rStyle w:val="FootnoteReference"/>
        </w:rPr>
        <w:t xml:space="preserve">63  </w:t>
      </w:r>
      <w:r>
        <w:t xml:space="preserve">Southern Peru's actual 2005 EBITDA was $1.365 billion, as compared to Southern Peru’s 2005E EBITDA based on unadjusted management projections of $581 million.</w:t>
      </w:r>
    </w:p>
  </w:footnote>
  <w:footnote w:id="686">
    <w:p>
      <w:pPr>
        <w:pStyle w:val="CaseFootnoteText"/>
      </w:pPr>
      <w:r>
        <w:rPr>
          <w:rStyle w:val="FootnoteReference"/>
        </w:rPr>
        <w:t xml:space="preserve">64  </w:t>
      </w:r>
      <w:r>
        <w:rPr>
          <w:iCs/>
          <w:i/>
        </w:rPr>
        <w:t xml:space="preserve">Id.</w:t>
      </w:r>
      <w:r>
        <w:t xml:space="preserve"/>
      </w:r>
      <w:r>
        <w:t xml:space="preserve">at *62.</w:t>
      </w:r>
    </w:p>
  </w:footnote>
  <w:footnote w:id="687">
    <w:p>
      <w:pPr>
        <w:pStyle w:val="CaseFootnoteText"/>
      </w:pPr>
      <w:r>
        <w:rPr>
          <w:rStyle w:val="FootnoteReference"/>
        </w:rPr>
        <w:t xml:space="preserve">64  </w:t>
      </w:r>
      <w:r>
        <w:t xml:space="preserve"/>
      </w:r>
      <w:r>
        <w:t xml:space="preserve">The majority declares by fiat that the appearance of undue influence by high-spending corporations “will not cause the electorate to lose faith in our democracy.”</w:t>
      </w:r>
      <w:r>
        <w:t xml:space="preserve"> </w:t>
      </w:r>
      <w:r>
        <w:rPr>
          <w:iCs/>
          <w:i/>
        </w:rPr>
        <w:t xml:space="preserve">Ante,</w:t>
      </w:r>
      <w:r>
        <w:t xml:space="preserve"> </w:t>
      </w:r>
      <w:r>
        <w:t xml:space="preserve">at 360. The electorate itself has consistently indicated otherwise, both in opinion polls, see</w:t>
      </w:r>
      <w:r>
        <w:t xml:space="preserve"> </w:t>
      </w:r>
      <w:r>
        <w:rPr>
          <w:iCs/>
          <w:i/>
        </w:rPr>
        <w:t xml:space="preserve">McConnell</w:t>
      </w:r>
      <w:r>
        <w:t xml:space="preserve"> </w:t>
      </w:r>
      <w:r>
        <w:t xml:space="preserve">v.</w:t>
      </w:r>
      <w:r>
        <w:t xml:space="preserve"> </w:t>
      </w:r>
      <w:r>
        <w:rPr>
          <w:iCs/>
          <w:i/>
        </w:rPr>
        <w:t xml:space="preserve">FEC,</w:t>
      </w:r>
      <w:r>
        <w:t xml:space="preserve"> </w:t>
      </w:r>
      <w:r>
        <w:t xml:space="preserve">251 F. Supp. 2d 176, 557-558, 623-624 (DC 2003) (opinion of Kollar-Kotelly, J.), and in the laws its representatives have passed, and our colleagues have no basis for elevating their own optimism into a tenet of constitutional law.</w:t>
      </w:r>
    </w:p>
  </w:footnote>
  <w:footnote w:id="688">
    <w:p>
      <w:pPr>
        <w:pStyle w:val="CaseFootnoteText"/>
      </w:pPr>
      <w:r>
        <w:rPr>
          <w:rStyle w:val="FootnoteReference"/>
        </w:rPr>
        <w:t xml:space="preserve">64  </w:t>
      </w:r>
      <w:r>
        <w:t xml:space="preserve">Quote taken from Pis.' Opening Br. at 6 (emphasis added).</w:t>
      </w:r>
    </w:p>
  </w:footnote>
  <w:footnote w:id="689">
    <w:p>
      <w:pPr>
        <w:pStyle w:val="CaseFootnoteText"/>
      </w:pPr>
      <w:r>
        <w:rPr>
          <w:rStyle w:val="FootnoteReference"/>
        </w:rPr>
        <w:t xml:space="preserve">64  </w:t>
      </w:r>
      <w:r>
        <w:t xml:space="preserve">Nabors Red Lion Limited Form S-4, as filed with the Securities and Exchange Commission on December 1, 2014,</w:t>
      </w:r>
      <w:r>
        <w:t xml:space="preserve"> </w:t>
      </w:r>
      <w:r>
        <w:rPr>
          <w:iCs/>
          <w:i/>
        </w:rPr>
        <w:t xml:space="preserve">available at</w:t>
      </w:r>
      <w:r>
        <w:t xml:space="preserve"> </w:t>
      </w:r>
      <w:r>
        <w:t xml:space="preserve">http://www.cjenergy.com/downloads/Nabors_ Red_Lion_Limited_-_Form_S-4_-_ Amendment_4.pdf.</w:t>
      </w:r>
    </w:p>
  </w:footnote>
  <w:footnote w:id="690">
    <w:p>
      <w:pPr>
        <w:pStyle w:val="CaseFootnoteText"/>
      </w:pPr>
      <w:r>
        <w:rPr>
          <w:rStyle w:val="FootnoteReference"/>
        </w:rPr>
        <w:t xml:space="preserve">64  </w:t>
      </w:r>
      <w:r>
        <w:t xml:space="preserve">Minera's actual 2005 EBITDA was $971.6 million, as compared to Minera's 2005E EBITDA based on unadjusted management projections of $672 million.</w:t>
      </w:r>
    </w:p>
  </w:footnote>
  <w:footnote w:id="691">
    <w:p>
      <w:pPr>
        <w:pStyle w:val="CaseFootnoteText"/>
      </w:pPr>
      <w:r>
        <w:rPr>
          <w:rStyle w:val="FootnoteReference"/>
        </w:rPr>
        <w:t xml:space="preserve">65  </w:t>
      </w:r>
      <w:r>
        <w:rPr>
          <w:iCs/>
          <w:i/>
        </w:rPr>
        <w:t xml:space="preserve">Id.</w:t>
      </w:r>
    </w:p>
  </w:footnote>
  <w:footnote w:id="692">
    <w:p>
      <w:pPr>
        <w:pStyle w:val="CaseFootnoteText"/>
      </w:pPr>
      <w:r>
        <w:rPr>
          <w:rStyle w:val="FootnoteReference"/>
        </w:rPr>
        <w:t xml:space="preserve">65  </w:t>
      </w:r>
      <w:r>
        <w:t xml:space="preserve"/>
      </w:r>
      <w:r>
        <w:t xml:space="preserve">Quite distinct from the interest in preventing improper influences on the electoral process, I have long believed that “a number of [other] purposes, both legitimate and substantial, may justify the imposition of reasonable limitations on the expenditures permitted during the course of any single campaign.”</w:t>
      </w:r>
      <w:r>
        <w:t xml:space="preserve"> </w:t>
      </w:r>
      <w:r>
        <w:rPr>
          <w:iCs/>
          <w:i/>
        </w:rPr>
        <w:t xml:space="preserve">Davis</w:t>
      </w:r>
      <w:r>
        <w:t xml:space="preserve"> </w:t>
      </w:r>
      <w:r>
        <w:t xml:space="preserve">v.</w:t>
      </w:r>
      <w:r>
        <w:t xml:space="preserve"> </w:t>
      </w:r>
      <w:r>
        <w:rPr>
          <w:iCs/>
          <w:i/>
        </w:rPr>
        <w:t xml:space="preserve">FEC,</w:t>
      </w:r>
      <w:r>
        <w:t xml:space="preserve"> </w:t>
      </w:r>
      <w:r>
        <w:t xml:space="preserve">554 U. S. 724, 751 (2008) (opinion concurring in part and dissenting in part). In my judgment, such limitations may be justified to the extent they are tailored to “improving the quality of the exposition of ideas” that voters receive,</w:t>
      </w:r>
      <w:r>
        <w:t xml:space="preserve"> </w:t>
      </w:r>
      <w:r>
        <w:rPr>
          <w:iCs/>
          <w:i/>
        </w:rPr>
        <w:t xml:space="preserve">ibid.,</w:t>
      </w:r>
      <w:r>
        <w:t xml:space="preserve"> </w:t>
      </w:r>
      <w:r>
        <w:t xml:space="preserve">“freeing] candidates and their staffs from the interminable burden of fundraising,”</w:t>
      </w:r>
      <w:r>
        <w:t xml:space="preserve"> </w:t>
      </w:r>
      <w:r>
        <w:rPr>
          <w:iCs/>
          <w:i/>
        </w:rPr>
        <w:t xml:space="preserve">ibid.</w:t>
      </w:r>
      <w:r>
        <w:t xml:space="preserve"> </w:t>
      </w:r>
      <w:r>
        <w:t xml:space="preserve">(internal quotation marks omitted), and “protecting] equal access to the political arena,”</w:t>
      </w:r>
      <w:r>
        <w:t xml:space="preserve"> </w:t>
      </w:r>
      <w:r>
        <w:rPr>
          <w:iCs/>
          <w:i/>
        </w:rPr>
        <w:t xml:space="preserve">Randall</w:t>
      </w:r>
      <w:r>
        <w:t xml:space="preserve"> </w:t>
      </w:r>
      <w:r>
        <w:t xml:space="preserve">v.</w:t>
      </w:r>
      <w:r>
        <w:t xml:space="preserve"> </w:t>
      </w:r>
      <w:r>
        <w:rPr>
          <w:iCs/>
          <w:i/>
        </w:rPr>
        <w:t xml:space="preserve">Sorrell,</w:t>
      </w:r>
      <w:r>
        <w:t xml:space="preserve"> </w:t>
      </w:r>
      <w:r>
        <w:t xml:space="preserve">548 U. S. 230, 278 (2006) (Stevens, J., dissenting) (internal quotation marks omitted). I continue to adhere to these beliefs, but they have not been briefed by the parties or</w:t>
      </w:r>
      <w:r>
        <w:t xml:space="preserve"> </w:t>
      </w:r>
      <w:r>
        <w:rPr>
          <w:iCs/>
          <w:i/>
        </w:rPr>
        <w:t xml:space="preserve">amici</w:t>
      </w:r>
      <w:r>
        <w:t xml:space="preserve"> </w:t>
      </w:r>
      <w:r>
        <w:t xml:space="preserve">in this case, and their soundness is immaterial to its proper disposition.</w:t>
      </w:r>
    </w:p>
  </w:footnote>
  <w:footnote w:id="693">
    <w:p>
      <w:pPr>
        <w:pStyle w:val="CaseFootnoteText"/>
      </w:pPr>
      <w:r>
        <w:rPr>
          <w:rStyle w:val="FootnoteReference"/>
        </w:rPr>
        <w:t xml:space="preserve">65  </w:t>
      </w:r>
      <w:r>
        <w:t xml:space="preserve">Pis.' Reply Br. at 7.</w:t>
      </w:r>
    </w:p>
  </w:footnote>
  <w:footnote w:id="694">
    <w:p>
      <w:pPr>
        <w:pStyle w:val="CaseFootnoteText"/>
      </w:pPr>
      <w:r>
        <w:rPr>
          <w:rStyle w:val="FootnoteReference"/>
        </w:rPr>
        <w:t xml:space="preserve">65  </w:t>
      </w:r>
      <w:r>
        <w:t xml:space="preserve">App. to Opening Br. at 1691 (Comstock Deposition at 210).</w:t>
      </w:r>
    </w:p>
  </w:footnote>
  <w:footnote w:id="695">
    <w:p>
      <w:pPr>
        <w:pStyle w:val="CaseFootnoteText"/>
      </w:pPr>
      <w:r>
        <w:rPr>
          <w:rStyle w:val="FootnoteReference"/>
        </w:rPr>
        <w:t xml:space="preserve">65  </w:t>
      </w:r>
      <w:r>
        <w:t xml:space="preserve">JX-18 at 5 ($55.89 x 67,200,000 = $3,755,808,000).</w:t>
      </w:r>
    </w:p>
  </w:footnote>
  <w:footnote w:id="696">
    <w:p>
      <w:pPr>
        <w:pStyle w:val="CaseFootnoteText"/>
      </w:pPr>
      <w:r>
        <w:rPr>
          <w:rStyle w:val="FootnoteReference"/>
        </w:rPr>
        <w:t xml:space="preserve">66  </w:t>
      </w:r>
      <w:r>
        <w:rPr>
          <w:iCs/>
          <w:i/>
        </w:rPr>
        <w:t xml:space="preserve">Id.</w:t>
      </w:r>
      <w:r>
        <w:t xml:space="preserve"/>
      </w:r>
      <w:r>
        <w:t xml:space="preserve">at *63.</w:t>
      </w:r>
    </w:p>
  </w:footnote>
  <w:footnote w:id="697">
    <w:p>
      <w:pPr>
        <w:pStyle w:val="CaseFootnoteText"/>
      </w:pPr>
      <w:r>
        <w:rPr>
          <w:rStyle w:val="FootnoteReference"/>
        </w:rPr>
        <w:t xml:space="preserve">66  </w:t>
      </w:r>
      <w:r>
        <w:t xml:space="preserve"/>
      </w:r>
      <w:r>
        <w:t xml:space="preserve">In fact, the notion that the “electioneering communications” covered by §203 can breed</w:t>
      </w:r>
      <w:r>
        <w:t xml:space="preserve"> </w:t>
      </w:r>
      <w:r>
        <w:rPr>
          <w:iCs/>
          <w:i/>
        </w:rPr>
        <w:t xml:space="preserve">quid pro quo</w:t>
      </w:r>
      <w:r>
        <w:t xml:space="preserve"> </w:t>
      </w:r>
      <w:r>
        <w:t xml:space="preserve">corruption or the appearance of such corruption has only become more plausible since we decided</w:t>
      </w:r>
      <w:r>
        <w:t xml:space="preserve"> </w:t>
      </w:r>
      <w:r>
        <w:rPr>
          <w:iCs/>
          <w:i/>
        </w:rPr>
        <w:t xml:space="preserve">McConnell.</w:t>
      </w:r>
      <w:r>
        <w:t xml:space="preserve"> </w:t>
      </w:r>
      <w:r>
        <w:t xml:space="preserve">Recall that The Chief Justice’s controlling opinion in</w:t>
      </w:r>
      <w:r>
        <w:t xml:space="preserve"> </w:t>
      </w:r>
      <w:r>
        <w:rPr>
          <w:iCs/>
          <w:i/>
        </w:rPr>
        <w:t xml:space="preserve">WRTL</w:t>
      </w:r>
      <w:r>
        <w:t xml:space="preserve"> </w:t>
      </w:r>
      <w:r>
        <w:t xml:space="preserve">subsequently limited BCRA’s definition of “electioneering communications” to those that are “susceptible of no reasonable interpretation other than as an appeal to vote for or against a specific candidate.” 551 U. S., at 470. The upshot was that after</w:t>
      </w:r>
      <w:r>
        <w:t xml:space="preserve"> </w:t>
      </w:r>
      <w:r>
        <w:rPr>
          <w:iCs/>
          <w:i/>
        </w:rPr>
        <w:t xml:space="preserve">WRTL,</w:t>
      </w:r>
      <w:r>
        <w:t xml:space="preserve"> </w:t>
      </w:r>
      <w:r>
        <w:t xml:space="preserve">a corporate or union expenditure could be regulated under §203 only if everyone would understand it as an endorsement of or attack on a particular candidate for office. It does not take much imagination to perceive why this type of advocacy might be especially apt to look like or amount to a deal or a threat.</w:t>
      </w:r>
    </w:p>
  </w:footnote>
  <w:footnote w:id="698">
    <w:p>
      <w:pPr>
        <w:pStyle w:val="CaseFootnoteText"/>
      </w:pPr>
      <w:r>
        <w:rPr>
          <w:rStyle w:val="FootnoteReference"/>
        </w:rPr>
        <w:t xml:space="preserve">66  </w:t>
      </w:r>
      <w:r>
        <w:t xml:space="preserve">Del.Supr.,</w:t>
      </w:r>
      <w:r>
        <w:t xml:space="preserve"> </w:t>
      </w:r>
      <w:r>
        <w:t xml:space="preserve">506 A.2d 173</w:t>
      </w:r>
      <w:r>
        <w:t xml:space="preserve"> </w:t>
      </w:r>
      <w:r>
        <w:t xml:space="preserve">(1985).</w:t>
      </w:r>
    </w:p>
  </w:footnote>
  <w:footnote w:id="699">
    <w:p>
      <w:pPr>
        <w:pStyle w:val="CaseFootnoteText"/>
      </w:pPr>
      <w:r>
        <w:rPr>
          <w:rStyle w:val="FootnoteReference"/>
        </w:rPr>
        <w:t xml:space="preserve">66  </w:t>
      </w:r>
      <w:r>
        <w:t xml:space="preserve">Comstock’s base salary in 2013 was $740,000. He also received a bonus of $1,110,000 and 138,033 restricted stock units, worth $3.27 million.</w:t>
      </w:r>
      <w:r>
        <w:t xml:space="preserve"> </w:t>
      </w:r>
      <w:r>
        <w:rPr>
          <w:iCs/>
          <w:i/>
        </w:rPr>
        <w:t xml:space="preserve">See</w:t>
      </w:r>
      <w:r>
        <w:t xml:space="preserve"> </w:t>
      </w:r>
      <w:r>
        <w:t xml:space="preserve">C&amp;J Energy Services, Inc. Definitive Proxy Statement, Schedule 14A, April 10, 2014.</w:t>
      </w:r>
    </w:p>
  </w:footnote>
  <w:footnote w:id="700">
    <w:p>
      <w:pPr>
        <w:pStyle w:val="CaseFootnoteText"/>
      </w:pPr>
      <w:r>
        <w:rPr>
          <w:rStyle w:val="FootnoteReference"/>
        </w:rPr>
        <w:t xml:space="preserve">66  </w:t>
      </w:r>
      <w:r>
        <w:t xml:space="preserve">When Vice Chancellor Lamb left the Court in 2009, this case was reassigned to me. By that time, Vice Chancellor Lamb had already admonished the plaintiff for its torpid pace in prosecuting the case.</w:t>
      </w:r>
      <w:r>
        <w:t xml:space="preserve"> </w:t>
      </w:r>
      <w:r>
        <w:rPr>
          <w:iCs/>
          <w:i/>
        </w:rPr>
        <w:t xml:space="preserve">In re Southern Peru S’holders Litig.,</w:t>
      </w:r>
      <w:r>
        <w:t xml:space="preserve"> </w:t>
      </w:r>
      <w:r>
        <w:t xml:space="preserve">C.A. No. 961 at 20 (Del. Ch. July 1, 2009) (TRANSCRIPT) ("I can’t quite strongly enough express my displeasure at how delayed this litigation has been and the fact that it wasn't prepared for trial two or three years ago.”).</w:t>
      </w:r>
    </w:p>
  </w:footnote>
  <w:footnote w:id="701">
    <w:p>
      <w:pPr>
        <w:pStyle w:val="CaseFootnoteText"/>
      </w:pPr>
      <w:r>
        <w:rPr>
          <w:rStyle w:val="FootnoteReference"/>
        </w:rPr>
        <w:t xml:space="preserve">67  </w:t>
      </w:r>
      <w:r>
        <w:rPr>
          <w:iCs/>
          <w:i/>
        </w:rPr>
        <w:t xml:space="preserve">Id.</w:t>
      </w:r>
      <w:r>
        <w:t xml:space="preserve"/>
      </w:r>
      <w:r>
        <w:t xml:space="preserve">at *60 (quoting</w:t>
      </w:r>
      <w:r>
        <w:t xml:space="preserve"> </w:t>
      </w:r>
      <w:r>
        <w:rPr>
          <w:iCs/>
          <w:i/>
        </w:rPr>
        <w:t xml:space="preserve">Gerber v. Enterprise Prods. Holdings, LLC</w:t>
      </w:r>
      <w:r>
        <w:t xml:space="preserve"> </w:t>
      </w:r>
      <w:r>
        <w:t xml:space="preserve">,</w:t>
      </w:r>
      <w:r>
        <w:t xml:space="preserve"> </w:t>
      </w:r>
      <w:r>
        <w:t xml:space="preserve">67 A.3d 400</w:t>
      </w:r>
      <w:r>
        <w:t xml:space="preserve">, 418 (Del. 2013) ).</w:t>
      </w:r>
    </w:p>
  </w:footnote>
  <w:footnote w:id="702">
    <w:p>
      <w:pPr>
        <w:pStyle w:val="CaseFootnoteText"/>
      </w:pPr>
      <w:r>
        <w:rPr>
          <w:rStyle w:val="FootnoteReference"/>
        </w:rPr>
        <w:t xml:space="preserve">67  </w:t>
      </w:r>
      <w:r>
        <w:t xml:space="preserve"/>
      </w:r>
      <w:r>
        <w:t xml:space="preserve">“We must give weight” and “due deference” to Congress’ efforts to dispel corruption, the Court states at one point.</w:t>
      </w:r>
      <w:r>
        <w:t xml:space="preserve"> </w:t>
      </w:r>
      <w:r>
        <w:rPr>
          <w:iCs/>
          <w:i/>
        </w:rPr>
        <w:t xml:space="preserve">Ante,</w:t>
      </w:r>
      <w:r>
        <w:t xml:space="preserve"> </w:t>
      </w:r>
      <w:r>
        <w:t xml:space="preserve">at 361. It is unclear to me what these maxims mean, but as applied by the Court they clearly do not entail “deference” in any normal sense of that term.</w:t>
      </w:r>
    </w:p>
  </w:footnote>
  <w:footnote w:id="703">
    <w:p>
      <w:pPr>
        <w:pStyle w:val="CaseFootnoteText"/>
      </w:pPr>
      <w:r>
        <w:rPr>
          <w:rStyle w:val="FootnoteReference"/>
        </w:rPr>
        <w:t xml:space="preserve">67  </w:t>
      </w:r>
      <w:r>
        <w:t xml:space="preserve"/>
      </w:r>
      <w:r>
        <w:t xml:space="preserve"> </w:t>
      </w:r>
      <w:r>
        <w:rPr>
          <w:iCs/>
          <w:i/>
        </w:rPr>
        <w:t xml:space="preserve">Id.</w:t>
      </w:r>
      <w:r>
        <w:rPr>
          <w:iCs/>
          <w:i/>
        </w:rPr>
        <w:t xml:space="preserve"> </w:t>
      </w:r>
      <w:r>
        <w:t xml:space="preserve">at 182</w:t>
      </w:r>
      <w:r>
        <w:t xml:space="preserve">.</w:t>
      </w:r>
    </w:p>
  </w:footnote>
  <w:footnote w:id="704">
    <w:p>
      <w:pPr>
        <w:pStyle w:val="CaseFootnoteText"/>
      </w:pPr>
      <w:r>
        <w:rPr>
          <w:rStyle w:val="FootnoteReference"/>
        </w:rPr>
        <w:t xml:space="preserve">67  </w:t>
      </w:r>
      <w:r>
        <w:t xml:space="preserve">For example, under his current severance package, Comstock is only entitled to a prorated perdentage of his annual bonus if the date of severance is after June 30; immediate vesting of unvested options and restricted stock; additional severance payments based on his base salary in effect on the date of termination; and a lump sum equal to COBRA premiums for the longer of the remaining term of .his employment agreement or one year (not to exceed two years). C&amp;J Energy Services, Inc. Definitive Proxy Statement, Schedule 14A, April 10, 2014. Under the proposed severance package, Comstock will be entitled to his full annual bonus, regardless of when he is terminated; full vesting of his long-term equity compensation with his unex-ercised stock options exercisable for the full term; severance payments equal to two times the sum of his base salary and target bonus; and a lump sum equal to COBRA premiums for 18 months. Nabors Red Lion Limited Form S-4 at 105.</w:t>
      </w:r>
    </w:p>
    <w:p>
      <w:pPr>
        <w:pStyle w:val="CaseFootnoteText"/>
      </w:pPr>
      <w:r>
        <w:t xml:space="preserve">But Comstock’s insistence on a larger severance also has a rational economic basis. In five years, after all, many of the corporate governance protections under the merger agreement will fall away, and his continued employment will be his primary means of protecting his investment and ensuring that he has an influence over the direction of the company. Comstock founded C&amp;J and has a 10% equity stake, worth $170 million on the day the board approved the deal, which is likely his largest asset. By doing a transaction with Nabors, Comstock left himself in a situation where much of his wealth could be left entirely within Nabors’ control if he were terminated. The admittedly large severance could thus be seen as a protection for Com-stock against having his firm-specific capital stuck in New C &amp; J if he was no longer its CEO, by requiring a payment roughly equivalent to its value to be paid to him if he was terminated.</w:t>
      </w:r>
    </w:p>
  </w:footnote>
  <w:footnote w:id="705">
    <w:p>
      <w:pPr>
        <w:pStyle w:val="CaseFootnoteText"/>
      </w:pPr>
      <w:r>
        <w:rPr>
          <w:rStyle w:val="FootnoteReference"/>
        </w:rPr>
        <w:t xml:space="preserve">67  </w:t>
      </w:r>
      <w:r>
        <w:t xml:space="preserve"/>
      </w:r>
      <w:r>
        <w:t xml:space="preserve"> </w:t>
      </w:r>
      <w:r>
        <w:rPr>
          <w:iCs/>
          <w:i/>
        </w:rPr>
        <w:t xml:space="preserve">Cf. In re Loral Space &amp; Commc'ns Inc.,</w:t>
      </w:r>
      <w:r>
        <w:t xml:space="preserve"> </w:t>
      </w:r>
      <w:r>
        <w:t xml:space="preserve">2008 WL 4293781</w:t>
      </w:r>
      <w:r>
        <w:t xml:space="preserve">, at *33 (Del.Ch. Sept. 19, 2008) ("For example, being a non-independent director who approved a conflict transaction found unfair does not make one, without more, liable personally for the harm caused. Rather, the court must examine that director's behavior in order to assess whether the director breached her fiduciary duties and, if a § 102(b)(7) clause is in effect, acted with the requisite state of mind to have committed a non-exculpated breach.”).</w:t>
      </w:r>
    </w:p>
  </w:footnote>
  <w:footnote w:id="706">
    <w:p>
      <w:pPr>
        <w:pStyle w:val="CaseFootnoteText"/>
      </w:pPr>
      <w:r>
        <w:rPr>
          <w:rStyle w:val="FootnoteReference"/>
        </w:rPr>
        <w:t xml:space="preserve">68  </w:t>
      </w:r>
      <w:r>
        <w:rPr>
          <w:iCs/>
          <w:i/>
        </w:rPr>
        <w:t xml:space="preserve">Id.</w:t>
      </w:r>
      <w:r>
        <w:t xml:space="preserve"/>
      </w:r>
      <w:r>
        <w:t xml:space="preserve">at *64. The trial court observed that "[b]ecause Koch and members of his family owned two thirds of Oxbow's units, they would bear two-thirds of the cost of a Waterfall Top Off."</w:t>
      </w:r>
      <w:r>
        <w:t xml:space="preserve"> </w:t>
      </w:r>
      <w:r>
        <w:rPr>
          <w:iCs/>
          <w:i/>
        </w:rPr>
        <w:t xml:space="preserve">Id.</w:t>
      </w:r>
    </w:p>
  </w:footnote>
  <w:footnote w:id="707">
    <w:p>
      <w:pPr>
        <w:pStyle w:val="CaseFootnoteText"/>
      </w:pPr>
      <w:r>
        <w:rPr>
          <w:rStyle w:val="FootnoteReference"/>
        </w:rPr>
        <w:t xml:space="preserve">68  </w:t>
      </w:r>
      <w:r>
        <w:t xml:space="preserve"/>
      </w:r>
      <w:r>
        <w:t xml:space="preserve">Justice Breyer has suggested that we strike the balance as follows: “We should defer to [the legislature’s] political judgment that unlimited spending threatens the integrity of the electoral process. But we should not defer in respect to whether its solution . .. insulates legislators from effective electoral challenge.”</w:t>
      </w:r>
      <w:r>
        <w:t xml:space="preserve"> </w:t>
      </w:r>
      <w:r>
        <w:rPr>
          <w:iCs/>
          <w:i/>
        </w:rPr>
        <w:t xml:space="preserve">Shrink Missouri,</w:t>
      </w:r>
      <w:r>
        <w:t xml:space="preserve"> </w:t>
      </w:r>
      <w:r>
        <w:t xml:space="preserve">528 U. S., at 403-404 (concurring opinion).</w:t>
      </w:r>
    </w:p>
  </w:footnote>
  <w:footnote w:id="708">
    <w:p>
      <w:pPr>
        <w:pStyle w:val="CaseFootnoteText"/>
      </w:pPr>
      <w:r>
        <w:rPr>
          <w:rStyle w:val="FootnoteReference"/>
        </w:rPr>
        <w:t xml:space="preserve">68  </w:t>
      </w:r>
      <w:r>
        <w:t xml:space="preserve"/>
      </w:r>
      <w:r>
        <w:t xml:space="preserve"> </w:t>
      </w:r>
      <w:r>
        <w:rPr>
          <w:iCs/>
          <w:i/>
        </w:rPr>
        <w:t xml:space="preserve">See McMullin v. Beran,</w:t>
      </w:r>
      <w:r>
        <w:t xml:space="preserve"> </w:t>
      </w:r>
      <w:r>
        <w:t xml:space="preserve">Del.Supr.,</w:t>
      </w:r>
      <w:r>
        <w:t xml:space="preserve"> </w:t>
      </w:r>
      <w:r>
        <w:t xml:space="preserve">765 A.2d 910</w:t>
      </w:r>
      <w:r>
        <w:t xml:space="preserve">, No. 611, 1999, Holland, J. (2000);</w:t>
      </w:r>
      <w:r>
        <w:t xml:space="preserve"> </w:t>
      </w:r>
      <w:r>
        <w:rPr>
          <w:iCs/>
          <w:i/>
        </w:rPr>
        <w:t xml:space="preserve">Paramount Communications, Inc. v. QVC Network, Inc.,</w:t>
      </w:r>
      <w:r>
        <w:t xml:space="preserve"> </w:t>
      </w:r>
      <w:r>
        <w:t xml:space="preserve">Del.Supr.,</w:t>
      </w:r>
      <w:r>
        <w:t xml:space="preserve"> </w:t>
      </w:r>
      <w:r>
        <w:t xml:space="preserve">637 A.2d 34</w:t>
      </w:r>
      <w:r>
        <w:t xml:space="preserve"> </w:t>
      </w:r>
      <w:r>
        <w:t xml:space="preserve">(1994); and</w:t>
      </w:r>
      <w:r>
        <w:t xml:space="preserve"> </w:t>
      </w:r>
      <w:r>
        <w:rPr>
          <w:iCs/>
          <w:i/>
        </w:rPr>
        <w:t xml:space="preserve">Paramount Communications, Inc. v. Time, Inc.,</w:t>
      </w:r>
      <w:r>
        <w:t xml:space="preserve"> </w:t>
      </w:r>
      <w:r>
        <w:t xml:space="preserve">Del.Ch., C.A. No. 10866,</w:t>
      </w:r>
      <w:r>
        <w:t xml:space="preserve"> </w:t>
      </w:r>
      <w:r>
        <w:t xml:space="preserve">1989 WL</w:t>
      </w:r>
      <w:r>
        <w:t xml:space="preserve"> </w:t>
      </w:r>
      <w:r>
        <w:t xml:space="preserve">79880</w:t>
      </w:r>
      <w:r>
        <w:t xml:space="preserve">, Allen, C. (July 17, 1989),</w:t>
      </w:r>
      <w:r>
        <w:t xml:space="preserve"> </w:t>
      </w:r>
      <w:r>
        <w:rPr>
          <w:iCs/>
          <w:i/>
        </w:rPr>
        <w:t xml:space="preserve">aff'd,</w:t>
      </w:r>
      <w:r>
        <w:t xml:space="preserve"> </w:t>
      </w:r>
      <w:r>
        <w:t xml:space="preserve">Del. Supr.,</w:t>
      </w:r>
      <w:r>
        <w:t xml:space="preserve"> </w:t>
      </w:r>
      <w:r>
        <w:t xml:space="preserve">571 A.2d 1140</w:t>
      </w:r>
      <w:r>
        <w:t xml:space="preserve"> </w:t>
      </w:r>
      <w:r>
        <w:t xml:space="preserve">(1990).</w:t>
      </w:r>
    </w:p>
  </w:footnote>
  <w:footnote w:id="709">
    <w:p>
      <w:pPr>
        <w:pStyle w:val="CaseFootnoteText"/>
      </w:pPr>
      <w:r>
        <w:rPr>
          <w:rStyle w:val="FootnoteReference"/>
        </w:rPr>
        <w:t xml:space="preserve">68  </w:t>
      </w:r>
      <w:r>
        <w:t xml:space="preserve">App. to Opening Br. at 1693 (Comstock Deposition at 220).</w:t>
      </w:r>
    </w:p>
  </w:footnote>
  <w:footnote w:id="710">
    <w:p>
      <w:pPr>
        <w:pStyle w:val="CaseFootnoteText"/>
      </w:pPr>
      <w:r>
        <w:rPr>
          <w:rStyle w:val="FootnoteReference"/>
        </w:rPr>
        <w:t xml:space="preserve">68  </w:t>
      </w:r>
      <w:r>
        <w:t xml:space="preserve">I recognize that this is a close question. The bottom line requirement of loyalty is that a director act in the best interests of the company and its stockholders, rather than for any other reason.</w:t>
      </w:r>
      <w:r>
        <w:t xml:space="preserve"> </w:t>
      </w:r>
      <w:r>
        <w:rPr>
          <w:iCs/>
          <w:i/>
        </w:rPr>
        <w:t xml:space="preserve">See In re RJR Nabisco, Inc. S’holders Litig.,</w:t>
      </w:r>
      <w:r>
        <w:t xml:space="preserve"> </w:t>
      </w:r>
      <w:r>
        <w:t xml:space="preserve">1989 WL 7036</w:t>
      </w:r>
      <w:r>
        <w:t xml:space="preserve">, at *15 (Del. Ch. Jan. 31, 1989). Myriad interests have caused fiduciaries to stray from the straight path. What I struggle with here is that a director would be considered interested because he (or in this case, his employer) desired the liquidity available to the other stockholders. Although I do not struggle with finding that a stockholder-representative in this situation has difficult incentives, I believe it would be mistaken to consider this sort of interest as constituting an interest in the formal sense of imposing liability for breach of the duty of loyalty absent a showing that the director in bad faith subordinated the best interests of the company in getting a fair price to his desire to have the liquidity available to other stockholders. Given that summary judgment in Handelsman’s favor has already been granted and given the resources of Gru-po Mexico and its affiliated defendants, this interesting question does not seem likely to have a real world effect. In view of that, I am even more reluctant to call a stockholder's desire for liquidity an interest, because there is likely utility in having directors who represent stockholders with a deep financial stake that gives them an incentive to monitor management and controlling stockholders closely. In a real way. Cerro and Phelps Dodge were seeking the same liquidity as other minority stockholders, although I realize Handels-man’s service on the board was a choice that exacerbated Cerro’s problem.</w:t>
      </w:r>
    </w:p>
  </w:footnote>
  <w:footnote w:id="711">
    <w:p>
      <w:pPr>
        <w:pStyle w:val="CaseFootnoteText"/>
      </w:pPr>
      <w:r>
        <w:rPr>
          <w:rStyle w:val="FootnoteReference"/>
        </w:rPr>
        <w:t xml:space="preserve">69  </w:t>
      </w:r>
      <w:r>
        <w:rPr>
          <w:iCs/>
          <w:i/>
        </w:rPr>
        <w:t xml:space="preserve">Id.</w:t>
      </w:r>
    </w:p>
  </w:footnote>
  <w:footnote w:id="712">
    <w:p>
      <w:pPr>
        <w:pStyle w:val="CaseFootnoteText"/>
      </w:pPr>
      <w:r>
        <w:rPr>
          <w:rStyle w:val="FootnoteReference"/>
        </w:rPr>
        <w:t xml:space="preserve">69  </w:t>
      </w:r>
      <w:r>
        <w:t xml:space="preserve"/>
      </w:r>
      <w:r>
        <w:t xml:space="preserve">The Chief Justice denies this,</w:t>
      </w:r>
      <w:r>
        <w:t xml:space="preserve"> </w:t>
      </w:r>
      <w:r>
        <w:rPr>
          <w:iCs/>
          <w:i/>
        </w:rPr>
        <w:t xml:space="preserve">ante,</w:t>
      </w:r>
      <w:r>
        <w:t xml:space="preserve"> </w:t>
      </w:r>
      <w:r>
        <w:t xml:space="preserve">at 380-382, citing scholarship that has interpreted</w:t>
      </w:r>
      <w:r>
        <w:t xml:space="preserve"> </w:t>
      </w:r>
      <w:r>
        <w:rPr>
          <w:iCs/>
          <w:i/>
        </w:rPr>
        <w:t xml:space="preserve">Austin</w:t>
      </w:r>
      <w:r>
        <w:t xml:space="preserve"> </w:t>
      </w:r>
      <w:r>
        <w:t xml:space="preserve">to endorse an equality rationale, along with an article by Justice Thurgood Marshall’s former law clerk that states that Marshall, the author of</w:t>
      </w:r>
      <w:r>
        <w:t xml:space="preserve"> </w:t>
      </w:r>
      <w:r>
        <w:rPr>
          <w:iCs/>
          <w:i/>
        </w:rPr>
        <w:t xml:space="preserve">Austin,</w:t>
      </w:r>
      <w:r>
        <w:t xml:space="preserve"> </w:t>
      </w:r>
      <w:r>
        <w:t xml:space="preserve">accepted “equality of opportunity” and “equalizing access to the political process” as bases for campaign finance regulation, Garrett, New Voices in Politics: Justice Marshall’s Jurisprudence on Law and Polities, 52 How. L. J. 655, 667-668 (2009) (internal quotation marks omitted). It is fair to say that</w:t>
      </w:r>
      <w:r>
        <w:t xml:space="preserve"> </w:t>
      </w:r>
      <w:r>
        <w:rPr>
          <w:iCs/>
          <w:i/>
        </w:rPr>
        <w:t xml:space="preserve">Austin</w:t>
      </w:r>
      <w:r>
        <w:t xml:space="preserve"> </w:t>
      </w:r>
      <w:r>
        <w:t xml:space="preserve">can bear an egalitarian reading, and I have no reason to doubt this characterization of Justice Marshall’s beliefs. But the fact that</w:t>
      </w:r>
      <w:r>
        <w:t xml:space="preserve"> </w:t>
      </w:r>
      <w:r>
        <w:rPr>
          <w:iCs/>
          <w:i/>
        </w:rPr>
        <w:t xml:space="preserve">Austin</w:t>
      </w:r>
      <w:r>
        <w:t xml:space="preserve"> </w:t>
      </w:r>
      <w:r>
        <w:t xml:space="preserve">can be read a certain way hardly proves The Chief Justice’s charge that there is nothing more to it. Many of our precedents can bear multiple readings, and many of our doctrines have some “equalizing” implications but do not rest on an equalizing theory: for example, our takings jurisprudence and numerous rules of criminal procedure. More importantly, the</w:t>
      </w:r>
      <w:r>
        <w:t xml:space="preserve"> </w:t>
      </w:r>
      <w:r>
        <w:rPr>
          <w:iCs/>
          <w:i/>
        </w:rPr>
        <w:t xml:space="preserve">Austin</w:t>
      </w:r>
      <w:r>
        <w:t xml:space="preserve"> </w:t>
      </w:r>
      <w:r>
        <w:t xml:space="preserve">Court expressly declined to rely on a speech-equalization rationale, see 494 U. S., at 660, and we have never understood</w:t>
      </w:r>
      <w:r>
        <w:t xml:space="preserve"> </w:t>
      </w:r>
      <w:r>
        <w:rPr>
          <w:iCs/>
          <w:i/>
        </w:rPr>
        <w:t xml:space="preserve">Austin</w:t>
      </w:r>
      <w:r>
        <w:t xml:space="preserve"> </w:t>
      </w:r>
      <w:r>
        <w:t xml:space="preserve">to stand for such a rationale. Whatever his personal views, Justice Marshall simply did not write the opinion that The Chief Justice suggests he did; indeed, he “would have viewed it as irresponsible to write an opinion that boldly staked out a rationale based on equality that no one other than perhaps Justice White would have even considered joining,” Garrett, 52 How. L. J., at 674.</w:t>
      </w:r>
    </w:p>
  </w:footnote>
  <w:footnote w:id="713">
    <w:p>
      <w:pPr>
        <w:pStyle w:val="CaseFootnoteText"/>
      </w:pPr>
      <w:r>
        <w:rPr>
          <w:rStyle w:val="FootnoteReference"/>
        </w:rPr>
        <w:t xml:space="preserve">69  </w:t>
      </w:r>
      <w:r>
        <w:t xml:space="preserve"/>
      </w:r>
      <w:r>
        <w:t xml:space="preserve"> </w:t>
      </w:r>
      <w:r>
        <w:rPr>
          <w:iCs/>
          <w:i/>
        </w:rPr>
        <w:t xml:space="preserve">Paramount Communications Inc.,</w:t>
      </w:r>
      <w:r>
        <w:t xml:space="preserve"> </w:t>
      </w:r>
      <w:r>
        <w:t xml:space="preserve">637 A.2d at 42</w:t>
      </w:r>
      <w:r>
        <w:t xml:space="preserve">.</w:t>
      </w:r>
    </w:p>
  </w:footnote>
  <w:footnote w:id="714">
    <w:p>
      <w:pPr>
        <w:pStyle w:val="CaseFootnoteText"/>
      </w:pPr>
      <w:r>
        <w:rPr>
          <w:rStyle w:val="FootnoteReference"/>
        </w:rPr>
        <w:t xml:space="preserve">69  </w:t>
      </w:r>
      <w:r>
        <w:t xml:space="preserve">App. to Opening Br. at 2528 (Comstock email dated June 25, 2014).</w:t>
      </w:r>
    </w:p>
  </w:footnote>
  <w:footnote w:id="715">
    <w:p>
      <w:pPr>
        <w:pStyle w:val="CaseFootnoteText"/>
      </w:pPr>
      <w:r>
        <w:rPr>
          <w:rStyle w:val="FootnoteReference"/>
        </w:rPr>
        <w:t xml:space="preserve">69  </w:t>
      </w:r>
      <w:r>
        <w:t xml:space="preserve"/>
      </w:r>
      <w:r>
        <w:t xml:space="preserve"> </w:t>
      </w:r>
      <w:r>
        <w:rPr>
          <w:iCs/>
          <w:i/>
        </w:rPr>
        <w:t xml:space="preserve">See Kahn v. Tremont Corp.,</w:t>
      </w:r>
      <w:r>
        <w:t xml:space="preserve"> </w:t>
      </w:r>
      <w:r>
        <w:t xml:space="preserve">694 A.2d 422</w:t>
      </w:r>
      <w:r>
        <w:t xml:space="preserve">, 428-29 (Del.1997) (applying entire fairness review to an interested transaction where the controlling shareholder of a corporation caused it to purchase shares of a second controlled corporation);</w:t>
      </w:r>
      <w:r>
        <w:t xml:space="preserve"> </w:t>
      </w:r>
      <w:r>
        <w:rPr>
          <w:iCs/>
          <w:i/>
        </w:rPr>
        <w:t xml:space="preserve">Emerald Partners v. Berlin,</w:t>
      </w:r>
      <w:r>
        <w:t xml:space="preserve"> </w:t>
      </w:r>
      <w:r>
        <w:t xml:space="preserve">726 A.2d 1215</w:t>
      </w:r>
      <w:r>
        <w:t xml:space="preserve">, 1221 (Del.1999) (applying entire fairness review to a merger whereby a controlled corporation acquired thirteen corporations controlled by the same shareholder); Leo E. Strine, Jr.,</w:t>
      </w:r>
      <w:r>
        <w:t xml:space="preserve"> </w:t>
      </w:r>
      <w:r>
        <w:rPr>
          <w:iCs/>
          <w:i/>
        </w:rPr>
        <w:t xml:space="preserve">The Inescapably Empirical Foundation of the Common Law of Corporations,</w:t>
      </w:r>
      <w:r>
        <w:t xml:space="preserve"> </w:t>
      </w:r>
      <w:r>
        <w:t xml:space="preserve">27 Del. J. Corp. L. 499</w:t>
      </w:r>
      <w:r>
        <w:t xml:space="preserve">, 510 (2002).</w:t>
      </w:r>
    </w:p>
  </w:footnote>
  <w:footnote w:id="716">
    <w:p>
      <w:pPr>
        <w:pStyle w:val="CaseFootnoteText"/>
      </w:pPr>
      <w:r>
        <w:rPr>
          <w:rStyle w:val="FootnoteReference"/>
        </w:rPr>
        <w:t xml:space="preserve">70  </w:t>
      </w:r>
      <w:r>
        <w:rPr>
          <w:iCs/>
          <w:i/>
        </w:rPr>
        <w:t xml:space="preserve">Id.</w:t>
      </w:r>
    </w:p>
  </w:footnote>
  <w:footnote w:id="717">
    <w:p>
      <w:pPr>
        <w:pStyle w:val="CaseFootnoteText"/>
      </w:pPr>
      <w:r>
        <w:rPr>
          <w:rStyle w:val="FootnoteReference"/>
        </w:rPr>
        <w:t xml:space="preserve">70  </w:t>
      </w:r>
      <w:r>
        <w:t xml:space="preserve"/>
      </w:r>
      <w:r>
        <w:t xml:space="preserve">In state elections, even domestic corporations may be “foreign” controlled in the sense that they are incorporated in another jurisdiction and primarily owned and operated by out-of-state residents.</w:t>
      </w:r>
    </w:p>
  </w:footnote>
  <w:footnote w:id="718">
    <w:p>
      <w:pPr>
        <w:pStyle w:val="CaseFootnoteText"/>
      </w:pPr>
      <w:r>
        <w:rPr>
          <w:rStyle w:val="FootnoteReference"/>
        </w:rPr>
        <w:t xml:space="preserve">70  </w:t>
      </w:r>
      <w:r>
        <w:t xml:space="preserve">It is noteworthy that the Supreme Court's recent decision in</w:t>
      </w:r>
      <w:r>
        <w:t xml:space="preserve"> </w:t>
      </w:r>
      <w:r>
        <w:rPr>
          <w:iCs/>
          <w:i/>
        </w:rPr>
        <w:t xml:space="preserve">McMullin</w:t>
      </w:r>
      <w:r>
        <w:t xml:space="preserve"> </w:t>
      </w:r>
      <w:r>
        <w:t xml:space="preserve">appears to indicate that even if Intermedia were selling its approximately 60% equity interest in Digex, rather than selling itself, that transaction also would not trigger</w:t>
      </w:r>
      <w:r>
        <w:t xml:space="preserve"> </w:t>
      </w:r>
      <w:r>
        <w:rPr>
          <w:iCs/>
          <w:i/>
        </w:rPr>
        <w:t xml:space="preserve">Revlon. See McMullin,</w:t>
      </w:r>
      <w:r>
        <w:t xml:space="preserve"> </w:t>
      </w:r>
      <w:r>
        <w:t xml:space="preserve">765 A.2d at 920</w:t>
      </w:r>
      <w:r>
        <w:t xml:space="preserve">, No. 611, 1999 at 18-19 ("The Amended Complaint does contend that the Chemical Board's recommendation to approve the Lyondell Transaction implicated the directors' ultimate fiduciary duty that was described in</w:t>
      </w:r>
      <w:r>
        <w:t xml:space="preserve"> </w:t>
      </w:r>
      <w:r>
        <w:rPr>
          <w:iCs/>
          <w:i/>
        </w:rPr>
        <w:t xml:space="preserve">Revlon</w:t>
      </w:r>
      <w:r>
        <w:t xml:space="preserve"> </w:t>
      </w:r>
      <w:r>
        <w:t xml:space="preserve">and its progeny — to focus on whether shareholder value has been maximized. We agree with that contention because,</w:t>
      </w:r>
      <w:r>
        <w:t xml:space="preserve"> </w:t>
      </w:r>
      <w:r>
        <w:rPr>
          <w:iCs/>
          <w:i/>
        </w:rPr>
        <w:t xml:space="preserve">rather than selling only its own 80% interest,</w:t>
      </w:r>
      <w:r>
        <w:t xml:space="preserve"> </w:t>
      </w:r>
      <w:r>
        <w:t xml:space="preserve">ARCO negotiated for, with the Chemical Board's approval, the entire sale of Chemical to Lyondell.'' (emphasis added)).</w:t>
      </w:r>
    </w:p>
  </w:footnote>
  <w:footnote w:id="719">
    <w:p>
      <w:pPr>
        <w:pStyle w:val="CaseFootnoteText"/>
      </w:pPr>
      <w:r>
        <w:rPr>
          <w:rStyle w:val="FootnoteReference"/>
        </w:rPr>
        <w:t xml:space="preserve">70  </w:t>
      </w:r>
      <w:r>
        <w:t xml:space="preserve">Comstock’s proposal included plans for an “integration incentive plan,” under which Comstock would be eligible to receive up to 20% of the shares set aside in the company’s long-term incentive plan, with the exact amount to be determined by the compensation committee of the new board. But after Petrello objected to the incentive plan, it was removed from contemplation as of June 25. App. to Opening Br. at 1691 (Comstock Deposition at 212).</w:t>
      </w:r>
    </w:p>
  </w:footnote>
  <w:footnote w:id="720">
    <w:p>
      <w:pPr>
        <w:pStyle w:val="CaseFootnoteText"/>
      </w:pPr>
      <w:r>
        <w:rPr>
          <w:rStyle w:val="FootnoteReference"/>
        </w:rPr>
        <w:t xml:space="preserve">70  </w:t>
      </w:r>
      <w:r>
        <w:t xml:space="preserve">In</w:t>
      </w:r>
      <w:r>
        <w:t xml:space="preserve"> </w:t>
      </w:r>
      <w:r>
        <w:rPr>
          <w:iCs/>
          <w:i/>
        </w:rPr>
        <w:t xml:space="preserve">In re Pure Res., Inc., S'holders Litig.,</w:t>
      </w:r>
      <w:r>
        <w:t xml:space="preserve"> </w:t>
      </w:r>
      <w:r>
        <w:t xml:space="preserve">808 A.2d 421</w:t>
      </w:r>
      <w:r>
        <w:t xml:space="preserve">, 443-46 (Del.Ch.2002);</w:t>
      </w:r>
      <w:r>
        <w:t xml:space="preserve"> </w:t>
      </w:r>
      <w:r>
        <w:rPr>
          <w:iCs/>
          <w:i/>
        </w:rPr>
        <w:t xml:space="preserve">In re Cysive, Inc. S'holders Litig.,</w:t>
      </w:r>
      <w:r>
        <w:t xml:space="preserve"> </w:t>
      </w:r>
      <w:r>
        <w:t xml:space="preserve">836 A.2d 531</w:t>
      </w:r>
      <w:r>
        <w:t xml:space="preserve">, 547-51 (Del.Ch.2003),</w:t>
      </w:r>
      <w:r>
        <w:t xml:space="preserve"> </w:t>
      </w:r>
      <w:r>
        <w:rPr>
          <w:iCs/>
          <w:i/>
        </w:rPr>
        <w:t xml:space="preserve">In re Cox Commc'ns, Inc. S’holders Litig.,</w:t>
      </w:r>
      <w:r>
        <w:t xml:space="preserve"> </w:t>
      </w:r>
      <w:r>
        <w:t xml:space="preserve">879 A.2d 604</w:t>
      </w:r>
      <w:r>
        <w:t xml:space="preserve">, 617 (Del.Ch.2005), and more recently,</w:t>
      </w:r>
      <w:r>
        <w:t xml:space="preserve"> </w:t>
      </w:r>
      <w:r>
        <w:rPr>
          <w:iCs/>
          <w:i/>
        </w:rPr>
        <w:t xml:space="preserve">In re CNX Gas Corp. S’holders Litig.,</w:t>
      </w:r>
      <w:r>
        <w:t xml:space="preserve"> </w:t>
      </w:r>
      <w:r>
        <w:t xml:space="preserve">4 A.3d 397</w:t>
      </w:r>
      <w:r>
        <w:t xml:space="preserve">, 406-14 (Del.Ch.2010), the Court of Chancery has explained why there might be utility to having further guidance from the Supreme Court in this sensitive area of the law and the reasons why the standard articulated in</w:t>
      </w:r>
      <w:r>
        <w:t xml:space="preserve"> </w:t>
      </w:r>
      <w:r>
        <w:rPr>
          <w:iCs/>
          <w:i/>
        </w:rPr>
        <w:t xml:space="preserve">Kahn v. Lynch Communication Systems, Inc.,</w:t>
      </w:r>
      <w:r>
        <w:t xml:space="preserve"> </w:t>
      </w:r>
      <w:r>
        <w:t xml:space="preserve">638 A.2d 1110</w:t>
      </w:r>
      <w:r>
        <w:t xml:space="preserve">, 1117 (Del.1994), makes it difficult for parties to actually present questions regarding the standard to the Supreme Court.</w:t>
      </w:r>
      <w:r>
        <w:t xml:space="preserve"> </w:t>
      </w:r>
      <w:r>
        <w:rPr>
          <w:iCs/>
          <w:i/>
        </w:rPr>
        <w:t xml:space="preserve">See In re Cox Commc'ns, Inc. S’holders Litig.,</w:t>
      </w:r>
      <w:r>
        <w:t xml:space="preserve"> </w:t>
      </w:r>
      <w:r>
        <w:t xml:space="preserve">879 A.2d at 619-22</w:t>
      </w:r>
      <w:r>
        <w:t xml:space="preserve"> </w:t>
      </w:r>
      <w:r>
        <w:t xml:space="preserve">(explaining why this is so).</w:t>
      </w:r>
    </w:p>
  </w:footnote>
  <w:footnote w:id="721">
    <w:p>
      <w:pPr>
        <w:pStyle w:val="CaseFootnoteText"/>
      </w:pPr>
      <w:r>
        <w:rPr>
          <w:rStyle w:val="FootnoteReference"/>
        </w:rPr>
        <w:t xml:space="preserve">71  </w:t>
      </w:r>
      <w:r>
        <w:rPr>
          <w:iCs/>
          <w:i/>
        </w:rPr>
        <w:t xml:space="preserve">Id.</w:t>
      </w:r>
      <w:r>
        <w:t xml:space="preserve"/>
      </w:r>
      <w:r>
        <w:t xml:space="preserve">But as the trial court correctly observed, "[o]ne compelling reason to eschew filling a gap is if the parties actually negotiated over the issue, and the implied provision would give one side the benefit of a provision that it 'failed to secure ... at the bargaining table.' "</w:t>
      </w:r>
      <w:r>
        <w:t xml:space="preserve"> </w:t>
      </w:r>
      <w:r>
        <w:rPr>
          <w:iCs/>
          <w:i/>
        </w:rPr>
        <w:t xml:space="preserve">Id.</w:t>
      </w:r>
      <w:r>
        <w:t xml:space="preserve"> </w:t>
      </w:r>
      <w:r>
        <w:t xml:space="preserve">at *66 (quoting</w:t>
      </w:r>
      <w:r>
        <w:t xml:space="preserve"> </w:t>
      </w:r>
      <w:r>
        <w:rPr>
          <w:iCs/>
          <w:i/>
        </w:rPr>
        <w:t xml:space="preserve">Aspen Advisors LLC v. United Artists Theatre Co.</w:t>
      </w:r>
      <w:r>
        <w:t xml:space="preserve"> </w:t>
      </w:r>
      <w:r>
        <w:t xml:space="preserve">,</w:t>
      </w:r>
      <w:r>
        <w:t xml:space="preserve"> </w:t>
      </w:r>
      <w:r>
        <w:t xml:space="preserve">843 A.2d 697</w:t>
      </w:r>
      <w:r>
        <w:t xml:space="preserve">, 707 (Del. Ch. 2004) (Strine, V.C.) ).</w:t>
      </w:r>
    </w:p>
  </w:footnote>
  <w:footnote w:id="722">
    <w:p>
      <w:pPr>
        <w:pStyle w:val="CaseFootnoteText"/>
      </w:pPr>
      <w:r>
        <w:rPr>
          <w:rStyle w:val="FootnoteReference"/>
        </w:rPr>
        <w:t xml:space="preserve">71  </w:t>
      </w:r>
      <w:r>
        <w:t xml:space="preserve"/>
      </w:r>
      <w:r>
        <w:t xml:space="preserve">Regan, Corporate Speech and Civic Virtue, in Debating Democracy’s Discontent 289, 302 (A. Allen</w:t>
      </w:r>
      <w:r>
        <w:t xml:space="preserve"> </w:t>
      </w:r>
      <w:r>
        <w:rPr>
          <w:iCs/>
          <w:i/>
        </w:rPr>
        <w:t xml:space="preserve">&amp;</w:t>
      </w:r>
      <w:r>
        <w:t xml:space="preserve"> </w:t>
      </w:r>
      <w:r>
        <w:t xml:space="preserve">M. Regan eds. 1998) (hereinafter Regan).</w:t>
      </w:r>
    </w:p>
  </w:footnote>
  <w:footnote w:id="723">
    <w:p>
      <w:pPr>
        <w:pStyle w:val="CaseFootnoteText"/>
      </w:pPr>
      <w:r>
        <w:rPr>
          <w:rStyle w:val="FootnoteReference"/>
        </w:rPr>
        <w:t xml:space="preserve">71  </w:t>
      </w:r>
      <w:r>
        <w:t xml:space="preserve"/>
      </w:r>
      <w:r>
        <w:t xml:space="preserve"> </w:t>
      </w:r>
      <w:r>
        <w:rPr>
          <w:iCs/>
          <w:i/>
        </w:rPr>
        <w:t xml:space="preserve">See McMullin</w:t>
      </w:r>
      <w:r>
        <w:t xml:space="preserve"> </w:t>
      </w:r>
      <w:r>
        <w:t xml:space="preserve">at 17,</w:t>
      </w:r>
      <w:r>
        <w:t xml:space="preserve"> </w:t>
      </w:r>
      <w:r>
        <w:t xml:space="preserve">765 A.2d 910</w:t>
      </w:r>
      <w:r>
        <w:t xml:space="preserve">.</w:t>
      </w:r>
      <w:r>
        <w:t xml:space="preserve"> </w:t>
      </w:r>
      <w:r>
        <w:rPr>
          <w:iCs/>
          <w:i/>
        </w:rPr>
        <w:t xml:space="preserve">See also Bershad v. Curtis-Wright Corp.,</w:t>
      </w:r>
      <w:r>
        <w:t xml:space="preserve"> </w:t>
      </w:r>
      <w:r>
        <w:t xml:space="preserve">Del. Supr.,</w:t>
      </w:r>
      <w:r>
        <w:t xml:space="preserve"> </w:t>
      </w:r>
      <w:r>
        <w:t xml:space="preserve">535 A.2d 840</w:t>
      </w:r>
      <w:r>
        <w:t xml:space="preserve">, 845 (1987) (noting "futility” of directors "assuming] the role of auctioneers” where majority stockholder had power to thwart any such efforts).</w:t>
      </w:r>
    </w:p>
  </w:footnote>
  <w:footnote w:id="724">
    <w:p>
      <w:pPr>
        <w:pStyle w:val="CaseFootnoteText"/>
      </w:pPr>
      <w:r>
        <w:rPr>
          <w:rStyle w:val="FootnoteReference"/>
        </w:rPr>
        <w:t xml:space="preserve">71  </w:t>
      </w:r>
      <w:r>
        <w:t xml:space="preserve">App. to Opening Br. at 1693 (Comstock Deposition at 221).</w:t>
      </w:r>
    </w:p>
  </w:footnote>
  <w:footnote w:id="725">
    <w:p>
      <w:pPr>
        <w:pStyle w:val="CaseFootnoteText"/>
      </w:pPr>
      <w:r>
        <w:rPr>
          <w:rStyle w:val="FootnoteReference"/>
        </w:rPr>
        <w:t xml:space="preserve">71  </w:t>
      </w:r>
      <w:r>
        <w:t xml:space="preserve"/>
      </w:r>
      <w:r>
        <w:t xml:space="preserve"> </w:t>
      </w:r>
      <w:r>
        <w:rPr>
          <w:iCs/>
          <w:i/>
        </w:rPr>
        <w:t xml:space="preserve">Weinberger v. UOP, Inc.,</w:t>
      </w:r>
      <w:r>
        <w:t xml:space="preserve"> </w:t>
      </w:r>
      <w:r>
        <w:t xml:space="preserve">457 A.2d 701</w:t>
      </w:r>
      <w:r>
        <w:t xml:space="preserve">, 710 (Del.1983) (citation omitted).</w:t>
      </w:r>
    </w:p>
  </w:footnote>
  <w:footnote w:id="726">
    <w:p>
      <w:pPr>
        <w:pStyle w:val="CaseFootnoteText"/>
      </w:pPr>
      <w:r>
        <w:rPr>
          <w:rStyle w:val="FootnoteReference"/>
        </w:rPr>
        <w:t xml:space="preserve">72  </w:t>
      </w:r>
      <w:r>
        <w:rPr>
          <w:iCs/>
          <w:i/>
        </w:rPr>
        <w:t xml:space="preserve">See</w:t>
      </w:r>
      <w:r>
        <w:t xml:space="preserve"/>
      </w:r>
      <w:r>
        <w:t xml:space="preserve">App. to Opening Br. at A1170 ("The LLC Agreement contains an implied covenant that provides,</w:t>
      </w:r>
      <w:r>
        <w:t xml:space="preserve"> </w:t>
      </w:r>
      <w:r>
        <w:rPr>
          <w:iCs/>
          <w:i/>
        </w:rPr>
        <w:t xml:space="preserve">inter alia</w:t>
      </w:r>
      <w:r>
        <w:t xml:space="preserve"> </w:t>
      </w:r>
      <w:r>
        <w:t xml:space="preserve">, (i) that an Exit Sale may proceed even if not every Member receives at least a return of 1.5 times its aggregate Capital Contributions through the Exit Sale; and (ii) any new Members in Oxbow who invested after Crestview and Load Line's original investment, particularly small holders, cannot block the Exit Sale right.");</w:t>
      </w:r>
      <w:r>
        <w:t xml:space="preserve"> </w:t>
      </w:r>
      <w:r>
        <w:rPr>
          <w:iCs/>
          <w:i/>
        </w:rPr>
        <w:t xml:space="preserve">id.</w:t>
      </w:r>
      <w:r>
        <w:t xml:space="preserve"> </w:t>
      </w:r>
      <w:r>
        <w:t xml:space="preserve">("In the alternative, the LLC Agreement also contains an implied covenant that provides for any Member that would not otherwise receive 1.5 times its aggregate Capital Contributions in an Exit Sale to receive additional compensation to make up for the difference ....").</w:t>
      </w:r>
    </w:p>
  </w:footnote>
  <w:footnote w:id="727">
    <w:p>
      <w:pPr>
        <w:pStyle w:val="CaseFootnoteText"/>
      </w:pPr>
      <w:r>
        <w:rPr>
          <w:rStyle w:val="FootnoteReference"/>
        </w:rPr>
        <w:t xml:space="preserve">72  </w:t>
      </w:r>
      <w:r>
        <w:t xml:space="preserve"/>
      </w:r>
      <w:r>
        <w:t xml:space="preserve">Nothing in this analysis turns on whether the corporation is conceptualized as a grantee of a state concession, see,</w:t>
      </w:r>
      <w:r>
        <w:t xml:space="preserve"> </w:t>
      </w:r>
      <w:r>
        <w:rPr>
          <w:iCs/>
          <w:i/>
        </w:rPr>
        <w:t xml:space="preserve">e. g., Trustees of Dartmouth College</w:t>
      </w:r>
      <w:r>
        <w:t xml:space="preserve"> </w:t>
      </w:r>
      <w:r>
        <w:t xml:space="preserve">v.</w:t>
      </w:r>
      <w:r>
        <w:t xml:space="preserve"> </w:t>
      </w:r>
      <w:r>
        <w:rPr>
          <w:iCs/>
          <w:i/>
        </w:rPr>
        <w:t xml:space="preserve">Woodward,</w:t>
      </w:r>
      <w:r>
        <w:t xml:space="preserve"> </w:t>
      </w:r>
      <w:r>
        <w:t xml:space="preserve">4 Wheat. 518, 636 (1819) (Marshall, C. J.), a nexus of explicit and implicit contracts, see,</w:t>
      </w:r>
      <w:r>
        <w:t xml:space="preserve"> </w:t>
      </w:r>
      <w:r>
        <w:rPr>
          <w:iCs/>
          <w:i/>
        </w:rPr>
        <w:t xml:space="preserve">e. g.,</w:t>
      </w:r>
      <w:r>
        <w:t xml:space="preserve"> </w:t>
      </w:r>
      <w:r>
        <w:t xml:space="preserve">F. Easterbrook</w:t>
      </w:r>
      <w:r>
        <w:t xml:space="preserve"> </w:t>
      </w:r>
      <w:r>
        <w:rPr>
          <w:iCs/>
          <w:i/>
        </w:rPr>
        <w:t xml:space="preserve">&amp;</w:t>
      </w:r>
      <w:r>
        <w:t xml:space="preserve"> </w:t>
      </w:r>
      <w:r>
        <w:t xml:space="preserve">D. Fischel, The Economic Structure of Corporate Law 12 (1991), a mediated hierarchy of stakeholders, see,</w:t>
      </w:r>
      <w:r>
        <w:t xml:space="preserve"> </w:t>
      </w:r>
      <w:r>
        <w:rPr>
          <w:iCs/>
          <w:i/>
        </w:rPr>
        <w:t xml:space="preserve">e. g.,</w:t>
      </w:r>
      <w:r>
        <w:t xml:space="preserve"> </w:t>
      </w:r>
      <w:r>
        <w:t xml:space="preserve">Blair &amp; Stout, A Team Production Theory of Corporate Law, 85 Va. L. Rev. 247 (1999) (hereinafter Blair &amp; Stout), or any other recognized model.</w:t>
      </w:r>
      <w:r>
        <w:t xml:space="preserve"> </w:t>
      </w:r>
      <w:r>
        <w:rPr>
          <w:iCs/>
          <w:i/>
        </w:rPr>
        <w:t xml:space="preserve">Austin</w:t>
      </w:r>
      <w:r>
        <w:t xml:space="preserve"> </w:t>
      </w:r>
      <w:r>
        <w:t xml:space="preserve">referred to the structure and the advantages of corporations as “state-conferred” in several places, 494 U. S., at 660, 665, 667, but its antidistortion argument relied only on the basic descriptive features of corporations, as sketched above. It is not necessary to agree on a precise theory of the corporation to agree that corporations differ from natural persons in fundamental ways, and that a legislature might therefore need to regulate them differently if it is human welfare that is the object of its concern. Cf. Hansmann &amp; Kraakman 441, n. 5.</w:t>
      </w:r>
    </w:p>
  </w:footnote>
  <w:footnote w:id="728">
    <w:p>
      <w:pPr>
        <w:pStyle w:val="CaseFootnoteText"/>
      </w:pPr>
      <w:r>
        <w:rPr>
          <w:rStyle w:val="FootnoteReference"/>
        </w:rPr>
        <w:t xml:space="preserve">72  </w:t>
      </w:r>
      <w:r>
        <w:t xml:space="preserve">Del.Ch.,</w:t>
      </w:r>
      <w:r>
        <w:t xml:space="preserve"> </w:t>
      </w:r>
      <w:r>
        <w:t xml:space="preserve">735 A.2d 386</w:t>
      </w:r>
      <w:r>
        <w:t xml:space="preserve">, 416 (1999).</w:t>
      </w:r>
    </w:p>
  </w:footnote>
  <w:footnote w:id="729">
    <w:p>
      <w:pPr>
        <w:pStyle w:val="CaseFootnoteText"/>
      </w:pPr>
      <w:r>
        <w:rPr>
          <w:rStyle w:val="FootnoteReference"/>
        </w:rPr>
        <w:t xml:space="preserve">72  </w:t>
      </w:r>
      <w:r>
        <w:t xml:space="preserve">Bench Opinion at 13.</w:t>
      </w:r>
    </w:p>
  </w:footnote>
  <w:footnote w:id="730">
    <w:p>
      <w:pPr>
        <w:pStyle w:val="CaseFootnoteText"/>
      </w:pPr>
      <w:r>
        <w:rPr>
          <w:rStyle w:val="FootnoteReference"/>
        </w:rPr>
        <w:t xml:space="preserve">72  </w:t>
      </w:r>
      <w:r>
        <w:t xml:space="preserve">Caution is required here. The entire fairness standard ill suits the inquiry whether</w:t>
      </w:r>
      <w:r>
        <w:t xml:space="preserve"> </w:t>
      </w:r>
      <w:r>
        <w:rPr>
          <w:iCs/>
          <w:i/>
        </w:rPr>
        <w:t xml:space="preserve">disinterested directors</w:t>
      </w:r>
      <w:r>
        <w:t xml:space="preserve"> </w:t>
      </w:r>
      <w:r>
        <w:t xml:space="preserve">who approve a self-dealing transaction and are protected by an exculpatory charter provision authorized by 8</w:t>
      </w:r>
      <w:r>
        <w:t xml:space="preserve"> </w:t>
      </w:r>
      <w:r>
        <w:rPr>
          <w:iCs/>
          <w:i/>
        </w:rPr>
        <w:t xml:space="preserve">Del. C.</w:t>
      </w:r>
      <w:r>
        <w:t xml:space="preserve"> </w:t>
      </w:r>
      <w:r>
        <w:t xml:space="preserve">§ 102(b)(7) can be held liable for breach of fiduciary duties. Unless there are facts suggesting that the directors consciously approved an unfair transaction, the bad faith preference for some other interest than that of the company and the stockholders that is critical to disloyalty is absent. The fact that the transaction is found to be unfair is of course relevant, but hardly sufficient, to that separate, individualized inquiry. In this sense, the more stringent, strict liability standard applicable to interested parties such as Grupo Mexico is critically different than that which must be used to address directors such as those on the Special Committee.</w:t>
      </w:r>
    </w:p>
  </w:footnote>
  <w:footnote w:id="731">
    <w:p>
      <w:pPr>
        <w:pStyle w:val="CaseFootnoteText"/>
      </w:pPr>
      <w:r>
        <w:rPr>
          <w:rStyle w:val="FootnoteReference"/>
        </w:rPr>
        <w:t xml:space="preserve">73  </w:t>
      </w:r>
      <w:r>
        <w:t xml:space="preserve">The Small Holders' Rights Gap did not appear in the section of the Minority Members' pre-trial brief addressing the implied covenant. Rather, in a section of the brief contesting the Small Holders' status as Members, the Minority Members asked the court to "fill the gap" and determine what rights the Board would have set at the time of the Small Holders' admission.</w:t>
      </w:r>
      <w:r>
        <w:t xml:space="preserve"/>
      </w:r>
      <w:r>
        <w:rPr>
          <w:iCs/>
          <w:i/>
        </w:rPr>
        <w:t xml:space="preserve">Id.</w:t>
      </w:r>
      <w:r>
        <w:t xml:space="preserve"> </w:t>
      </w:r>
      <w:r>
        <w:t xml:space="preserve">at A696, A703. That section ends with the following paragraph:</w:t>
      </w:r>
    </w:p>
    <w:p>
      <w:pPr>
        <w:pStyle w:val="BlockText"/>
      </w:pPr>
      <w:r>
        <w:t xml:space="preserve">If the Court concludes the Small Holders are Members of Oxbow, it must "fill the gap" and determine what rights the Board would have "determined" for them "at the time" of admission had the issue been discussed. The Board would not have granted the Small Holders the right to block an Exit Sale and would have permitted them to be left behind in an Exit Sale. The Court should declare that the Small Holders, even if Members, cannot block an Exit Sale.</w:t>
      </w:r>
    </w:p>
    <w:p>
      <w:pPr>
        <w:pStyle w:val="CaseFootnoteText"/>
      </w:pPr>
      <w:r>
        <w:rPr>
          <w:iCs/>
          <w:i/>
        </w:rPr>
        <w:t xml:space="preserve">Id.</w:t>
      </w:r>
      <w:r>
        <w:t xml:space="preserve"/>
      </w:r>
      <w:r>
        <w:t xml:space="preserve">at A703.</w:t>
      </w:r>
    </w:p>
  </w:footnote>
  <w:footnote w:id="732">
    <w:p>
      <w:pPr>
        <w:pStyle w:val="CaseFootnoteText"/>
      </w:pPr>
      <w:r>
        <w:rPr>
          <w:rStyle w:val="FootnoteReference"/>
        </w:rPr>
        <w:t xml:space="preserve">73  </w:t>
      </w:r>
      <w:r>
        <w:t xml:space="preserve"/>
      </w:r>
      <w:r>
        <w:t xml:space="preserve">Not all corporations support BCRA § 203, of course, and not all corporations are large business entities or their tax-exempt adjuncts. Some nonprofit corporations are created for an ideological purpose. Some closely held corporations are strongly identified with a particular owner or founder. The fact that § 203, like the statute at issue in</w:t>
      </w:r>
      <w:r>
        <w:t xml:space="preserve"> </w:t>
      </w:r>
      <w:r>
        <w:rPr>
          <w:iCs/>
          <w:i/>
        </w:rPr>
        <w:t xml:space="preserve">Austin,</w:t>
      </w:r>
      <w:r>
        <w:t xml:space="preserve"> </w:t>
      </w:r>
      <w:r>
        <w:t xml:space="preserve">regulates some of these corporations’ expenditures does not disturb the analysis above. See 494 U. S., at 661-665. Small-business owners may speak in their own names, rather than the business’, if they wish to evade §203 altogether. Nonprofit corporations that want to make unrestricted electioneering expenditures may do so if they refuse donations from businesses and unions and permit members to disassociate without economic penalty. See</w:t>
      </w:r>
      <w:r>
        <w:t xml:space="preserve"> </w:t>
      </w:r>
      <w:r>
        <w:rPr>
          <w:iCs/>
          <w:i/>
        </w:rPr>
        <w:t xml:space="preserve">MCFL,</w:t>
      </w:r>
      <w:r>
        <w:t xml:space="preserve"> </w:t>
      </w:r>
      <w:r>
        <w:t xml:space="preserve">479 U. S. 238, 264 (1986). Making it plain that their decision is not motivated by a concern about BCRA’s coverage of nonprofits that have ideological missions but lack</w:t>
      </w:r>
      <w:r>
        <w:t xml:space="preserve"> </w:t>
      </w:r>
      <w:r>
        <w:rPr>
          <w:iCs/>
          <w:i/>
        </w:rPr>
        <w:t xml:space="preserve">MCFL</w:t>
      </w:r>
      <w:r>
        <w:t xml:space="preserve"> </w:t>
      </w:r>
      <w:r>
        <w:t xml:space="preserve">status, our colleagues refuse to apply the Snowe-Jeffords Amendment or the lower courts’</w:t>
      </w:r>
      <w:r>
        <w:t xml:space="preserve"> </w:t>
      </w:r>
      <w:r>
        <w:rPr>
          <w:iCs/>
          <w:i/>
        </w:rPr>
        <w:t xml:space="preserve">de minimis</w:t>
      </w:r>
      <w:r>
        <w:t xml:space="preserve"> </w:t>
      </w:r>
      <w:r>
        <w:t xml:space="preserve">exception to</w:t>
      </w:r>
      <w:r>
        <w:t xml:space="preserve"> </w:t>
      </w:r>
      <w:r>
        <w:rPr>
          <w:iCs/>
          <w:i/>
        </w:rPr>
        <w:t xml:space="preserve">MCFL.</w:t>
      </w:r>
      <w:r>
        <w:t xml:space="preserve"> </w:t>
      </w:r>
      <w:r>
        <w:t xml:space="preserve">See</w:t>
      </w:r>
      <w:r>
        <w:t xml:space="preserve"> </w:t>
      </w:r>
      <w:r>
        <w:rPr>
          <w:iCs/>
          <w:i/>
        </w:rPr>
        <w:t xml:space="preserve">ante,</w:t>
      </w:r>
      <w:r>
        <w:t xml:space="preserve"> </w:t>
      </w:r>
      <w:r>
        <w:t xml:space="preserve">at 327-329.</w:t>
      </w:r>
    </w:p>
  </w:footnote>
  <w:footnote w:id="733">
    <w:p>
      <w:pPr>
        <w:pStyle w:val="CaseFootnoteText"/>
      </w:pPr>
      <w:r>
        <w:rPr>
          <w:rStyle w:val="FootnoteReference"/>
        </w:rPr>
        <w:t xml:space="preserve">73  </w:t>
      </w:r>
      <w:r>
        <w:t xml:space="preserve"/>
      </w:r>
      <w:r>
        <w:t xml:space="preserve"> </w:t>
      </w:r>
      <w:r>
        <w:rPr>
          <w:iCs/>
          <w:i/>
        </w:rPr>
        <w:t xml:space="preserve">See McMullin</w:t>
      </w:r>
      <w:r>
        <w:t xml:space="preserve"> </w:t>
      </w:r>
      <w:r>
        <w:t xml:space="preserve">at 17,</w:t>
      </w:r>
      <w:r>
        <w:t xml:space="preserve"> </w:t>
      </w:r>
      <w:r>
        <w:t xml:space="preserve">765 A.2d at 920</w:t>
      </w:r>
      <w:r>
        <w:t xml:space="preserve"> </w:t>
      </w:r>
      <w:r>
        <w:t xml:space="preserve">(“Under the circumstances presented in this case, although the Chemical Board could not effectively seek an alternative to the proposed Lyondell sale by auction or agreement, and</w:t>
      </w:r>
      <w:r>
        <w:t xml:space="preserve"> </w:t>
      </w:r>
      <w:r>
        <w:rPr>
          <w:iCs/>
          <w:i/>
        </w:rPr>
        <w:t xml:space="preserve">had no fiduciary responsibility to engage in either futile exercise,</w:t>
      </w:r>
      <w:r>
        <w:t xml:space="preserve"> </w:t>
      </w:r>
      <w:r>
        <w:t xml:space="preserve">its ultimate statutory duties under Section 251 and attendant fiduciary obligations remained inviolable.”) (emphasis added).</w:t>
      </w:r>
    </w:p>
  </w:footnote>
  <w:footnote w:id="734">
    <w:p>
      <w:pPr>
        <w:pStyle w:val="CaseFootnoteText"/>
      </w:pPr>
      <w:r>
        <w:rPr>
          <w:rStyle w:val="FootnoteReference"/>
        </w:rPr>
        <w:t xml:space="preserve">73  </w:t>
      </w:r>
      <w:r>
        <w:t xml:space="preserve">Indeed, even the plaintiffs acknowledge that C&amp;J was well-managed, compared to "struggling” Nabors CPS.</w:t>
      </w:r>
      <w:r>
        <w:t xml:space="preserve"> </w:t>
      </w:r>
      <w:r>
        <w:rPr>
          <w:iCs/>
          <w:i/>
        </w:rPr>
        <w:t xml:space="preserve">See, e.g.,</w:t>
      </w:r>
      <w:r>
        <w:t xml:space="preserve"> </w:t>
      </w:r>
      <w:r>
        <w:t xml:space="preserve">Opening Br. 6-8.</w:t>
      </w:r>
    </w:p>
  </w:footnote>
  <w:footnote w:id="735">
    <w:p>
      <w:pPr>
        <w:pStyle w:val="CaseFootnoteText"/>
      </w:pPr>
      <w:r>
        <w:rPr>
          <w:rStyle w:val="FootnoteReference"/>
        </w:rPr>
        <w:t xml:space="preserve">73  </w:t>
      </w:r>
      <w:r>
        <w:t xml:space="preserve"/>
      </w:r>
      <w:r>
        <w:t xml:space="preserve"> </w:t>
      </w:r>
      <w:r>
        <w:rPr>
          <w:iCs/>
          <w:i/>
        </w:rPr>
        <w:t xml:space="preserve">See Weinberger,</w:t>
      </w:r>
      <w:r>
        <w:t xml:space="preserve"> </w:t>
      </w:r>
      <w:r>
        <w:t xml:space="preserve">457 A.2d at 711</w:t>
      </w:r>
      <w:r>
        <w:t xml:space="preserve">.</w:t>
      </w:r>
    </w:p>
  </w:footnote>
  <w:footnote w:id="736">
    <w:p>
      <w:pPr>
        <w:pStyle w:val="CaseFootnoteText"/>
      </w:pPr>
      <w:r>
        <w:rPr>
          <w:rStyle w:val="FootnoteReference"/>
        </w:rPr>
        <w:t xml:space="preserve">74  </w:t>
      </w:r>
      <w:r>
        <w:t xml:space="preserve">The Minority Members argued in post-trial briefing that the admission of the Small Holders was invalid, not that the New Member Provision contained gaps or that the admission process created a gap.</w:t>
      </w:r>
      <w:r>
        <w:t xml:space="preserve"/>
      </w:r>
      <w:r>
        <w:rPr>
          <w:iCs/>
          <w:i/>
        </w:rPr>
        <w:t xml:space="preserve">See</w:t>
      </w:r>
      <w:r>
        <w:rPr>
          <w:iCs/>
          <w:i/>
        </w:rPr>
        <w:t xml:space="preserve"> </w:t>
      </w:r>
      <w:r>
        <w:rPr>
          <w:iCs/>
          <w:i/>
        </w:rPr>
        <w:t xml:space="preserve">id.</w:t>
      </w:r>
      <w:r>
        <w:t xml:space="preserve"> </w:t>
      </w:r>
      <w:r>
        <w:t xml:space="preserve">at A1265-67. At oral argument before this Court, the Minority Members cited examples in the record where they claim to have asserted the Small Holders' Rights Gap Theory in post-trial briefing or oral argument.</w:t>
      </w:r>
      <w:r>
        <w:t xml:space="preserve"> </w:t>
      </w:r>
      <w:r>
        <w:rPr>
          <w:iCs/>
          <w:i/>
        </w:rPr>
        <w:t xml:space="preserve">See</w:t>
      </w:r>
      <w:r>
        <w:rPr>
          <w:iCs/>
          <w:i/>
        </w:rPr>
        <w:t xml:space="preserve"> </w:t>
      </w:r>
      <w:r>
        <w:rPr>
          <w:iCs/>
          <w:i/>
        </w:rPr>
        <w:t xml:space="preserve">id.</w:t>
      </w:r>
      <w:r>
        <w:t xml:space="preserve"> </w:t>
      </w:r>
      <w:r>
        <w:t xml:space="preserve">at A1477 (post-trial reply brief), A1586-88 (post-trial oral argument). But in neither of those instances did the Minority Members clearly argue the Small Holders Rights Gap Theory that they advance on appeal. Rather, they argued that the procedural failures in the Small Holders' admission process rendered their admission ineffective and that the Minority Members did not foresee this scenario. They did not articulate that a Top-Off option should be a consequence of the Board's inaction.</w:t>
      </w:r>
    </w:p>
  </w:footnote>
  <w:footnote w:id="737">
    <w:p>
      <w:pPr>
        <w:pStyle w:val="CaseFootnoteText"/>
      </w:pPr>
      <w:r>
        <w:rPr>
          <w:rStyle w:val="FootnoteReference"/>
        </w:rPr>
        <w:t xml:space="preserve">74  </w:t>
      </w:r>
      <w:r>
        <w:t xml:space="preserve"/>
      </w:r>
      <w:r>
        <w:t xml:space="preserve">Of course, no presiding person in a courtroom, legislature, classroom, polling place, or family dinner would take this hyperbole literally.</w:t>
      </w:r>
    </w:p>
  </w:footnote>
  <w:footnote w:id="738">
    <w:p>
      <w:pPr>
        <w:pStyle w:val="CaseFootnoteText"/>
      </w:pPr>
      <w:r>
        <w:rPr>
          <w:rStyle w:val="FootnoteReference"/>
        </w:rPr>
        <w:t xml:space="preserve">74  </w:t>
      </w:r>
      <w:r>
        <w:t xml:space="preserve">8</w:t>
      </w:r>
      <w:r>
        <w:t xml:space="preserve"> </w:t>
      </w:r>
      <w:r>
        <w:rPr>
          <w:iCs/>
          <w:i/>
        </w:rPr>
        <w:t xml:space="preserve">Del. C.</w:t>
      </w:r>
      <w:r>
        <w:t xml:space="preserve"> </w:t>
      </w:r>
      <w:r>
        <w:t xml:space="preserve">§ 203(a).</w:t>
      </w:r>
    </w:p>
  </w:footnote>
  <w:footnote w:id="739">
    <w:p>
      <w:pPr>
        <w:pStyle w:val="CaseFootnoteText"/>
      </w:pPr>
      <w:r>
        <w:rPr>
          <w:rStyle w:val="FootnoteReference"/>
        </w:rPr>
        <w:t xml:space="preserve">74  </w:t>
      </w:r>
      <w:r>
        <w:t xml:space="preserve"/>
      </w:r>
      <w:r>
        <w:t xml:space="preserve"> </w:t>
      </w:r>
      <w:r>
        <w:rPr>
          <w:iCs/>
          <w:i/>
        </w:rPr>
        <w:t xml:space="preserve">See</w:t>
      </w:r>
      <w:r>
        <w:t xml:space="preserve"> </w:t>
      </w:r>
      <w:r>
        <w:t xml:space="preserve">Bench Opinion at 13 ("Perhaps the record will evolve, but as of now, it certainly looks as if the board was not conflicted.... I do not see on this record any basis for loyalty claims.”);</w:t>
      </w:r>
      <w:r>
        <w:t xml:space="preserve"> </w:t>
      </w:r>
      <w:r>
        <w:rPr>
          <w:iCs/>
          <w:i/>
        </w:rPr>
        <w:t xml:space="preserve">see also In re TriQuint Semiconductor, Inc. S'holders Litig.,</w:t>
      </w:r>
      <w:r>
        <w:t xml:space="preserve"> </w:t>
      </w:r>
      <w:r>
        <w:t xml:space="preserve">2014 WL 2700964</w:t>
      </w:r>
      <w:r>
        <w:t xml:space="preserve">, at *3 (Del. Ch. Jun. 13, 2014) (finding that continuing on the board of new company is not a disqualifying interest);</w:t>
      </w:r>
      <w:r>
        <w:t xml:space="preserve"> </w:t>
      </w:r>
      <w:r>
        <w:rPr>
          <w:iCs/>
          <w:i/>
        </w:rPr>
        <w:t xml:space="preserve">Krim v. ProNet, Inc.,</w:t>
      </w:r>
      <w:r>
        <w:t xml:space="preserve"> </w:t>
      </w:r>
      <w:r>
        <w:t xml:space="preserve">744 A.2d 523</w:t>
      </w:r>
      <w:r>
        <w:t xml:space="preserve">, 528 n.16 (Del. Ch.1999) ("[Th]e fact that several directors would retain board membership in the merged entity does not, standing alone, create a conflict of interest.”) (citing</w:t>
      </w:r>
      <w:r>
        <w:t xml:space="preserve"> </w:t>
      </w:r>
      <w:r>
        <w:rPr>
          <w:iCs/>
          <w:i/>
        </w:rPr>
        <w:t xml:space="preserve">Grobow v. Perot,</w:t>
      </w:r>
      <w:r>
        <w:t xml:space="preserve"> </w:t>
      </w:r>
      <w:r>
        <w:t xml:space="preserve">526 A.2d 914</w:t>
      </w:r>
      <w:r>
        <w:t xml:space="preserve">, 921 (Del. Ch.1987)).</w:t>
      </w:r>
    </w:p>
  </w:footnote>
  <w:footnote w:id="740">
    <w:p>
      <w:pPr>
        <w:pStyle w:val="CaseFootnoteText"/>
      </w:pPr>
      <w:r>
        <w:rPr>
          <w:rStyle w:val="FootnoteReference"/>
        </w:rPr>
        <w:t xml:space="preserve">74  </w:t>
      </w:r>
      <w:r>
        <w:t xml:space="preserve"/>
      </w:r>
      <w:r>
        <w:t xml:space="preserve"> </w:t>
      </w:r>
      <w:r>
        <w:rPr>
          <w:iCs/>
          <w:i/>
        </w:rPr>
        <w:t xml:space="preserve">Id.</w:t>
      </w:r>
    </w:p>
  </w:footnote>
  <w:footnote w:id="741">
    <w:p>
      <w:pPr>
        <w:pStyle w:val="CaseFootnoteText"/>
      </w:pPr>
      <w:r>
        <w:rPr>
          <w:rStyle w:val="FootnoteReference"/>
        </w:rPr>
        <w:t xml:space="preserve">75  </w:t>
      </w:r>
      <w:r>
        <w:rPr>
          <w:iCs/>
          <w:i/>
        </w:rPr>
        <w:t xml:space="preserve">Chancery Opinion</w:t>
      </w:r>
      <w:r>
        <w:t xml:space="preserve"/>
      </w:r>
      <w:r>
        <w:t xml:space="preserve">,</w:t>
      </w:r>
      <w:r>
        <w:t xml:space="preserve"> </w:t>
      </w:r>
      <w:r>
        <w:t xml:space="preserve">2018 WL 818760</w:t>
      </w:r>
      <w:r>
        <w:t xml:space="preserve">, at *56.</w:t>
      </w:r>
    </w:p>
  </w:footnote>
  <w:footnote w:id="742">
    <w:p>
      <w:pPr>
        <w:pStyle w:val="CaseFootnoteText"/>
      </w:pPr>
      <w:r>
        <w:rPr>
          <w:rStyle w:val="FootnoteReference"/>
        </w:rPr>
        <w:t xml:space="preserve">75  </w:t>
      </w:r>
      <w:r>
        <w:t xml:space="preserve"/>
      </w:r>
      <w:r>
        <w:t xml:space="preserve">Under the majority’s view, the legislature is thus damned if it does and damned if it doesn’t. If the legislature gives media corporations an exemption from electioneering regulations that apply to other corporations, it violates the newly minted First Amendment rule against identity-based distinctions. If the legislature does not give media corporations an exemption, it violates the First Amendment rights of the press. The only way out of this invented bind: no regulations whatsoever.</w:t>
      </w:r>
    </w:p>
  </w:footnote>
  <w:footnote w:id="743">
    <w:p>
      <w:pPr>
        <w:pStyle w:val="CaseFootnoteText"/>
      </w:pPr>
      <w:r>
        <w:rPr>
          <w:rStyle w:val="FootnoteReference"/>
        </w:rPr>
        <w:t xml:space="preserve">75  </w:t>
      </w:r>
      <w:r>
        <w:t xml:space="preserve"/>
      </w:r>
      <w:r>
        <w:t xml:space="preserve"> </w:t>
      </w:r>
      <w:r>
        <w:rPr>
          <w:iCs/>
          <w:i/>
        </w:rPr>
        <w:t xml:space="preserve">See generally</w:t>
      </w:r>
      <w:r>
        <w:t xml:space="preserve"> </w:t>
      </w:r>
      <w:r>
        <w:t xml:space="preserve">1 R. Franklin Balotti &amp; Jesse A. Finkelstein,</w:t>
      </w:r>
      <w:r>
        <w:t xml:space="preserve"> </w:t>
      </w:r>
      <w:r>
        <w:rPr>
          <w:iCs/>
          <w:i/>
        </w:rPr>
        <w:t xml:space="preserve">The Delaware Law of Corporations and Business Organizations,</w:t>
      </w:r>
      <w:r>
        <w:t xml:space="preserve"> </w:t>
      </w:r>
      <w:r>
        <w:t xml:space="preserve">3rd ed. §§ 6.13-6.34 (1998).</w:t>
      </w:r>
    </w:p>
  </w:footnote>
  <w:footnote w:id="744">
    <w:p>
      <w:pPr>
        <w:pStyle w:val="CaseFootnoteText"/>
      </w:pPr>
      <w:r>
        <w:rPr>
          <w:rStyle w:val="FootnoteReference"/>
        </w:rPr>
        <w:t xml:space="preserve">75  </w:t>
      </w:r>
      <w:r>
        <w:t xml:space="preserve"/>
      </w:r>
      <w:r>
        <w:t xml:space="preserve"> </w:t>
      </w:r>
      <w:r>
        <w:rPr>
          <w:iCs/>
          <w:i/>
        </w:rPr>
        <w:t xml:space="preserve">See generally QVC,</w:t>
      </w:r>
      <w:r>
        <w:t xml:space="preserve"> </w:t>
      </w:r>
      <w:r>
        <w:t xml:space="preserve">637 A.2d at 41</w:t>
      </w:r>
      <w:r>
        <w:t xml:space="preserve">;</w:t>
      </w:r>
      <w:r>
        <w:t xml:space="preserve"> </w:t>
      </w:r>
      <w:r>
        <w:rPr>
          <w:iCs/>
          <w:i/>
        </w:rPr>
        <w:t xml:space="preserve">see also Unitrin, Inc. v. American General Corp.,</w:t>
      </w:r>
      <w:r>
        <w:t xml:space="preserve"> </w:t>
      </w:r>
      <w:r>
        <w:t xml:space="preserve">651 A.2d 1361</w:t>
      </w:r>
      <w:r>
        <w:t xml:space="preserve">, 1385-86 (Del.1995).</w:t>
      </w:r>
    </w:p>
  </w:footnote>
  <w:footnote w:id="745">
    <w:p>
      <w:pPr>
        <w:pStyle w:val="CaseFootnoteText"/>
      </w:pPr>
      <w:r>
        <w:rPr>
          <w:rStyle w:val="FootnoteReference"/>
        </w:rPr>
        <w:t xml:space="preserve">75  </w:t>
      </w:r>
      <w:r>
        <w:t xml:space="preserve"/>
      </w:r>
      <w:r>
        <w:t xml:space="preserve"> </w:t>
      </w:r>
      <w:r>
        <w:rPr>
          <w:iCs/>
          <w:i/>
        </w:rPr>
        <w:t xml:space="preserve">In re John Q. Hammons Hotels Inc. S'holder Litig.,</w:t>
      </w:r>
      <w:r>
        <w:t xml:space="preserve"> </w:t>
      </w:r>
      <w:r>
        <w:t xml:space="preserve">2009 WL 3165613</w:t>
      </w:r>
      <w:r>
        <w:t xml:space="preserve">, at *13 (Del.Ch. Oct. 2, 2009) (citing</w:t>
      </w:r>
      <w:r>
        <w:t xml:space="preserve"> </w:t>
      </w:r>
      <w:r>
        <w:rPr>
          <w:iCs/>
          <w:i/>
        </w:rPr>
        <w:t xml:space="preserve">Valeant Pharm. Int'l v. Jerney,</w:t>
      </w:r>
      <w:r>
        <w:t xml:space="preserve"> </w:t>
      </w:r>
      <w:r>
        <w:t xml:space="preserve">921 A.2d 732</w:t>
      </w:r>
      <w:r>
        <w:t xml:space="preserve">, 746 (Del.Ch.2007)).</w:t>
      </w:r>
    </w:p>
  </w:footnote>
  <w:footnote w:id="746">
    <w:p>
      <w:pPr>
        <w:pStyle w:val="CaseFootnoteText"/>
      </w:pPr>
      <w:r>
        <w:rPr>
          <w:rStyle w:val="FootnoteReference"/>
        </w:rPr>
        <w:t xml:space="preserve">76  </w:t>
      </w:r>
      <w:r>
        <w:rPr>
          <w:iCs/>
          <w:i/>
        </w:rPr>
        <w:t xml:space="preserve">See</w:t>
      </w:r>
      <w:r>
        <w:t xml:space="preserve"/>
      </w:r>
      <w:r>
        <w:rPr>
          <w:iCs/>
          <w:i/>
        </w:rPr>
        <w:t xml:space="preserve">Allen v. El Paso Pipeline GP Co.</w:t>
      </w:r>
      <w:r>
        <w:t xml:space="preserve"> </w:t>
      </w:r>
      <w:r>
        <w:t xml:space="preserve">,</w:t>
      </w:r>
      <w:r>
        <w:t xml:space="preserve"> </w:t>
      </w:r>
      <w:r>
        <w:t xml:space="preserve">113 A.3d 167</w:t>
      </w:r>
      <w:r>
        <w:t xml:space="preserve">, 191 (Del. Ch. 2014) (holding that the implied covenant was not properly invoked where the implied term would "conflict fundamentally with the plain language and structure" of the contract),</w:t>
      </w:r>
      <w:r>
        <w:t xml:space="preserve"> </w:t>
      </w:r>
      <w:r>
        <w:rPr>
          <w:iCs/>
          <w:i/>
        </w:rPr>
        <w:t xml:space="preserve">aff'd</w:t>
      </w:r>
      <w:r>
        <w:t xml:space="preserve"> </w:t>
      </w:r>
      <w:r>
        <w:t xml:space="preserve">,</w:t>
      </w:r>
      <w:r>
        <w:t xml:space="preserve"> </w:t>
      </w:r>
      <w:r>
        <w:t xml:space="preserve">2015 WL 803053</w:t>
      </w:r>
      <w:r>
        <w:t xml:space="preserve"> </w:t>
      </w:r>
      <w:r>
        <w:t xml:space="preserve">(Del. Feb. 26, 2015). Here, the trial court concluded that the plain language of the LLC Agreement "forecloses a Top Off Option."</w:t>
      </w:r>
      <w:r>
        <w:t xml:space="preserve"> </w:t>
      </w:r>
      <w:r>
        <w:rPr>
          <w:iCs/>
          <w:i/>
        </w:rPr>
        <w:t xml:space="preserve">Chancery Opinion</w:t>
      </w:r>
      <w:r>
        <w:t xml:space="preserve"> </w:t>
      </w:r>
      <w:r>
        <w:t xml:space="preserve">,</w:t>
      </w:r>
      <w:r>
        <w:t xml:space="preserve"> </w:t>
      </w:r>
      <w:r>
        <w:t xml:space="preserve">2018 WL 818760</w:t>
      </w:r>
      <w:r>
        <w:t xml:space="preserve">, at *54.</w:t>
      </w:r>
    </w:p>
  </w:footnote>
  <w:footnote w:id="747">
    <w:p>
      <w:pPr>
        <w:pStyle w:val="CaseFootnoteText"/>
      </w:pPr>
      <w:r>
        <w:rPr>
          <w:rStyle w:val="FootnoteReference"/>
        </w:rPr>
        <w:t xml:space="preserve">76  </w:t>
      </w:r>
      <w:r>
        <w:t xml:space="preserve"/>
      </w:r>
      <w:r>
        <w:t xml:space="preserve">I note that, among the many other regulatory possibilities it has left open, ranging from new versions of §203 supported by additional evidence of</w:t>
      </w:r>
      <w:r>
        <w:t xml:space="preserve"> </w:t>
      </w:r>
      <w:r>
        <w:rPr>
          <w:iCs/>
          <w:i/>
        </w:rPr>
        <w:t xml:space="preserve">quid pro quo</w:t>
      </w:r>
      <w:r>
        <w:t xml:space="preserve"> </w:t>
      </w:r>
      <w:r>
        <w:t xml:space="preserve">corruption or its appearance to any number of tax incentive or public financing schemes, today’s decision does not require that a legislature rely solely on these mechanisms to protect shareholders. Legislatures remain free in their incorporation and tax laws to condition the types of activity in which corporations may engage, including electioneering activity, on specific disclosure requirements or on prior express approval by shareholders or members.</w:t>
      </w:r>
    </w:p>
  </w:footnote>
  <w:footnote w:id="748">
    <w:p>
      <w:pPr>
        <w:pStyle w:val="CaseFootnoteText"/>
      </w:pPr>
      <w:r>
        <w:rPr>
          <w:rStyle w:val="FootnoteReference"/>
        </w:rPr>
        <w:t xml:space="preserve">76  </w:t>
      </w:r>
      <w:r>
        <w:t xml:space="preserve">Defendants state that WorldCom will own a 94.2% voting interest in Digex. Def. In-termedia’s Br. at 35. The economic interest is 52%.</w:t>
      </w:r>
    </w:p>
  </w:footnote>
  <w:footnote w:id="749">
    <w:p>
      <w:pPr>
        <w:pStyle w:val="CaseFootnoteText"/>
      </w:pPr>
      <w:r>
        <w:rPr>
          <w:rStyle w:val="FootnoteReference"/>
        </w:rPr>
        <w:t xml:space="preserve">76  </w:t>
      </w:r>
      <w:r>
        <w:t xml:space="preserve"/>
      </w:r>
      <w:r>
        <w:t xml:space="preserve"> </w:t>
      </w:r>
      <w:r>
        <w:rPr>
          <w:iCs/>
          <w:i/>
        </w:rPr>
        <w:t xml:space="preserve">See, e.g., Revlon,</w:t>
      </w:r>
      <w:r>
        <w:t xml:space="preserve"> </w:t>
      </w:r>
      <w:r>
        <w:t xml:space="preserve">506 A.2d at 179</w:t>
      </w:r>
      <w:r>
        <w:t xml:space="preserve">.</w:t>
      </w:r>
    </w:p>
  </w:footnote>
  <w:footnote w:id="750">
    <w:p>
      <w:pPr>
        <w:pStyle w:val="CaseFootnoteText"/>
      </w:pPr>
      <w:r>
        <w:rPr>
          <w:rStyle w:val="FootnoteReference"/>
        </w:rPr>
        <w:t xml:space="preserve">76  </w:t>
      </w:r>
      <w:r>
        <w:t xml:space="preserve"/>
      </w:r>
      <w:r>
        <w:t xml:space="preserve"> </w:t>
      </w:r>
      <w:r>
        <w:rPr>
          <w:iCs/>
          <w:i/>
        </w:rPr>
        <w:t xml:space="preserve">Weinberger,</w:t>
      </w:r>
      <w:r>
        <w:t xml:space="preserve"> </w:t>
      </w:r>
      <w:r>
        <w:t xml:space="preserve">457 A.2d at 711</w:t>
      </w:r>
      <w:r>
        <w:t xml:space="preserve">.</w:t>
      </w:r>
    </w:p>
  </w:footnote>
  <w:footnote w:id="751">
    <w:p>
      <w:pPr>
        <w:pStyle w:val="CaseFootnoteText"/>
      </w:pPr>
      <w:r>
        <w:rPr>
          <w:rStyle w:val="FootnoteReference"/>
        </w:rPr>
        <w:t xml:space="preserve">77  </w:t>
      </w:r>
      <w:r>
        <w:t xml:space="preserve">The practice in the Court of Chancery is to find that an issue not raised in post-trial briefing has been waived, even if it was properly raised pre-trial.</w:t>
      </w:r>
      <w:r>
        <w:t xml:space="preserve"/>
      </w:r>
      <w:r>
        <w:rPr>
          <w:iCs/>
          <w:i/>
        </w:rPr>
        <w:t xml:space="preserve">See</w:t>
      </w:r>
      <w:r>
        <w:t xml:space="preserve"> </w:t>
      </w:r>
      <w:r>
        <w:rPr>
          <w:iCs/>
          <w:i/>
        </w:rPr>
        <w:t xml:space="preserve">SinoMab Bioscience Ltd. v. Immunomedics, Inc.</w:t>
      </w:r>
      <w:r>
        <w:t xml:space="preserve"> </w:t>
      </w:r>
      <w:r>
        <w:t xml:space="preserve">,</w:t>
      </w:r>
      <w:r>
        <w:t xml:space="preserve"> </w:t>
      </w:r>
      <w:r>
        <w:t xml:space="preserve">2009 WL 1707891</w:t>
      </w:r>
      <w:r>
        <w:t xml:space="preserve">, at *12 n.71 (Del. Ch. June 16, 2009) ("[Defendant] did not address those claims in post-trial briefing, and they are waived." (citation omitted) );</w:t>
      </w:r>
      <w:r>
        <w:t xml:space="preserve"> </w:t>
      </w:r>
      <w:r>
        <w:rPr>
          <w:iCs/>
          <w:i/>
        </w:rPr>
        <w:t xml:space="preserve">In reIBP, Inc. v. S'holders Litig.</w:t>
      </w:r>
      <w:r>
        <w:t xml:space="preserve"> </w:t>
      </w:r>
      <w:r>
        <w:t xml:space="preserve">,</w:t>
      </w:r>
      <w:r>
        <w:t xml:space="preserve"> </w:t>
      </w:r>
      <w:r>
        <w:t xml:space="preserve">789 A.2d 14</w:t>
      </w:r>
      <w:r>
        <w:t xml:space="preserve">, 62 (Del. Ch. 2001) (deeming a party to have waived arguments that it did not present in its opening post-trial brief).</w:t>
      </w:r>
    </w:p>
  </w:footnote>
  <w:footnote w:id="752">
    <w:p>
      <w:pPr>
        <w:pStyle w:val="CaseFootnoteText"/>
      </w:pPr>
      <w:r>
        <w:rPr>
          <w:rStyle w:val="FootnoteReference"/>
        </w:rPr>
        <w:t xml:space="preserve">77  </w:t>
      </w:r>
      <w:r>
        <w:t xml:space="preserve">8</w:t>
      </w:r>
      <w:r>
        <w:t xml:space="preserve"> </w:t>
      </w:r>
      <w:r>
        <w:rPr>
          <w:iCs/>
          <w:i/>
        </w:rPr>
        <w:t xml:space="preserve">Del. C.</w:t>
      </w:r>
      <w:r>
        <w:t xml:space="preserve"> </w:t>
      </w:r>
      <w:r>
        <w:t xml:space="preserve">§ 203(a)(2) (emphasis added).</w:t>
      </w:r>
    </w:p>
  </w:footnote>
  <w:footnote w:id="753">
    <w:p>
      <w:pPr>
        <w:pStyle w:val="CaseFootnoteText"/>
      </w:pPr>
      <w:r>
        <w:rPr>
          <w:rStyle w:val="FootnoteReference"/>
        </w:rPr>
        <w:t xml:space="preserve">77  </w:t>
      </w:r>
      <w:r>
        <w:t xml:space="preserve"/>
      </w:r>
      <w:r>
        <w:t xml:space="preserve"> </w:t>
      </w:r>
      <w:r>
        <w:rPr>
          <w:iCs/>
          <w:i/>
        </w:rPr>
        <w:t xml:space="preserve">Wayne Cnty. Emps’ Ret. Sys. v. Corti,</w:t>
      </w:r>
      <w:r>
        <w:t xml:space="preserve"> </w:t>
      </w:r>
      <w:r>
        <w:t xml:space="preserve">954 A.2d 319</w:t>
      </w:r>
      <w:r>
        <w:t xml:space="preserve">, 331 (Del. Ch.2008);</w:t>
      </w:r>
      <w:r>
        <w:t xml:space="preserve"> </w:t>
      </w:r>
      <w:r>
        <w:rPr>
          <w:iCs/>
          <w:i/>
        </w:rPr>
        <w:t xml:space="preserve">see also In re Pennaco Energy, Inc.,</w:t>
      </w:r>
      <w:r>
        <w:t xml:space="preserve"> </w:t>
      </w:r>
      <w:r>
        <w:t xml:space="preserve">787 A.2d 691</w:t>
      </w:r>
      <w:r>
        <w:t xml:space="preserve">, 703 (Del. Ch.2001) ("A preliminary injunction is a powerful remedy that must be earned, and [Delaware courts are] cautious about using that remedy where it might endanger or delay stockholders' receipt of a control premium in a situation where no competing bid has emerged.”).</w:t>
      </w:r>
    </w:p>
  </w:footnote>
  <w:footnote w:id="754">
    <w:p>
      <w:pPr>
        <w:pStyle w:val="CaseFootnoteText"/>
      </w:pPr>
      <w:r>
        <w:rPr>
          <w:rStyle w:val="FootnoteReference"/>
        </w:rPr>
        <w:t xml:space="preserve">77  </w:t>
      </w:r>
      <w:r>
        <w:t xml:space="preserve"/>
      </w:r>
      <w:r>
        <w:t xml:space="preserve"> </w:t>
      </w:r>
      <w:r>
        <w:rPr>
          <w:iCs/>
          <w:i/>
        </w:rPr>
        <w:t xml:space="preserve">See, e.g., Valeant Pharm. Int’l,</w:t>
      </w:r>
      <w:r>
        <w:t xml:space="preserve"> </w:t>
      </w:r>
      <w:r>
        <w:t xml:space="preserve">921 A.2d at 746</w:t>
      </w:r>
      <w:r>
        <w:t xml:space="preserve"> </w:t>
      </w:r>
      <w:r>
        <w:t xml:space="preserve">(“The two components of the entire fairness concept are not independent, but rather the fair dealing prong informs the court as to the fairness of the price obtained through that process.”).</w:t>
      </w:r>
    </w:p>
  </w:footnote>
  <w:footnote w:id="755">
    <w:p>
      <w:pPr>
        <w:pStyle w:val="CaseFootnoteText"/>
      </w:pPr>
      <w:r>
        <w:rPr>
          <w:rStyle w:val="FootnoteReference"/>
        </w:rPr>
        <w:t xml:space="preserve">78  </w:t>
      </w:r>
      <w:r>
        <w:rPr>
          <w:iCs/>
          <w:i/>
        </w:rPr>
        <w:t xml:space="preserve">See</w:t>
      </w:r>
      <w:r>
        <w:t xml:space="preserve"/>
      </w:r>
      <w:r>
        <w:rPr>
          <w:iCs/>
          <w:i/>
        </w:rPr>
        <w:t xml:space="preserve">Eagle Force Holdings, LLC v. Campbell</w:t>
      </w:r>
      <w:r>
        <w:t xml:space="preserve"> </w:t>
      </w:r>
      <w:r>
        <w:t xml:space="preserve">,</w:t>
      </w:r>
      <w:r>
        <w:t xml:space="preserve"> </w:t>
      </w:r>
      <w:r>
        <w:t xml:space="preserve">187 A.3d 1209</w:t>
      </w:r>
      <w:r>
        <w:t xml:space="preserve">, 1229 n.140 (Del. 2018).</w:t>
      </w:r>
    </w:p>
  </w:footnote>
  <w:footnote w:id="756">
    <w:p>
      <w:pPr>
        <w:pStyle w:val="CaseFootnoteText"/>
      </w:pPr>
      <w:r>
        <w:rPr>
          <w:rStyle w:val="FootnoteReference"/>
        </w:rPr>
        <w:t xml:space="preserve">78  </w:t>
      </w:r>
      <w:r>
        <w:t xml:space="preserve">The Court also notes that § 203(a)(2) is not the only section of that statute to rely on the definition of “voting stock.” The other provisions of § 203 that contain this term include the definition of interested shareholder and the § 203(a)(3) exception involving approval for a business combination by a two-thirds vote of the minority shareholders. The exemption provided by § 203(b)(4) also relies on the concept of "voting stock.” Under that exception, a corporation will not be subject to § 203 even if shares of non-voting stock or voting debt instruments may be outstanding and may satisfy one or more of the § 203(b)(4) criteria.</w:t>
      </w:r>
    </w:p>
  </w:footnote>
  <w:footnote w:id="757">
    <w:p>
      <w:pPr>
        <w:pStyle w:val="CaseFootnoteText"/>
      </w:pPr>
      <w:r>
        <w:rPr>
          <w:rStyle w:val="FootnoteReference"/>
        </w:rPr>
        <w:t xml:space="preserve">78  </w:t>
      </w:r>
      <w:r>
        <w:t xml:space="preserve">Bench Opinion at 13.</w:t>
      </w:r>
    </w:p>
  </w:footnote>
  <w:footnote w:id="758">
    <w:p>
      <w:pPr>
        <w:pStyle w:val="CaseFootnoteText"/>
      </w:pPr>
      <w:r>
        <w:rPr>
          <w:rStyle w:val="FootnoteReference"/>
        </w:rPr>
        <w:t xml:space="preserve">78  </w:t>
      </w:r>
      <w:r>
        <w:t xml:space="preserve"/>
      </w:r>
      <w:r>
        <w:t xml:space="preserve"> </w:t>
      </w:r>
      <w:r>
        <w:rPr>
          <w:iCs/>
          <w:i/>
        </w:rPr>
        <w:t xml:space="preserve">Kahn</w:t>
      </w:r>
      <w:r>
        <w:t xml:space="preserve"> </w:t>
      </w:r>
      <w:r>
        <w:t xml:space="preserve">v.</w:t>
      </w:r>
      <w:r>
        <w:t xml:space="preserve"> </w:t>
      </w:r>
      <w:r>
        <w:rPr>
          <w:iCs/>
          <w:i/>
        </w:rPr>
        <w:t xml:space="preserve">Lynch Commc'n Sys., Inc.,</w:t>
      </w:r>
      <w:r>
        <w:t xml:space="preserve"> </w:t>
      </w:r>
      <w:r>
        <w:t xml:space="preserve">638 A.2d 1110</w:t>
      </w:r>
      <w:r>
        <w:t xml:space="preserve"> </w:t>
      </w:r>
      <w:r>
        <w:t xml:space="preserve">(Del.1994).</w:t>
      </w:r>
    </w:p>
  </w:footnote>
  <w:footnote w:id="759">
    <w:p>
      <w:pPr>
        <w:pStyle w:val="CaseFootnoteText"/>
      </w:pPr>
      <w:r>
        <w:rPr>
          <w:rStyle w:val="FootnoteReference"/>
        </w:rPr>
        <w:t xml:space="preserve">79  </w:t>
      </w:r>
      <w:r>
        <w:rPr>
          <w:iCs/>
          <w:i/>
        </w:rPr>
        <w:t xml:space="preserve">Chancery Opinion</w:t>
      </w:r>
      <w:r>
        <w:t xml:space="preserve"/>
      </w:r>
      <w:r>
        <w:t xml:space="preserve">,</w:t>
      </w:r>
      <w:r>
        <w:t xml:space="preserve"> </w:t>
      </w:r>
      <w:r>
        <w:t xml:space="preserve">2018 WL 818760</w:t>
      </w:r>
      <w:r>
        <w:t xml:space="preserve">, at *63.</w:t>
      </w:r>
    </w:p>
  </w:footnote>
  <w:footnote w:id="760">
    <w:p>
      <w:pPr>
        <w:pStyle w:val="CaseFootnoteText"/>
      </w:pPr>
      <w:r>
        <w:rPr>
          <w:rStyle w:val="FootnoteReference"/>
        </w:rPr>
        <w:t xml:space="preserve">79  </w:t>
      </w:r>
      <w:r>
        <w:t xml:space="preserve">8</w:t>
      </w:r>
      <w:r>
        <w:t xml:space="preserve"> </w:t>
      </w:r>
      <w:r>
        <w:rPr>
          <w:iCs/>
          <w:i/>
        </w:rPr>
        <w:t xml:space="preserve">Del. C.</w:t>
      </w:r>
      <w:r>
        <w:t xml:space="preserve"> </w:t>
      </w:r>
      <w:r>
        <w:t xml:space="preserve">§ 212(a).</w:t>
      </w:r>
    </w:p>
  </w:footnote>
  <w:footnote w:id="761">
    <w:p>
      <w:pPr>
        <w:pStyle w:val="CaseFootnoteText"/>
      </w:pPr>
      <w:r>
        <w:rPr>
          <w:rStyle w:val="FootnoteReference"/>
        </w:rPr>
        <w:t xml:space="preserve">79  </w:t>
      </w:r>
      <w:r>
        <w:t xml:space="preserve"/>
      </w:r>
      <w:r>
        <w:t xml:space="preserve"> </w:t>
      </w:r>
      <w:r>
        <w:rPr>
          <w:iCs/>
          <w:i/>
        </w:rPr>
        <w:t xml:space="preserve">Id.</w:t>
      </w:r>
    </w:p>
  </w:footnote>
  <w:footnote w:id="762">
    <w:p>
      <w:pPr>
        <w:pStyle w:val="CaseFootnoteText"/>
      </w:pPr>
      <w:r>
        <w:rPr>
          <w:rStyle w:val="FootnoteReference"/>
        </w:rPr>
        <w:t xml:space="preserve">79  </w:t>
      </w:r>
      <w:r>
        <w:t xml:space="preserve"/>
      </w:r>
      <w:r>
        <w:t xml:space="preserve"> </w:t>
      </w:r>
      <w:r>
        <w:rPr>
          <w:iCs/>
          <w:i/>
        </w:rPr>
        <w:t xml:space="preserve">See</w:t>
      </w:r>
      <w:r>
        <w:rPr>
          <w:iCs/>
          <w:i/>
        </w:rPr>
        <w:t xml:space="preserve"> </w:t>
      </w:r>
      <w:r>
        <w:rPr>
          <w:iCs/>
          <w:i/>
        </w:rPr>
        <w:t xml:space="preserve">id.</w:t>
      </w:r>
      <w:r>
        <w:rPr>
          <w:iCs/>
          <w:i/>
        </w:rPr>
        <w:t xml:space="preserve"> </w:t>
      </w:r>
      <w:r>
        <w:t xml:space="preserve">at 1117</w:t>
      </w:r>
      <w:r>
        <w:t xml:space="preserve"> </w:t>
      </w:r>
      <w:r>
        <w:t xml:space="preserve">(“Nevertheless, even when . an interested cash-out merger transaction receives the informed approval of a majority of minority stockholders or an independent committee of disinterested directors, an entire fairness analysis is the only proper standard of review.”);</w:t>
      </w:r>
      <w:r>
        <w:t xml:space="preserve"> </w:t>
      </w:r>
      <w:r>
        <w:rPr>
          <w:iCs/>
          <w:i/>
        </w:rPr>
        <w:t xml:space="preserve">see also In re Pure Res., Inc., S'holders Litig.,</w:t>
      </w:r>
      <w:r>
        <w:t xml:space="preserve"> </w:t>
      </w:r>
      <w:r>
        <w:t xml:space="preserve">808 A.2d 421</w:t>
      </w:r>
      <w:r>
        <w:t xml:space="preserve">, 435-36 (Del.Ch.2002) (explaining this reality);</w:t>
      </w:r>
      <w:r>
        <w:t xml:space="preserve"> </w:t>
      </w:r>
      <w:r>
        <w:rPr>
          <w:iCs/>
          <w:i/>
        </w:rPr>
        <w:t xml:space="preserve">In re Cox Commc’ns, Inc. S’holders Litig.,</w:t>
      </w:r>
      <w:r>
        <w:t xml:space="preserve"> </w:t>
      </w:r>
      <w:r>
        <w:t xml:space="preserve">879 A.2d 604</w:t>
      </w:r>
      <w:r>
        <w:t xml:space="preserve">, 617 (Del.Ch.2005) (same);</w:t>
      </w:r>
      <w:r>
        <w:t xml:space="preserve"> </w:t>
      </w:r>
      <w:r>
        <w:rPr>
          <w:iCs/>
          <w:i/>
        </w:rPr>
        <w:t xml:space="preserve">see also</w:t>
      </w:r>
      <w:r>
        <w:rPr>
          <w:iCs/>
          <w:i/>
        </w:rPr>
        <w:t xml:space="preserve"> </w:t>
      </w:r>
      <w:r>
        <w:rPr>
          <w:iCs/>
          <w:i/>
        </w:rPr>
        <w:t xml:space="preserve">id.</w:t>
      </w:r>
      <w:r>
        <w:rPr>
          <w:iCs/>
          <w:i/>
        </w:rPr>
        <w:t xml:space="preserve"> </w:t>
      </w:r>
      <w:r>
        <w:t xml:space="preserve">at 617</w:t>
      </w:r>
      <w:r>
        <w:t xml:space="preserve"> </w:t>
      </w:r>
      <w:r>
        <w:t xml:space="preserve">("All in all, it is perhaps fairest and more sensible to read</w:t>
      </w:r>
      <w:r>
        <w:t xml:space="preserve"> </w:t>
      </w:r>
      <w:r>
        <w:rPr>
          <w:iCs/>
          <w:i/>
        </w:rPr>
        <w:t xml:space="preserve">Lynch</w:t>
      </w:r>
      <w:r>
        <w:t xml:space="preserve"> </w:t>
      </w:r>
      <w:r>
        <w:t xml:space="preserve">as being premised on a sincere concern that mergers with controlling stockholders involve an extraordinary potential for the exploitation by powerful insiders of their informational advantages and their voting clout. Facing the proverbial 800 pound gorilla who wants the rest of the bananas all for himself, chimpanzees like independent directors and disinterested stockholders could not be expected to make sure that the gorilla paid a fair price. Therefore, the residual protection of an unavoidable review of the financial fairness whenever plaintiffs could raise a genuine dispute of fact about that issue was thought to be a necessary final protection.”) (citations omitted).</w:t>
      </w:r>
    </w:p>
  </w:footnote>
  <w:footnote w:id="763">
    <w:p>
      <w:pPr>
        <w:pStyle w:val="CaseFootnoteText"/>
      </w:pPr>
      <w:r>
        <w:rPr>
          <w:rStyle w:val="FootnoteReference"/>
        </w:rPr>
        <w:t xml:space="preserve">80  </w:t>
      </w:r>
      <w:r>
        <w:t xml:space="preserve">App. to Opening Br. at A2093 (emphasis added).</w:t>
      </w:r>
    </w:p>
  </w:footnote>
  <w:footnote w:id="764">
    <w:p>
      <w:pPr>
        <w:pStyle w:val="CaseFootnoteText"/>
      </w:pPr>
      <w:r>
        <w:rPr>
          <w:rStyle w:val="FootnoteReference"/>
        </w:rPr>
        <w:t xml:space="preserve">80  </w:t>
      </w:r>
      <w:r>
        <w:t xml:space="preserve">As stated above, the Digex Certificate of Incorporation provides for a Class B stock with super-voting rights, ten votes per share.</w:t>
      </w:r>
    </w:p>
  </w:footnote>
  <w:footnote w:id="765">
    <w:p>
      <w:pPr>
        <w:pStyle w:val="CaseFootnoteText"/>
      </w:pPr>
      <w:r>
        <w:rPr>
          <w:rStyle w:val="FootnoteReference"/>
        </w:rPr>
        <w:t xml:space="preserve">80  </w:t>
      </w:r>
      <w:r>
        <w:t xml:space="preserve"/>
      </w:r>
      <w:r>
        <w:t xml:space="preserve"> </w:t>
      </w:r>
      <w:r>
        <w:rPr>
          <w:iCs/>
          <w:i/>
        </w:rPr>
        <w:t xml:space="preserve">Id.</w:t>
      </w:r>
      <w:r>
        <w:t xml:space="preserve"> </w:t>
      </w:r>
      <w:r>
        <w:t xml:space="preserve">at 14.</w:t>
      </w:r>
    </w:p>
  </w:footnote>
  <w:footnote w:id="766">
    <w:p>
      <w:pPr>
        <w:pStyle w:val="CaseFootnoteText"/>
      </w:pPr>
      <w:r>
        <w:rPr>
          <w:rStyle w:val="FootnoteReference"/>
        </w:rPr>
        <w:t xml:space="preserve">80  </w:t>
      </w:r>
      <w:r>
        <w:t xml:space="preserve">See</w:t>
      </w:r>
      <w:r>
        <w:t xml:space="preserve"> </w:t>
      </w:r>
      <w:r>
        <w:rPr>
          <w:iCs/>
          <w:i/>
        </w:rPr>
        <w:t xml:space="preserve">Lynch,</w:t>
      </w:r>
      <w:r>
        <w:t xml:space="preserve"> </w:t>
      </w:r>
      <w:r>
        <w:t xml:space="preserve">638 A.2d at 1117</w:t>
      </w:r>
      <w:r>
        <w:t xml:space="preserve"> </w:t>
      </w:r>
      <w:r>
        <w:t xml:space="preserve">(citation omitted).</w:t>
      </w:r>
    </w:p>
  </w:footnote>
  <w:footnote w:id="767">
    <w:p>
      <w:pPr>
        <w:pStyle w:val="CaseFootnoteText"/>
      </w:pPr>
      <w:r>
        <w:rPr>
          <w:rStyle w:val="FootnoteReference"/>
        </w:rPr>
        <w:t xml:space="preserve">81  </w:t>
      </w:r>
      <w:r>
        <w:rPr>
          <w:iCs/>
          <w:i/>
        </w:rPr>
        <w:t xml:space="preserve">Id.</w:t>
      </w:r>
      <w:r>
        <w:t xml:space="preserve"/>
      </w:r>
      <w:r>
        <w:t xml:space="preserve">at A2080 (emphasis added).</w:t>
      </w:r>
    </w:p>
  </w:footnote>
  <w:footnote w:id="768">
    <w:p>
      <w:pPr>
        <w:pStyle w:val="CaseFootnoteText"/>
      </w:pPr>
      <w:r>
        <w:rPr>
          <w:rStyle w:val="FootnoteReference"/>
        </w:rPr>
        <w:t xml:space="preserve">81  </w:t>
      </w:r>
      <w:r>
        <w:t xml:space="preserve"/>
      </w:r>
      <w:r>
        <w:t xml:space="preserve"> </w:t>
      </w:r>
      <w:r>
        <w:rPr>
          <w:iCs/>
          <w:i/>
        </w:rPr>
        <w:t xml:space="preserve">Stiftel v. Malarkey,</w:t>
      </w:r>
      <w:r>
        <w:t xml:space="preserve"> </w:t>
      </w:r>
      <w:r>
        <w:t xml:space="preserve">Del.Supr.,</w:t>
      </w:r>
      <w:r>
        <w:t xml:space="preserve"> </w:t>
      </w:r>
      <w:r>
        <w:t xml:space="preserve">384 A.2d 9</w:t>
      </w:r>
      <w:r>
        <w:t xml:space="preserve">, 21 (1977).</w:t>
      </w:r>
    </w:p>
  </w:footnote>
  <w:footnote w:id="769">
    <w:p>
      <w:pPr>
        <w:pStyle w:val="CaseFootnoteText"/>
      </w:pPr>
      <w:r>
        <w:rPr>
          <w:rStyle w:val="FootnoteReference"/>
        </w:rPr>
        <w:t xml:space="preserve">81  </w:t>
      </w:r>
      <w:r>
        <w:t xml:space="preserve"/>
      </w:r>
      <w:r>
        <w:t xml:space="preserve"> </w:t>
      </w:r>
      <w:r>
        <w:rPr>
          <w:iCs/>
          <w:i/>
        </w:rPr>
        <w:t xml:space="preserve">Id.</w:t>
      </w:r>
    </w:p>
  </w:footnote>
  <w:footnote w:id="770">
    <w:p>
      <w:pPr>
        <w:pStyle w:val="CaseFootnoteText"/>
      </w:pPr>
      <w:r>
        <w:rPr>
          <w:rStyle w:val="FootnoteReference"/>
        </w:rPr>
        <w:t xml:space="preserve">81  </w:t>
      </w:r>
      <w:r>
        <w:t xml:space="preserve">See Pl. Op. Post-Tr. Br. at 14 (citing</w:t>
      </w:r>
      <w:r>
        <w:t xml:space="preserve"> </w:t>
      </w:r>
      <w:r>
        <w:rPr>
          <w:iCs/>
          <w:i/>
        </w:rPr>
        <w:t xml:space="preserve">Kahn v. Tremont Corp.,</w:t>
      </w:r>
      <w:r>
        <w:t xml:space="preserve"> </w:t>
      </w:r>
      <w:r>
        <w:t xml:space="preserve">694 A.2d 422</w:t>
      </w:r>
      <w:r>
        <w:t xml:space="preserve">, 429 (Del.1997); Gesoff</w:t>
      </w:r>
      <w:r>
        <w:t xml:space="preserve"> </w:t>
      </w:r>
      <w:r>
        <w:rPr>
          <w:iCs/>
          <w:i/>
        </w:rPr>
        <w:t xml:space="preserve">v. IIC Indus.,</w:t>
      </w:r>
      <w:r>
        <w:t xml:space="preserve"> </w:t>
      </w:r>
      <w:r>
        <w:t xml:space="preserve">902 A.2d 1130</w:t>
      </w:r>
      <w:r>
        <w:t xml:space="preserve">, 1148 (Del.Ch.2006);</w:t>
      </w:r>
      <w:r>
        <w:t xml:space="preserve"> </w:t>
      </w:r>
      <w:r>
        <w:rPr>
          <w:iCs/>
          <w:i/>
        </w:rPr>
        <w:t xml:space="preserve">Rabkin v. Olin Corp.,</w:t>
      </w:r>
      <w:r>
        <w:t xml:space="preserve"> </w:t>
      </w:r>
      <w:r>
        <w:t xml:space="preserve">1990 WL 47648</w:t>
      </w:r>
      <w:r>
        <w:t xml:space="preserve">, at *6 (Del.Ch. Apr. 17, 1990)).</w:t>
      </w:r>
    </w:p>
  </w:footnote>
  <w:footnote w:id="771">
    <w:p>
      <w:pPr>
        <w:pStyle w:val="CaseFootnoteText"/>
      </w:pPr>
      <w:r>
        <w:rPr>
          <w:rStyle w:val="FootnoteReference"/>
        </w:rPr>
        <w:t xml:space="preserve">82  </w:t>
      </w:r>
      <w:r>
        <w:t xml:space="preserve">The Minority Members argue that determining the Small Holders' rights as to an Exit Sale was not truly discretionary because Article XIII, Section 5(b) requires mandatory action. Section 5(b) provides that "[i]f the Company proposes to issue Equity Securities, the Company will give each Member written notice of its intention, describing the Equity Securities and the price and terms and conditions upon which such Equity Securities are to be issued and/or sold."</w:t>
      </w:r>
      <w:r>
        <w:t xml:space="preserve"/>
      </w:r>
      <w:r>
        <w:rPr>
          <w:iCs/>
          <w:i/>
        </w:rPr>
        <w:t xml:space="preserve">Id.</w:t>
      </w:r>
      <w:r>
        <w:t xml:space="preserve"> </w:t>
      </w:r>
      <w:r>
        <w:t xml:space="preserve">at A2111. Oxbow contends in its briefing on appeal that it did give notice and cites to certain findings in the trial court's opinion.</w:t>
      </w:r>
      <w:r>
        <w:t xml:space="preserve"> </w:t>
      </w:r>
      <w:r>
        <w:rPr>
          <w:iCs/>
          <w:i/>
        </w:rPr>
        <w:t xml:space="preserve">See</w:t>
      </w:r>
      <w:r>
        <w:t xml:space="preserve"> </w:t>
      </w:r>
      <w:r>
        <w:rPr>
          <w:iCs/>
          <w:i/>
        </w:rPr>
        <w:t xml:space="preserve">Chancery Opinion</w:t>
      </w:r>
      <w:r>
        <w:t xml:space="preserve"> </w:t>
      </w:r>
      <w:r>
        <w:t xml:space="preserve">,</w:t>
      </w:r>
      <w:r>
        <w:t xml:space="preserve"> </w:t>
      </w:r>
      <w:r>
        <w:t xml:space="preserve">2018 WL 818760</w:t>
      </w:r>
      <w:r>
        <w:t xml:space="preserve">, at *16-18. Even assuming the Koch Parties did not supply proper written notice, the Court of Chancery held that laches barred the Minority Members from challenging the Small Holders' status as Members.</w:t>
      </w:r>
      <w:r>
        <w:t xml:space="preserve"> </w:t>
      </w:r>
      <w:r>
        <w:rPr>
          <w:iCs/>
          <w:i/>
        </w:rPr>
        <w:t xml:space="preserve">See</w:t>
      </w:r>
      <w:r>
        <w:t xml:space="preserve"> </w:t>
      </w:r>
      <w:r>
        <w:rPr>
          <w:iCs/>
          <w:i/>
        </w:rPr>
        <w:t xml:space="preserve">id.</w:t>
      </w:r>
      <w:r>
        <w:t xml:space="preserve"> </w:t>
      </w:r>
      <w:r>
        <w:t xml:space="preserve">at *47-50.</w:t>
      </w:r>
    </w:p>
  </w:footnote>
  <w:footnote w:id="772">
    <w:p>
      <w:pPr>
        <w:pStyle w:val="CaseFootnoteText"/>
      </w:pPr>
      <w:r>
        <w:rPr>
          <w:rStyle w:val="FootnoteReference"/>
        </w:rPr>
        <w:t xml:space="preserve">82  </w:t>
      </w:r>
      <w:r>
        <w:t xml:space="preserve">8</w:t>
      </w:r>
      <w:r>
        <w:t xml:space="preserve"> </w:t>
      </w:r>
      <w:r>
        <w:rPr>
          <w:iCs/>
          <w:i/>
        </w:rPr>
        <w:t xml:space="preserve">Del. C.</w:t>
      </w:r>
      <w:r>
        <w:t xml:space="preserve"> </w:t>
      </w:r>
      <w:r>
        <w:t xml:space="preserve">§ 203(c)(8). This definition was amended effective July 1, 1995. At the time of the original adoption of § 203 on February 2, 1988, the definition read as follows: " 'voting stock’ means stock of any class or series entitled to vote generally in the election of directors.”</w:t>
      </w:r>
    </w:p>
  </w:footnote>
  <w:footnote w:id="773">
    <w:p>
      <w:pPr>
        <w:pStyle w:val="CaseFootnoteText"/>
      </w:pPr>
      <w:r>
        <w:rPr>
          <w:rStyle w:val="FootnoteReference"/>
        </w:rPr>
        <w:t xml:space="preserve">82  </w:t>
      </w:r>
      <w:r>
        <w:t xml:space="preserve"/>
      </w:r>
      <w:r>
        <w:t xml:space="preserve"> </w:t>
      </w:r>
      <w:r>
        <w:rPr>
          <w:iCs/>
          <w:i/>
        </w:rPr>
        <w:t xml:space="preserve">Mitchell Lane Publishers, Inc., v. Rasemos,</w:t>
      </w:r>
      <w:r>
        <w:t xml:space="preserve"> </w:t>
      </w:r>
      <w:r>
        <w:t xml:space="preserve">2014 WL 4925150</w:t>
      </w:r>
      <w:r>
        <w:t xml:space="preserve">, at *3 (Del. Ch. 2014).</w:t>
      </w:r>
    </w:p>
  </w:footnote>
  <w:footnote w:id="774">
    <w:p>
      <w:pPr>
        <w:pStyle w:val="CaseFootnoteText"/>
      </w:pPr>
      <w:r>
        <w:rPr>
          <w:rStyle w:val="FootnoteReference"/>
        </w:rPr>
        <w:t xml:space="preserve">82  </w:t>
      </w:r>
      <w:r>
        <w:t xml:space="preserve">As I have noted before, it is unclear to me if there is much, if any, practical implication of a burden shift. See</w:t>
      </w:r>
      <w:r>
        <w:t xml:space="preserve"> </w:t>
      </w:r>
      <w:r>
        <w:rPr>
          <w:iCs/>
          <w:i/>
        </w:rPr>
        <w:t xml:space="preserve">In re Cysive, Inc. S'holders Litig.,</w:t>
      </w:r>
      <w:r>
        <w:t xml:space="preserve"> </w:t>
      </w:r>
      <w:r>
        <w:t xml:space="preserve">836 A.2d 531</w:t>
      </w:r>
      <w:r>
        <w:t xml:space="preserve">, 548 (Del.Ch.2003) ("The practical effect of the</w:t>
      </w:r>
      <w:r>
        <w:t xml:space="preserve"> </w:t>
      </w:r>
      <w:r>
        <w:rPr>
          <w:iCs/>
          <w:i/>
        </w:rPr>
        <w:t xml:space="preserve">Lynch</w:t>
      </w:r>
      <w:r>
        <w:t xml:space="preserve"> </w:t>
      </w:r>
      <w:r>
        <w:t xml:space="preserve">doctrine’s burden shift is slight. One reason why this is so is that shifting the burden of persuasion under a preponderance standard is not a major move, if one assumes, as I do, that the outcome of very few cases hinges on what happens if ... the evidence is in equipoise.”).</w:t>
      </w:r>
    </w:p>
  </w:footnote>
  <w:footnote w:id="775">
    <w:p>
      <w:pPr>
        <w:pStyle w:val="CaseFootnoteText"/>
      </w:pPr>
      <w:r>
        <w:rPr>
          <w:rStyle w:val="FootnoteReference"/>
        </w:rPr>
        <w:t xml:space="preserve">83  </w:t>
      </w:r>
      <w:r>
        <w:t xml:space="preserve">App. to Opening Br. at A1911.</w:t>
      </w:r>
    </w:p>
  </w:footnote>
  <w:footnote w:id="776">
    <w:p>
      <w:pPr>
        <w:pStyle w:val="CaseFootnoteText"/>
      </w:pPr>
      <w:r>
        <w:rPr>
          <w:rStyle w:val="FootnoteReference"/>
        </w:rPr>
        <w:t xml:space="preserve">83  </w:t>
      </w:r>
      <w:r>
        <w:t xml:space="preserve"/>
      </w:r>
      <w:r>
        <w:t xml:space="preserve"> </w:t>
      </w:r>
      <w:r>
        <w:rPr>
          <w:iCs/>
          <w:i/>
        </w:rPr>
        <w:t xml:space="preserve">See</w:t>
      </w:r>
      <w:r>
        <w:t xml:space="preserve"> </w:t>
      </w:r>
      <w:r>
        <w:t xml:space="preserve">Craig B. Smith &amp; Clark W. Furlow,</w:t>
      </w:r>
      <w:r>
        <w:t xml:space="preserve"> </w:t>
      </w:r>
      <w:r>
        <w:rPr>
          <w:iCs/>
          <w:i/>
        </w:rPr>
        <w:t xml:space="preserve">Guide to the Takeover Law of Delaware</w:t>
      </w:r>
      <w:r>
        <w:t xml:space="preserve"> </w:t>
      </w:r>
      <w:r>
        <w:t xml:space="preserve">§ II.C, at 28 (1988) (hereinafter “Smith &amp; Furlow”).</w:t>
      </w:r>
    </w:p>
  </w:footnote>
  <w:footnote w:id="777">
    <w:p>
      <w:pPr>
        <w:pStyle w:val="CaseFootnoteText"/>
      </w:pPr>
      <w:r>
        <w:rPr>
          <w:rStyle w:val="FootnoteReference"/>
        </w:rPr>
        <w:t xml:space="preserve">83  </w:t>
      </w:r>
      <w:r>
        <w:t xml:space="preserve"/>
      </w:r>
      <w:r>
        <w:t xml:space="preserve"> </w:t>
      </w:r>
      <w:r>
        <w:rPr>
          <w:iCs/>
          <w:i/>
        </w:rPr>
        <w:t xml:space="preserve">Revlon,</w:t>
      </w:r>
      <w:r>
        <w:t xml:space="preserve"> </w:t>
      </w:r>
      <w:r>
        <w:t xml:space="preserve">506 A.2d at 182</w:t>
      </w:r>
      <w:r>
        <w:t xml:space="preserve"> </w:t>
      </w:r>
      <w:r>
        <w:t xml:space="preserve">("The duty of the board [in a change of control transaction] ... [is] the maximization of the company’s value at a sale for the stockholders’ benefit.”).</w:t>
      </w:r>
    </w:p>
  </w:footnote>
  <w:footnote w:id="778">
    <w:p>
      <w:pPr>
        <w:pStyle w:val="CaseFootnoteText"/>
      </w:pPr>
      <w:r>
        <w:rPr>
          <w:rStyle w:val="FootnoteReference"/>
        </w:rPr>
        <w:t xml:space="preserve">83  </w:t>
      </w:r>
      <w:r>
        <w:t xml:space="preserve"/>
      </w:r>
      <w:r>
        <w:t xml:space="preserve"> </w:t>
      </w:r>
      <w:r>
        <w:rPr>
          <w:iCs/>
          <w:i/>
        </w:rPr>
        <w:t xml:space="preserve">Tremont,</w:t>
      </w:r>
      <w:r>
        <w:t xml:space="preserve"> </w:t>
      </w:r>
      <w:r>
        <w:t xml:space="preserve">694 A.2d at 429</w:t>
      </w:r>
      <w:r>
        <w:t xml:space="preserve"> </w:t>
      </w:r>
      <w:r>
        <w:t xml:space="preserve">(Del.1997) (citation omitted).</w:t>
      </w:r>
    </w:p>
  </w:footnote>
  <w:footnote w:id="779">
    <w:p>
      <w:pPr>
        <w:pStyle w:val="CaseFootnoteText"/>
      </w:pPr>
      <w:r>
        <w:rPr>
          <w:rStyle w:val="FootnoteReference"/>
        </w:rPr>
        <w:t xml:space="preserve">84  </w:t>
      </w:r>
      <w:r>
        <w:rPr>
          <w:iCs/>
          <w:i/>
        </w:rPr>
        <w:t xml:space="preserve">See id.</w:t>
      </w:r>
      <w:r>
        <w:t xml:space="preserve"/>
      </w:r>
      <w:r>
        <w:t xml:space="preserve">at A811, A941, A1913, A1915-16.</w:t>
      </w:r>
    </w:p>
  </w:footnote>
  <w:footnote w:id="780">
    <w:p>
      <w:pPr>
        <w:pStyle w:val="CaseFootnoteText"/>
      </w:pPr>
      <w:r>
        <w:rPr>
          <w:rStyle w:val="FootnoteReference"/>
        </w:rPr>
        <w:t xml:space="preserve">84  </w:t>
      </w:r>
      <w:r>
        <w:t xml:space="preserve"/>
      </w:r>
      <w:r>
        <w:t xml:space="preserve"> </w:t>
      </w:r>
      <w:r>
        <w:rPr>
          <w:iCs/>
          <w:i/>
        </w:rPr>
        <w:t xml:space="preserve">See</w:t>
      </w:r>
      <w:r>
        <w:t xml:space="preserve"> </w:t>
      </w:r>
      <w:r>
        <w:t xml:space="preserve">Smith &amp; Furlow, § IV.G, at 78-79.</w:t>
      </w:r>
    </w:p>
  </w:footnote>
  <w:footnote w:id="781">
    <w:p>
      <w:pPr>
        <w:pStyle w:val="CaseFootnoteText"/>
      </w:pPr>
      <w:r>
        <w:rPr>
          <w:rStyle w:val="FootnoteReference"/>
        </w:rPr>
        <w:t xml:space="preserve">84  </w:t>
      </w:r>
      <w:r>
        <w:t xml:space="preserve"/>
      </w:r>
      <w:r>
        <w:t xml:space="preserve"> </w:t>
      </w:r>
      <w:r>
        <w:rPr>
          <w:iCs/>
          <w:i/>
        </w:rPr>
        <w:t xml:space="preserve">Barkan v. Amsted Industries, Inc.,</w:t>
      </w:r>
      <w:r>
        <w:t xml:space="preserve"> </w:t>
      </w:r>
      <w:r>
        <w:t xml:space="preserve">567 A.2d 1279</w:t>
      </w:r>
      <w:r>
        <w:t xml:space="preserve">, 1286 (Del. 1989);</w:t>
      </w:r>
      <w:r>
        <w:t xml:space="preserve"> </w:t>
      </w:r>
      <w:r>
        <w:rPr>
          <w:iCs/>
          <w:i/>
        </w:rPr>
        <w:t xml:space="preserve">see also Unitrin, Inc. v. American General Corp.,</w:t>
      </w:r>
      <w:r>
        <w:t xml:space="preserve"> </w:t>
      </w:r>
      <w:r>
        <w:t xml:space="preserve">651 A.2d 1361</w:t>
      </w:r>
      <w:r>
        <w:t xml:space="preserve">, 1374 (Del.1995) (”[E]nhanced judicial scrutiny mandated ... is not intended to lead to a structured, mechanistic, mathematical exercise ... [it is] a flexible paradigm that jurists can apply to the myriad of ‘fact scenarios’ that confront corporate boards.”).</w:t>
      </w:r>
    </w:p>
  </w:footnote>
  <w:footnote w:id="782">
    <w:p>
      <w:pPr>
        <w:pStyle w:val="CaseFootnoteText"/>
      </w:pPr>
      <w:r>
        <w:rPr>
          <w:rStyle w:val="FootnoteReference"/>
        </w:rPr>
        <w:t xml:space="preserve">84  </w:t>
      </w:r>
      <w:r>
        <w:t xml:space="preserve"/>
      </w:r>
      <w:r>
        <w:t xml:space="preserve"> </w:t>
      </w:r>
      <w:r>
        <w:rPr>
          <w:iCs/>
          <w:i/>
        </w:rPr>
        <w:t xml:space="preserve">Id.</w:t>
      </w:r>
      <w:r>
        <w:rPr>
          <w:iCs/>
          <w:i/>
        </w:rPr>
        <w:t xml:space="preserve"> </w:t>
      </w:r>
      <w:r>
        <w:t xml:space="preserve">at 428</w:t>
      </w:r>
      <w:r>
        <w:t xml:space="preserve">.</w:t>
      </w:r>
    </w:p>
  </w:footnote>
  <w:footnote w:id="783">
    <w:p>
      <w:pPr>
        <w:pStyle w:val="CaseFootnoteText"/>
      </w:pPr>
      <w:r>
        <w:rPr>
          <w:rStyle w:val="FootnoteReference"/>
        </w:rPr>
        <w:t xml:space="preserve">85  </w:t>
      </w:r>
      <w:r>
        <w:rPr>
          <w:iCs/>
          <w:i/>
        </w:rPr>
        <w:t xml:space="preserve">Chancery Opinion</w:t>
      </w:r>
      <w:r>
        <w:t xml:space="preserve"/>
      </w:r>
      <w:r>
        <w:t xml:space="preserve">,</w:t>
      </w:r>
      <w:r>
        <w:t xml:space="preserve"> </w:t>
      </w:r>
      <w:r>
        <w:t xml:space="preserve">2018 WL 818760</w:t>
      </w:r>
      <w:r>
        <w:t xml:space="preserve">, at *61 ("[T]his reference implied a common-stock-like instrument without special rights, powers, preferences, or privileges, such as a preferential right to receive 1.5 times invested capital before being forced to engage in a sale.").</w:t>
      </w:r>
    </w:p>
  </w:footnote>
  <w:footnote w:id="784">
    <w:p>
      <w:pPr>
        <w:pStyle w:val="CaseFootnoteText"/>
      </w:pPr>
      <w:r>
        <w:rPr>
          <w:rStyle w:val="FootnoteReference"/>
        </w:rPr>
        <w:t xml:space="preserve">85  </w:t>
      </w:r>
      <w:r>
        <w:t xml:space="preserve">8</w:t>
      </w:r>
      <w:r>
        <w:t xml:space="preserve"> </w:t>
      </w:r>
      <w:r>
        <w:rPr>
          <w:iCs/>
          <w:i/>
        </w:rPr>
        <w:t xml:space="preserve">Del. C.</w:t>
      </w:r>
      <w:r>
        <w:t xml:space="preserve"> </w:t>
      </w:r>
      <w:r>
        <w:t xml:space="preserve">§ 203(a)(2) (emphasis added).</w:t>
      </w:r>
    </w:p>
  </w:footnote>
  <w:footnote w:id="785">
    <w:p>
      <w:pPr>
        <w:pStyle w:val="CaseFootnoteText"/>
      </w:pPr>
      <w:r>
        <w:rPr>
          <w:rStyle w:val="FootnoteReference"/>
        </w:rPr>
        <w:t xml:space="preserve">85  </w:t>
      </w:r>
      <w:r>
        <w:t xml:space="preserve"/>
      </w:r>
      <w:r>
        <w:t xml:space="preserve"> </w:t>
      </w:r>
      <w:r>
        <w:rPr>
          <w:iCs/>
          <w:i/>
        </w:rPr>
        <w:t xml:space="preserve">Unitrin,</w:t>
      </w:r>
      <w:r>
        <w:t xml:space="preserve"> </w:t>
      </w:r>
      <w:r>
        <w:t xml:space="preserve">651 A.2d at 1385-86</w:t>
      </w:r>
      <w:r>
        <w:t xml:space="preserve"> </w:t>
      </w:r>
      <w:r>
        <w:t xml:space="preserve">(quoting</w:t>
      </w:r>
      <w:r>
        <w:t xml:space="preserve"> </w:t>
      </w:r>
      <w:r>
        <w:rPr>
          <w:iCs/>
          <w:i/>
        </w:rPr>
        <w:t xml:space="preserve">QVC,</w:t>
      </w:r>
      <w:r>
        <w:t xml:space="preserve"> </w:t>
      </w:r>
      <w:r>
        <w:t xml:space="preserve">637 A.2d at 45-46</w:t>
      </w:r>
      <w:r>
        <w:t xml:space="preserve">) ("If a board selected one of several reasonable alternatives, a court should not second guess that choice even though it might have decided otherwise.... [C]ourts will not substitute their business judgment for that of the directors, but will determine if the directors' decision was, on balance, within a range of reasonableness.”);</w:t>
      </w:r>
      <w:r>
        <w:t xml:space="preserve"> </w:t>
      </w:r>
      <w:r>
        <w:rPr>
          <w:iCs/>
          <w:i/>
        </w:rPr>
        <w:t xml:space="preserve">see also Pennaco,</w:t>
      </w:r>
      <w:r>
        <w:t xml:space="preserve"> </w:t>
      </w:r>
      <w:r>
        <w:t xml:space="preserve">787 A.2d at 691</w:t>
      </w:r>
      <w:r>
        <w:t xml:space="preserve"> </w:t>
      </w:r>
      <w:r>
        <w:t xml:space="preserve">("[T]he court must be mindful that its task [under</w:t>
      </w:r>
      <w:r>
        <w:t xml:space="preserve"> </w:t>
      </w:r>
      <w:r>
        <w:rPr>
          <w:iCs/>
          <w:i/>
        </w:rPr>
        <w:t xml:space="preserve">Revlon</w:t>
      </w:r>
      <w:r>
        <w:t xml:space="preserve"> </w:t>
      </w:r>
      <w:r>
        <w:t xml:space="preserve">] is to examine whether the directors have undertaken reasonable efforts to fulfill their obligation to secure the best available price, and not to determine whether the directors have performed flawlessly.”);</w:t>
      </w:r>
      <w:r>
        <w:t xml:space="preserve"> </w:t>
      </w:r>
      <w:r>
        <w:rPr>
          <w:iCs/>
          <w:i/>
        </w:rPr>
        <w:t xml:space="preserve">Toys “R" Us,</w:t>
      </w:r>
      <w:r>
        <w:t xml:space="preserve"> </w:t>
      </w:r>
      <w:r>
        <w:t xml:space="preserve">877 A.2d at 1000</w:t>
      </w:r>
      <w:r>
        <w:t xml:space="preserve"> </w:t>
      </w:r>
      <w:r>
        <w:t xml:space="preserve">("Critically, in the wake of</w:t>
      </w:r>
      <w:r>
        <w:t xml:space="preserve"> </w:t>
      </w:r>
      <w:r>
        <w:rPr>
          <w:iCs/>
          <w:i/>
        </w:rPr>
        <w:t xml:space="preserve">Revlon,</w:t>
      </w:r>
      <w:r>
        <w:t xml:space="preserve"> </w:t>
      </w:r>
      <w:r>
        <w:t xml:space="preserve">Delaware courts have made clear that the enhanced judicial review</w:t>
      </w:r>
      <w:r>
        <w:t xml:space="preserve"> </w:t>
      </w:r>
      <w:r>
        <w:rPr>
          <w:iCs/>
          <w:i/>
        </w:rPr>
        <w:t xml:space="preserve">Revlon</w:t>
      </w:r>
      <w:r>
        <w:t xml:space="preserve"> </w:t>
      </w:r>
      <w:r>
        <w:t xml:space="preserve">requires is not a license for law-trained courts to second-guess reasonable, but debatable, tactical choices that directors have made in good faith.”).</w:t>
      </w:r>
    </w:p>
  </w:footnote>
  <w:footnote w:id="786">
    <w:p>
      <w:pPr>
        <w:pStyle w:val="CaseFootnoteText"/>
      </w:pPr>
      <w:r>
        <w:rPr>
          <w:rStyle w:val="FootnoteReference"/>
        </w:rPr>
        <w:t xml:space="preserve">85  </w:t>
      </w:r>
      <w:r>
        <w:t xml:space="preserve"/>
      </w:r>
      <w:r>
        <w:t xml:space="preserve"> </w:t>
      </w:r>
      <w:r>
        <w:rPr>
          <w:iCs/>
          <w:i/>
        </w:rPr>
        <w:t xml:space="preserve">In re Cox Commc'ns, Inc. S'holders Litig.,</w:t>
      </w:r>
      <w:r>
        <w:t xml:space="preserve"> </w:t>
      </w:r>
      <w:r>
        <w:t xml:space="preserve">879 A.2d 604</w:t>
      </w:r>
      <w:r>
        <w:t xml:space="preserve">, 617 (Del.Ch.2005) ("But, in order to encourage the use of procedural devices such as special committees and Minority Approval Conditions that tended to encourage fair pricing, the Court [in</w:t>
      </w:r>
      <w:r>
        <w:t xml:space="preserve"> </w:t>
      </w:r>
      <w:r>
        <w:rPr>
          <w:iCs/>
          <w:i/>
        </w:rPr>
        <w:t xml:space="preserve">Lynch</w:t>
      </w:r>
      <w:r>
        <w:t xml:space="preserve"> </w:t>
      </w:r>
      <w:r>
        <w:t xml:space="preserve">] did give transactional proponents a modest procedural benefit — the shifting of the burden of persuasion on the ultimate issue of fairness to the plaintiffs — if the transaction proponents proved, in a factually intensive way, that the procedural devices</w:t>
      </w:r>
      <w:r>
        <w:t xml:space="preserve"> </w:t>
      </w:r>
      <w:r>
        <w:rPr>
          <w:iCs/>
          <w:i/>
        </w:rPr>
        <w:t xml:space="preserve">had, in fact, operated with integrity.”)</w:t>
      </w:r>
      <w:r>
        <w:t xml:space="preserve"> </w:t>
      </w:r>
      <w:r>
        <w:t xml:space="preserve">(emphasis added) (citation omitted).</w:t>
      </w:r>
    </w:p>
  </w:footnote>
  <w:footnote w:id="787">
    <w:p>
      <w:pPr>
        <w:pStyle w:val="CaseFootnoteText"/>
      </w:pPr>
      <w:r>
        <w:rPr>
          <w:rStyle w:val="FootnoteReference"/>
        </w:rPr>
        <w:t xml:space="preserve">86  </w:t>
      </w:r>
      <w:r>
        <w:t xml:space="preserve">For example, the Board minutes on November 9, 2011, show that the Board "discussed the proposed</w:t>
      </w:r>
      <w:r>
        <w:t xml:space="preserve"/>
      </w:r>
      <w:r>
        <w:rPr>
          <w:iCs/>
          <w:i/>
        </w:rPr>
        <w:t xml:space="preserve">stock</w:t>
      </w:r>
      <w:r>
        <w:t xml:space="preserve"> </w:t>
      </w:r>
      <w:r>
        <w:t xml:space="preserve">purchase plan" regarding the purchase of "Company</w:t>
      </w:r>
      <w:r>
        <w:t xml:space="preserve"> </w:t>
      </w:r>
      <w:r>
        <w:rPr>
          <w:iCs/>
          <w:i/>
        </w:rPr>
        <w:t xml:space="preserve">units</w:t>
      </w:r>
      <w:r>
        <w:t xml:space="preserve"> </w:t>
      </w:r>
      <w:r>
        <w:t xml:space="preserve">," in which the Board agreed to issue "$15,000,000 of</w:t>
      </w:r>
      <w:r>
        <w:t xml:space="preserve"> </w:t>
      </w:r>
      <w:r>
        <w:rPr>
          <w:iCs/>
          <w:i/>
        </w:rPr>
        <w:t xml:space="preserve">stock</w:t>
      </w:r>
      <w:r>
        <w:t xml:space="preserve"> </w:t>
      </w:r>
      <w:r>
        <w:t xml:space="preserve">... [at] $300 per</w:t>
      </w:r>
      <w:r>
        <w:t xml:space="preserve"> </w:t>
      </w:r>
      <w:r>
        <w:rPr>
          <w:iCs/>
          <w:i/>
        </w:rPr>
        <w:t xml:space="preserve">share</w:t>
      </w:r>
      <w:r>
        <w:t xml:space="preserve"> </w:t>
      </w:r>
      <w:r>
        <w:t xml:space="preserve">."</w:t>
      </w:r>
      <w:r>
        <w:t xml:space="preserve"> </w:t>
      </w:r>
      <w:r>
        <w:rPr>
          <w:iCs/>
          <w:i/>
        </w:rPr>
        <w:t xml:space="preserve">Id.</w:t>
      </w:r>
      <w:r>
        <w:t xml:space="preserve"> </w:t>
      </w:r>
      <w:r>
        <w:t xml:space="preserve">(emphasis added);</w:t>
      </w:r>
      <w:r>
        <w:t xml:space="preserve"> </w:t>
      </w:r>
      <w:r>
        <w:rPr>
          <w:iCs/>
          <w:i/>
        </w:rPr>
        <w:t xml:space="preserve">see also</w:t>
      </w:r>
      <w:r>
        <w:t xml:space="preserve"> </w:t>
      </w:r>
      <w:r>
        <w:rPr>
          <w:iCs/>
          <w:i/>
        </w:rPr>
        <w:t xml:space="preserve">id.</w:t>
      </w:r>
      <w:r>
        <w:t xml:space="preserve"> </w:t>
      </w:r>
      <w:r>
        <w:t xml:space="preserve">at *25 (Crestview email stating that one of its strategies was to "bring in a new investor to purchase enough of [Koch's]</w:t>
      </w:r>
      <w:r>
        <w:t xml:space="preserve"> </w:t>
      </w:r>
      <w:r>
        <w:rPr>
          <w:iCs/>
          <w:i/>
        </w:rPr>
        <w:t xml:space="preserve">shares</w:t>
      </w:r>
      <w:r>
        <w:t xml:space="preserve"> </w:t>
      </w:r>
      <w:r>
        <w:t xml:space="preserve">to give Crestview plus the new investor a majority interest" (emphasis added) ).</w:t>
      </w:r>
    </w:p>
  </w:footnote>
  <w:footnote w:id="788">
    <w:p>
      <w:pPr>
        <w:pStyle w:val="CaseFootnoteText"/>
      </w:pPr>
      <w:r>
        <w:rPr>
          <w:rStyle w:val="FootnoteReference"/>
        </w:rPr>
        <w:t xml:space="preserve">86  </w:t>
      </w:r>
      <w:r>
        <w:t xml:space="preserve"/>
      </w:r>
      <w:r>
        <w:t xml:space="preserve"> </w:t>
      </w:r>
      <w:r>
        <w:rPr>
          <w:iCs/>
          <w:i/>
        </w:rPr>
        <w:t xml:space="preserve">See Delaware Solid Waste Authority v. The News-Journal Co.,</w:t>
      </w:r>
      <w:r>
        <w:t xml:space="preserve"> </w:t>
      </w:r>
      <w:r>
        <w:t xml:space="preserve">Del.Supr.,</w:t>
      </w:r>
      <w:r>
        <w:t xml:space="preserve"> </w:t>
      </w:r>
      <w:r>
        <w:t xml:space="preserve">480 A.2d 628</w:t>
      </w:r>
      <w:r>
        <w:t xml:space="preserve"> </w:t>
      </w:r>
      <w:r>
        <w:t xml:space="preserve">(1984).</w:t>
      </w:r>
    </w:p>
  </w:footnote>
  <w:footnote w:id="789">
    <w:p>
      <w:pPr>
        <w:pStyle w:val="CaseFootnoteText"/>
      </w:pPr>
      <w:r>
        <w:rPr>
          <w:rStyle w:val="FootnoteReference"/>
        </w:rPr>
        <w:t xml:space="preserve">86  </w:t>
      </w:r>
      <w:r>
        <w:t xml:space="preserve"/>
      </w:r>
      <w:r>
        <w:rPr>
          <w:iCs/>
          <w:i/>
        </w:rPr>
        <w:t xml:space="preserve">.See, e.g., Equity-Linked Investors, L.P. v. Adams,</w:t>
      </w:r>
      <w:r>
        <w:t xml:space="preserve"> </w:t>
      </w:r>
      <w:r>
        <w:t xml:space="preserve">705 A.2d 1040</w:t>
      </w:r>
      <w:r>
        <w:t xml:space="preserve"> </w:t>
      </w:r>
      <w:r>
        <w:t xml:space="preserve">(Del. Ch.1997);</w:t>
      </w:r>
      <w:r>
        <w:t xml:space="preserve"> </w:t>
      </w:r>
      <w:r>
        <w:rPr>
          <w:iCs/>
          <w:i/>
        </w:rPr>
        <w:t xml:space="preserve">Freedman v. Restaurant Associates Industries, Inc.,</w:t>
      </w:r>
      <w:r>
        <w:t xml:space="preserve"> </w:t>
      </w:r>
      <w:r>
        <w:t xml:space="preserve">1990 WL 135923</w:t>
      </w:r>
      <w:r>
        <w:t xml:space="preserve"> </w:t>
      </w:r>
      <w:r>
        <w:t xml:space="preserve">(Del. Ch. Sept. 19, 1990);</w:t>
      </w:r>
      <w:r>
        <w:t xml:space="preserve"> </w:t>
      </w:r>
      <w:r>
        <w:rPr>
          <w:iCs/>
          <w:i/>
        </w:rPr>
        <w:t xml:space="preserve">Roberts v. General Instrument Corp.,</w:t>
      </w:r>
      <w:r>
        <w:t xml:space="preserve"> </w:t>
      </w:r>
      <w:r>
        <w:t xml:space="preserve">1990 WL</w:t>
      </w:r>
      <w:r>
        <w:t xml:space="preserve"> </w:t>
      </w:r>
      <w:r>
        <w:t xml:space="preserve">118356</w:t>
      </w:r>
      <w:r>
        <w:t xml:space="preserve"> </w:t>
      </w:r>
      <w:r>
        <w:t xml:space="preserve">(Del. Ch. Aug. 13, 1990);</w:t>
      </w:r>
      <w:r>
        <w:t xml:space="preserve"> </w:t>
      </w:r>
      <w:r>
        <w:rPr>
          <w:iCs/>
          <w:i/>
        </w:rPr>
        <w:t xml:space="preserve">In re RJR Nabisco, Inc. S’holders Litig.,</w:t>
      </w:r>
      <w:r>
        <w:t xml:space="preserve"> </w:t>
      </w:r>
      <w:r>
        <w:t xml:space="preserve">14 Del. J. Corp. L. 1132</w:t>
      </w:r>
      <w:r>
        <w:t xml:space="preserve"> </w:t>
      </w:r>
      <w:r>
        <w:t xml:space="preserve">(Del. Ch. 1989);</w:t>
      </w:r>
      <w:r>
        <w:t xml:space="preserve"> </w:t>
      </w:r>
      <w:r>
        <w:rPr>
          <w:iCs/>
          <w:i/>
        </w:rPr>
        <w:t xml:space="preserve">In re Fort Howard Corp. S’holders Litig.,</w:t>
      </w:r>
      <w:r>
        <w:t xml:space="preserve"> </w:t>
      </w:r>
      <w:r>
        <w:t xml:space="preserve">1988 WL 83147</w:t>
      </w:r>
      <w:r>
        <w:t xml:space="preserve"> </w:t>
      </w:r>
      <w:r>
        <w:t xml:space="preserve">(Del. Ch. Aug. 8, 1988).</w:t>
      </w:r>
    </w:p>
  </w:footnote>
  <w:footnote w:id="790">
    <w:p>
      <w:pPr>
        <w:pStyle w:val="CaseFootnoteText"/>
      </w:pPr>
      <w:r>
        <w:rPr>
          <w:rStyle w:val="FootnoteReference"/>
        </w:rPr>
        <w:t xml:space="preserve">86  </w:t>
      </w:r>
      <w:r>
        <w:t xml:space="preserve"/>
      </w:r>
      <w:r>
        <w:t xml:space="preserve"> </w:t>
      </w:r>
      <w:r>
        <w:rPr>
          <w:iCs/>
          <w:i/>
        </w:rPr>
        <w:t xml:space="preserve">Accord Kahn v. Lynch Commc’n Sys., Inc.,</w:t>
      </w:r>
      <w:r>
        <w:t xml:space="preserve"> </w:t>
      </w:r>
      <w:r>
        <w:t xml:space="preserve">638 A.2d 1110</w:t>
      </w:r>
      <w:r>
        <w:t xml:space="preserve">, 1121 ("[U]nless the controlling or dominating shareholder can demonstrate that it has not only formed an independent committee but also replicated a process ‘as though each of the contending parties had in fact exerted its bargaining power at arm's length,’ the burden of proving entire fairness will not shift.”) (citing</w:t>
      </w:r>
      <w:r>
        <w:t xml:space="preserve"> </w:t>
      </w:r>
      <w:r>
        <w:rPr>
          <w:iCs/>
          <w:i/>
        </w:rPr>
        <w:t xml:space="preserve">Weinberger</w:t>
      </w:r>
      <w:r>
        <w:t xml:space="preserve"> </w:t>
      </w:r>
      <w:r>
        <w:t xml:space="preserve">v.</w:t>
      </w:r>
      <w:r>
        <w:t xml:space="preserve"> </w:t>
      </w:r>
      <w:r>
        <w:rPr>
          <w:iCs/>
          <w:i/>
        </w:rPr>
        <w:t xml:space="preserve">UOP, Inc.,</w:t>
      </w:r>
      <w:r>
        <w:t xml:space="preserve"> </w:t>
      </w:r>
      <w:r>
        <w:t xml:space="preserve">457 A.2d 701</w:t>
      </w:r>
      <w:r>
        <w:t xml:space="preserve">, 709-10 n. 7 (Del.1983)).</w:t>
      </w:r>
    </w:p>
  </w:footnote>
  <w:footnote w:id="791">
    <w:p>
      <w:pPr>
        <w:pStyle w:val="CaseFootnoteText"/>
      </w:pPr>
      <w:r>
        <w:rPr>
          <w:rStyle w:val="FootnoteReference"/>
        </w:rPr>
        <w:t xml:space="preserve">87  </w:t>
      </w:r>
      <w:r>
        <w:t xml:space="preserve">App. to Opening Br. at A2058.</w:t>
      </w:r>
    </w:p>
  </w:footnote>
  <w:footnote w:id="792">
    <w:p>
      <w:pPr>
        <w:pStyle w:val="CaseFootnoteText"/>
      </w:pPr>
      <w:r>
        <w:rPr>
          <w:rStyle w:val="FootnoteReference"/>
        </w:rPr>
        <w:t xml:space="preserve">87  </w:t>
      </w:r>
      <w:r>
        <w:t xml:space="preserve"/>
      </w:r>
      <w:r>
        <w:t xml:space="preserve"> </w:t>
      </w:r>
      <w:r>
        <w:rPr>
          <w:iCs/>
          <w:i/>
        </w:rPr>
        <w:t xml:space="preserve">Coastal Barge Corp. v. Coastal Zone Industrial Control Bd.,</w:t>
      </w:r>
      <w:r>
        <w:t xml:space="preserve"> </w:t>
      </w:r>
      <w:r>
        <w:t xml:space="preserve">Del.Supr.,</w:t>
      </w:r>
      <w:r>
        <w:t xml:space="preserve"> </w:t>
      </w:r>
      <w:r>
        <w:t xml:space="preserve">492 A.2d 1242</w:t>
      </w:r>
      <w:r>
        <w:t xml:space="preserve">, 1246 (1985).</w:t>
      </w:r>
    </w:p>
  </w:footnote>
  <w:footnote w:id="793">
    <w:p>
      <w:pPr>
        <w:pStyle w:val="CaseFootnoteText"/>
      </w:pPr>
      <w:r>
        <w:rPr>
          <w:rStyle w:val="FootnoteReference"/>
        </w:rPr>
        <w:t xml:space="preserve">87  </w:t>
      </w:r>
      <w:r>
        <w:t xml:space="preserve"/>
      </w:r>
      <w:r>
        <w:rPr>
          <w:iCs/>
          <w:i/>
        </w:rPr>
        <w:t xml:space="preserve">.See e.g., Lyondell Chem. Co. v. Ryan,</w:t>
      </w:r>
      <w:r>
        <w:t xml:space="preserve"> </w:t>
      </w:r>
      <w:r>
        <w:t xml:space="preserve">970 A.2d 235</w:t>
      </w:r>
      <w:r>
        <w:t xml:space="preserve">, 243 (Del.2009);</w:t>
      </w:r>
      <w:r>
        <w:t xml:space="preserve"> </w:t>
      </w:r>
      <w:r>
        <w:rPr>
          <w:iCs/>
          <w:i/>
        </w:rPr>
        <w:t xml:space="preserve">In re Dollar Thrifty S’holders Litig.,</w:t>
      </w:r>
      <w:r>
        <w:t xml:space="preserve"> </w:t>
      </w:r>
      <w:r>
        <w:t xml:space="preserve">14 A.3d 573</w:t>
      </w:r>
      <w:r>
        <w:t xml:space="preserve">, 612-13, 615 (Del. Ch.2010) (finding that the target board’s use of no-shop, matching rights, and termination fee provisions were reasonable even though the company had agreed to deal exclusively with the buyer without conducting a pre-signing market check);</w:t>
      </w:r>
      <w:r>
        <w:t xml:space="preserve"> </w:t>
      </w:r>
      <w:r>
        <w:rPr>
          <w:iCs/>
          <w:i/>
        </w:rPr>
        <w:t xml:space="preserve">In re MONY Group Inc. S’holders Litig.,</w:t>
      </w:r>
      <w:r>
        <w:t xml:space="preserve"> </w:t>
      </w:r>
      <w:r>
        <w:t xml:space="preserve">852 A.2d 9</w:t>
      </w:r>
      <w:r>
        <w:t xml:space="preserve"> </w:t>
      </w:r>
      <w:r>
        <w:t xml:space="preserve">(Del. Ch.2004) (finding that the board acted reasonably even though it did not actively shop the company because the board was financially sophisticated, had knowledge of the relevant industry, and there was a "substantial opportunity for an effective market check" after the agreement was announced);</w:t>
      </w:r>
      <w:r>
        <w:t xml:space="preserve"> </w:t>
      </w:r>
      <w:r>
        <w:rPr>
          <w:iCs/>
          <w:i/>
        </w:rPr>
        <w:t xml:space="preserve">Equity-Linked Investors,</w:t>
      </w:r>
      <w:r>
        <w:t xml:space="preserve"> </w:t>
      </w:r>
      <w:r>
        <w:t xml:space="preserve">705 A.2d at 1056-58</w:t>
      </w:r>
      <w:r>
        <w:t xml:space="preserve"> </w:t>
      </w:r>
      <w:r>
        <w:t xml:space="preserve">(Del. Ch.1997) (finding that the board acted reasonably under</w:t>
      </w:r>
      <w:r>
        <w:t xml:space="preserve"> </w:t>
      </w:r>
      <w:r>
        <w:rPr>
          <w:iCs/>
          <w:i/>
        </w:rPr>
        <w:t xml:space="preserve">Revlon</w:t>
      </w:r>
      <w:r>
        <w:t xml:space="preserve"> </w:t>
      </w:r>
      <w:r>
        <w:t xml:space="preserve">even though it refrained from engaging in an auction, which could have yielded a higher immediate bid);</w:t>
      </w:r>
      <w:r>
        <w:t xml:space="preserve"> </w:t>
      </w:r>
      <w:r>
        <w:rPr>
          <w:iCs/>
          <w:i/>
        </w:rPr>
        <w:t xml:space="preserve">Herd v. Major Realty Corp.,</w:t>
      </w:r>
      <w:r>
        <w:t xml:space="preserve"> </w:t>
      </w:r>
      <w:r>
        <w:t xml:space="preserve">1990 WL 212307</w:t>
      </w:r>
      <w:r>
        <w:t xml:space="preserve">, at *9 (Del. Ch. Dec. 21, 1990)</w:t>
      </w:r>
      <w:r>
        <w:t xml:space="preserve"> </w:t>
      </w:r>
      <w:r>
        <w:rPr>
          <w:iCs/>
          <w:i/>
        </w:rPr>
        <w:t xml:space="preserve">("Revlon</w:t>
      </w:r>
      <w:r>
        <w:t xml:space="preserve"> </w:t>
      </w:r>
      <w:r>
        <w:t xml:space="preserve">certainly does not ... require that every change of control of a Delaware corporation be preceded by a heated bidding contest, some type of market check or any other prescribed format.”);</w:t>
      </w:r>
      <w:r>
        <w:t xml:space="preserve"> </w:t>
      </w:r>
      <w:r>
        <w:rPr>
          <w:iCs/>
          <w:i/>
        </w:rPr>
        <w:t xml:space="preserve">Shamrock Holdings, Inc. v. Polaroid Corp,</w:t>
      </w:r>
      <w:r>
        <w:t xml:space="preserve"> </w:t>
      </w:r>
      <w:r>
        <w:t xml:space="preserve">559 A.2d 278</w:t>
      </w:r>
      <w:r>
        <w:t xml:space="preserve">, 289 (Del. Ch.1989) (finding that, in the context of a tender offer, that "where there has been sufficient time for any alternative to be developed and presented and for the target corporation to inform its stockholders of the benefits ... the ‘threat’ to the stockholders of an inadequate, non-coercive offer seems, in most circumstances, to be without substance") (internal citations omitted).</w:t>
      </w:r>
    </w:p>
  </w:footnote>
  <w:footnote w:id="794">
    <w:p>
      <w:pPr>
        <w:pStyle w:val="CaseFootnoteText"/>
      </w:pPr>
      <w:r>
        <w:rPr>
          <w:rStyle w:val="FootnoteReference"/>
        </w:rPr>
        <w:t xml:space="preserve">87  </w:t>
      </w:r>
      <w:r>
        <w:t xml:space="preserve"/>
      </w:r>
      <w:r>
        <w:t xml:space="preserve"> </w:t>
      </w:r>
      <w:r>
        <w:rPr>
          <w:iCs/>
          <w:i/>
        </w:rPr>
        <w:t xml:space="preserve">Tremont,</w:t>
      </w:r>
      <w:r>
        <w:t xml:space="preserve"> </w:t>
      </w:r>
      <w:r>
        <w:t xml:space="preserve">694 A.2d at 424</w:t>
      </w:r>
      <w:r>
        <w:t xml:space="preserve">.</w:t>
      </w:r>
    </w:p>
  </w:footnote>
  <w:footnote w:id="795">
    <w:p>
      <w:pPr>
        <w:pStyle w:val="CaseFootnoteText"/>
      </w:pPr>
      <w:r>
        <w:rPr>
          <w:rStyle w:val="FootnoteReference"/>
        </w:rPr>
        <w:t xml:space="preserve">88  </w:t>
      </w:r>
      <w:r>
        <w:t xml:space="preserve">84 A.3d 954</w:t>
      </w:r>
      <w:r>
        <w:t xml:space="preserve"/>
      </w:r>
      <w:r>
        <w:t xml:space="preserve">(Del. 2014).</w:t>
      </w:r>
    </w:p>
  </w:footnote>
  <w:footnote w:id="796">
    <w:p>
      <w:pPr>
        <w:pStyle w:val="CaseFootnoteText"/>
      </w:pPr>
      <w:r>
        <w:rPr>
          <w:rStyle w:val="FootnoteReference"/>
        </w:rPr>
        <w:t xml:space="preserve">88  </w:t>
      </w:r>
      <w:r>
        <w:t xml:space="preserve"/>
      </w:r>
      <w:r>
        <w:t xml:space="preserve"> </w:t>
      </w:r>
      <w:r>
        <w:rPr>
          <w:iCs/>
          <w:i/>
        </w:rPr>
        <w:t xml:space="preserve">Id.</w:t>
      </w:r>
    </w:p>
  </w:footnote>
  <w:footnote w:id="797">
    <w:p>
      <w:pPr>
        <w:pStyle w:val="CaseFootnoteText"/>
      </w:pPr>
      <w:r>
        <w:rPr>
          <w:rStyle w:val="FootnoteReference"/>
        </w:rPr>
        <w:t xml:space="preserve">88  </w:t>
      </w:r>
      <w:r>
        <w:t xml:space="preserve"/>
      </w:r>
      <w:r>
        <w:t xml:space="preserve"> </w:t>
      </w:r>
      <w:r>
        <w:rPr>
          <w:iCs/>
          <w:i/>
        </w:rPr>
        <w:t xml:space="preserve">See El Paso,</w:t>
      </w:r>
      <w:r>
        <w:rPr>
          <w:iCs/>
          <w:i/>
        </w:rPr>
        <w:t xml:space="preserve"> </w:t>
      </w:r>
      <w:r>
        <w:rPr>
          <w:iCs/>
          <w:i/>
        </w:rPr>
        <w:t xml:space="preserve">41</w:t>
      </w:r>
      <w:r>
        <w:rPr>
          <w:iCs/>
          <w:i/>
        </w:rPr>
        <w:t xml:space="preserve"> </w:t>
      </w:r>
      <w:r>
        <w:t xml:space="preserve">A.3d at 449</w:t>
      </w:r>
      <w:r>
        <w:t xml:space="preserve"> </w:t>
      </w:r>
      <w:r>
        <w:t xml:space="preserve">("[T]he real question is whether the court should intervene when the [ ] stockholders have a chance to turn down the Merger at the ballot box.");</w:t>
      </w:r>
      <w:r>
        <w:t xml:space="preserve"> </w:t>
      </w:r>
      <w:r>
        <w:rPr>
          <w:iCs/>
          <w:i/>
        </w:rPr>
        <w:t xml:space="preserve">In re Cogent, Inc. S’holder Litig.,</w:t>
      </w:r>
      <w:r>
        <w:t xml:space="preserve"> </w:t>
      </w:r>
      <w:r>
        <w:t xml:space="preserve">7 A.3d 487</w:t>
      </w:r>
      <w:r>
        <w:t xml:space="preserve">, 515 (Del. Ch.2010) (recognizing that “it would be imprudent to terminate the only deal available, when the stockholders can make that decision for themselves”);</w:t>
      </w:r>
      <w:r>
        <w:t xml:space="preserve"> </w:t>
      </w:r>
      <w:r>
        <w:rPr>
          <w:iCs/>
          <w:i/>
        </w:rPr>
        <w:t xml:space="preserve">In re Netsmart Techs., Inc. S’holders Litig.,</w:t>
      </w:r>
      <w:r>
        <w:t xml:space="preserve"> </w:t>
      </w:r>
      <w:r>
        <w:t xml:space="preserve">924 A.2d 171</w:t>
      </w:r>
      <w:r>
        <w:t xml:space="preserve">, 208 (Del. Ch.2007) ("In ... cases when a potential</w:t>
      </w:r>
      <w:r>
        <w:t xml:space="preserve"> </w:t>
      </w:r>
      <w:r>
        <w:rPr>
          <w:iCs/>
          <w:i/>
        </w:rPr>
        <w:t xml:space="preserve">Revlon</w:t>
      </w:r>
      <w:r>
        <w:t xml:space="preserve"> </w:t>
      </w:r>
      <w:r>
        <w:t xml:space="preserve">violation occurred but no rival bid is on the table, the denial of injunctive relief is often premised on the imprudence of having the court enjoin the only deal on the table, when the stockholders can make that decision for themselves.”);</w:t>
      </w:r>
      <w:r>
        <w:t xml:space="preserve"> </w:t>
      </w:r>
      <w:r>
        <w:rPr>
          <w:iCs/>
          <w:i/>
        </w:rPr>
        <w:t xml:space="preserve">Toys "R” Us,</w:t>
      </w:r>
      <w:r>
        <w:t xml:space="preserve"> </w:t>
      </w:r>
      <w:r>
        <w:t xml:space="preserve">877 A.2d at 1023</w:t>
      </w:r>
      <w:r>
        <w:t xml:space="preserve"> </w:t>
      </w:r>
      <w:r>
        <w:t xml:space="preserve">(”[T]he bottom line is that the public shareholders will have an opportunity ... to reject the merger if they do not think the price is high enough in light of the Company’s stand-alone value and other options.”).</w:t>
      </w:r>
    </w:p>
  </w:footnote>
  <w:footnote w:id="798">
    <w:p>
      <w:pPr>
        <w:pStyle w:val="CaseFootnoteText"/>
      </w:pPr>
      <w:r>
        <w:rPr>
          <w:rStyle w:val="FootnoteReference"/>
        </w:rPr>
        <w:t xml:space="preserve">88  </w:t>
      </w:r>
      <w:r>
        <w:t xml:space="preserve"/>
      </w:r>
      <w:r>
        <w:t xml:space="preserve"> </w:t>
      </w:r>
      <w:r>
        <w:rPr>
          <w:iCs/>
          <w:i/>
        </w:rPr>
        <w:t xml:space="preserve">Id.</w:t>
      </w:r>
      <w:r>
        <w:rPr>
          <w:iCs/>
          <w:i/>
        </w:rPr>
        <w:t xml:space="preserve"> </w:t>
      </w:r>
      <w:r>
        <w:t xml:space="preserve">at 426</w:t>
      </w:r>
      <w:r>
        <w:t xml:space="preserve"> </w:t>
      </w:r>
      <w:r>
        <w:t xml:space="preserve">("Although the three men were deemed 'independent' for purposes of this transaction, all had significant prior business relationships with Simmons or Simmons’ controlled companies.”);</w:t>
      </w:r>
      <w:r>
        <w:t xml:space="preserve"> </w:t>
      </w:r>
      <w:r>
        <w:rPr>
          <w:iCs/>
          <w:i/>
        </w:rPr>
        <w:t xml:space="preserve">id.</w:t>
      </w:r>
      <w:r>
        <w:rPr>
          <w:iCs/>
          <w:i/>
        </w:rPr>
        <w:t xml:space="preserve"> </w:t>
      </w:r>
      <w:r>
        <w:t xml:space="preserve">at 429-30</w:t>
      </w:r>
      <w:r>
        <w:t xml:space="preserve"> </w:t>
      </w:r>
      <w:r>
        <w:t xml:space="preserve">(exploring the significance of the ties).</w:t>
      </w:r>
    </w:p>
  </w:footnote>
  <w:footnote w:id="799">
    <w:p>
      <w:pPr>
        <w:pStyle w:val="CaseFootnoteText"/>
      </w:pPr>
      <w:r>
        <w:rPr>
          <w:rStyle w:val="FootnoteReference"/>
        </w:rPr>
        <w:t xml:space="preserve">89  </w:t>
      </w:r>
      <w:r>
        <w:rPr>
          <w:iCs/>
          <w:i/>
        </w:rPr>
        <w:t xml:space="preserve">Id.</w:t>
      </w:r>
      <w:r>
        <w:t xml:space="preserve"/>
      </w:r>
      <w:r>
        <w:t xml:space="preserve">at 956</w:t>
      </w:r>
      <w:r>
        <w:t xml:space="preserve">.</w:t>
      </w:r>
    </w:p>
  </w:footnote>
  <w:footnote w:id="800">
    <w:p>
      <w:pPr>
        <w:pStyle w:val="CaseFootnoteText"/>
      </w:pPr>
      <w:r>
        <w:rPr>
          <w:rStyle w:val="FootnoteReference"/>
        </w:rPr>
        <w:t xml:space="preserve">89  </w:t>
      </w:r>
      <w:r>
        <w:t xml:space="preserve"/>
      </w:r>
      <w:r>
        <w:t xml:space="preserve"> </w:t>
      </w:r>
      <w:r>
        <w:rPr>
          <w:iCs/>
          <w:i/>
        </w:rPr>
        <w:t xml:space="preserve">Id.</w:t>
      </w:r>
    </w:p>
  </w:footnote>
  <w:footnote w:id="801">
    <w:p>
      <w:pPr>
        <w:pStyle w:val="CaseFootnoteText"/>
      </w:pPr>
      <w:r>
        <w:rPr>
          <w:rStyle w:val="FootnoteReference"/>
        </w:rPr>
        <w:t xml:space="preserve">89  </w:t>
      </w:r>
      <w:r>
        <w:t xml:space="preserve"/>
      </w:r>
      <w:r>
        <w:t xml:space="preserve"> </w:t>
      </w:r>
      <w:r>
        <w:rPr>
          <w:iCs/>
          <w:i/>
        </w:rPr>
        <w:t xml:space="preserve">See</w:t>
      </w:r>
      <w:r>
        <w:t xml:space="preserve"> </w:t>
      </w:r>
      <w:r>
        <w:t xml:space="preserve">Bench Opinion at 11, 13.</w:t>
      </w:r>
    </w:p>
  </w:footnote>
  <w:footnote w:id="802">
    <w:p>
      <w:pPr>
        <w:pStyle w:val="CaseFootnoteText"/>
      </w:pPr>
      <w:r>
        <w:rPr>
          <w:rStyle w:val="FootnoteReference"/>
        </w:rPr>
        <w:t xml:space="preserve">89  </w:t>
      </w:r>
      <w:r>
        <w:t xml:space="preserve"/>
      </w:r>
      <w:r>
        <w:t xml:space="preserve"> </w:t>
      </w:r>
      <w:r>
        <w:rPr>
          <w:iCs/>
          <w:i/>
        </w:rPr>
        <w:t xml:space="preserve">Id.</w:t>
      </w:r>
      <w:r>
        <w:rPr>
          <w:iCs/>
          <w:i/>
        </w:rPr>
        <w:t xml:space="preserve"> </w:t>
      </w:r>
      <w:r>
        <w:t xml:space="preserve">at 426-27</w:t>
      </w:r>
      <w:r>
        <w:t xml:space="preserve"> </w:t>
      </w:r>
      <w:r>
        <w:t xml:space="preserve">(discussing that the financial advisor was affiliated with the controlling stockholder, that the legal advisor was selected by the general counsel of both the company and the controlling stockholder, that the conflict check was performed by the general counsel, and that the legal advisor had represented the controlling stockholder’s company in prior business deals).</w:t>
      </w:r>
    </w:p>
  </w:footnote>
  <w:footnote w:id="803">
    <w:p>
      <w:pPr>
        <w:pStyle w:val="CaseFootnoteText"/>
      </w:pPr>
      <w:r>
        <w:rPr>
          <w:rStyle w:val="FootnoteReference"/>
        </w:rPr>
        <w:t xml:space="preserve">90  </w:t>
      </w:r>
      <w:r>
        <w:rPr>
          <w:iCs/>
          <w:i/>
        </w:rPr>
        <w:t xml:space="preserve">Id.</w:t>
      </w:r>
      <w:r>
        <w:t xml:space="preserve"/>
      </w:r>
      <w:r>
        <w:t xml:space="preserve">at 959</w:t>
      </w:r>
      <w:r>
        <w:t xml:space="preserve">.</w:t>
      </w:r>
    </w:p>
  </w:footnote>
  <w:footnote w:id="804">
    <w:p>
      <w:pPr>
        <w:pStyle w:val="CaseFootnoteText"/>
      </w:pPr>
      <w:r>
        <w:rPr>
          <w:rStyle w:val="FootnoteReference"/>
        </w:rPr>
        <w:t xml:space="preserve">90  </w:t>
      </w:r>
      <w:r>
        <w:t xml:space="preserve">For a concise history of the debate in Delaware leading up to the adoption of § 203, see Smith &amp; Furlow, § I.C, at 8-10.</w:t>
      </w:r>
    </w:p>
  </w:footnote>
  <w:footnote w:id="805">
    <w:p>
      <w:pPr>
        <w:pStyle w:val="CaseFootnoteText"/>
      </w:pPr>
      <w:r>
        <w:rPr>
          <w:rStyle w:val="FootnoteReference"/>
        </w:rPr>
        <w:t xml:space="preserve">90  </w:t>
      </w:r>
      <w:r>
        <w:t xml:space="preserve"/>
      </w:r>
      <w:r>
        <w:t xml:space="preserve"> </w:t>
      </w:r>
      <w:r>
        <w:rPr>
          <w:iCs/>
          <w:i/>
        </w:rPr>
        <w:t xml:space="preserve">See</w:t>
      </w:r>
      <w:r>
        <w:t xml:space="preserve"> </w:t>
      </w:r>
      <w:r>
        <w:t xml:space="preserve">Bench Opinion at 12-13 ("[I]t certainly looks as if the board was not conflicted....”);</w:t>
      </w:r>
      <w:r>
        <w:t xml:space="preserve"> </w:t>
      </w:r>
      <w:r>
        <w:rPr>
          <w:iCs/>
          <w:i/>
        </w:rPr>
        <w:t xml:space="preserve">Orman v. Cullman,</w:t>
      </w:r>
      <w:r>
        <w:t xml:space="preserve"> </w:t>
      </w:r>
      <w:r>
        <w:t xml:space="preserve">794 A.2d 5</w:t>
      </w:r>
      <w:r>
        <w:t xml:space="preserve">, 28-29 (Del. Ch.2002) ("No case has been cited to me, and I have found none, in which a director was found to have a financial interest</w:t>
      </w:r>
      <w:r>
        <w:t xml:space="preserve"> </w:t>
      </w:r>
      <w:r>
        <w:rPr>
          <w:iCs/>
          <w:i/>
        </w:rPr>
        <w:t xml:space="preserve">solely</w:t>
      </w:r>
      <w:r>
        <w:t xml:space="preserve"> </w:t>
      </w:r>
      <w:r>
        <w:t xml:space="preserve">because he will be a director in the surviving corporation. To the contrary, our case law has held that such an interest is not a disqualifying interest.”).</w:t>
      </w:r>
    </w:p>
  </w:footnote>
  <w:footnote w:id="806">
    <w:p>
      <w:pPr>
        <w:pStyle w:val="CaseFootnoteText"/>
      </w:pPr>
      <w:r>
        <w:rPr>
          <w:rStyle w:val="FootnoteReference"/>
        </w:rPr>
        <w:t xml:space="preserve">90  </w:t>
      </w:r>
      <w:r>
        <w:t xml:space="preserve"/>
      </w:r>
      <w:r>
        <w:t xml:space="preserve"> </w:t>
      </w:r>
      <w:r>
        <w:rPr>
          <w:iCs/>
          <w:i/>
        </w:rPr>
        <w:t xml:space="preserve">Id.</w:t>
      </w:r>
      <w:r>
        <w:rPr>
          <w:iCs/>
          <w:i/>
        </w:rPr>
        <w:t xml:space="preserve"> </w:t>
      </w:r>
      <w:r>
        <w:t xml:space="preserve">at 427</w:t>
      </w:r>
      <w:r>
        <w:t xml:space="preserve">.</w:t>
      </w:r>
    </w:p>
  </w:footnote>
  <w:footnote w:id="807">
    <w:p>
      <w:pPr>
        <w:pStyle w:val="CaseFootnoteText"/>
      </w:pPr>
      <w:r>
        <w:rPr>
          <w:rStyle w:val="FootnoteReference"/>
        </w:rPr>
        <w:t xml:space="preserve">91  </w:t>
      </w:r>
      <w:r>
        <w:rPr>
          <w:iCs/>
          <w:i/>
        </w:rPr>
        <w:t xml:space="preserve">Id.</w:t>
      </w:r>
    </w:p>
  </w:footnote>
  <w:footnote w:id="808">
    <w:p>
      <w:pPr>
        <w:pStyle w:val="CaseFootnoteText"/>
      </w:pPr>
      <w:r>
        <w:rPr>
          <w:rStyle w:val="FootnoteReference"/>
        </w:rPr>
        <w:t xml:space="preserve">91  </w:t>
      </w:r>
      <w:r>
        <w:t xml:space="preserve">Smith &amp; Furlow, § I.C, at 9 n. 23.</w:t>
      </w:r>
    </w:p>
  </w:footnote>
  <w:footnote w:id="809">
    <w:p>
      <w:pPr>
        <w:pStyle w:val="CaseFootnoteText"/>
      </w:pPr>
      <w:r>
        <w:rPr>
          <w:rStyle w:val="FootnoteReference"/>
        </w:rPr>
        <w:t xml:space="preserve">91  </w:t>
      </w:r>
      <w:r>
        <w:t xml:space="preserve">Bench Opinion at 11 ("I have no doubt about the board’s knowledge as to the value of C &amp; J.”).</w:t>
      </w:r>
    </w:p>
  </w:footnote>
  <w:footnote w:id="810">
    <w:p>
      <w:pPr>
        <w:pStyle w:val="CaseFootnoteText"/>
      </w:pPr>
      <w:r>
        <w:rPr>
          <w:rStyle w:val="FootnoteReference"/>
        </w:rPr>
        <w:t xml:space="preserve">91  </w:t>
      </w:r>
      <w:r>
        <w:t xml:space="preserve"/>
      </w:r>
      <w:r>
        <w:t xml:space="preserve"> </w:t>
      </w:r>
      <w:r>
        <w:rPr>
          <w:iCs/>
          <w:i/>
        </w:rPr>
        <w:t xml:space="preserve">Id.</w:t>
      </w:r>
      <w:r>
        <w:t xml:space="preserve"> </w:t>
      </w:r>
      <w:r>
        <w:t xml:space="preserve">(noting that the special committee only met four times, that only one director was able to attend all the meetings, and that he was also the only director to attend the review sessions with the advisors).</w:t>
      </w:r>
    </w:p>
  </w:footnote>
  <w:footnote w:id="811">
    <w:p>
      <w:pPr>
        <w:pStyle w:val="CaseFootnoteText"/>
      </w:pPr>
      <w:r>
        <w:rPr>
          <w:rStyle w:val="FootnoteReference"/>
        </w:rPr>
        <w:t xml:space="preserve">92  </w:t>
      </w:r>
      <w:r>
        <w:rPr>
          <w:iCs/>
          <w:i/>
        </w:rPr>
        <w:t xml:space="preserve">See</w:t>
      </w:r>
      <w:r>
        <w:t xml:space="preserve"/>
      </w:r>
      <w:r>
        <w:rPr>
          <w:iCs/>
          <w:i/>
        </w:rPr>
        <w:t xml:space="preserve">Miller v. HCP Trumpet Investments, LLC</w:t>
      </w:r>
      <w:r>
        <w:t xml:space="preserve"> </w:t>
      </w:r>
      <w:r>
        <w:t xml:space="preserve">,</w:t>
      </w:r>
      <w:r>
        <w:t xml:space="preserve"> </w:t>
      </w:r>
      <w:r>
        <w:t xml:space="preserve">2018 WL 4600818</w:t>
      </w:r>
      <w:r>
        <w:t xml:space="preserve">, at *1-2 (Del. Sept. 20, 2018) (TABLE) (declining to imply</w:t>
      </w:r>
      <w:r>
        <w:t xml:space="preserve"> </w:t>
      </w:r>
      <w:r>
        <w:rPr>
          <w:iCs/>
          <w:i/>
        </w:rPr>
        <w:t xml:space="preserve">Revlon</w:t>
      </w:r>
      <w:r>
        <w:t xml:space="preserve"> </w:t>
      </w:r>
      <w:r>
        <w:t xml:space="preserve">-type fiduciary duties where the defendant board of directors had "sole discretion" to conduct a sales process, but noting that "the mere vesting of 'sole discretion' did not relieve the Board of its obligation to use that discretion consistently with the implied covenant of good faith and fair dealing");</w:t>
      </w:r>
      <w:r>
        <w:t xml:space="preserve"> </w:t>
      </w:r>
      <w:r>
        <w:rPr>
          <w:iCs/>
          <w:i/>
        </w:rPr>
        <w:t xml:space="preserve">Amirsaleh v. Bd. of Trade of N.Y.C., Inc.</w:t>
      </w:r>
      <w:r>
        <w:t xml:space="preserve"> </w:t>
      </w:r>
      <w:r>
        <w:t xml:space="preserve">,</w:t>
      </w:r>
      <w:r>
        <w:t xml:space="preserve"> </w:t>
      </w:r>
      <w:r>
        <w:t xml:space="preserve">2008 WL 4182998</w:t>
      </w:r>
      <w:r>
        <w:t xml:space="preserve">, at *1 (Del. Ch. Sept. 11, 2008) (Chandler, C.) ("[T]he law presumes that parties never accept the risk that their counterparties will exercise their contractual discretion in bad faith.").</w:t>
      </w:r>
    </w:p>
  </w:footnote>
  <w:footnote w:id="812">
    <w:p>
      <w:pPr>
        <w:pStyle w:val="CaseFootnoteText"/>
      </w:pPr>
      <w:r>
        <w:rPr>
          <w:rStyle w:val="FootnoteReference"/>
        </w:rPr>
        <w:t xml:space="preserve">92  </w:t>
      </w:r>
      <w:r>
        <w:t xml:space="preserve">Smith &amp; Furlow, § I.C, at 9. For examples of these comment letters, see Smith &amp; Fur-low, Appendices C-N, at 155-232.</w:t>
      </w:r>
    </w:p>
  </w:footnote>
  <w:footnote w:id="813">
    <w:p>
      <w:pPr>
        <w:pStyle w:val="CaseFootnoteText"/>
      </w:pPr>
      <w:r>
        <w:rPr>
          <w:rStyle w:val="FootnoteReference"/>
        </w:rPr>
        <w:t xml:space="preserve">92  </w:t>
      </w:r>
      <w:r>
        <w:t xml:space="preserve">As we recently observed in</w:t>
      </w:r>
      <w:r>
        <w:t xml:space="preserve"> </w:t>
      </w:r>
      <w:r>
        <w:rPr>
          <w:iCs/>
          <w:i/>
        </w:rPr>
        <w:t xml:space="preserve">Iroquois Master Fund Ltd.</w:t>
      </w:r>
      <w:r>
        <w:t xml:space="preserve"> </w:t>
      </w:r>
      <w:r>
        <w:t xml:space="preserve">v.</w:t>
      </w:r>
      <w:r>
        <w:t xml:space="preserve"> </w:t>
      </w:r>
      <w:r>
        <w:rPr>
          <w:iCs/>
          <w:i/>
        </w:rPr>
        <w:t xml:space="preserve">Answers Corp.,</w:t>
      </w:r>
      <w:r>
        <w:t xml:space="preserve"> </w:t>
      </w:r>
      <w:r>
        <w:t xml:space="preserve">"[w]hen a large stockholder supports a sales process and receives the same per share consideration as every other stockholder, that is ordinarily evidence of fairness, not of the opposite, especially because the support of a large stockholder for the sale helps assure buyers that it can get the support needed to close the deal.”</w:t>
      </w:r>
      <w:r>
        <w:t xml:space="preserve"> </w:t>
      </w:r>
      <w:r>
        <w:t xml:space="preserve">2014 WL 7010777</w:t>
      </w:r>
      <w:r>
        <w:t xml:space="preserve">, *1 n.1 (Del. Dec. 4, 2014).</w:t>
      </w:r>
    </w:p>
  </w:footnote>
  <w:footnote w:id="814">
    <w:p>
      <w:pPr>
        <w:pStyle w:val="CaseFootnoteText"/>
      </w:pPr>
      <w:r>
        <w:rPr>
          <w:rStyle w:val="FootnoteReference"/>
        </w:rPr>
        <w:t xml:space="preserve">92  </w:t>
      </w:r>
      <w:r>
        <w:t xml:space="preserve"/>
      </w:r>
      <w:r>
        <w:t xml:space="preserve"> </w:t>
      </w:r>
      <w:r>
        <w:rPr>
          <w:iCs/>
          <w:i/>
        </w:rPr>
        <w:t xml:space="preserve">Id.</w:t>
      </w:r>
      <w:r>
        <w:rPr>
          <w:iCs/>
          <w:i/>
        </w:rPr>
        <w:t xml:space="preserve"> </w:t>
      </w:r>
      <w:r>
        <w:t xml:space="preserve">at 430</w:t>
      </w:r>
      <w:r>
        <w:t xml:space="preserve">.</w:t>
      </w:r>
    </w:p>
  </w:footnote>
  <w:footnote w:id="815">
    <w:p>
      <w:pPr>
        <w:pStyle w:val="CaseFootnoteText"/>
      </w:pPr>
      <w:r>
        <w:rPr>
          <w:rStyle w:val="FootnoteReference"/>
        </w:rPr>
        <w:t xml:space="preserve">93  </w:t>
      </w:r>
      <w:r>
        <w:t xml:space="preserve">Thus, without limiting other possible applications, the implied covenant of good faith and fair dealing often comes into play in two situations. The one at issue here is when it is argued that a situation has arisen that was unforeseen by the parties and where the agreement's express terms do not cover what should happen.</w:t>
      </w:r>
      <w:r>
        <w:t xml:space="preserve"/>
      </w:r>
      <w:r>
        <w:rPr>
          <w:iCs/>
          <w:i/>
        </w:rPr>
        <w:t xml:space="preserve">See</w:t>
      </w:r>
      <w:r>
        <w:t xml:space="preserve"> </w:t>
      </w:r>
      <w:r>
        <w:rPr>
          <w:iCs/>
          <w:i/>
        </w:rPr>
        <w:t xml:space="preserve">Cincinnati SMSA Ltd. P'ship v. Cincinnati Bell Cellular Sys. Co.</w:t>
      </w:r>
      <w:r>
        <w:t xml:space="preserve"> </w:t>
      </w:r>
      <w:r>
        <w:t xml:space="preserve">,</w:t>
      </w:r>
      <w:r>
        <w:t xml:space="preserve"> </w:t>
      </w:r>
      <w:r>
        <w:t xml:space="preserve">708 A.2d 989</w:t>
      </w:r>
      <w:r>
        <w:t xml:space="preserve">, 992-94 (Del. 1998) (considering, but rejecting, the plaintiff's argument that an additional non-compete obligation could be implied from a limited partnership agreement);</w:t>
      </w:r>
      <w:r>
        <w:t xml:space="preserve"> </w:t>
      </w:r>
      <w:r>
        <w:rPr>
          <w:iCs/>
          <w:i/>
        </w:rPr>
        <w:t xml:space="preserve">cf.</w:t>
      </w:r>
      <w:r>
        <w:t xml:space="preserve"> </w:t>
      </w:r>
      <w:r>
        <w:t xml:space="preserve">E. Allen Farnsworth,</w:t>
      </w:r>
      <w:r>
        <w:t xml:space="preserve"> </w:t>
      </w:r>
      <w:r>
        <w:rPr>
          <w:iCs/>
          <w:i/>
        </w:rPr>
        <w:t xml:space="preserve">Good Faith Performance and Reasonableness Under the Uniform Commercial Code</w:t>
      </w:r>
      <w:r>
        <w:t xml:space="preserve"> </w:t>
      </w:r>
      <w:r>
        <w:t xml:space="preserve">, 30 U. CHI. L. REV. 666, 671-78 (1963) (framing the implied covenant under the Uniform Commercial Code as a way of implying terms when the contract leaves an "open term"). The other situation, not present here, is when a party to the contract is given discretion to act as to a certain subject and it is argued that the discretion has been used in a way that is impliedly proscribed by the contract's express terms.</w:t>
      </w:r>
      <w:r>
        <w:t xml:space="preserve"> </w:t>
      </w:r>
      <w:r>
        <w:rPr>
          <w:iCs/>
          <w:i/>
        </w:rPr>
        <w:t xml:space="preserve">See</w:t>
      </w:r>
      <w:r>
        <w:t xml:space="preserve"> </w:t>
      </w:r>
      <w:r>
        <w:rPr>
          <w:iCs/>
          <w:i/>
        </w:rPr>
        <w:t xml:space="preserve">Blish v. Thompson Automatic Arms Corp.</w:t>
      </w:r>
      <w:r>
        <w:t xml:space="preserve"> </w:t>
      </w:r>
      <w:r>
        <w:t xml:space="preserve">,</w:t>
      </w:r>
      <w:r>
        <w:t xml:space="preserve"> </w:t>
      </w:r>
      <w:r>
        <w:t xml:space="preserve">64 A.2d 581</w:t>
      </w:r>
      <w:r>
        <w:t xml:space="preserve">, 597 (Del. 1948) ("The question involved is one of good faith, proper motive and fair dealing, which by express terms or by implication is written into every contract. The term 'absolute judgment,' as indicated, means a judgment based upon sincerity, honesty, fair dealing and good faith, not one evidencing caprice or bad faith.");</w:t>
      </w:r>
      <w:r>
        <w:t xml:space="preserve"> </w:t>
      </w:r>
      <w:r>
        <w:rPr>
          <w:iCs/>
          <w:i/>
        </w:rPr>
        <w:t xml:space="preserve">Wood v. Lucy, Lady Duff-Gordon</w:t>
      </w:r>
      <w:r>
        <w:t xml:space="preserve"> </w:t>
      </w:r>
      <w:r>
        <w:t xml:space="preserve">,</w:t>
      </w:r>
      <w:r>
        <w:t xml:space="preserve"> </w:t>
      </w:r>
      <w:r>
        <w:t xml:space="preserve">222 N.Y. 88</w:t>
      </w:r>
      <w:r>
        <w:t xml:space="preserve">,</w:t>
      </w:r>
      <w:r>
        <w:t xml:space="preserve"> </w:t>
      </w:r>
      <w:r>
        <w:t xml:space="preserve">118 N.E. 214</w:t>
      </w:r>
      <w:r>
        <w:t xml:space="preserve">, 215 (1917) (Cardozo, J.) ("His promise to pay the defendant one-half of the profits and revenues resulting from the exclusive agency and to render accounts monthly was a promise to use reasonable efforts to bring profits and revenues into existence.");</w:t>
      </w:r>
      <w:r>
        <w:t xml:space="preserve"> </w:t>
      </w:r>
      <w:r>
        <w:rPr>
          <w:iCs/>
          <w:i/>
        </w:rPr>
        <w:t xml:space="preserve">Airborne Health, Inc. v. Squid Soap, LP</w:t>
      </w:r>
      <w:r>
        <w:t xml:space="preserve"> </w:t>
      </w:r>
      <w:r>
        <w:t xml:space="preserve">,</w:t>
      </w:r>
      <w:r>
        <w:t xml:space="preserve"> </w:t>
      </w:r>
      <w:r>
        <w:t xml:space="preserve">984 A.2d 126</w:t>
      </w:r>
      <w:r>
        <w:t xml:space="preserve">, 146-47 &amp; n.1 (Del. Ch. 2009) (collecting authorities for the proposition that "[w]hen a contract confers discretion on one party, the implied covenant requires that the discretion be used reasonably and in good faith."); Steven J. Burton,</w:t>
      </w:r>
      <w:r>
        <w:t xml:space="preserve"> </w:t>
      </w:r>
      <w:r>
        <w:rPr>
          <w:iCs/>
          <w:i/>
        </w:rPr>
        <w:t xml:space="preserve">Breach of Contract and the Common Law Duty to Perform in Good Faith</w:t>
      </w:r>
      <w:r>
        <w:t xml:space="preserve"> </w:t>
      </w:r>
      <w:r>
        <w:t xml:space="preserve">, 94 HARV. L. REV. 369, 379-85 (1980) (framing the implied covenant in terms of legitimate and illegitimate uses of discretion).</w:t>
      </w:r>
    </w:p>
  </w:footnote>
  <w:footnote w:id="816">
    <w:p>
      <w:pPr>
        <w:pStyle w:val="CaseFootnoteText"/>
      </w:pPr>
      <w:r>
        <w:rPr>
          <w:rStyle w:val="FootnoteReference"/>
        </w:rPr>
        <w:t xml:space="preserve">93  </w:t>
      </w:r>
      <w:r>
        <w:t xml:space="preserve"/>
      </w:r>
      <w:r>
        <w:t xml:space="preserve"> </w:t>
      </w:r>
      <w:r>
        <w:rPr>
          <w:iCs/>
          <w:i/>
        </w:rPr>
        <w:t xml:space="preserve">See, e.g.,</w:t>
      </w:r>
      <w:r>
        <w:t xml:space="preserve"> </w:t>
      </w:r>
      <w:r>
        <w:t xml:space="preserve">Francine Schwadel,</w:t>
      </w:r>
      <w:r>
        <w:t xml:space="preserve"> </w:t>
      </w:r>
      <w:r>
        <w:rPr>
          <w:iCs/>
          <w:i/>
        </w:rPr>
        <w:t xml:space="preserve">Delaware Fails to Adopt a Law on Takeovers,</w:t>
      </w:r>
      <w:r>
        <w:t xml:space="preserve"> </w:t>
      </w:r>
      <w:r>
        <w:t xml:space="preserve">Wall St. J., June 16, 1987, at 2; Paul M. Barrett,</w:t>
      </w:r>
      <w:r>
        <w:t xml:space="preserve"> </w:t>
      </w:r>
      <w:r>
        <w:rPr>
          <w:iCs/>
          <w:i/>
        </w:rPr>
        <w:t xml:space="preserve">Delaware Moves Closer to Adopting Law to Deter Hostile Takeovers,</w:t>
      </w:r>
      <w:r>
        <w:t xml:space="preserve"> </w:t>
      </w:r>
      <w:r>
        <w:t xml:space="preserve">Wall St. J., Dec. 9, 1987, at 41; Robert Samuelson,</w:t>
      </w:r>
      <w:r>
        <w:t xml:space="preserve"> </w:t>
      </w:r>
      <w:r>
        <w:rPr>
          <w:iCs/>
          <w:i/>
        </w:rPr>
        <w:t xml:space="preserve">Corporate Socialism,</w:t>
      </w:r>
      <w:r>
        <w:t xml:space="preserve"> </w:t>
      </w:r>
      <w:r>
        <w:t xml:space="preserve">Newsweek, Dec. 28, 1987, at 42;</w:t>
      </w:r>
      <w:r>
        <w:t xml:space="preserve"> </w:t>
      </w:r>
      <w:r>
        <w:rPr>
          <w:iCs/>
          <w:i/>
        </w:rPr>
        <w:t xml:space="preserve">Washington Crosses Delaware,</w:t>
      </w:r>
      <w:r>
        <w:t xml:space="preserve"> </w:t>
      </w:r>
      <w:r>
        <w:t xml:space="preserve">Wall St. J., Dec. 31, 1987, at 6; Elliott D. Lee &amp; Paul M. Barrett,</w:t>
      </w:r>
      <w:r>
        <w:t xml:space="preserve"> </w:t>
      </w:r>
      <w:r>
        <w:rPr>
          <w:iCs/>
          <w:i/>
        </w:rPr>
        <w:t xml:space="preserve">Anti-Takeover Bill Passes in Delaware,</w:t>
      </w:r>
      <w:r>
        <w:t xml:space="preserve"> </w:t>
      </w:r>
      <w:r>
        <w:t xml:space="preserve">Wall St. J., Jan. 29, 1988, at 9.</w:t>
      </w:r>
    </w:p>
  </w:footnote>
  <w:footnote w:id="817">
    <w:p>
      <w:pPr>
        <w:pStyle w:val="CaseFootnoteText"/>
      </w:pPr>
      <w:r>
        <w:rPr>
          <w:rStyle w:val="FootnoteReference"/>
        </w:rPr>
        <w:t xml:space="preserve">93  </w:t>
      </w:r>
      <w:r>
        <w:t xml:space="preserve">Bench Opinion at 11.</w:t>
      </w:r>
    </w:p>
  </w:footnote>
  <w:footnote w:id="818">
    <w:p>
      <w:pPr>
        <w:pStyle w:val="CaseFootnoteText"/>
      </w:pPr>
      <w:r>
        <w:rPr>
          <w:rStyle w:val="FootnoteReference"/>
        </w:rPr>
        <w:t xml:space="preserve">93  </w:t>
      </w:r>
      <w:r>
        <w:t xml:space="preserve">Judge Quillen was then a member of the Superior Court and was sitting on the Supreme Court by designation.</w:t>
      </w:r>
      <w:r>
        <w:t xml:space="preserve"> </w:t>
      </w:r>
      <w:r>
        <w:rPr>
          <w:iCs/>
          <w:i/>
        </w:rPr>
        <w:t xml:space="preserve">Id.</w:t>
      </w:r>
      <w:r>
        <w:t xml:space="preserve"> </w:t>
      </w:r>
      <w:r>
        <w:t xml:space="preserve">at 423 n. *.</w:t>
      </w:r>
    </w:p>
  </w:footnote>
  <w:footnote w:id="819">
    <w:p>
      <w:pPr>
        <w:pStyle w:val="CaseFootnoteText"/>
      </w:pPr>
      <w:r>
        <w:rPr>
          <w:rStyle w:val="FootnoteReference"/>
        </w:rPr>
        <w:t xml:space="preserve">94  </w:t>
      </w:r>
      <w:r>
        <w:t xml:space="preserve">App. to Opening Br. at A2116.</w:t>
      </w:r>
    </w:p>
  </w:footnote>
  <w:footnote w:id="820">
    <w:p>
      <w:pPr>
        <w:pStyle w:val="CaseFootnoteText"/>
      </w:pPr>
      <w:r>
        <w:rPr>
          <w:rStyle w:val="FootnoteReference"/>
        </w:rPr>
        <w:t xml:space="preserve">94  </w:t>
      </w:r>
      <w:r>
        <w:t xml:space="preserve"/>
      </w:r>
      <w:r>
        <w:t xml:space="preserve"> </w:t>
      </w:r>
      <w:r>
        <w:rPr>
          <w:iCs/>
          <w:i/>
        </w:rPr>
        <w:t xml:space="preserve">Statement By Governor Michael Castle Regarding House Substitute Bill 396, Signed February 2, 1988,</w:t>
      </w:r>
      <w:r>
        <w:t xml:space="preserve"> </w:t>
      </w:r>
      <w:r>
        <w:t xml:space="preserve">reprinted in Smith &amp; Furlow, Appendix CC, at 339.</w:t>
      </w:r>
    </w:p>
  </w:footnote>
  <w:footnote w:id="821">
    <w:p>
      <w:pPr>
        <w:pStyle w:val="CaseFootnoteText"/>
      </w:pPr>
      <w:r>
        <w:rPr>
          <w:rStyle w:val="FootnoteReference"/>
        </w:rPr>
        <w:t xml:space="preserve">94  </w:t>
      </w:r>
      <w:r>
        <w:t xml:space="preserve"/>
      </w:r>
      <w:r>
        <w:t xml:space="preserve"> </w:t>
      </w:r>
      <w:r>
        <w:rPr>
          <w:iCs/>
          <w:i/>
        </w:rPr>
        <w:t xml:space="preserve">See</w:t>
      </w:r>
      <w:r>
        <w:t xml:space="preserve"> </w:t>
      </w:r>
      <w:r>
        <w:t xml:space="preserve">note 87</w:t>
      </w:r>
      <w:r>
        <w:t xml:space="preserve"> </w:t>
      </w:r>
      <w:r>
        <w:rPr>
          <w:iCs/>
          <w:i/>
        </w:rPr>
        <w:t xml:space="preserve">supra.</w:t>
      </w:r>
    </w:p>
  </w:footnote>
  <w:footnote w:id="822">
    <w:p>
      <w:pPr>
        <w:pStyle w:val="CaseFootnoteText"/>
      </w:pPr>
      <w:r>
        <w:rPr>
          <w:rStyle w:val="FootnoteReference"/>
        </w:rPr>
        <w:t xml:space="preserve">94  </w:t>
      </w:r>
      <w:r>
        <w:t xml:space="preserve"/>
      </w:r>
      <w:r>
        <w:t xml:space="preserve"> </w:t>
      </w:r>
      <w:r>
        <w:rPr>
          <w:iCs/>
          <w:i/>
        </w:rPr>
        <w:t xml:space="preserve">Id.</w:t>
      </w:r>
      <w:r>
        <w:rPr>
          <w:iCs/>
          <w:i/>
        </w:rPr>
        <w:t xml:space="preserve"> </w:t>
      </w:r>
      <w:r>
        <w:t xml:space="preserve">at 433</w:t>
      </w:r>
      <w:r>
        <w:t xml:space="preserve"> </w:t>
      </w:r>
      <w:r>
        <w:t xml:space="preserve">(Quillen, J., concurring) (noting the value of the deal to the controlling stockholder, the difficulties the controlling stockholder would face in trying to accomplish a similar deal with a non-affiliated entity, and the time constraint the controlling stockholder was under to achieve the tax savings).</w:t>
      </w:r>
    </w:p>
  </w:footnote>
  <w:footnote w:id="823">
    <w:p>
      <w:pPr>
        <w:pStyle w:val="CaseFootnoteText"/>
      </w:pPr>
      <w:r>
        <w:rPr>
          <w:rStyle w:val="FootnoteReference"/>
        </w:rPr>
        <w:t xml:space="preserve">95  </w:t>
      </w:r>
      <w:r>
        <w:rPr>
          <w:iCs/>
          <w:i/>
        </w:rPr>
        <w:t xml:space="preserve">Id.</w:t>
      </w:r>
      <w:r>
        <w:t xml:space="preserve"/>
      </w:r>
      <w:r>
        <w:t xml:space="preserve">at A2115-16 (original Article XIII, Section 8(e), dated May 8, 2007);</w:t>
      </w:r>
      <w:r>
        <w:t xml:space="preserve"> </w:t>
      </w:r>
      <w:r>
        <w:rPr>
          <w:iCs/>
          <w:i/>
        </w:rPr>
        <w:t xml:space="preserve">see also</w:t>
      </w:r>
      <w:r>
        <w:rPr>
          <w:iCs/>
          <w:i/>
        </w:rPr>
        <w:t xml:space="preserve"> </w:t>
      </w:r>
      <w:r>
        <w:rPr>
          <w:iCs/>
          <w:i/>
        </w:rPr>
        <w:t xml:space="preserve">id.</w:t>
      </w:r>
      <w:r>
        <w:t xml:space="preserve"> </w:t>
      </w:r>
      <w:r>
        <w:t xml:space="preserve">at A2058 (amended Article XIII, Section 8(e), dated February 13, 2014).</w:t>
      </w:r>
    </w:p>
  </w:footnote>
  <w:footnote w:id="824">
    <w:p>
      <w:pPr>
        <w:pStyle w:val="CaseFootnoteText"/>
      </w:pPr>
      <w:r>
        <w:rPr>
          <w:rStyle w:val="FootnoteReference"/>
        </w:rPr>
        <w:t xml:space="preserve">95  </w:t>
      </w:r>
      <w:r>
        <w:t xml:space="preserve">In assessing the purpose of the entire statute after reviewing the record leading to its adoption, the District Court of Delaware noted:</w:t>
      </w:r>
    </w:p>
    <w:p>
      <w:pPr>
        <w:pStyle w:val="BlockText"/>
      </w:pPr>
      <w:r>
        <w:t xml:space="preserve">The statute offers protection to independent shareholders by preventing certain dealings between a successful offeror and the target corporation. In so doing, the statute eliminates most unsanctioned (by the target’s board with or without the shareholders) freeze-outs, or post-tender offer mergers between the offeror and the company whereby remaining shareholders are forced to sell their stock for cash or securities. Preventing unapproved mergers also effectively eliminates many leveraged buyouts, in which the assets of the target company provide resources for servicing the debt incurred by the bidder in taking control.</w:t>
      </w:r>
    </w:p>
    <w:p>
      <w:pPr>
        <w:pStyle w:val="CaseFootnoteText"/>
      </w:pPr>
      <w:r>
        <w:rPr>
          <w:iCs/>
          <w:i/>
        </w:rPr>
        <w:t xml:space="preserve">BNS Inc. v. Koppers Co.,</w:t>
      </w:r>
      <w:r>
        <w:t xml:space="preserve"/>
      </w:r>
      <w:r>
        <w:t xml:space="preserve">683 F.Supp. 458</w:t>
      </w:r>
      <w:r>
        <w:t xml:space="preserve">, 469 (D.Del.1988) (preliminarily upholding the constitutionality of § 203).</w:t>
      </w:r>
    </w:p>
  </w:footnote>
  <w:footnote w:id="825">
    <w:p>
      <w:pPr>
        <w:pStyle w:val="CaseFootnoteText"/>
      </w:pPr>
      <w:r>
        <w:rPr>
          <w:rStyle w:val="FootnoteReference"/>
        </w:rPr>
        <w:t xml:space="preserve">95  </w:t>
      </w:r>
      <w:r>
        <w:t xml:space="preserve"/>
      </w:r>
      <w:r>
        <w:t xml:space="preserve"> </w:t>
      </w:r>
      <w:r>
        <w:rPr>
          <w:iCs/>
          <w:i/>
        </w:rPr>
        <w:t xml:space="preserve">Lyondell,</w:t>
      </w:r>
      <w:r>
        <w:t xml:space="preserve"> </w:t>
      </w:r>
      <w:r>
        <w:t xml:space="preserve">970 A.2d at 243</w:t>
      </w:r>
      <w:r>
        <w:t xml:space="preserve"> </w:t>
      </w:r>
      <w:r>
        <w:t xml:space="preserve">(Del.2009) ("[T]here are no legally prescribed steps that directors must follow to satisfy their</w:t>
      </w:r>
      <w:r>
        <w:t xml:space="preserve"> </w:t>
      </w:r>
      <w:r>
        <w:rPr>
          <w:iCs/>
          <w:i/>
        </w:rPr>
        <w:t xml:space="preserve">Revlon</w:t>
      </w:r>
      <w:r>
        <w:t xml:space="preserve"> </w:t>
      </w:r>
      <w:r>
        <w:t xml:space="preserve">duties.... Directors' decisions must be reasonable, not perfect.”).</w:t>
      </w:r>
    </w:p>
  </w:footnote>
  <w:footnote w:id="826">
    <w:p>
      <w:pPr>
        <w:pStyle w:val="CaseFootnoteText"/>
      </w:pPr>
      <w:r>
        <w:rPr>
          <w:rStyle w:val="FootnoteReference"/>
        </w:rPr>
        <w:t xml:space="preserve">95  </w:t>
      </w:r>
      <w:r>
        <w:t xml:space="preserve"/>
      </w:r>
      <w:r>
        <w:t xml:space="preserve"> </w:t>
      </w:r>
      <w:r>
        <w:rPr>
          <w:iCs/>
          <w:i/>
        </w:rPr>
        <w:t xml:space="preserve">Id.</w:t>
      </w:r>
    </w:p>
  </w:footnote>
  <w:footnote w:id="827">
    <w:p>
      <w:pPr>
        <w:pStyle w:val="CaseFootnoteText"/>
      </w:pPr>
      <w:r>
        <w:rPr>
          <w:rStyle w:val="FootnoteReference"/>
        </w:rPr>
        <w:t xml:space="preserve">96  </w:t>
      </w:r>
      <w:r>
        <w:rPr>
          <w:iCs/>
          <w:i/>
        </w:rPr>
        <w:t xml:space="preserve">See, e.g.</w:t>
      </w:r>
      <w:r>
        <w:t xml:space="preserve"/>
      </w:r>
      <w:r>
        <w:t xml:space="preserve">,</w:t>
      </w:r>
      <w:r>
        <w:t xml:space="preserve"> </w:t>
      </w:r>
      <w:r>
        <w:rPr>
          <w:iCs/>
          <w:i/>
        </w:rPr>
        <w:t xml:space="preserve">Dieckman v. Regency GP LP</w:t>
      </w:r>
      <w:r>
        <w:t xml:space="preserve"> </w:t>
      </w:r>
      <w:r>
        <w:t xml:space="preserve">,</w:t>
      </w:r>
      <w:r>
        <w:t xml:space="preserve"> </w:t>
      </w:r>
      <w:r>
        <w:t xml:space="preserve">155 A.3d 358</w:t>
      </w:r>
      <w:r>
        <w:t xml:space="preserve">, 367 (Del. 2017) ("The reasonable expectations of the contracting parties are assessed at the time of contracting.");</w:t>
      </w:r>
      <w:r>
        <w:t xml:space="preserve"> </w:t>
      </w:r>
      <w:r>
        <w:rPr>
          <w:iCs/>
          <w:i/>
        </w:rPr>
        <w:t xml:space="preserve">Blaustein</w:t>
      </w:r>
      <w:r>
        <w:t xml:space="preserve"> </w:t>
      </w:r>
      <w:r>
        <w:t xml:space="preserve">,</w:t>
      </w:r>
      <w:r>
        <w:t xml:space="preserve"> </w:t>
      </w:r>
      <w:r>
        <w:t xml:space="preserve">84 A.3d at 959</w:t>
      </w:r>
      <w:r>
        <w:t xml:space="preserve"> </w:t>
      </w:r>
      <w:r>
        <w:t xml:space="preserve">("[T]he implied covenant is used in limited circumstances to include what the parties would have agreed to themselves had they considered the issue in their</w:t>
      </w:r>
      <w:r>
        <w:t xml:space="preserve"> </w:t>
      </w:r>
      <w:r>
        <w:rPr>
          <w:iCs/>
          <w:i/>
        </w:rPr>
        <w:t xml:space="preserve">original bargaining positions</w:t>
      </w:r>
      <w:r>
        <w:t xml:space="preserve"> </w:t>
      </w:r>
      <w:r>
        <w:t xml:space="preserve">at the time of contracting." (emphasis added) (internal quotation omitted) );</w:t>
      </w:r>
      <w:r>
        <w:t xml:space="preserve"> </w:t>
      </w:r>
      <w:r>
        <w:rPr>
          <w:iCs/>
          <w:i/>
        </w:rPr>
        <w:t xml:space="preserve">Nemec v. Shrader</w:t>
      </w:r>
      <w:r>
        <w:t xml:space="preserve"> </w:t>
      </w:r>
      <w:r>
        <w:t xml:space="preserve">,</w:t>
      </w:r>
      <w:r>
        <w:t xml:space="preserve"> </w:t>
      </w:r>
      <w:r>
        <w:t xml:space="preserve">991 A.2d 1120</w:t>
      </w:r>
      <w:r>
        <w:t xml:space="preserve">, 1126 (Del. 2010) ("When conducting this [implied covenant] analysis, we must assess the parties' reasonable expectations at the time of contracting and not rewrite the contract to appease a party who later wishes to rewrite a contract he now believes to have been a bad deal." (internal citations omitted) ).</w:t>
      </w:r>
    </w:p>
  </w:footnote>
  <w:footnote w:id="828">
    <w:p>
      <w:pPr>
        <w:pStyle w:val="CaseFootnoteText"/>
      </w:pPr>
      <w:r>
        <w:rPr>
          <w:rStyle w:val="FootnoteReference"/>
        </w:rPr>
        <w:t xml:space="preserve">96  </w:t>
      </w:r>
      <w:r>
        <w:t xml:space="preserve">Synopsis to H.B. No. 396. Several such abusive takeover tactics were discussed in</w:t>
      </w:r>
      <w:r>
        <w:t xml:space="preserve"> </w:t>
      </w:r>
      <w:r>
        <w:rPr>
          <w:iCs/>
          <w:i/>
        </w:rPr>
        <w:t xml:space="preserve">CTS Corp. v. Dynamics Corp. of America,</w:t>
      </w:r>
      <w:r>
        <w:t xml:space="preserve"> </w:t>
      </w:r>
      <w:r>
        <w:t xml:space="preserve">481 U.S. 69</w:t>
      </w:r>
      <w:r>
        <w:t xml:space="preserve">,</w:t>
      </w:r>
      <w:r>
        <w:t xml:space="preserve"> </w:t>
      </w:r>
      <w:r>
        <w:t xml:space="preserve">107 S.Ct. 1637</w:t>
      </w:r>
      <w:r>
        <w:t xml:space="preserve">,</w:t>
      </w:r>
      <w:r>
        <w:t xml:space="preserve"> </w:t>
      </w:r>
      <w:r>
        <w:t xml:space="preserve">95 L.Ed.2d 67</w:t>
      </w:r>
      <w:r>
        <w:t xml:space="preserve"> </w:t>
      </w:r>
      <w:r>
        <w:t xml:space="preserve">(1987) (upholding the Indiana control share acquisition statute, a precursor to Delaware’s adoption of its anti-takeover statute, § 203) and</w:t>
      </w:r>
      <w:r>
        <w:t xml:space="preserve"> </w:t>
      </w:r>
      <w:r>
        <w:rPr>
          <w:iCs/>
          <w:i/>
        </w:rPr>
        <w:t xml:space="preserve">Unocal v. Mesa Petroleum Co.,</w:t>
      </w:r>
      <w:r>
        <w:t xml:space="preserve"> </w:t>
      </w:r>
      <w:r>
        <w:t xml:space="preserve">Del.Supr.,</w:t>
      </w:r>
      <w:r>
        <w:t xml:space="preserve"> </w:t>
      </w:r>
      <w:r>
        <w:t xml:space="preserve">493 A.2d 946</w:t>
      </w:r>
      <w:r>
        <w:t xml:space="preserve">, 956 (1985).</w:t>
      </w:r>
    </w:p>
  </w:footnote>
  <w:footnote w:id="829">
    <w:p>
      <w:pPr>
        <w:pStyle w:val="CaseFootnoteText"/>
      </w:pPr>
      <w:r>
        <w:rPr>
          <w:rStyle w:val="FootnoteReference"/>
        </w:rPr>
        <w:t xml:space="preserve">96  </w:t>
      </w:r>
      <w:r>
        <w:t xml:space="preserve"/>
      </w:r>
      <w:r>
        <w:t xml:space="preserve"> </w:t>
      </w:r>
      <w:r>
        <w:rPr>
          <w:iCs/>
          <w:i/>
        </w:rPr>
        <w:t xml:space="preserve">See, e.g.,</w:t>
      </w:r>
      <w:r>
        <w:t xml:space="preserve"> </w:t>
      </w:r>
      <w:r>
        <w:t xml:space="preserve">Bench Opinion at 5-7.</w:t>
      </w:r>
    </w:p>
  </w:footnote>
  <w:footnote w:id="830">
    <w:p>
      <w:pPr>
        <w:pStyle w:val="CaseFootnoteText"/>
      </w:pPr>
      <w:r>
        <w:rPr>
          <w:rStyle w:val="FootnoteReference"/>
        </w:rPr>
        <w:t xml:space="preserve">96  </w:t>
      </w:r>
      <w:r>
        <w:t xml:space="preserve"/>
      </w:r>
      <w:r>
        <w:t xml:space="preserve"> </w:t>
      </w:r>
      <w:r>
        <w:rPr>
          <w:iCs/>
          <w:i/>
        </w:rPr>
        <w:t xml:space="preserve">Id.</w:t>
      </w:r>
    </w:p>
  </w:footnote>
  <w:footnote w:id="831">
    <w:p>
      <w:pPr>
        <w:pStyle w:val="CaseFootnoteText"/>
      </w:pPr>
      <w:r>
        <w:rPr>
          <w:rStyle w:val="FootnoteReference"/>
        </w:rPr>
        <w:t xml:space="preserve">97  </w:t>
      </w:r>
      <w:r>
        <w:rPr>
          <w:iCs/>
          <w:i/>
        </w:rPr>
        <w:t xml:space="preserve">See</w:t>
      </w:r>
      <w:r>
        <w:t xml:space="preserve"/>
      </w:r>
      <w:r>
        <w:rPr>
          <w:iCs/>
          <w:i/>
        </w:rPr>
        <w:t xml:space="preserve">Airborne Health</w:t>
      </w:r>
      <w:r>
        <w:t xml:space="preserve"> </w:t>
      </w:r>
      <w:r>
        <w:t xml:space="preserve">,</w:t>
      </w:r>
      <w:r>
        <w:t xml:space="preserve"> </w:t>
      </w:r>
      <w:r>
        <w:t xml:space="preserve">984 A.2d at 147</w:t>
      </w:r>
      <w:r>
        <w:t xml:space="preserve"> </w:t>
      </w:r>
      <w:r>
        <w:t xml:space="preserve">(holding that the implied covenant does not apply where sophisticated parties "represented by able counsel" opted not to include provisions that "are familiar to any transactional lawyer");</w:t>
      </w:r>
      <w:r>
        <w:t xml:space="preserve"> </w:t>
      </w:r>
      <w:r>
        <w:rPr>
          <w:iCs/>
          <w:i/>
        </w:rPr>
        <w:t xml:space="preserve">Corporate Prop. Assocs. 14 Inc. v. CHR Holding Corp.</w:t>
      </w:r>
      <w:r>
        <w:t xml:space="preserve"> </w:t>
      </w:r>
      <w:r>
        <w:t xml:space="preserve">,</w:t>
      </w:r>
      <w:r>
        <w:t xml:space="preserve"> </w:t>
      </w:r>
      <w:r>
        <w:t xml:space="preserve">2008 WL 963048</w:t>
      </w:r>
      <w:r>
        <w:t xml:space="preserve">, at *5 (Del. Ch. Apr. 10, 2008) (Strine, V.C.) (denying application of the implied covenant where the parties were sophisticated, the provision sought was well known, and the parties bargained over related issues but did not secure the term they sought to have implied).</w:t>
      </w:r>
    </w:p>
  </w:footnote>
  <w:footnote w:id="832">
    <w:p>
      <w:pPr>
        <w:pStyle w:val="CaseFootnoteText"/>
      </w:pPr>
      <w:r>
        <w:rPr>
          <w:rStyle w:val="FootnoteReference"/>
        </w:rPr>
        <w:t xml:space="preserve">97  </w:t>
      </w:r>
      <w:r>
        <w:t xml:space="preserve">Michael D. Goldman &amp; Edward M. McNally, "The Delaware Takeover Statute: A Report to the Delaware General Assembly,” § 4(b) (1988)(emphasis added).</w:t>
      </w:r>
    </w:p>
  </w:footnote>
  <w:footnote w:id="833">
    <w:p>
      <w:pPr>
        <w:pStyle w:val="CaseFootnoteText"/>
      </w:pPr>
      <w:r>
        <w:rPr>
          <w:rStyle w:val="FootnoteReference"/>
        </w:rPr>
        <w:t xml:space="preserve">97  </w:t>
      </w:r>
      <w:r>
        <w:t xml:space="preserve"/>
      </w:r>
      <w:r>
        <w:t xml:space="preserve"> </w:t>
      </w:r>
      <w:r>
        <w:rPr>
          <w:iCs/>
          <w:i/>
        </w:rPr>
        <w:t xml:space="preserve">See, e.g.,</w:t>
      </w:r>
      <w:r>
        <w:t xml:space="preserve"> </w:t>
      </w:r>
      <w:r>
        <w:t xml:space="preserve">App. to Opening Br. at 1750, 2377, 2383, 2539.</w:t>
      </w:r>
    </w:p>
  </w:footnote>
  <w:footnote w:id="834">
    <w:p>
      <w:pPr>
        <w:pStyle w:val="CaseFootnoteText"/>
      </w:pPr>
      <w:r>
        <w:rPr>
          <w:rStyle w:val="FootnoteReference"/>
        </w:rPr>
        <w:t xml:space="preserve">97  </w:t>
      </w:r>
      <w:r>
        <w:t xml:space="preserve"/>
      </w:r>
      <w:r>
        <w:t xml:space="preserve"> </w:t>
      </w:r>
      <w:r>
        <w:rPr>
          <w:iCs/>
          <w:i/>
        </w:rPr>
        <w:t xml:space="preserve">Id.</w:t>
      </w:r>
      <w:r>
        <w:t xml:space="preserve"> </w:t>
      </w:r>
      <w:r>
        <w:t xml:space="preserve">(falling from $16 per share to $12.75 per share).</w:t>
      </w:r>
    </w:p>
  </w:footnote>
  <w:footnote w:id="835">
    <w:p>
      <w:pPr>
        <w:pStyle w:val="CaseFootnoteText"/>
      </w:pPr>
      <w:r>
        <w:rPr>
          <w:rStyle w:val="FootnoteReference"/>
        </w:rPr>
        <w:t xml:space="preserve">98  </w:t>
      </w:r>
      <w:r>
        <w:t xml:space="preserve">The trial court found that it is "impossible to know what would have happened if Koch and his team had documented the issuances properly."</w:t>
      </w:r>
      <w:r>
        <w:t xml:space="preserve"/>
      </w:r>
      <w:r>
        <w:rPr>
          <w:iCs/>
          <w:i/>
        </w:rPr>
        <w:t xml:space="preserve">Chancery Opinion</w:t>
      </w:r>
      <w:r>
        <w:t xml:space="preserve"> </w:t>
      </w:r>
      <w:r>
        <w:t xml:space="preserve">,</w:t>
      </w:r>
      <w:r>
        <w:t xml:space="preserve"> </w:t>
      </w:r>
      <w:r>
        <w:t xml:space="preserve">2018 WL 818760</w:t>
      </w:r>
      <w:r>
        <w:t xml:space="preserve">, at *62.</w:t>
      </w:r>
    </w:p>
  </w:footnote>
  <w:footnote w:id="836">
    <w:p>
      <w:pPr>
        <w:pStyle w:val="CaseFootnoteText"/>
      </w:pPr>
      <w:r>
        <w:rPr>
          <w:rStyle w:val="FootnoteReference"/>
        </w:rPr>
        <w:t xml:space="preserve">98  </w:t>
      </w:r>
      <w:r>
        <w:t xml:space="preserve"/>
      </w:r>
      <w:r>
        <w:t xml:space="preserve"> </w:t>
      </w:r>
      <w:r>
        <w:rPr>
          <w:iCs/>
          <w:i/>
        </w:rPr>
        <w:t xml:space="preserve">See</w:t>
      </w:r>
      <w:r>
        <w:t xml:space="preserve"> </w:t>
      </w:r>
      <w:r>
        <w:t xml:space="preserve">Letter from Joseph Grundfest, Commissioner of the SEC, to David Brown, Secretary of the Council of the Corporation Law Section of the Delaware State Bar Association (Dec. 10, 1987), reprinted in Smith &amp; Furlow, App. E, at 161-77; Letter from Joseph Grundfest, to David Brown (Dec. 18, 1987), reprinted in Smith &amp; Furlow, App. F, at 179-189; Letter from Joseph Grundfest to David Brown (Dec. 22, 1987), reprinted in Smith &amp; Furlow, App. G, at 191-93; Letter from Joseph Grundfest to E. Norman Veasey (Dec. 31, 1987), reprinted in Smith &amp; Furlow, App. H, at 195-99;</w:t>
      </w:r>
      <w:r>
        <w:t xml:space="preserve"> </w:t>
      </w:r>
      <w:r>
        <w:rPr>
          <w:iCs/>
          <w:i/>
        </w:rPr>
        <w:t xml:space="preserve">Statement of Joseph A. Grund-fest before the House Judiciary Committee of the Delaware State Legislature of January 20, 1988,</w:t>
      </w:r>
      <w:r>
        <w:t xml:space="preserve"> </w:t>
      </w:r>
      <w:r>
        <w:t xml:space="preserve">reprinted in Smith &amp; Furlow, App. V, at 277-86.</w:t>
      </w:r>
    </w:p>
  </w:footnote>
  <w:footnote w:id="837">
    <w:p>
      <w:pPr>
        <w:pStyle w:val="CaseFootnoteText"/>
      </w:pPr>
      <w:r>
        <w:rPr>
          <w:rStyle w:val="FootnoteReference"/>
        </w:rPr>
        <w:t xml:space="preserve">98  </w:t>
      </w:r>
      <w:r>
        <w:t xml:space="preserve">We assume for the sake of analysis that</w:t>
      </w:r>
      <w:r>
        <w:t xml:space="preserve"> </w:t>
      </w:r>
      <w:r>
        <w:rPr>
          <w:iCs/>
          <w:i/>
        </w:rPr>
        <w:t xml:space="preserve">Revlon</w:t>
      </w:r>
      <w:r>
        <w:t xml:space="preserve"> </w:t>
      </w:r>
      <w:r>
        <w:t xml:space="preserve">was invoked. We recognize that</w:t>
      </w:r>
      <w:r>
        <w:t xml:space="preserve"> </w:t>
      </w:r>
      <w:r>
        <w:rPr>
          <w:iCs/>
          <w:i/>
        </w:rPr>
        <w:t xml:space="preserve">QVC</w:t>
      </w:r>
      <w:r>
        <w:t xml:space="preserve"> </w:t>
      </w:r>
      <w:r>
        <w:t xml:space="preserve">suggests that contractual provisions limiting the power of a majority stockholder and securing the minority’s ability to share in any future control premium might take a transaction out of</w:t>
      </w:r>
      <w:r>
        <w:t xml:space="preserve"> </w:t>
      </w:r>
      <w:r>
        <w:rPr>
          <w:iCs/>
          <w:i/>
        </w:rPr>
        <w:t xml:space="preserve">Revlon’s</w:t>
      </w:r>
      <w:r>
        <w:t xml:space="preserve"> </w:t>
      </w:r>
      <w:r>
        <w:t xml:space="preserve">reach.</w:t>
      </w:r>
      <w:r>
        <w:t xml:space="preserve"> </w:t>
      </w:r>
      <w:r>
        <w:rPr>
          <w:iCs/>
          <w:i/>
        </w:rPr>
        <w:t xml:space="preserve">See QVC,</w:t>
      </w:r>
      <w:r>
        <w:t xml:space="preserve"> </w:t>
      </w:r>
      <w:r>
        <w:t xml:space="preserve">637 A.2d 34</w:t>
      </w:r>
      <w:r>
        <w:t xml:space="preserve">, 42 n. 12. But given the timing exigencies and the fact that this is an issue of first impression before this Court, we decline to reach the question of whether</w:t>
      </w:r>
      <w:r>
        <w:t xml:space="preserve"> </w:t>
      </w:r>
      <w:r>
        <w:rPr>
          <w:iCs/>
          <w:i/>
        </w:rPr>
        <w:t xml:space="preserve">Revlon</w:t>
      </w:r>
      <w:r>
        <w:t xml:space="preserve"> </w:t>
      </w:r>
      <w:r>
        <w:t xml:space="preserve">applies.</w:t>
      </w:r>
    </w:p>
  </w:footnote>
  <w:footnote w:id="838">
    <w:p>
      <w:pPr>
        <w:pStyle w:val="CaseFootnoteText"/>
      </w:pPr>
      <w:r>
        <w:rPr>
          <w:rStyle w:val="FootnoteReference"/>
        </w:rPr>
        <w:t xml:space="preserve">98  </w:t>
      </w:r>
      <w:r>
        <w:t xml:space="preserve"/>
      </w:r>
      <w:r>
        <w:t xml:space="preserve"> </w:t>
      </w:r>
      <w:r>
        <w:rPr>
          <w:iCs/>
          <w:i/>
        </w:rPr>
        <w:t xml:space="preserve">Id.</w:t>
      </w:r>
    </w:p>
  </w:footnote>
  <w:footnote w:id="839">
    <w:p>
      <w:pPr>
        <w:pStyle w:val="CaseFootnoteText"/>
      </w:pPr>
      <w:r>
        <w:rPr>
          <w:rStyle w:val="FootnoteReference"/>
        </w:rPr>
        <w:t xml:space="preserve">99  </w:t>
      </w:r>
      <w:r>
        <w:rPr>
          <w:iCs/>
          <w:i/>
        </w:rPr>
        <w:t xml:space="preserve">Id.</w:t>
      </w:r>
    </w:p>
  </w:footnote>
  <w:footnote w:id="840">
    <w:p>
      <w:pPr>
        <w:pStyle w:val="CaseFootnoteText"/>
      </w:pPr>
      <w:r>
        <w:rPr>
          <w:rStyle w:val="FootnoteReference"/>
        </w:rPr>
        <w:t xml:space="preserve">99  </w:t>
      </w:r>
      <w:r>
        <w:t xml:space="preserve">Letter from Joseph Grundfest to David Brown (Dec. 10, 1987), reprinted in Smith &amp; Furlow, App. E, at 167.</w:t>
      </w:r>
    </w:p>
  </w:footnote>
  <w:footnote w:id="841">
    <w:p>
      <w:pPr>
        <w:pStyle w:val="CaseFootnoteText"/>
      </w:pPr>
      <w:r>
        <w:rPr>
          <w:rStyle w:val="FootnoteReference"/>
        </w:rPr>
        <w:t xml:space="preserve">99  </w:t>
      </w:r>
      <w:r>
        <w:t xml:space="preserve"/>
      </w:r>
      <w:r>
        <w:t xml:space="preserve"> </w:t>
      </w:r>
      <w:r>
        <w:rPr>
          <w:iCs/>
          <w:i/>
        </w:rPr>
        <w:t xml:space="preserve">See</w:t>
      </w:r>
      <w:r>
        <w:t xml:space="preserve"> </w:t>
      </w:r>
      <w:r>
        <w:t xml:space="preserve">App. to Opening Br. at 370-77 (Support Agreement).</w:t>
      </w:r>
    </w:p>
  </w:footnote>
  <w:footnote w:id="842">
    <w:p>
      <w:pPr>
        <w:pStyle w:val="CaseFootnoteText"/>
      </w:pPr>
      <w:r>
        <w:rPr>
          <w:rStyle w:val="FootnoteReference"/>
        </w:rPr>
        <w:t xml:space="preserve">99  </w:t>
      </w:r>
      <w:r>
        <w:t xml:space="preserve"/>
      </w:r>
      <w:r>
        <w:t xml:space="preserve"> </w:t>
      </w:r>
      <w:r>
        <w:rPr>
          <w:iCs/>
          <w:i/>
        </w:rPr>
        <w:t xml:space="preserve">Id.</w:t>
      </w:r>
      <w:r>
        <w:t xml:space="preserve"> </w:t>
      </w:r>
      <w:r>
        <w:t xml:space="preserve">(majority opinion) at 429.</w:t>
      </w:r>
    </w:p>
  </w:footnote>
  <w:footnote w:id="843">
    <w:p>
      <w:pPr>
        <w:pStyle w:val="CaseFootnoteText"/>
      </w:pPr>
      <w:r>
        <w:rPr>
          <w:rStyle w:val="FootnoteReference"/>
        </w:rPr>
        <w:t xml:space="preserve">100  </w:t>
      </w:r>
      <w:r>
        <w:t xml:space="preserve">In addition, before they signed the consents, the Minority Members were aware from the Subscription Agreement that Koch was the sole member of Executive LLC.</w:t>
      </w:r>
      <w:r>
        <w:t xml:space="preserve"/>
      </w:r>
      <w:r>
        <w:rPr>
          <w:iCs/>
          <w:i/>
        </w:rPr>
        <w:t xml:space="preserve">See</w:t>
      </w:r>
      <w:r>
        <w:t xml:space="preserve"> </w:t>
      </w:r>
      <w:r>
        <w:t xml:space="preserve">App. to Opening Br. at A1911, A1913, A1915-16. As the Court of Chancery properly held, this was enough to at least put the Minority Members on inquiry notice of their rights under the LLC Agreement.</w:t>
      </w:r>
      <w:r>
        <w:t xml:space="preserve"> </w:t>
      </w:r>
      <w:r>
        <w:rPr>
          <w:iCs/>
          <w:i/>
        </w:rPr>
        <w:t xml:space="preserve">See</w:t>
      </w:r>
      <w:r>
        <w:t xml:space="preserve"> </w:t>
      </w:r>
      <w:r>
        <w:rPr>
          <w:iCs/>
          <w:i/>
        </w:rPr>
        <w:t xml:space="preserve">Chancery Opinion</w:t>
      </w:r>
      <w:r>
        <w:t xml:space="preserve"> </w:t>
      </w:r>
      <w:r>
        <w:t xml:space="preserve">,</w:t>
      </w:r>
      <w:r>
        <w:t xml:space="preserve"> </w:t>
      </w:r>
      <w:r>
        <w:t xml:space="preserve">2018 WL 818760</w:t>
      </w:r>
      <w:r>
        <w:t xml:space="preserve">, at *49.</w:t>
      </w:r>
    </w:p>
  </w:footnote>
  <w:footnote w:id="844">
    <w:p>
      <w:pPr>
        <w:pStyle w:val="CaseFootnoteText"/>
      </w:pPr>
      <w:r>
        <w:rPr>
          <w:rStyle w:val="FootnoteReference"/>
        </w:rPr>
        <w:t xml:space="preserve">100  </w:t>
      </w:r>
      <w:r>
        <w:t xml:space="preserve">Letter from Joseph Grundfest to David Brown (Dec. 18, 1987), reprinted in Smith &amp; Furlow, App. F, at 184-85.</w:t>
      </w:r>
    </w:p>
  </w:footnote>
  <w:footnote w:id="845">
    <w:p>
      <w:pPr>
        <w:pStyle w:val="CaseFootnoteText"/>
      </w:pPr>
      <w:r>
        <w:rPr>
          <w:rStyle w:val="FootnoteReference"/>
        </w:rPr>
        <w:t xml:space="preserve">100  </w:t>
      </w:r>
      <w:r>
        <w:t xml:space="preserve">In the event that C &amp; J stockholders reject the merger, C &amp; J is required to pay Nabors $17 million in "fees and expenses,” regardless of whether C &amp; J engages in another transaction thereafter. Nabors Red Lion Limited Form S-4, as filed with the Securities and Exchange Commission on December 1, 2014, at 22,</w:t>
      </w:r>
      <w:r>
        <w:t xml:space="preserve"> </w:t>
      </w:r>
      <w:r>
        <w:rPr>
          <w:iCs/>
          <w:i/>
        </w:rPr>
        <w:t xml:space="preserve">available at</w:t>
      </w:r>
      <w:r>
        <w:t xml:space="preserve"> </w:t>
      </w:r>
      <w:r>
        <w:t xml:space="preserve">http://www.cjenergy. com/downloads/Nabors_Red_Lion_Limited_-_ Form_S-4_-_Amendment_4.pdf.</w:t>
      </w:r>
    </w:p>
  </w:footnote>
  <w:footnote w:id="846">
    <w:p>
      <w:pPr>
        <w:pStyle w:val="CaseFootnoteText"/>
      </w:pPr>
      <w:r>
        <w:rPr>
          <w:rStyle w:val="FootnoteReference"/>
        </w:rPr>
        <w:t xml:space="preserve">100  </w:t>
      </w:r>
      <w:r>
        <w:t xml:space="preserve"/>
      </w:r>
      <w:r>
        <w:t xml:space="preserve"> </w:t>
      </w:r>
      <w:r>
        <w:rPr>
          <w:iCs/>
          <w:i/>
        </w:rPr>
        <w:t xml:space="preserve">Id.</w:t>
      </w:r>
      <w:r>
        <w:rPr>
          <w:iCs/>
          <w:i/>
        </w:rPr>
        <w:t xml:space="preserve"> </w:t>
      </w:r>
      <w:r>
        <w:t xml:space="preserve">at 428</w:t>
      </w:r>
      <w:r>
        <w:t xml:space="preserve">.</w:t>
      </w:r>
    </w:p>
  </w:footnote>
  <w:footnote w:id="847">
    <w:p>
      <w:pPr>
        <w:pStyle w:val="CaseFootnoteText"/>
      </w:pPr>
      <w:r>
        <w:rPr>
          <w:rStyle w:val="FootnoteReference"/>
        </w:rPr>
        <w:t xml:space="preserve">101  </w:t>
      </w:r>
      <w:r>
        <w:rPr>
          <w:iCs/>
          <w:i/>
        </w:rPr>
        <w:t xml:space="preserve">Chancery Opinion</w:t>
      </w:r>
      <w:r>
        <w:t xml:space="preserve"/>
      </w:r>
      <w:r>
        <w:t xml:space="preserve">,</w:t>
      </w:r>
      <w:r>
        <w:t xml:space="preserve"> </w:t>
      </w:r>
      <w:r>
        <w:t xml:space="preserve">2018 WL 818760</w:t>
      </w:r>
      <w:r>
        <w:t xml:space="preserve">, at *49.</w:t>
      </w:r>
    </w:p>
  </w:footnote>
  <w:footnote w:id="848">
    <w:p>
      <w:pPr>
        <w:pStyle w:val="CaseFootnoteText"/>
      </w:pPr>
      <w:r>
        <w:rPr>
          <w:rStyle w:val="FootnoteReference"/>
        </w:rPr>
        <w:t xml:space="preserve">101  </w:t>
      </w:r>
      <w:r>
        <w:t xml:space="preserve"/>
      </w:r>
      <w:r>
        <w:t xml:space="preserve"> </w:t>
      </w:r>
      <w:r>
        <w:rPr>
          <w:iCs/>
          <w:i/>
        </w:rPr>
        <w:t xml:space="preserve">Statement of Joseph</w:t>
      </w:r>
      <w:r>
        <w:t xml:space="preserve"> </w:t>
      </w:r>
      <w:r>
        <w:t xml:space="preserve">A.</w:t>
      </w:r>
      <w:r>
        <w:t xml:space="preserve"> </w:t>
      </w:r>
      <w:r>
        <w:rPr>
          <w:iCs/>
          <w:i/>
        </w:rPr>
        <w:t xml:space="preserve">Grundfest before the House Judiciary Committee of the Delaware State Legislature of January 20, 1998,</w:t>
      </w:r>
      <w:r>
        <w:t xml:space="preserve"> </w:t>
      </w:r>
      <w:r>
        <w:t xml:space="preserve">reprinted in Smith</w:t>
      </w:r>
      <w:r>
        <w:t xml:space="preserve"> </w:t>
      </w:r>
      <w:r>
        <w:rPr>
          <w:iCs/>
          <w:i/>
        </w:rPr>
        <w:t xml:space="preserve">&amp;</w:t>
      </w:r>
      <w:r>
        <w:t xml:space="preserve"> </w:t>
      </w:r>
      <w:r>
        <w:t xml:space="preserve">Furlow, App. V, at 282-83 (quoting memorandum dated November 23, 1987 from Martin Lipton of Wachtell, Lipton, Rosen &amp; Katz to clients);</w:t>
      </w:r>
      <w:r>
        <w:t xml:space="preserve"> </w:t>
      </w:r>
      <w:r>
        <w:rPr>
          <w:iCs/>
          <w:i/>
        </w:rPr>
        <w:t xml:space="preserve">See also BNS v. Koppers,</w:t>
      </w:r>
      <w:r>
        <w:t xml:space="preserve"> </w:t>
      </w:r>
      <w:r>
        <w:t xml:space="preserve">683 F.Supp. at 471</w:t>
      </w:r>
      <w:r>
        <w:t xml:space="preserve">.</w:t>
      </w:r>
    </w:p>
  </w:footnote>
  <w:footnote w:id="849">
    <w:p>
      <w:pPr>
        <w:pStyle w:val="CaseFootnoteText"/>
      </w:pPr>
      <w:r>
        <w:rPr>
          <w:rStyle w:val="FootnoteReference"/>
        </w:rPr>
        <w:t xml:space="preserve">101  </w:t>
      </w:r>
      <w:r>
        <w:t xml:space="preserve"/>
      </w:r>
      <w:r>
        <w:t xml:space="preserve"> </w:t>
      </w:r>
      <w:r>
        <w:rPr>
          <w:iCs/>
          <w:i/>
        </w:rPr>
        <w:t xml:space="preserve">See Fort Howard,</w:t>
      </w:r>
      <w:r>
        <w:t xml:space="preserve"> </w:t>
      </w:r>
      <w:r>
        <w:t xml:space="preserve">1988 WL 83147</w:t>
      </w:r>
      <w:r>
        <w:t xml:space="preserve">, at *1 ("Here the Special Committee did not conduct an auction of any kind before signing an agreement of merger.... It did, however, negotiate provisions purportedly intended to permit an effective check of the market.... I have concluded that this approach was adopted in good faith and was effective to give the board an informed, dependable basis for the view that the [buyer’s] offer is the best available transaction from the point of view of the [target] shareholders.”).</w:t>
      </w:r>
    </w:p>
  </w:footnote>
  <w:footnote w:id="850">
    <w:p>
      <w:pPr>
        <w:pStyle w:val="CaseFootnoteText"/>
      </w:pPr>
      <w:r>
        <w:rPr>
          <w:rStyle w:val="FootnoteReference"/>
        </w:rPr>
        <w:t xml:space="preserve">101  </w:t>
      </w:r>
      <w:r>
        <w:t xml:space="preserve"/>
      </w:r>
      <w:r>
        <w:t xml:space="preserve"> </w:t>
      </w:r>
      <w:r>
        <w:rPr>
          <w:iCs/>
          <w:i/>
        </w:rPr>
        <w:t xml:space="preserve">See also Kahn v. Lynch Commc'n Sys., Inc.,</w:t>
      </w:r>
      <w:r>
        <w:t xml:space="preserve"> </w:t>
      </w:r>
      <w:r>
        <w:t xml:space="preserve">638 A.2d 1110</w:t>
      </w:r>
      <w:r>
        <w:t xml:space="preserve">, 1121 (Del.1994) (discussing with approval the Supreme Court’s conclusion in</w:t>
      </w:r>
      <w:r>
        <w:t xml:space="preserve"> </w:t>
      </w:r>
      <w:r>
        <w:rPr>
          <w:iCs/>
          <w:i/>
        </w:rPr>
        <w:t xml:space="preserve">Rabkin v. Philip A. Hunt Chem. Corp.</w:t>
      </w:r>
      <w:r>
        <w:t xml:space="preserve"> </w:t>
      </w:r>
      <w:r>
        <w:t xml:space="preserve">that “the majority stockholder’s ‘attitude towards the minority,’ coupled with the ‘apparent absence of any meaningful negotiations as to price,’ did not manifest the exercise of arm’s length bargaining by the independent committee’’ and that "the burden on entire fairness would not be shifted by the use of an independent committee which concluded its processes with 'what could be considered a quick surrender' to the dictated terms of the controlling shareholder.”) (citing</w:t>
      </w:r>
      <w:r>
        <w:t xml:space="preserve"> </w:t>
      </w:r>
      <w:r>
        <w:rPr>
          <w:iCs/>
          <w:i/>
        </w:rPr>
        <w:t xml:space="preserve">Rabkin v. Philip A. Hunt Chem. Corp.,</w:t>
      </w:r>
      <w:r>
        <w:t xml:space="preserve"> </w:t>
      </w:r>
      <w:r>
        <w:t xml:space="preserve">498 A.2d 1099</w:t>
      </w:r>
      <w:r>
        <w:t xml:space="preserve">, 1106 (Del.1985)).</w:t>
      </w:r>
    </w:p>
  </w:footnote>
  <w:footnote w:id="851">
    <w:p>
      <w:pPr>
        <w:pStyle w:val="CaseFootnoteText"/>
      </w:pPr>
      <w:r>
        <w:rPr>
          <w:rStyle w:val="FootnoteReference"/>
        </w:rPr>
        <w:t xml:space="preserve">102  </w:t>
      </w:r>
      <w:r>
        <w:t xml:space="preserve">Oral Argument Video at 23:24, https://livestream.com/DelawareSupremeCourt/events/8478620/videos/184937241.</w:t>
      </w:r>
    </w:p>
  </w:footnote>
  <w:footnote w:id="852">
    <w:p>
      <w:pPr>
        <w:pStyle w:val="CaseFootnoteText"/>
      </w:pPr>
      <w:r>
        <w:rPr>
          <w:rStyle w:val="FootnoteReference"/>
        </w:rPr>
        <w:t xml:space="preserve">102  </w:t>
      </w:r>
      <w:r>
        <w:t xml:space="preserve"/>
      </w:r>
      <w:r>
        <w:t xml:space="preserve"> </w:t>
      </w:r>
      <w:r>
        <w:rPr>
          <w:iCs/>
          <w:i/>
        </w:rPr>
        <w:t xml:space="preserve">BNS v. Koppers,</w:t>
      </w:r>
      <w:r>
        <w:t xml:space="preserve"> </w:t>
      </w:r>
      <w:r>
        <w:t xml:space="preserve">683 F.Supp. at 471</w:t>
      </w:r>
      <w:r>
        <w:t xml:space="preserve">.</w:t>
      </w:r>
    </w:p>
  </w:footnote>
  <w:footnote w:id="853">
    <w:p>
      <w:pPr>
        <w:pStyle w:val="CaseFootnoteText"/>
      </w:pPr>
      <w:r>
        <w:rPr>
          <w:rStyle w:val="FootnoteReference"/>
        </w:rPr>
        <w:t xml:space="preserve">102  </w:t>
      </w:r>
      <w:r>
        <w:t xml:space="preserve"/>
      </w:r>
      <w:r>
        <w:t xml:space="preserve"> </w:t>
      </w:r>
      <w:r>
        <w:rPr>
          <w:iCs/>
          <w:i/>
        </w:rPr>
        <w:t xml:space="preserve">See QVC,</w:t>
      </w:r>
      <w:r>
        <w:t xml:space="preserve"> </w:t>
      </w:r>
      <w:r>
        <w:t xml:space="preserve">637 A.2d at 41</w:t>
      </w:r>
      <w:r>
        <w:t xml:space="preserve">.</w:t>
      </w:r>
    </w:p>
  </w:footnote>
  <w:footnote w:id="854">
    <w:p>
      <w:pPr>
        <w:pStyle w:val="CaseFootnoteText"/>
      </w:pPr>
      <w:r>
        <w:rPr>
          <w:rStyle w:val="FootnoteReference"/>
        </w:rPr>
        <w:t xml:space="preserve">102  </w:t>
      </w:r>
      <w:r>
        <w:t xml:space="preserve"/>
      </w:r>
      <w:r>
        <w:t xml:space="preserve"> </w:t>
      </w:r>
      <w:r>
        <w:rPr>
          <w:iCs/>
          <w:i/>
        </w:rPr>
        <w:t xml:space="preserve">See, e.g., In re Cysive, Inc. S’holders Litig.,</w:t>
      </w:r>
      <w:r>
        <w:t xml:space="preserve"> </w:t>
      </w:r>
      <w:r>
        <w:t xml:space="preserve">836 A.2d 531</w:t>
      </w:r>
      <w:r>
        <w:t xml:space="preserve">, 548 (Del.Ch.2003) (“Because these devices are thought, however, to be useful and to incline transactions towards fairness, the</w:t>
      </w:r>
      <w:r>
        <w:t xml:space="preserve"> </w:t>
      </w:r>
      <w:r>
        <w:rPr>
          <w:iCs/>
          <w:i/>
        </w:rPr>
        <w:t xml:space="preserve">Lynch</w:t>
      </w:r>
      <w:r>
        <w:t xml:space="preserve"> </w:t>
      </w:r>
      <w:r>
        <w:t xml:space="preserve">doctrine encourages them by giving defendants the benefits of a burden shift if either one of the devices is employed.”).</w:t>
      </w:r>
    </w:p>
  </w:footnote>
  <w:footnote w:id="855">
    <w:p>
      <w:pPr>
        <w:pStyle w:val="CaseFootnoteText"/>
      </w:pPr>
      <w:r>
        <w:rPr>
          <w:rStyle w:val="FootnoteReference"/>
        </w:rPr>
        <w:t xml:space="preserve">103  </w:t>
      </w:r>
      <w:r>
        <w:rPr>
          <w:iCs/>
          <w:i/>
        </w:rPr>
        <w:t xml:space="preserve">Chancery Opinion</w:t>
      </w:r>
      <w:r>
        <w:t xml:space="preserve"/>
      </w:r>
      <w:r>
        <w:t xml:space="preserve">,</w:t>
      </w:r>
      <w:r>
        <w:t xml:space="preserve"> </w:t>
      </w:r>
      <w:r>
        <w:t xml:space="preserve">2018 WL 818760</w:t>
      </w:r>
      <w:r>
        <w:t xml:space="preserve">, at *19 ("There is some reason to think that Crestview's principals were not overly concerned with the issuances to the Small Holders because of the valuation that they placed on Oxbow. Using multiples ranging from seven to ten times EBITDA, Crestview was forecasting exit values in a sale of Oxbow from $283.34 to $452.04 per unit. Crestview generally believed that a multiple of ten times EBITDA was appropriate for Oxbow. Crestview projected that Oxbow would generate EBITDA of $566 million in 2015, supporting a potential exit at close to $560 per unit. Oxbow in fact achieved EBITDA of $571.6 million in 2011." (footnotes omitted) ).</w:t>
      </w:r>
    </w:p>
  </w:footnote>
  <w:footnote w:id="856">
    <w:p>
      <w:pPr>
        <w:pStyle w:val="CaseFootnoteText"/>
      </w:pPr>
      <w:r>
        <w:rPr>
          <w:rStyle w:val="FootnoteReference"/>
        </w:rPr>
        <w:t xml:space="preserve">103  </w:t>
      </w:r>
      <w:r>
        <w:t xml:space="preserve">Goldman &amp; McNally, § Questions and Answers (1988) (citations omitted) (emphasis added).</w:t>
      </w:r>
    </w:p>
  </w:footnote>
  <w:footnote w:id="857">
    <w:p>
      <w:pPr>
        <w:pStyle w:val="CaseFootnoteText"/>
      </w:pPr>
      <w:r>
        <w:rPr>
          <w:rStyle w:val="FootnoteReference"/>
        </w:rPr>
        <w:t xml:space="preserve">103  </w:t>
      </w:r>
      <w:r>
        <w:t xml:space="preserve">Bench Opinion at 14.</w:t>
      </w:r>
    </w:p>
  </w:footnote>
  <w:footnote w:id="858">
    <w:p>
      <w:pPr>
        <w:pStyle w:val="CaseFootnoteText"/>
      </w:pPr>
      <w:r>
        <w:rPr>
          <w:rStyle w:val="FootnoteReference"/>
        </w:rPr>
        <w:t xml:space="preserve">103  </w:t>
      </w:r>
      <w:r>
        <w:t xml:space="preserve"/>
      </w:r>
      <w:r>
        <w:t xml:space="preserve"> </w:t>
      </w:r>
      <w:r>
        <w:rPr>
          <w:iCs/>
          <w:i/>
        </w:rPr>
        <w:t xml:space="preserve">See</w:t>
      </w:r>
      <w:r>
        <w:t xml:space="preserve"> </w:t>
      </w:r>
      <w:r>
        <w:t xml:space="preserve">William T. Allen et. al.,</w:t>
      </w:r>
      <w:r>
        <w:t xml:space="preserve"> </w:t>
      </w:r>
      <w:r>
        <w:rPr>
          <w:iCs/>
          <w:i/>
        </w:rPr>
        <w:t xml:space="preserve">Function Over Form: A Reassessment of Standards of Review in Delaware Corporation Law,</w:t>
      </w:r>
      <w:r>
        <w:t xml:space="preserve"> </w:t>
      </w:r>
      <w:r>
        <w:t xml:space="preserve">56 Bus. L. 1287, 1297 (2001) (explaining that standards of review should be functional, in that they should serve as a "useful tool that aids the court in deciding the fiduciary duty issue” rather than merely "signal the result or outcome.”).</w:t>
      </w:r>
    </w:p>
  </w:footnote>
  <w:footnote w:id="859">
    <w:p>
      <w:pPr>
        <w:pStyle w:val="CaseFootnoteText"/>
      </w:pPr>
      <w:r>
        <w:rPr>
          <w:rStyle w:val="FootnoteReference"/>
        </w:rPr>
        <w:t xml:space="preserve">104  </w:t>
      </w:r>
      <w:r>
        <w:rPr>
          <w:iCs/>
          <w:i/>
        </w:rPr>
        <w:t xml:space="preserve">Id.</w:t>
      </w:r>
      <w:r>
        <w:t xml:space="preserve"/>
      </w:r>
      <w:r>
        <w:t xml:space="preserve">at *20 ("Despite not satisfying these formal requirements, everyone treated the Small Holders as members.").</w:t>
      </w:r>
    </w:p>
  </w:footnote>
  <w:footnote w:id="860">
    <w:p>
      <w:pPr>
        <w:pStyle w:val="CaseFootnoteText"/>
      </w:pPr>
      <w:r>
        <w:rPr>
          <w:rStyle w:val="FootnoteReference"/>
        </w:rPr>
        <w:t xml:space="preserve">104  </w:t>
      </w:r>
      <w:r>
        <w:t xml:space="preserve"/>
      </w:r>
      <w:r>
        <w:t xml:space="preserve"> </w:t>
      </w:r>
      <w:r>
        <w:rPr>
          <w:iCs/>
          <w:i/>
        </w:rPr>
        <w:t xml:space="preserve">See</w:t>
      </w:r>
      <w:r>
        <w:t xml:space="preserve"> </w:t>
      </w:r>
      <w:r>
        <w:t xml:space="preserve">Goldman &amp; McNally, Exec. Summ. § 2.</w:t>
      </w:r>
    </w:p>
  </w:footnote>
  <w:footnote w:id="861">
    <w:p>
      <w:pPr>
        <w:pStyle w:val="CaseFootnoteText"/>
      </w:pPr>
      <w:r>
        <w:rPr>
          <w:rStyle w:val="FootnoteReference"/>
        </w:rPr>
        <w:t xml:space="preserve">104  </w:t>
      </w:r>
      <w:r>
        <w:t xml:space="preserve"/>
      </w:r>
      <w:r>
        <w:t xml:space="preserve"> </w:t>
      </w:r>
      <w:r>
        <w:rPr>
          <w:iCs/>
          <w:i/>
        </w:rPr>
        <w:t xml:space="preserve">See</w:t>
      </w:r>
      <w:r>
        <w:t xml:space="preserve"> </w:t>
      </w:r>
      <w:r>
        <w:t xml:space="preserve">note 88</w:t>
      </w:r>
      <w:r>
        <w:t xml:space="preserve"> </w:t>
      </w:r>
      <w:r>
        <w:rPr>
          <w:iCs/>
          <w:i/>
        </w:rPr>
        <w:t xml:space="preserve">supra.</w:t>
      </w:r>
    </w:p>
  </w:footnote>
  <w:footnote w:id="862">
    <w:p>
      <w:pPr>
        <w:pStyle w:val="CaseFootnoteText"/>
      </w:pPr>
      <w:r>
        <w:rPr>
          <w:rStyle w:val="FootnoteReference"/>
        </w:rPr>
        <w:t xml:space="preserve">104  </w:t>
      </w:r>
      <w:r>
        <w:t xml:space="preserve">Obviously, if a more important shift was contingent upon this factor, the cost-benefit analysis would be closer. In part for that reason and, as importantly, because the role of an independent negotiating agent is different from that of an approving principal (to use economic, not legal concepts),</w:t>
      </w:r>
      <w:r>
        <w:t xml:space="preserve"> </w:t>
      </w:r>
      <w:r>
        <w:rPr>
          <w:iCs/>
          <w:i/>
        </w:rPr>
        <w:t xml:space="preserve">see In re John Q. Hammons Hotels Inc. S’holder Litig.,</w:t>
      </w:r>
      <w:r>
        <w:t xml:space="preserve"> </w:t>
      </w:r>
      <w:r>
        <w:t xml:space="preserve">2009 WL 3165613</w:t>
      </w:r>
      <w:r>
        <w:t xml:space="preserve">, at *12 (Del.Ch. Oct. 2, 2009);</w:t>
      </w:r>
      <w:r>
        <w:t xml:space="preserve"> </w:t>
      </w:r>
      <w:r>
        <w:rPr>
          <w:iCs/>
          <w:i/>
        </w:rPr>
        <w:t xml:space="preserve">In re Cox Commc’ns, Inc. S’holders Litig.,</w:t>
      </w:r>
      <w:r>
        <w:t xml:space="preserve"> </w:t>
      </w:r>
      <w:r>
        <w:t xml:space="preserve">879 A.2d 604</w:t>
      </w:r>
      <w:r>
        <w:t xml:space="preserve">, 645 (Del.Ch.2005), and because our statute often contemplates both the requirements of board and stockholder approval in third-party mergers, 8</w:t>
      </w:r>
      <w:r>
        <w:t xml:space="preserve"> </w:t>
      </w:r>
      <w:r>
        <w:rPr>
          <w:iCs/>
          <w:i/>
        </w:rPr>
        <w:t xml:space="preserve">Del. C.</w:t>
      </w:r>
      <w:r>
        <w:t xml:space="preserve"> </w:t>
      </w:r>
      <w:r>
        <w:t xml:space="preserve">§ 251, I am more comfortable according business judgment rule standard of review treatment to an interested transaction only if a transaction is contingent in advance on both: i) the negotiation, approval and veto authority of an independent board majority or special committee; and ii) the approval of a majority of the uncoerced, fully informed, and disinterested stockholders.</w:t>
      </w:r>
      <w:r>
        <w:t xml:space="preserve"> </w:t>
      </w:r>
      <w:r>
        <w:rPr>
          <w:iCs/>
          <w:i/>
        </w:rPr>
        <w:t xml:space="preserve">In re Cox Commc’ns, Inc. S’holders Litig.,</w:t>
      </w:r>
      <w:r>
        <w:t xml:space="preserve"> </w:t>
      </w:r>
      <w:r>
        <w:t xml:space="preserve">879 A.2d at 643</w:t>
      </w:r>
      <w:r>
        <w:t xml:space="preserve"> </w:t>
      </w:r>
      <w:r>
        <w:t xml:space="preserve">(noting that such an alteration would "mirro[r] what is contemplated in an arms-length merger under § 251 — independent, disinterested director</w:t>
      </w:r>
      <w:r>
        <w:t xml:space="preserve"> </w:t>
      </w:r>
      <w:r>
        <w:rPr>
          <w:iCs/>
          <w:i/>
        </w:rPr>
        <w:t xml:space="preserve">and</w:t>
      </w:r>
      <w:r>
        <w:t xml:space="preserve"> </w:t>
      </w:r>
      <w:r>
        <w:t xml:space="preserve">stockholder approval.”) (footnote omitted). Absent the assurance that the stockholders themselves have the opportunity to turn down the transaction freely, the costs of such a move would seem to outweigh the benefits. With a standard that would systemically encourage both the employment of an active independent negotiating agent and the empowerment of disinterested stockholders to protect themselves and hold those agents accountable, the benefits to investors could be considerable and there would be a better chance to focus litigation on those transactions that are most questionable, which would also make the cost-benefit ratio of the representative litigation process better for diversified investors.</w:t>
      </w:r>
      <w:r>
        <w:t xml:space="preserve"> </w:t>
      </w:r>
      <w:r>
        <w:rPr>
          <w:iCs/>
          <w:i/>
        </w:rPr>
        <w:t xml:space="preserve">See</w:t>
      </w:r>
      <w:r>
        <w:rPr>
          <w:iCs/>
          <w:i/>
        </w:rPr>
        <w:t xml:space="preserve"> </w:t>
      </w:r>
      <w:r>
        <w:rPr>
          <w:iCs/>
          <w:i/>
        </w:rPr>
        <w:t xml:space="preserve">id.</w:t>
      </w:r>
      <w:r>
        <w:rPr>
          <w:iCs/>
          <w:i/>
        </w:rPr>
        <w:t xml:space="preserve"> </w:t>
      </w:r>
      <w:r>
        <w:t xml:space="preserve">at 643-45</w:t>
      </w:r>
      <w:r>
        <w:t xml:space="preserve"> </w:t>
      </w:r>
      <w:r>
        <w:t xml:space="preserve">(discussing how this reform would eliminate perverse litigation incentives and "encourage the filing of claims only by plaintiffs and plaintiffs' lawyers who genuinely believed that a wrong had been committed.”).</w:t>
      </w:r>
    </w:p>
  </w:footnote>
  <w:footnote w:id="863">
    <w:p>
      <w:pPr>
        <w:pStyle w:val="CaseFootnoteText"/>
      </w:pPr>
      <w:r>
        <w:rPr>
          <w:rStyle w:val="FootnoteReference"/>
        </w:rPr>
        <w:t xml:space="preserve">105  </w:t>
      </w:r>
      <w:r>
        <w:rPr>
          <w:iCs/>
          <w:i/>
        </w:rPr>
        <w:t xml:space="preserve">See</w:t>
      </w:r>
      <w:r>
        <w:t xml:space="preserve"/>
      </w:r>
      <w:r>
        <w:rPr>
          <w:iCs/>
          <w:i/>
        </w:rPr>
        <w:t xml:space="preserve">id.</w:t>
      </w:r>
      <w:r>
        <w:t xml:space="preserve"> </w:t>
      </w:r>
      <w:r>
        <w:t xml:space="preserve">at *50 ("[The Minority Members] received their share of the Small Holders' capital contributions when Oxbow distributed them, and all distributions since then have included the Small Holders. Oxbow's financial statements, and presumably its tax returns, have all reflected an ownership structure in which the Small Holders were members. It would be unfairly prejudicial to permit a belated challenge to their status as members to go forward at this point. Laches bars the Minority Members' objection to the status of the Small Holders as members.").</w:t>
      </w:r>
    </w:p>
  </w:footnote>
  <w:footnote w:id="864">
    <w:p>
      <w:pPr>
        <w:pStyle w:val="CaseFootnoteText"/>
      </w:pPr>
      <w:r>
        <w:rPr>
          <w:rStyle w:val="FootnoteReference"/>
        </w:rPr>
        <w:t xml:space="preserve">105  </w:t>
      </w:r>
      <w:r>
        <w:t xml:space="preserve"/>
      </w:r>
      <w:r>
        <w:t xml:space="preserve"> </w:t>
      </w:r>
      <w:r>
        <w:rPr>
          <w:iCs/>
          <w:i/>
        </w:rPr>
        <w:t xml:space="preserve">See</w:t>
      </w:r>
      <w:r>
        <w:t xml:space="preserve"> </w:t>
      </w:r>
      <w:r>
        <w:t xml:space="preserve">Goldman &amp; McNally, Exec. Summ. § 4(b).</w:t>
      </w:r>
    </w:p>
  </w:footnote>
  <w:footnote w:id="865">
    <w:p>
      <w:pPr>
        <w:pStyle w:val="CaseFootnoteText"/>
      </w:pPr>
      <w:r>
        <w:rPr>
          <w:rStyle w:val="FootnoteReference"/>
        </w:rPr>
        <w:t xml:space="preserve">105  </w:t>
      </w:r>
      <w:r>
        <w:t xml:space="preserve">Bench Opinion at 14. Much of the information that the plaintiffs point to as evidence of the board's breach of its fiduciary duties was disclosed to the stockholders in publically available documents. As just one example, the details of Citi’s relationship with Nabors was disclosed in the Form S-4 Registration Statement.</w:t>
      </w:r>
      <w:r>
        <w:t xml:space="preserve"> </w:t>
      </w:r>
      <w:r>
        <w:rPr>
          <w:iCs/>
          <w:i/>
        </w:rPr>
        <w:t xml:space="preserve">See</w:t>
      </w:r>
      <w:r>
        <w:t xml:space="preserve"> </w:t>
      </w:r>
      <w:r>
        <w:t xml:space="preserve">Nabors Red Lion Limited Form S-4, as filed with the Securities and Exchange Commission on December 1, 2014,</w:t>
      </w:r>
      <w:r>
        <w:t xml:space="preserve"> </w:t>
      </w:r>
      <w:r>
        <w:rPr>
          <w:iCs/>
          <w:i/>
        </w:rPr>
        <w:t xml:space="preserve">available at</w:t>
      </w:r>
      <w:r>
        <w:t xml:space="preserve"> </w:t>
      </w:r>
      <w:r>
        <w:t xml:space="preserve">http://www.cjenergy.com/ downloads/Nabors_Red_Lion_Limited_-_ Fonn_S-4_-_Amendment_4.pdf. And the plaintiffs have not challenged the adequacy of the disclosures on appeal.</w:t>
      </w:r>
    </w:p>
  </w:footnote>
  <w:footnote w:id="866">
    <w:p>
      <w:pPr>
        <w:pStyle w:val="CaseFootnoteText"/>
      </w:pPr>
      <w:r>
        <w:rPr>
          <w:rStyle w:val="FootnoteReference"/>
        </w:rPr>
        <w:t xml:space="preserve">105  </w:t>
      </w:r>
      <w:r>
        <w:t xml:space="preserve"/>
      </w:r>
      <w:r>
        <w:t xml:space="preserve"> </w:t>
      </w:r>
      <w:r>
        <w:rPr>
          <w:iCs/>
          <w:i/>
        </w:rPr>
        <w:t xml:space="preserve">See In re Cysive, Inc. S’holders Litig.,</w:t>
      </w:r>
      <w:r>
        <w:t xml:space="preserve"> </w:t>
      </w:r>
      <w:r>
        <w:t xml:space="preserve">836 A.2d at 548-49</w:t>
      </w:r>
      <w:r>
        <w:t xml:space="preserve"> </w:t>
      </w:r>
      <w:r>
        <w:t xml:space="preserve">(explaining why this more searching approach tends to conflate the burden-shifting analysis with that of procedural fairness).</w:t>
      </w:r>
    </w:p>
  </w:footnote>
  <w:footnote w:id="867">
    <w:p>
      <w:pPr>
        <w:pStyle w:val="CaseFootnoteText"/>
      </w:pPr>
      <w:r>
        <w:rPr>
          <w:rStyle w:val="FootnoteReference"/>
        </w:rPr>
        <w:t xml:space="preserve">106  </w:t>
      </w:r>
      <w:r>
        <w:rPr>
          <w:iCs/>
          <w:i/>
        </w:rPr>
        <w:t xml:space="preserve">Id.</w:t>
      </w:r>
      <w:r>
        <w:t xml:space="preserve"/>
      </w:r>
      <w:r>
        <w:t xml:space="preserve">at *50-56 ("The practical result of these provisions when read together is to mandate the Highest Amount Interpretation. [If] an Exit Sale does not satisfy the 1.5x Clause for any member, then it cannot proceed. To satisfy the 1.5x Clause for all members and to pay all members the same consideration, the Exit Sale must provide all members with the highest amount necessary to satisfy the 1.5x Clause for any member.").</w:t>
      </w:r>
    </w:p>
  </w:footnote>
  <w:footnote w:id="868">
    <w:p>
      <w:pPr>
        <w:pStyle w:val="CaseFootnoteText"/>
      </w:pPr>
      <w:r>
        <w:rPr>
          <w:rStyle w:val="FootnoteReference"/>
        </w:rPr>
        <w:t xml:space="preserve">106  </w:t>
      </w:r>
      <w:r>
        <w:t xml:space="preserve">The Court notes that § 203 in no way forecloses all possible avenues for an interested shareholder with a large amount of voting power to assert its will over a corporation. Goldman and McNally name six paths that remain open, including a proxy contest to elect directors of that shareholder's own choosing. They noted that § 203:</w:t>
      </w:r>
    </w:p>
    <w:p>
      <w:pPr>
        <w:pStyle w:val="BlockText"/>
      </w:pPr>
      <w:r>
        <w:t xml:space="preserve">(a) Does not interfere with any right of an interested stockholder to make a tender offer directly to the stockholders.</w:t>
      </w:r>
    </w:p>
    <w:p>
      <w:pPr>
        <w:pStyle w:val="BlockText"/>
      </w:pPr>
      <w:r>
        <w:t xml:space="preserve">(b) Does not interfere with market purchases of additional shares by an interested stockholder.</w:t>
      </w:r>
    </w:p>
    <w:p>
      <w:pPr>
        <w:pStyle w:val="BlockText"/>
      </w:pPr>
      <w:r>
        <w:t xml:space="preserve">(c) Does not prevent an interested stockholder from electing its own board of directors.</w:t>
      </w:r>
    </w:p>
    <w:p>
      <w:pPr>
        <w:pStyle w:val="BlockText"/>
      </w:pPr>
      <w:r>
        <w:t xml:space="preserve">(d) Does not interfere with a proxy contest by an interested stockholder to elect a board of directors.</w:t>
      </w:r>
    </w:p>
    <w:p>
      <w:pPr>
        <w:pStyle w:val="BlockText"/>
      </w:pPr>
      <w:r>
        <w:t xml:space="preserve">(e) Does not prevent an interested stockholder who has attained control of a target from carrying on the company’s business in an ordinary manner or from entering into a merger or other business combination so long as it is with unrelated parties.</w:t>
      </w:r>
    </w:p>
    <w:p>
      <w:pPr>
        <w:pStyle w:val="CaseFootnoteText"/>
      </w:pPr>
      <w:r>
        <w:t xml:space="preserve">Goldman &amp; McNally, Exec. Summ. § 3 (quoted in 1 Balotti &amp; Finkelstein, at § 6.16).</w:t>
      </w:r>
    </w:p>
  </w:footnote>
  <w:footnote w:id="869">
    <w:p>
      <w:pPr>
        <w:pStyle w:val="CaseFootnoteText"/>
      </w:pPr>
      <w:r>
        <w:rPr>
          <w:rStyle w:val="FootnoteReference"/>
        </w:rPr>
        <w:t xml:space="preserve">106  </w:t>
      </w:r>
      <w:r>
        <w:t xml:space="preserve">Injunction Order.</w:t>
      </w:r>
    </w:p>
  </w:footnote>
  <w:footnote w:id="870">
    <w:p>
      <w:pPr>
        <w:pStyle w:val="CaseFootnoteText"/>
      </w:pPr>
      <w:r>
        <w:rPr>
          <w:rStyle w:val="FootnoteReference"/>
        </w:rPr>
        <w:t xml:space="preserve">106  </w:t>
      </w:r>
      <w:r>
        <w:t xml:space="preserve"/>
      </w:r>
      <w:r>
        <w:t xml:space="preserve"> </w:t>
      </w:r>
      <w:r>
        <w:rPr>
          <w:iCs/>
          <w:i/>
        </w:rPr>
        <w:t xml:space="preserve">See</w:t>
      </w:r>
      <w:r>
        <w:t xml:space="preserve"> </w:t>
      </w:r>
      <w:r>
        <w:t xml:space="preserve">Allen et. al.,</w:t>
      </w:r>
      <w:r>
        <w:t xml:space="preserve"> </w:t>
      </w:r>
      <w:r>
        <w:rPr>
          <w:iCs/>
          <w:i/>
        </w:rPr>
        <w:t xml:space="preserve">supra</w:t>
      </w:r>
      <w:r>
        <w:rPr>
          <w:iCs/>
          <w:i/>
        </w:rPr>
        <w:t xml:space="preserve"> </w:t>
      </w:r>
      <w:r>
        <w:t xml:space="preserve">note 103</w:t>
      </w:r>
      <w:r>
        <w:t xml:space="preserve">, at 1297-98.</w:t>
      </w:r>
    </w:p>
  </w:footnote>
  <w:footnote w:id="871">
    <w:p>
      <w:pPr>
        <w:pStyle w:val="CaseFootnoteText"/>
      </w:pPr>
      <w:r>
        <w:rPr>
          <w:rStyle w:val="FootnoteReference"/>
        </w:rPr>
        <w:t xml:space="preserve">107  </w:t>
      </w:r>
      <w:r>
        <w:rPr>
          <w:iCs/>
          <w:i/>
        </w:rPr>
        <w:t xml:space="preserve">Nemec</w:t>
      </w:r>
      <w:r>
        <w:t xml:space="preserve"/>
      </w:r>
      <w:r>
        <w:t xml:space="preserve">,</w:t>
      </w:r>
      <w:r>
        <w:t xml:space="preserve"> </w:t>
      </w:r>
      <w:r>
        <w:t xml:space="preserve">991 A.2d at 1125</w:t>
      </w:r>
      <w:r>
        <w:t xml:space="preserve"> </w:t>
      </w:r>
      <w:r>
        <w:t xml:space="preserve">(quotation omitted).</w:t>
      </w:r>
    </w:p>
  </w:footnote>
  <w:footnote w:id="872">
    <w:p>
      <w:pPr>
        <w:pStyle w:val="CaseFootnoteText"/>
      </w:pPr>
      <w:r>
        <w:rPr>
          <w:rStyle w:val="FootnoteReference"/>
        </w:rPr>
        <w:t xml:space="preserve">107  </w:t>
      </w:r>
      <w:r>
        <w:t xml:space="preserve"/>
      </w:r>
      <w:r>
        <w:t xml:space="preserve"> </w:t>
      </w:r>
      <w:r>
        <w:rPr>
          <w:iCs/>
          <w:i/>
        </w:rPr>
        <w:t xml:space="preserve">See, e.g., Providence &amp; Worcester Co. v. Baker,</w:t>
      </w:r>
      <w:r>
        <w:t xml:space="preserve"> </w:t>
      </w:r>
      <w:r>
        <w:t xml:space="preserve">Del.Supr.,</w:t>
      </w:r>
      <w:r>
        <w:t xml:space="preserve"> </w:t>
      </w:r>
      <w:r>
        <w:t xml:space="preserve">378 A.2d 121</w:t>
      </w:r>
      <w:r>
        <w:t xml:space="preserve"> </w:t>
      </w:r>
      <w:r>
        <w:t xml:space="preserve">(1977).</w:t>
      </w:r>
    </w:p>
  </w:footnote>
  <w:footnote w:id="873">
    <w:p>
      <w:pPr>
        <w:pStyle w:val="CaseFootnoteText"/>
      </w:pPr>
      <w:r>
        <w:rPr>
          <w:rStyle w:val="FootnoteReference"/>
        </w:rPr>
        <w:t xml:space="preserve">107  </w:t>
      </w:r>
      <w:r>
        <w:t xml:space="preserve">Donald J. Wolfe, Jr. &amp; Michael A. Pitten-ger. Corporate and Commercial Practice in the Delaware Court of Chancery, § 10-2(b)[6] at 10-39 (2001) (quoting</w:t>
      </w:r>
      <w:r>
        <w:t xml:space="preserve"> </w:t>
      </w:r>
      <w:r>
        <w:rPr>
          <w:iCs/>
          <w:i/>
        </w:rPr>
        <w:t xml:space="preserve">Stahl v. Apple Bancorp, Inc.,</w:t>
      </w:r>
      <w:r>
        <w:t xml:space="preserve"> </w:t>
      </w:r>
      <w:r>
        <w:t xml:space="preserve">579 A.2d 1115</w:t>
      </w:r>
      <w:r>
        <w:t xml:space="preserve">, 1120 (Del. Ch.1990));</w:t>
      </w:r>
      <w:r>
        <w:t xml:space="preserve"> </w:t>
      </w:r>
      <w:r>
        <w:rPr>
          <w:iCs/>
          <w:i/>
        </w:rPr>
        <w:t xml:space="preserve">see also Steiner v. Simmons,</w:t>
      </w:r>
      <w:r>
        <w:t xml:space="preserve"> </w:t>
      </w:r>
      <w:r>
        <w:t xml:space="preserve">111 A.2d 574</w:t>
      </w:r>
      <w:r>
        <w:t xml:space="preserve">, 575 (Del.1955) ("[I]t is a well settled principle of equity that a preliminary mandatory injunction will not issue unless the legal right to be protected is clearly established.”);</w:t>
      </w:r>
      <w:r>
        <w:t xml:space="preserve"> </w:t>
      </w:r>
      <w:r>
        <w:rPr>
          <w:iCs/>
          <w:i/>
        </w:rPr>
        <w:t xml:space="preserve">Tebo v. Hazel,</w:t>
      </w:r>
      <w:r>
        <w:t xml:space="preserve"> </w:t>
      </w:r>
      <w:r>
        <w:t xml:space="preserve">38 Del.Ch. 116</w:t>
      </w:r>
      <w:r>
        <w:t xml:space="preserve">, 127,</w:t>
      </w:r>
      <w:r>
        <w:t xml:space="preserve"> </w:t>
      </w:r>
      <w:r>
        <w:t xml:space="preserve">74 A. 841</w:t>
      </w:r>
      <w:r>
        <w:t xml:space="preserve"> </w:t>
      </w:r>
      <w:r>
        <w:t xml:space="preserve">(1909) (collecting cases that stand for the proposition that "a mandatory injunction, or one- which commands the defendant to do some positive act, will not be ordered, except upon a final hearing, and then only to execute the decree or judgment of the court, and never on a preliminary or interlocutory motion”) (internal quotation omitted);</w:t>
      </w:r>
      <w:r>
        <w:t xml:space="preserve"> </w:t>
      </w:r>
      <w:r>
        <w:rPr>
          <w:iCs/>
          <w:i/>
        </w:rPr>
        <w:t xml:space="preserve">El Paso,</w:t>
      </w:r>
      <w:r>
        <w:t xml:space="preserve"> </w:t>
      </w:r>
      <w:r>
        <w:t xml:space="preserve">41 A.3d at 449-51</w:t>
      </w:r>
      <w:r>
        <w:t xml:space="preserve"> </w:t>
      </w:r>
      <w:r>
        <w:t xml:space="preserve">(holding that mandatory injunctive relief is "not a traditional negative injunction that can be done without an evidentiary hearing or undisputed facts”);</w:t>
      </w:r>
      <w:r>
        <w:t xml:space="preserve"> </w:t>
      </w:r>
      <w:r>
        <w:rPr>
          <w:iCs/>
          <w:i/>
        </w:rPr>
        <w:t xml:space="preserve">NACCO Indus., Inc. v. Applica Inc.,</w:t>
      </w:r>
      <w:r>
        <w:t xml:space="preserve"> </w:t>
      </w:r>
      <w:r>
        <w:t xml:space="preserve">997 A.2d 1</w:t>
      </w:r>
      <w:r>
        <w:t xml:space="preserve">, 31 (Del. Ch.2009);</w:t>
      </w:r>
      <w:r>
        <w:t xml:space="preserve"> </w:t>
      </w:r>
      <w:r>
        <w:rPr>
          <w:iCs/>
          <w:i/>
        </w:rPr>
        <w:t xml:space="preserve">Toys "R" Us,</w:t>
      </w:r>
      <w:r>
        <w:t xml:space="preserve"> </w:t>
      </w:r>
      <w:r>
        <w:t xml:space="preserve">877 A.2d at 1022-23</w:t>
      </w:r>
      <w:r>
        <w:t xml:space="preserve"> </w:t>
      </w:r>
      <w:r>
        <w:t xml:space="preserve">(“To grant that sort of mandatory relief would ... be inappropriate on disputed facts, and plaintiffs who seek such relief should move promptly, not for a preliminary injunction hearing, but for an expedited trial.");</w:t>
      </w:r>
      <w:r>
        <w:t xml:space="preserve"> </w:t>
      </w:r>
      <w:r>
        <w:rPr>
          <w:iCs/>
          <w:i/>
        </w:rPr>
        <w:t xml:space="preserve">City Capital Associates Ltd. Partnership v. Interco, Inc.,</w:t>
      </w:r>
      <w:r>
        <w:t xml:space="preserve"> </w:t>
      </w:r>
      <w:r>
        <w:t xml:space="preserve">551 A.2d 787</w:t>
      </w:r>
      <w:r>
        <w:t xml:space="preserve">, 795 (Del. Ch.1988) ("[Affirmative] relief ought not be awarded at this time unless plaintiffs can show that it is warranted based upon facts that are not legitimately in dispute.”).</w:t>
      </w:r>
    </w:p>
  </w:footnote>
  <w:footnote w:id="874">
    <w:p>
      <w:pPr>
        <w:pStyle w:val="CaseFootnoteText"/>
      </w:pPr>
      <w:r>
        <w:rPr>
          <w:rStyle w:val="FootnoteReference"/>
        </w:rPr>
        <w:t xml:space="preserve">107  </w:t>
      </w:r>
      <w:r>
        <w:t xml:space="preserve"/>
      </w:r>
      <w:r>
        <w:t xml:space="preserve"> </w:t>
      </w:r>
      <w:r>
        <w:rPr>
          <w:iCs/>
          <w:i/>
        </w:rPr>
        <w:t xml:space="preserve">Cf. In re Cysive, Inc. S'holders Litig.,</w:t>
      </w:r>
      <w:r>
        <w:t xml:space="preserve"> </w:t>
      </w:r>
      <w:r>
        <w:t xml:space="preserve">836 A.2d at 549</w:t>
      </w:r>
      <w:r>
        <w:t xml:space="preserve"> </w:t>
      </w:r>
      <w:r>
        <w:t xml:space="preserve">(noting that "it is unsurprising that few defendants have sought a pre-trial hearing to determine who bears the burden of persuasion on fairness” given "the factually intense nature of the burden-shifting inquiry” and the "modest benefit” gained from the shift).</w:t>
      </w:r>
    </w:p>
  </w:footnote>
  <w:footnote w:id="875">
    <w:p>
      <w:pPr>
        <w:pStyle w:val="CaseFootnoteText"/>
      </w:pPr>
      <w:r>
        <w:rPr>
          <w:rStyle w:val="FootnoteReference"/>
        </w:rPr>
        <w:t xml:space="preserve">108  </w:t>
      </w:r>
      <w:r>
        <w:rPr>
          <w:iCs/>
          <w:i/>
        </w:rPr>
        <w:t xml:space="preserve">Dunlap v. State Farm Fire and Cas. Co.</w:t>
      </w:r>
      <w:r>
        <w:t xml:space="preserve"/>
      </w:r>
      <w:r>
        <w:t xml:space="preserve">,</w:t>
      </w:r>
      <w:r>
        <w:t xml:space="preserve"> </w:t>
      </w:r>
      <w:r>
        <w:t xml:space="preserve">878 A.2d 434</w:t>
      </w:r>
      <w:r>
        <w:t xml:space="preserve">, 441 (Del. 2005) (quoting</w:t>
      </w:r>
      <w:r>
        <w:t xml:space="preserve"> </w:t>
      </w:r>
      <w:r>
        <w:rPr>
          <w:iCs/>
          <w:i/>
        </w:rPr>
        <w:t xml:space="preserve">E.I. DuPont de Nemours &amp; Co. v. Pressman</w:t>
      </w:r>
      <w:r>
        <w:t xml:space="preserve"> </w:t>
      </w:r>
      <w:r>
        <w:t xml:space="preserve">,</w:t>
      </w:r>
      <w:r>
        <w:t xml:space="preserve"> </w:t>
      </w:r>
      <w:r>
        <w:t xml:space="preserve">679 A.2d 436</w:t>
      </w:r>
      <w:r>
        <w:t xml:space="preserve">, 443 (Del. 1996) ).</w:t>
      </w:r>
    </w:p>
  </w:footnote>
  <w:footnote w:id="876">
    <w:p>
      <w:pPr>
        <w:pStyle w:val="CaseFootnoteText"/>
      </w:pPr>
      <w:r>
        <w:rPr>
          <w:rStyle w:val="FootnoteReference"/>
        </w:rPr>
        <w:t xml:space="preserve">108  </w:t>
      </w:r>
      <w:r>
        <w:t xml:space="preserve"/>
      </w:r>
      <w:r>
        <w:t xml:space="preserve"> </w:t>
      </w:r>
      <w:r>
        <w:rPr>
          <w:iCs/>
          <w:i/>
        </w:rPr>
        <w:t xml:space="preserve">See, e.g., Williams v. Geier,</w:t>
      </w:r>
      <w:r>
        <w:t xml:space="preserve"> </w:t>
      </w:r>
      <w:r>
        <w:t xml:space="preserve">Del.Supr.,</w:t>
      </w:r>
      <w:r>
        <w:t xml:space="preserve"> </w:t>
      </w:r>
      <w:r>
        <w:t xml:space="preserve">671 A.2d 1368</w:t>
      </w:r>
      <w:r>
        <w:t xml:space="preserve"> </w:t>
      </w:r>
      <w:r>
        <w:t xml:space="preserve">(1996) (holders of common stock on record date would receive ten votes per share, and upon sale or other transfer, each share would revert to one vote per share status until that share was held by its owner for three years).</w:t>
      </w:r>
    </w:p>
  </w:footnote>
  <w:footnote w:id="877">
    <w:p>
      <w:pPr>
        <w:pStyle w:val="CaseFootnoteText"/>
      </w:pPr>
      <w:r>
        <w:rPr>
          <w:rStyle w:val="FootnoteReference"/>
        </w:rPr>
        <w:t xml:space="preserve">108  </w:t>
      </w:r>
      <w:r>
        <w:t xml:space="preserve">Injunction Order.</w:t>
      </w:r>
    </w:p>
  </w:footnote>
  <w:footnote w:id="878">
    <w:p>
      <w:pPr>
        <w:pStyle w:val="CaseFootnoteText"/>
      </w:pPr>
      <w:r>
        <w:rPr>
          <w:rStyle w:val="FootnoteReference"/>
        </w:rPr>
        <w:t xml:space="preserve">108  </w:t>
      </w:r>
      <w:r>
        <w:t xml:space="preserve"/>
      </w:r>
      <w:r>
        <w:t xml:space="preserve"> </w:t>
      </w:r>
      <w:r>
        <w:rPr>
          <w:iCs/>
          <w:i/>
        </w:rPr>
        <w:t xml:space="preserve">See</w:t>
      </w:r>
      <w:r>
        <w:t xml:space="preserve"> </w:t>
      </w:r>
      <w:r>
        <w:t xml:space="preserve">Allen et. al.,</w:t>
      </w:r>
      <w:r>
        <w:t xml:space="preserve"> </w:t>
      </w:r>
      <w:r>
        <w:rPr>
          <w:iCs/>
          <w:i/>
        </w:rPr>
        <w:t xml:space="preserve">supra</w:t>
      </w:r>
      <w:r>
        <w:rPr>
          <w:iCs/>
          <w:i/>
        </w:rPr>
        <w:t xml:space="preserve"> </w:t>
      </w:r>
      <w:r>
        <w:t xml:space="preserve">note 103</w:t>
      </w:r>
      <w:r>
        <w:t xml:space="preserve">, at 1303-04 n. 63 (noting the practical problems litigants face when the burden of proof they are forced to bear is not made clear until after the trial);</w:t>
      </w:r>
      <w:r>
        <w:t xml:space="preserve"> </w:t>
      </w:r>
      <w:r>
        <w:rPr>
          <w:iCs/>
          <w:i/>
        </w:rPr>
        <w:t xml:space="preserve">cf. In re Cysive, Inc. S’holders Litig.,</w:t>
      </w:r>
      <w:r>
        <w:t xml:space="preserve"> </w:t>
      </w:r>
      <w:r>
        <w:t xml:space="preserve">836 A.2d at 549</w:t>
      </w:r>
      <w:r>
        <w:t xml:space="preserve"> </w:t>
      </w:r>
      <w:r>
        <w:t xml:space="preserve">("[I]n order to prove that a burden shift occurred because of an effective special committee, the defendants must present evidence of a fair process. Because they must present this affirmatively, they have to act like they have the burden of persuasion throughout the entire trial court process.”).</w:t>
      </w:r>
    </w:p>
  </w:footnote>
  <w:footnote w:id="879">
    <w:p>
      <w:pPr>
        <w:pStyle w:val="CaseFootnoteText"/>
      </w:pPr>
      <w:r>
        <w:rPr>
          <w:rStyle w:val="FootnoteReference"/>
        </w:rPr>
        <w:t xml:space="preserve">109  </w:t>
      </w:r>
      <w:r>
        <w:rPr>
          <w:iCs/>
          <w:i/>
        </w:rPr>
        <w:t xml:space="preserve">Nemec</w:t>
      </w:r>
      <w:r>
        <w:t xml:space="preserve"/>
      </w:r>
      <w:r>
        <w:t xml:space="preserve">,</w:t>
      </w:r>
      <w:r>
        <w:t xml:space="preserve"> </w:t>
      </w:r>
      <w:r>
        <w:t xml:space="preserve">991 A.2d at 1128</w:t>
      </w:r>
      <w:r>
        <w:t xml:space="preserve">. The trial court's opinion suggests a use of the implied covenant to correct what it viewed as an extreme, harsh, and unforeseen result arising from a plain reading of the LLC Agreement.</w:t>
      </w:r>
      <w:r>
        <w:t xml:space="preserve"> </w:t>
      </w:r>
      <w:r>
        <w:rPr>
          <w:iCs/>
          <w:i/>
        </w:rPr>
        <w:t xml:space="preserve">See</w:t>
      </w:r>
      <w:r>
        <w:t xml:space="preserve"> </w:t>
      </w:r>
      <w:r>
        <w:rPr>
          <w:iCs/>
          <w:i/>
        </w:rPr>
        <w:t xml:space="preserve">Chancery Opinion</w:t>
      </w:r>
      <w:r>
        <w:t xml:space="preserve"> </w:t>
      </w:r>
      <w:r>
        <w:t xml:space="preserve">,</w:t>
      </w:r>
      <w:r>
        <w:t xml:space="preserve"> </w:t>
      </w:r>
      <w:r>
        <w:t xml:space="preserve">2018 WL 818760</w:t>
      </w:r>
      <w:r>
        <w:t xml:space="preserve">, at *3 ("Although the Highest Amount Interpretation is the only reading that gives effect to the LLC Agreement as a whole, it produces an extreme and unforeseen result in this case because of the failure to address the Small Holders' rights when the Company admitted them as members in 2011 and 2012.");</w:t>
      </w:r>
      <w:r>
        <w:t xml:space="preserve"> </w:t>
      </w:r>
      <w:r>
        <w:rPr>
          <w:iCs/>
          <w:i/>
        </w:rPr>
        <w:t xml:space="preserve">id.</w:t>
      </w:r>
      <w:r>
        <w:t xml:space="preserve"> </w:t>
      </w:r>
      <w:r>
        <w:t xml:space="preserve">at *67 ("This is the rare case in which issues of compelling fairness call for deploying the implied covenant.");</w:t>
      </w:r>
      <w:r>
        <w:t xml:space="preserve"> </w:t>
      </w:r>
      <w:r>
        <w:rPr>
          <w:iCs/>
          <w:i/>
        </w:rPr>
        <w:t xml:space="preserve">id.</w:t>
      </w:r>
      <w:r>
        <w:t xml:space="preserve"> </w:t>
      </w:r>
      <w:r>
        <w:t xml:space="preserve">at *73 ("Issues of compelling fairness call for deploying the implied covenant here because, otherwise, the fortuitous and poorly documented admission of the Small Holders would vitiate the Exit Sale Right.").</w:t>
      </w:r>
    </w:p>
  </w:footnote>
  <w:footnote w:id="880">
    <w:p>
      <w:pPr>
        <w:pStyle w:val="CaseFootnoteText"/>
      </w:pPr>
      <w:r>
        <w:rPr>
          <w:rStyle w:val="FootnoteReference"/>
        </w:rPr>
        <w:t xml:space="preserve">109  </w:t>
      </w:r>
      <w:r>
        <w:t xml:space="preserve">8</w:t>
      </w:r>
      <w:r>
        <w:t xml:space="preserve"> </w:t>
      </w:r>
      <w:r>
        <w:rPr>
          <w:iCs/>
          <w:i/>
        </w:rPr>
        <w:t xml:space="preserve">Del. C.</w:t>
      </w:r>
      <w:r>
        <w:t xml:space="preserve"> </w:t>
      </w:r>
      <w:r>
        <w:t xml:space="preserve">§§ 102(a)(4), 102(b)(1), 102(b)(4), 151(a), 212(a);</w:t>
      </w:r>
      <w:r>
        <w:t xml:space="preserve"> </w:t>
      </w:r>
      <w:r>
        <w:rPr>
          <w:iCs/>
          <w:i/>
        </w:rPr>
        <w:t xml:space="preserve">see also</w:t>
      </w:r>
      <w:r>
        <w:t xml:space="preserve"> </w:t>
      </w:r>
      <w:r>
        <w:t xml:space="preserve">1 Balotti &amp; Finkelstein, at § 5.6.</w:t>
      </w:r>
    </w:p>
  </w:footnote>
  <w:footnote w:id="881">
    <w:p>
      <w:pPr>
        <w:pStyle w:val="CaseFootnoteText"/>
      </w:pPr>
      <w:r>
        <w:rPr>
          <w:rStyle w:val="FootnoteReference"/>
        </w:rPr>
        <w:t xml:space="preserve">109  </w:t>
      </w:r>
      <w:r>
        <w:t xml:space="preserve">App. to Opening Br. at 210 (Merger Agreement at 58).</w:t>
      </w:r>
    </w:p>
  </w:footnote>
  <w:footnote w:id="882">
    <w:p>
      <w:pPr>
        <w:pStyle w:val="CaseFootnoteText"/>
      </w:pPr>
      <w:r>
        <w:rPr>
          <w:rStyle w:val="FootnoteReference"/>
        </w:rPr>
        <w:t xml:space="preserve">109  </w:t>
      </w:r>
      <w:r>
        <w:t xml:space="preserve"/>
      </w:r>
      <w:r>
        <w:t xml:space="preserve"> </w:t>
      </w:r>
      <w:r>
        <w:rPr>
          <w:iCs/>
          <w:i/>
        </w:rPr>
        <w:t xml:space="preserve">See In re Cysive, Inc. S’holders Litig.,</w:t>
      </w:r>
      <w:r>
        <w:t xml:space="preserve"> </w:t>
      </w:r>
      <w:r>
        <w:t xml:space="preserve">836 A.2d at 549</w:t>
      </w:r>
      <w:r>
        <w:t xml:space="preserve"> </w:t>
      </w:r>
      <w:r>
        <w:t xml:space="preserve">(noting that it is inefficient for defendants to seek a pre-trial ruling on the burden-shift unless the discovery process has generated a sufficient factual record to make such a determination).</w:t>
      </w:r>
    </w:p>
  </w:footnote>
  <w:footnote w:id="883">
    <w:p>
      <w:pPr>
        <w:pStyle w:val="CaseFootnoteText"/>
      </w:pPr>
      <w:r>
        <w:rPr>
          <w:rStyle w:val="FootnoteReference"/>
        </w:rPr>
        <w:t xml:space="preserve">110  </w:t>
      </w:r>
      <w:r>
        <w:rPr>
          <w:iCs/>
          <w:i/>
        </w:rPr>
        <w:t xml:space="preserve">Nemec</w:t>
      </w:r>
      <w:r>
        <w:t xml:space="preserve"/>
      </w:r>
      <w:r>
        <w:t xml:space="preserve">,</w:t>
      </w:r>
      <w:r>
        <w:t xml:space="preserve"> </w:t>
      </w:r>
      <w:r>
        <w:t xml:space="preserve">991 A.2d at 1128</w:t>
      </w:r>
      <w:r>
        <w:t xml:space="preserve">.</w:t>
      </w:r>
    </w:p>
  </w:footnote>
  <w:footnote w:id="884">
    <w:p>
      <w:pPr>
        <w:pStyle w:val="CaseFootnoteText"/>
      </w:pPr>
      <w:r>
        <w:rPr>
          <w:rStyle w:val="FootnoteReference"/>
        </w:rPr>
        <w:t xml:space="preserve">110  </w:t>
      </w:r>
      <w:r>
        <w:t xml:space="preserve">Smith &amp; Furlow, at 102.</w:t>
      </w:r>
    </w:p>
  </w:footnote>
  <w:footnote w:id="885">
    <w:p>
      <w:pPr>
        <w:pStyle w:val="CaseFootnoteText"/>
      </w:pPr>
      <w:r>
        <w:rPr>
          <w:rStyle w:val="FootnoteReference"/>
        </w:rPr>
        <w:t xml:space="preserve">110  </w:t>
      </w:r>
      <w:r>
        <w:t xml:space="preserve">"The decisions in which the Delaware Supreme Court has issued or affirmed the issuance of injunctions targeted to specific deal protection terms all involved viable claims of aiding and abetting against the holder of third party contract rights.”</w:t>
      </w:r>
      <w:r>
        <w:t xml:space="preserve"> </w:t>
      </w:r>
      <w:r>
        <w:rPr>
          <w:iCs/>
          <w:i/>
        </w:rPr>
        <w:t xml:space="preserve">OTK Assocs. LLC v. Friedman,</w:t>
      </w:r>
      <w:r>
        <w:t xml:space="preserve"> </w:t>
      </w:r>
      <w:r>
        <w:t xml:space="preserve">85 A.3d 696</w:t>
      </w:r>
      <w:r>
        <w:t xml:space="preserve">, 720 n.2 (Del. Ch.2014).</w:t>
      </w:r>
    </w:p>
  </w:footnote>
  <w:footnote w:id="886">
    <w:p>
      <w:pPr>
        <w:pStyle w:val="CaseFootnoteText"/>
      </w:pPr>
      <w:r>
        <w:rPr>
          <w:rStyle w:val="FootnoteReference"/>
        </w:rPr>
        <w:t xml:space="preserve">110  </w:t>
      </w:r>
      <w:r>
        <w:t xml:space="preserve"/>
      </w:r>
      <w:r>
        <w:t xml:space="preserve"> </w:t>
      </w:r>
      <w:r>
        <w:rPr>
          <w:iCs/>
          <w:i/>
        </w:rPr>
        <w:t xml:space="preserve">See Emerald Partners v. Berlin,</w:t>
      </w:r>
      <w:r>
        <w:t xml:space="preserve"> </w:t>
      </w:r>
      <w:r>
        <w:t xml:space="preserve">726 A.2d 1215</w:t>
      </w:r>
      <w:r>
        <w:t xml:space="preserve">, 1222-23 (Del.1999) (describing that the special committee must exert "real bargaining power” in order for defendants to obtain a burden shift);</w:t>
      </w:r>
      <w:r>
        <w:t xml:space="preserve"> </w:t>
      </w:r>
      <w:r>
        <w:rPr>
          <w:iCs/>
          <w:i/>
        </w:rPr>
        <w:t xml:space="preserve">see also Beam v. Stewart,</w:t>
      </w:r>
      <w:r>
        <w:t xml:space="preserve"> </w:t>
      </w:r>
      <w:r>
        <w:t xml:space="preserve">845 A.2d 1040</w:t>
      </w:r>
      <w:r>
        <w:t xml:space="preserve">, 1055 n. 45 (Del.2004) (citing</w:t>
      </w:r>
      <w:r>
        <w:t xml:space="preserve"> </w:t>
      </w:r>
      <w:r>
        <w:rPr>
          <w:iCs/>
          <w:i/>
        </w:rPr>
        <w:t xml:space="preserve">Kahn v. Tremont Corp.,</w:t>
      </w:r>
      <w:r>
        <w:t xml:space="preserve"> </w:t>
      </w:r>
      <w:r>
        <w:t xml:space="preserve">694 A.2d 422</w:t>
      </w:r>
      <w:r>
        <w:t xml:space="preserve">, 429-30 (Del.1997)) (noting that the test articulated in</w:t>
      </w:r>
      <w:r>
        <w:t xml:space="preserve"> </w:t>
      </w:r>
      <w:r>
        <w:rPr>
          <w:iCs/>
          <w:i/>
        </w:rPr>
        <w:t xml:space="preserve">Tre-mont</w:t>
      </w:r>
      <w:r>
        <w:t xml:space="preserve"> </w:t>
      </w:r>
      <w:r>
        <w:t xml:space="preserve">requires a determination as to whether the committee members</w:t>
      </w:r>
      <w:r>
        <w:t xml:space="preserve"> </w:t>
      </w:r>
      <w:r>
        <w:rPr>
          <w:iCs/>
          <w:i/>
        </w:rPr>
        <w:t xml:space="preserve">"in fact ”</w:t>
      </w:r>
      <w:r>
        <w:t xml:space="preserve"> </w:t>
      </w:r>
      <w:r>
        <w:t xml:space="preserve">functioned independently).</w:t>
      </w:r>
    </w:p>
  </w:footnote>
  <w:footnote w:id="887">
    <w:p>
      <w:pPr>
        <w:pStyle w:val="CaseFootnoteText"/>
      </w:pPr>
      <w:r>
        <w:rPr>
          <w:rStyle w:val="FootnoteReference"/>
        </w:rPr>
        <w:t xml:space="preserve">111  </w:t>
      </w:r>
      <w:r>
        <w:rPr>
          <w:iCs/>
          <w:i/>
        </w:rPr>
        <w:t xml:space="preserve">Nationwide Emerging Managers, LLC v. Northpointe Holdings, LLC</w:t>
      </w:r>
      <w:r>
        <w:t xml:space="preserve"/>
      </w:r>
      <w:r>
        <w:t xml:space="preserve">,</w:t>
      </w:r>
      <w:r>
        <w:t xml:space="preserve"> </w:t>
      </w:r>
      <w:r>
        <w:t xml:space="preserve">112 A.3d 878</w:t>
      </w:r>
      <w:r>
        <w:t xml:space="preserve">, 896 (Del. 2015) ;</w:t>
      </w:r>
      <w:r>
        <w:t xml:space="preserve"> </w:t>
      </w:r>
      <w:r>
        <w:rPr>
          <w:iCs/>
          <w:i/>
        </w:rPr>
        <w:t xml:space="preserve">see also</w:t>
      </w:r>
      <w:r>
        <w:t xml:space="preserve"> </w:t>
      </w:r>
      <w:r>
        <w:rPr>
          <w:iCs/>
          <w:i/>
        </w:rPr>
        <w:t xml:space="preserve">Dunlap</w:t>
      </w:r>
      <w:r>
        <w:t xml:space="preserve"> </w:t>
      </w:r>
      <w:r>
        <w:t xml:space="preserve">,</w:t>
      </w:r>
      <w:r>
        <w:t xml:space="preserve"> </w:t>
      </w:r>
      <w:r>
        <w:t xml:space="preserve">878 A.2d at 441</w:t>
      </w:r>
      <w:r>
        <w:t xml:space="preserve"> </w:t>
      </w:r>
      <w:r>
        <w:t xml:space="preserve">("[O]ne generally cannot base a claim for breach of the implied covenant on conduct authorized by the terms of the agreement.").</w:t>
      </w:r>
    </w:p>
  </w:footnote>
  <w:footnote w:id="888">
    <w:p>
      <w:pPr>
        <w:pStyle w:val="CaseFootnoteText"/>
      </w:pPr>
      <w:r>
        <w:rPr>
          <w:rStyle w:val="FootnoteReference"/>
        </w:rPr>
        <w:t xml:space="preserve">111  </w:t>
      </w:r>
      <w:r>
        <w:t xml:space="preserve"/>
      </w:r>
      <w:r>
        <w:t xml:space="preserve"> </w:t>
      </w:r>
      <w:r>
        <w:rPr>
          <w:iCs/>
          <w:i/>
        </w:rPr>
        <w:t xml:space="preserve">Schick, Inc. v. Amalgamated Clothing and Textile Workers Union,</w:t>
      </w:r>
      <w:r>
        <w:t xml:space="preserve"> </w:t>
      </w:r>
      <w:r>
        <w:t xml:space="preserve">Del.Ch.,</w:t>
      </w:r>
      <w:r>
        <w:t xml:space="preserve"> </w:t>
      </w:r>
      <w:r>
        <w:t xml:space="preserve">533 A.2d 1235</w:t>
      </w:r>
      <w:r>
        <w:t xml:space="preserve">, 1239 (1987) (footnote omitted).</w:t>
      </w:r>
    </w:p>
  </w:footnote>
  <w:footnote w:id="889">
    <w:p>
      <w:pPr>
        <w:pStyle w:val="CaseFootnoteText"/>
      </w:pPr>
      <w:r>
        <w:rPr>
          <w:rStyle w:val="FootnoteReference"/>
        </w:rPr>
        <w:t xml:space="preserve">111  </w:t>
      </w:r>
      <w:r>
        <w:t xml:space="preserve">Indeed, the plaintiffs did not make any mention of Nabors’ alleged aiding and abetting liability until their reply brief below, and then only in a cursory way.</w:t>
      </w:r>
      <w:r>
        <w:t xml:space="preserve"> </w:t>
      </w:r>
      <w:r>
        <w:rPr>
          <w:iCs/>
          <w:i/>
        </w:rPr>
        <w:t xml:space="preserve">See</w:t>
      </w:r>
      <w:r>
        <w:t xml:space="preserve"> </w:t>
      </w:r>
      <w:r>
        <w:t xml:space="preserve">Reply Br. at 34.</w:t>
      </w:r>
    </w:p>
  </w:footnote>
  <w:footnote w:id="890">
    <w:p>
      <w:pPr>
        <w:pStyle w:val="CaseFootnoteText"/>
      </w:pPr>
      <w:r>
        <w:rPr>
          <w:rStyle w:val="FootnoteReference"/>
        </w:rPr>
        <w:t xml:space="preserve">111  </w:t>
      </w:r>
      <w:r>
        <w:t xml:space="preserve"/>
      </w:r>
      <w:r>
        <w:t xml:space="preserve"> </w:t>
      </w:r>
      <w:r>
        <w:rPr>
          <w:iCs/>
          <w:i/>
        </w:rPr>
        <w:t xml:space="preserve">Tremont,</w:t>
      </w:r>
      <w:r>
        <w:t xml:space="preserve"> </w:t>
      </w:r>
      <w:r>
        <w:t xml:space="preserve">694 A.2d at 428</w:t>
      </w:r>
      <w:r>
        <w:t xml:space="preserve">.</w:t>
      </w:r>
    </w:p>
  </w:footnote>
  <w:footnote w:id="891">
    <w:p>
      <w:pPr>
        <w:pStyle w:val="CaseFootnoteText"/>
      </w:pPr>
      <w:r>
        <w:rPr>
          <w:rStyle w:val="FootnoteReference"/>
        </w:rPr>
        <w:t xml:space="preserve">112  </w:t>
      </w:r>
      <w:r>
        <w:rPr>
          <w:iCs/>
          <w:i/>
        </w:rPr>
        <w:t xml:space="preserve">Allied Capital Corp. v. GC-Sun Holdings, L.P.</w:t>
      </w:r>
      <w:r>
        <w:t xml:space="preserve"/>
      </w:r>
      <w:r>
        <w:t xml:space="preserve">,</w:t>
      </w:r>
      <w:r>
        <w:t xml:space="preserve"> </w:t>
      </w:r>
      <w:r>
        <w:t xml:space="preserve">910 A.2d 1020</w:t>
      </w:r>
      <w:r>
        <w:t xml:space="preserve">, 1033 (Del. Ch. 2006) (Strine, V.C.).</w:t>
      </w:r>
    </w:p>
  </w:footnote>
  <w:footnote w:id="892">
    <w:p>
      <w:pPr>
        <w:pStyle w:val="CaseFootnoteText"/>
      </w:pPr>
      <w:r>
        <w:rPr>
          <w:rStyle w:val="FootnoteReference"/>
        </w:rPr>
        <w:t xml:space="preserve">112  </w:t>
      </w:r>
      <w:r>
        <w:t xml:space="preserve"/>
      </w:r>
      <w:r>
        <w:t xml:space="preserve"> </w:t>
      </w:r>
      <w:r>
        <w:rPr>
          <w:iCs/>
          <w:i/>
        </w:rPr>
        <w:t xml:space="preserve">Siegmanv. Tri-Star Pictures,</w:t>
      </w:r>
      <w:r>
        <w:t xml:space="preserve"> </w:t>
      </w:r>
      <w:r>
        <w:t xml:space="preserve">Del.Ch., C.A. No. 9477,</w:t>
      </w:r>
      <w:r>
        <w:t xml:space="preserve"> </w:t>
      </w:r>
      <w:r>
        <w:t xml:space="preserve">1989 WL 48746</w:t>
      </w:r>
      <w:r>
        <w:t xml:space="preserve">, Jacobs, V.C. (May 30, 1989).</w:t>
      </w:r>
    </w:p>
  </w:footnote>
  <w:footnote w:id="893">
    <w:p>
      <w:pPr>
        <w:pStyle w:val="CaseFootnoteText"/>
      </w:pPr>
      <w:r>
        <w:rPr>
          <w:rStyle w:val="FootnoteReference"/>
        </w:rPr>
        <w:t xml:space="preserve">112  </w:t>
      </w:r>
      <w:r>
        <w:t xml:space="preserve"/>
      </w:r>
      <w:r>
        <w:t xml:space="preserve"> </w:t>
      </w:r>
      <w:r>
        <w:rPr>
          <w:iCs/>
          <w:i/>
        </w:rPr>
        <w:t xml:space="preserve">See, e.g., Hazel,</w:t>
      </w:r>
      <w:r>
        <w:t xml:space="preserve"> </w:t>
      </w:r>
      <w:r>
        <w:t xml:space="preserve">38 Del.Ch. at 117</w:t>
      </w:r>
      <w:r>
        <w:t xml:space="preserve">,</w:t>
      </w:r>
      <w:r>
        <w:t xml:space="preserve"> </w:t>
      </w:r>
      <w:r>
        <w:t xml:space="preserve">74 A. 841</w:t>
      </w:r>
      <w:r>
        <w:t xml:space="preserve"> </w:t>
      </w:r>
      <w:r>
        <w:t xml:space="preserve">(A ‘preliminary injunction’ decides no facts, fixes no right, and is not at all necessary to the final determination of the cause. It is' mere process of the court, issued to hold in statu quo the subject-matter upon which the decree is to operate until the court shall be enabled to ascertain and adjudicate the rights of the parties.).</w:t>
      </w:r>
    </w:p>
  </w:footnote>
  <w:footnote w:id="894">
    <w:p>
      <w:pPr>
        <w:pStyle w:val="CaseFootnoteText"/>
      </w:pPr>
      <w:r>
        <w:rPr>
          <w:rStyle w:val="FootnoteReference"/>
        </w:rPr>
        <w:t xml:space="preserve">112  </w:t>
      </w:r>
      <w:r>
        <w:t xml:space="preserve"/>
      </w:r>
      <w:r>
        <w:t xml:space="preserve"> </w:t>
      </w:r>
      <w:r>
        <w:rPr>
          <w:iCs/>
          <w:i/>
        </w:rPr>
        <w:t xml:space="preserve">Rabkin v. Olin Corp.,</w:t>
      </w:r>
      <w:r>
        <w:t xml:space="preserve"> </w:t>
      </w:r>
      <w:r>
        <w:t xml:space="preserve">1990 WL 47648</w:t>
      </w:r>
      <w:r>
        <w:t xml:space="preserve">, at *6 (Del.Ch. Apr. 17, 1990),</w:t>
      </w:r>
      <w:r>
        <w:t xml:space="preserve"> </w:t>
      </w:r>
      <w:r>
        <w:rPr>
          <w:iCs/>
          <w:i/>
        </w:rPr>
        <w:t xml:space="preserve">aff’d,</w:t>
      </w:r>
      <w:r>
        <w:t xml:space="preserve"> </w:t>
      </w:r>
      <w:r>
        <w:t xml:space="preserve">586 A.2d 1202</w:t>
      </w:r>
      <w:r>
        <w:t xml:space="preserve"> </w:t>
      </w:r>
      <w:r>
        <w:t xml:space="preserve">(Del.1990) (TABLE) ("If an informed vote of a majority of the minority shareholders has approved a challenged transaction, and in fact the merger is</w:t>
      </w:r>
      <w:r>
        <w:t xml:space="preserve"> </w:t>
      </w:r>
      <w:r>
        <w:rPr>
          <w:iCs/>
          <w:i/>
        </w:rPr>
        <w:t xml:space="preserve">contingent</w:t>
      </w:r>
      <w:r>
        <w:t xml:space="preserve"> </w:t>
      </w:r>
      <w:r>
        <w:t xml:space="preserve">on such approval, the burden entirely shifts to the plaintiffs to show that the transaction was unfair to the minority.” (emphasis added));</w:t>
      </w:r>
      <w:r>
        <w:t xml:space="preserve"> </w:t>
      </w:r>
      <w:r>
        <w:rPr>
          <w:iCs/>
          <w:i/>
        </w:rPr>
        <w:t xml:space="preserve">see also In re Wheelabrator Techs., Inc. S’holders Litig.,</w:t>
      </w:r>
      <w:r>
        <w:t xml:space="preserve"> </w:t>
      </w:r>
      <w:r>
        <w:t xml:space="preserve">663 A.2d 1194</w:t>
      </w:r>
      <w:r>
        <w:t xml:space="preserve">, 1203 (Del.Ch.1995) (same).</w:t>
      </w:r>
    </w:p>
  </w:footnote>
  <w:footnote w:id="895">
    <w:p>
      <w:pPr>
        <w:pStyle w:val="CaseFootnoteText"/>
      </w:pPr>
      <w:r>
        <w:rPr>
          <w:rStyle w:val="FootnoteReference"/>
        </w:rPr>
        <w:t xml:space="preserve">113  </w:t>
      </w:r>
      <w:r>
        <w:rPr>
          <w:iCs/>
          <w:i/>
        </w:rPr>
        <w:t xml:space="preserve">Nationwide</w:t>
      </w:r>
      <w:r>
        <w:t xml:space="preserve"/>
      </w:r>
      <w:r>
        <w:t xml:space="preserve">,</w:t>
      </w:r>
      <w:r>
        <w:t xml:space="preserve"> </w:t>
      </w:r>
      <w:r>
        <w:t xml:space="preserve">112 A.3d at 897</w:t>
      </w:r>
      <w:r>
        <w:t xml:space="preserve"> </w:t>
      </w:r>
      <w:r>
        <w:t xml:space="preserve">(quoting</w:t>
      </w:r>
      <w:r>
        <w:t xml:space="preserve"> </w:t>
      </w:r>
      <w:r>
        <w:rPr>
          <w:iCs/>
          <w:i/>
        </w:rPr>
        <w:t xml:space="preserve">Allied Capital</w:t>
      </w:r>
      <w:r>
        <w:t xml:space="preserve"> </w:t>
      </w:r>
      <w:r>
        <w:t xml:space="preserve">,</w:t>
      </w:r>
      <w:r>
        <w:t xml:space="preserve"> </w:t>
      </w:r>
      <w:r>
        <w:t xml:space="preserve">910 A.2d at</w:t>
      </w:r>
      <w:r>
        <w:t xml:space="preserve"> </w:t>
      </w:r>
      <w:r>
        <w:t xml:space="preserve">1035 ).</w:t>
      </w:r>
    </w:p>
  </w:footnote>
  <w:footnote w:id="896">
    <w:p>
      <w:pPr>
        <w:pStyle w:val="CaseFootnoteText"/>
      </w:pPr>
      <w:r>
        <w:rPr>
          <w:rStyle w:val="FootnoteReference"/>
        </w:rPr>
        <w:t xml:space="preserve">113  </w:t>
      </w:r>
      <w:r>
        <w:t xml:space="preserve">8</w:t>
      </w:r>
      <w:r>
        <w:t xml:space="preserve"> </w:t>
      </w:r>
      <w:r>
        <w:rPr>
          <w:iCs/>
          <w:i/>
        </w:rPr>
        <w:t xml:space="preserve">Del. C.</w:t>
      </w:r>
      <w:r>
        <w:t xml:space="preserve"> </w:t>
      </w:r>
      <w:r>
        <w:t xml:space="preserve">§ 203(a)(1).</w:t>
      </w:r>
      <w:r>
        <w:t xml:space="preserve"> </w:t>
      </w:r>
      <w:r>
        <w:rPr>
          <w:iCs/>
          <w:i/>
        </w:rPr>
        <w:t xml:space="preserve">See</w:t>
      </w:r>
      <w:r>
        <w:t xml:space="preserve"> </w:t>
      </w:r>
      <w:r>
        <w:t xml:space="preserve">Smith &amp; Fur-low, at 36, n. 6.</w:t>
      </w:r>
    </w:p>
  </w:footnote>
  <w:footnote w:id="897">
    <w:p>
      <w:pPr>
        <w:pStyle w:val="CaseFootnoteText"/>
      </w:pPr>
      <w:r>
        <w:rPr>
          <w:rStyle w:val="FootnoteReference"/>
        </w:rPr>
        <w:t xml:space="preserve">113  </w:t>
      </w:r>
      <w:r>
        <w:t xml:space="preserve"/>
      </w:r>
      <w:r>
        <w:t xml:space="preserve"> </w:t>
      </w:r>
      <w:r>
        <w:rPr>
          <w:iCs/>
          <w:i/>
        </w:rPr>
        <w:t xml:space="preserve">See, e.g., Richard Paul, Inc. v. Union Improvement Co.,</w:t>
      </w:r>
      <w:r>
        <w:t xml:space="preserve"> </w:t>
      </w:r>
      <w:r>
        <w:t xml:space="preserve">86 A.2d 744</w:t>
      </w:r>
      <w:r>
        <w:t xml:space="preserve">, 748 (Del. Ch.1952) ("Relief by mandatory injunction should only be awarded in a clear case, free from doubt, and when necessary to prevent irreparable injury.”).</w:t>
      </w:r>
    </w:p>
  </w:footnote>
  <w:footnote w:id="898">
    <w:p>
      <w:pPr>
        <w:pStyle w:val="CaseFootnoteText"/>
      </w:pPr>
      <w:r>
        <w:rPr>
          <w:rStyle w:val="FootnoteReference"/>
        </w:rPr>
        <w:t xml:space="preserve">113  </w:t>
      </w:r>
      <w:r>
        <w:t xml:space="preserve">In a merger where there is no controller and the disinterested electorate controls the outcome from the get go, there is no need to bargain over this element. In such a situation, it has long been my understanding of Delaware law, that the approval of an un-coerced, disinterested electorate of a merger (including a sale) would have the effect of invoking the business judgment rule standard of review.</w:t>
      </w:r>
      <w:r>
        <w:t xml:space="preserve"> </w:t>
      </w:r>
      <w:r>
        <w:rPr>
          <w:iCs/>
          <w:i/>
        </w:rPr>
        <w:t xml:space="preserve">See, e.g., In re Wheelabrator Techs., Inc. S’holders Litig.,</w:t>
      </w:r>
      <w:r>
        <w:t xml:space="preserve"> </w:t>
      </w:r>
      <w:r>
        <w:t xml:space="preserve">663 A.2d at</w:t>
      </w:r>
      <w:r>
        <w:t xml:space="preserve"> </w:t>
      </w:r>
      <w:r>
        <w:t xml:space="preserve">1201 n. 4, 1202-03 (describing the effect of an informed, uncoerced, and disinterested stockholder approval of a merger not involving a controlling stockholder and finding that such approval invokes the business judgment rule standard of review). It may be that a vote in that context does not involve "pure ratification,”</w:t>
      </w:r>
      <w:r>
        <w:t xml:space="preserve"> </w:t>
      </w:r>
      <w:r>
        <w:rPr>
          <w:iCs/>
          <w:i/>
        </w:rPr>
        <w:t xml:space="preserve">see Gantler v. Stephens,</w:t>
      </w:r>
      <w:r>
        <w:t xml:space="preserve"> </w:t>
      </w:r>
      <w:r>
        <w:t xml:space="preserve">965 A.2d 695</w:t>
      </w:r>
      <w:r>
        <w:t xml:space="preserve">, 712-13 (Del.2009), but I have long understood that under our law it would invoke the business judgment rule standard of review.</w:t>
      </w:r>
      <w:r>
        <w:t xml:space="preserve"> </w:t>
      </w:r>
      <w:r>
        <w:rPr>
          <w:iCs/>
          <w:i/>
        </w:rPr>
        <w:t xml:space="preserve">See Harbor Fin. Partners v. Huizenga,</w:t>
      </w:r>
      <w:r>
        <w:t xml:space="preserve"> </w:t>
      </w:r>
      <w:r>
        <w:t xml:space="preserve">751 A.2d 879</w:t>
      </w:r>
      <w:r>
        <w:t xml:space="preserve">, 890, 895-900 (Del.Ch.1999) (discussing history of the long tradition to invoking the business judgment rule standard when informed, disinterested stockholders approve a third-party merger and the limited waste exception to this effect);</w:t>
      </w:r>
      <w:r>
        <w:t xml:space="preserve"> </w:t>
      </w:r>
      <w:r>
        <w:rPr>
          <w:iCs/>
          <w:i/>
        </w:rPr>
        <w:t xml:space="preserve">Solomon v. Armstrong,</w:t>
      </w:r>
      <w:r>
        <w:t xml:space="preserve"> </w:t>
      </w:r>
      <w:r>
        <w:t xml:space="preserve">747 A.2d 1098</w:t>
      </w:r>
      <w:r>
        <w:t xml:space="preserve">, 1113-17 (Del.Ch.1999),</w:t>
      </w:r>
      <w:r>
        <w:t xml:space="preserve"> </w:t>
      </w:r>
      <w:r>
        <w:rPr>
          <w:iCs/>
          <w:i/>
        </w:rPr>
        <w:t xml:space="preserve">aff'd,</w:t>
      </w:r>
      <w:r>
        <w:t xml:space="preserve"> </w:t>
      </w:r>
      <w:r>
        <w:t xml:space="preserve">746 A.2d 277</w:t>
      </w:r>
      <w:r>
        <w:t xml:space="preserve"> </w:t>
      </w:r>
      <w:r>
        <w:t xml:space="preserve">(Del.Supr.2000) (citing cases to this effect);</w:t>
      </w:r>
      <w:r>
        <w:t xml:space="preserve"> </w:t>
      </w:r>
      <w:r>
        <w:rPr>
          <w:iCs/>
          <w:i/>
        </w:rPr>
        <w:t xml:space="preserve">see also</w:t>
      </w:r>
      <w:r>
        <w:t xml:space="preserve"> </w:t>
      </w:r>
      <w:r>
        <w:t xml:space="preserve">Allen et. al.,</w:t>
      </w:r>
      <w:r>
        <w:t xml:space="preserve"> </w:t>
      </w:r>
      <w:r>
        <w:rPr>
          <w:iCs/>
          <w:i/>
        </w:rPr>
        <w:t xml:space="preserve">supra</w:t>
      </w:r>
      <w:r>
        <w:rPr>
          <w:iCs/>
          <w:i/>
        </w:rPr>
        <w:t xml:space="preserve"> </w:t>
      </w:r>
      <w:r>
        <w:t xml:space="preserve">note 103</w:t>
      </w:r>
      <w:r>
        <w:t xml:space="preserve">, at 1307-09 (expressing the policy rationale for giving full "ratification” effect to an un-coerced, disinterested shareholder vote). Perhaps a more nuanced nomenclature is needed to describe the traditional effect that a disinterested stockholder vote has had on the standard of review used to evaluate a challenge to an arm’s length, third-party merger and to distinguish it from "classic” or "pure ratification.”</w:t>
      </w:r>
      <w:r>
        <w:t xml:space="preserve"> </w:t>
      </w:r>
      <w:r>
        <w:rPr>
          <w:iCs/>
          <w:i/>
        </w:rPr>
        <w:t xml:space="preserve">See Harbor Finance Partners,</w:t>
      </w:r>
      <w:r>
        <w:t xml:space="preserve"> </w:t>
      </w:r>
      <w:r>
        <w:t xml:space="preserve">751 A.2d at</w:t>
      </w:r>
      <w:r>
        <w:t xml:space="preserve"> </w:t>
      </w:r>
      <w:r>
        <w:t xml:space="preserve">900 n. 78 ("For want of better nomenclature, I use the term ["ratification"] as describing a stockholder vote sufficient to invoke the business judgment rule standard of review."). The key is not what you call it, but rather preserving the utility of a long-standing doctrine of our law.</w:t>
      </w:r>
    </w:p>
  </w:footnote>
  <w:footnote w:id="899">
    <w:p>
      <w:pPr>
        <w:pStyle w:val="CaseFootnoteText"/>
      </w:pPr>
      <w:r>
        <w:rPr>
          <w:rStyle w:val="FootnoteReference"/>
        </w:rPr>
        <w:t xml:space="preserve">114  </w:t>
      </w:r>
      <w:r>
        <w:rPr>
          <w:iCs/>
          <w:i/>
        </w:rPr>
        <w:t xml:space="preserve">Compare</w:t>
      </w:r>
      <w:r>
        <w:t xml:space="preserve"/>
      </w:r>
      <w:r>
        <w:t xml:space="preserve">App. to Opening Br. at A2057</w:t>
      </w:r>
      <w:r>
        <w:t xml:space="preserve"> </w:t>
      </w:r>
      <w:r>
        <w:rPr>
          <w:iCs/>
          <w:i/>
        </w:rPr>
        <w:t xml:space="preserve">with</w:t>
      </w:r>
      <w:r>
        <w:rPr>
          <w:iCs/>
          <w:i/>
        </w:rPr>
        <w:t xml:space="preserve"> </w:t>
      </w:r>
      <w:r>
        <w:rPr>
          <w:iCs/>
          <w:i/>
        </w:rPr>
        <w:t xml:space="preserve">id.</w:t>
      </w:r>
      <w:r>
        <w:t xml:space="preserve"> </w:t>
      </w:r>
      <w:r>
        <w:t xml:space="preserve">at A2114.</w:t>
      </w:r>
    </w:p>
  </w:footnote>
  <w:footnote w:id="900">
    <w:p>
      <w:pPr>
        <w:pStyle w:val="CaseFootnoteText"/>
      </w:pPr>
      <w:r>
        <w:rPr>
          <w:rStyle w:val="FootnoteReference"/>
        </w:rPr>
        <w:t xml:space="preserve">114  </w:t>
      </w:r>
      <w:r>
        <w:t xml:space="preserve"/>
      </w:r>
      <w:r>
        <w:t xml:space="preserve"> </w:t>
      </w:r>
      <w:r>
        <w:rPr>
          <w:iCs/>
          <w:i/>
        </w:rPr>
        <w:t xml:space="preserve">See Guth v. Loft, Inc.,</w:t>
      </w:r>
      <w:r>
        <w:t xml:space="preserve"> </w:t>
      </w:r>
      <w:r>
        <w:t xml:space="preserve">Del.Supr.,</w:t>
      </w:r>
      <w:r>
        <w:t xml:space="preserve"> </w:t>
      </w:r>
      <w:r>
        <w:t xml:space="preserve">5 A.2d 503</w:t>
      </w:r>
      <w:r>
        <w:t xml:space="preserve"> </w:t>
      </w:r>
      <w:r>
        <w:t xml:space="preserve">(1939).</w:t>
      </w:r>
    </w:p>
  </w:footnote>
  <w:footnote w:id="901">
    <w:p>
      <w:pPr>
        <w:pStyle w:val="CaseFootnoteText"/>
      </w:pPr>
      <w:r>
        <w:rPr>
          <w:rStyle w:val="FootnoteReference"/>
        </w:rPr>
        <w:t xml:space="preserve">114  </w:t>
      </w:r>
      <w:r>
        <w:t xml:space="preserve"/>
      </w:r>
      <w:r>
        <w:t xml:space="preserve"> </w:t>
      </w:r>
      <w:r>
        <w:rPr>
          <w:iCs/>
          <w:i/>
        </w:rPr>
        <w:t xml:space="preserve">See, e.g., In re Netsmart Technologies, Inc. S’holders Litig.,</w:t>
      </w:r>
      <w:r>
        <w:t xml:space="preserve"> </w:t>
      </w:r>
      <w:r>
        <w:t xml:space="preserve">924 A.2d 171</w:t>
      </w:r>
      <w:r>
        <w:t xml:space="preserve">, 209 (Del. Ch.2007) (declining to enjoin the transaction because the court could “perceive no basis where [it] would have the equitable authority to require [buyer] to remain bound to 'complete their purchase of [target] while simultaneously reforming the Merger Agreement to increase their transactional risk in that endeavor” and finding that such an "an unusual exercise of authority” was not justified absent a showing of buyer misconduct);</w:t>
      </w:r>
      <w:r>
        <w:t xml:space="preserve"> </w:t>
      </w:r>
      <w:r>
        <w:rPr>
          <w:iCs/>
          <w:i/>
        </w:rPr>
        <w:t xml:space="preserve">Toys “R" Us,</w:t>
      </w:r>
      <w:r>
        <w:t xml:space="preserve"> </w:t>
      </w:r>
      <w:r>
        <w:t xml:space="preserve">877 A.2d at 1021</w:t>
      </w:r>
      <w:r>
        <w:t xml:space="preserve"> </w:t>
      </w:r>
      <w:r>
        <w:t xml:space="preserve">("The central purpose of</w:t>
      </w:r>
      <w:r>
        <w:t xml:space="preserve"> </w:t>
      </w:r>
      <w:r>
        <w:rPr>
          <w:iCs/>
          <w:i/>
        </w:rPr>
        <w:t xml:space="preserve">Revlon</w:t>
      </w:r>
      <w:r>
        <w:t xml:space="preserve"> </w:t>
      </w:r>
      <w:r>
        <w:t xml:space="preserve">is to ensure the fidelity of fiduciaries. It is not a license for the judiciary to set arbitrary limits on the contract terms that fiduciaries acting loyally and carefully can shape in the pursuit of their stockholders’ interest.”)</w:t>
      </w:r>
    </w:p>
  </w:footnote>
  <w:footnote w:id="902">
    <w:p>
      <w:pPr>
        <w:pStyle w:val="CaseFootnoteText"/>
      </w:pPr>
      <w:r>
        <w:rPr>
          <w:rStyle w:val="FootnoteReference"/>
        </w:rPr>
        <w:t xml:space="preserve">114  </w:t>
      </w:r>
      <w:r>
        <w:t xml:space="preserve"/>
      </w:r>
      <w:r>
        <w:t xml:space="preserve"> </w:t>
      </w:r>
      <w:r>
        <w:rPr>
          <w:iCs/>
          <w:i/>
        </w:rPr>
        <w:t xml:space="preserve">See In re John Q. Hammons Hotels Inc. S’holder Litig.,</w:t>
      </w:r>
      <w:r>
        <w:t xml:space="preserve"> </w:t>
      </w:r>
      <w:r>
        <w:t xml:space="preserve">2009 WL 3165613</w:t>
      </w:r>
      <w:r>
        <w:t xml:space="preserve">, at *13 (Del. Ch. Oct. 2, 2009) ("Moreover, a clear explanation of the pre-conditions to the Merger is necessary to ensure that the minority stockholders are aware of the importance of their votes and their ability to block a transaction they do not believe is fair.”).</w:t>
      </w:r>
    </w:p>
  </w:footnote>
  <w:footnote w:id="903">
    <w:p>
      <w:pPr>
        <w:pStyle w:val="CaseFootnoteText"/>
      </w:pPr>
      <w:r>
        <w:rPr>
          <w:rStyle w:val="FootnoteReference"/>
        </w:rPr>
        <w:t xml:space="preserve">115  </w:t>
      </w:r>
      <w:r>
        <w:rPr>
          <w:iCs/>
          <w:i/>
        </w:rPr>
        <w:t xml:space="preserve">See</w:t>
      </w:r>
      <w:r>
        <w:t xml:space="preserve"/>
      </w:r>
      <w:r>
        <w:rPr>
          <w:iCs/>
          <w:i/>
        </w:rPr>
        <w:t xml:space="preserve">Chancery Opinion</w:t>
      </w:r>
      <w:r>
        <w:t xml:space="preserve"> </w:t>
      </w:r>
      <w:r>
        <w:t xml:space="preserve">,</w:t>
      </w:r>
      <w:r>
        <w:t xml:space="preserve"> </w:t>
      </w:r>
      <w:r>
        <w:t xml:space="preserve">2018 WL 818760</w:t>
      </w:r>
      <w:r>
        <w:t xml:space="preserve">, at *19 ("When Oxbow issued the units to the Small Holders, Crestview's principals were aware of the 1.5x Clause, and the firm was evaluating its alternatives for exiting from Oxbow. They had already discussed potential exit scenarios with Koch.");</w:t>
      </w:r>
      <w:r>
        <w:t xml:space="preserve"> </w:t>
      </w:r>
      <w:r>
        <w:rPr>
          <w:iCs/>
          <w:i/>
        </w:rPr>
        <w:t xml:space="preserve">see also</w:t>
      </w:r>
      <w:r>
        <w:t xml:space="preserve"> </w:t>
      </w:r>
      <w:r>
        <w:rPr>
          <w:iCs/>
          <w:i/>
        </w:rPr>
        <w:t xml:space="preserve">Summary Judgment Order</w:t>
      </w:r>
      <w:r>
        <w:t xml:space="preserve"> </w:t>
      </w:r>
      <w:r>
        <w:t xml:space="preserve">, C.A. No. 12447-VCL, at ¶ 23(c) ("[T]he parties negotiated the Third Amendment after the Small Holders invested, and that amendment specifically addressed the Exit Sale Right. The Third Amendment made no change to the 'all but not less than all' language included in the definition of Exit Sale, even though it disposed of that limitation for the Minority Members' Put Right."). Additionally, the Court of Chancery acknowledged in its summary judgment order that, in 2011, the Minority Members' Board representatives could have anticipated the implications of the Small Holders' admission "and addressed it then as a condition of the Small Holders' investment."</w:t>
      </w:r>
      <w:r>
        <w:t xml:space="preserve"> </w:t>
      </w:r>
      <w:r>
        <w:rPr>
          <w:iCs/>
          <w:i/>
        </w:rPr>
        <w:t xml:space="preserve">Id.</w:t>
      </w:r>
      <w:r>
        <w:t xml:space="preserve"> </w:t>
      </w:r>
      <w:r>
        <w:t xml:space="preserve">at ¶ 23(c).</w:t>
      </w:r>
    </w:p>
  </w:footnote>
  <w:footnote w:id="904">
    <w:p>
      <w:pPr>
        <w:pStyle w:val="CaseFootnoteText"/>
      </w:pPr>
      <w:r>
        <w:rPr>
          <w:rStyle w:val="FootnoteReference"/>
        </w:rPr>
        <w:t xml:space="preserve">115  </w:t>
      </w:r>
      <w:r>
        <w:t xml:space="preserve"/>
      </w:r>
      <w:r>
        <w:t xml:space="preserve"> </w:t>
      </w:r>
      <w:r>
        <w:rPr>
          <w:iCs/>
          <w:i/>
        </w:rPr>
        <w:t xml:space="preserve">Weinberger v. UOP, Inc.,</w:t>
      </w:r>
      <w:r>
        <w:t xml:space="preserve"> </w:t>
      </w:r>
      <w:r>
        <w:t xml:space="preserve">Del.Supr.,</w:t>
      </w:r>
      <w:r>
        <w:t xml:space="preserve"> </w:t>
      </w:r>
      <w:r>
        <w:t xml:space="preserve">457 A.2d 701</w:t>
      </w:r>
      <w:r>
        <w:t xml:space="preserve">, 710 (1983).</w:t>
      </w:r>
    </w:p>
  </w:footnote>
  <w:footnote w:id="905">
    <w:p>
      <w:pPr>
        <w:pStyle w:val="CaseFootnoteText"/>
      </w:pPr>
      <w:r>
        <w:rPr>
          <w:rStyle w:val="FootnoteReference"/>
        </w:rPr>
        <w:t xml:space="preserve">115  </w:t>
      </w:r>
      <w:r>
        <w:t xml:space="preserve"/>
      </w:r>
      <w:r>
        <w:t xml:space="preserve"> </w:t>
      </w:r>
      <w:r>
        <w:rPr>
          <w:iCs/>
          <w:i/>
        </w:rPr>
        <w:t xml:space="preserve">See El Paso,</w:t>
      </w:r>
      <w:r>
        <w:t xml:space="preserve"> </w:t>
      </w:r>
      <w:r>
        <w:t xml:space="preserve">41 A.3d at 449</w:t>
      </w:r>
      <w:r>
        <w:t xml:space="preserve">;</w:t>
      </w:r>
      <w:r>
        <w:t xml:space="preserve"> </w:t>
      </w:r>
      <w:r>
        <w:rPr>
          <w:iCs/>
          <w:i/>
        </w:rPr>
        <w:t xml:space="preserve">Netsmart,</w:t>
      </w:r>
      <w:r>
        <w:t xml:space="preserve"> </w:t>
      </w:r>
      <w:r>
        <w:t xml:space="preserve">924 A.2d at 208</w:t>
      </w:r>
      <w:r>
        <w:t xml:space="preserve">;</w:t>
      </w:r>
      <w:r>
        <w:t xml:space="preserve"> </w:t>
      </w:r>
      <w:r>
        <w:rPr>
          <w:iCs/>
          <w:i/>
        </w:rPr>
        <w:t xml:space="preserve">Toys “R” Us,</w:t>
      </w:r>
      <w:r>
        <w:t xml:space="preserve"> </w:t>
      </w:r>
      <w:r>
        <w:t xml:space="preserve">877 A.2d at 1023</w:t>
      </w:r>
      <w:r>
        <w:t xml:space="preserve">.</w:t>
      </w:r>
    </w:p>
  </w:footnote>
  <w:footnote w:id="906">
    <w:p>
      <w:pPr>
        <w:pStyle w:val="CaseFootnoteText"/>
      </w:pPr>
      <w:r>
        <w:rPr>
          <w:rStyle w:val="FootnoteReference"/>
        </w:rPr>
        <w:t xml:space="preserve">115  </w:t>
      </w:r>
      <w:r>
        <w:t xml:space="preserve"/>
      </w:r>
      <w:r>
        <w:t xml:space="preserve"> </w:t>
      </w:r>
      <w:r>
        <w:rPr>
          <w:iCs/>
          <w:i/>
        </w:rPr>
        <w:t xml:space="preserve">See Bershad v. Curtiss-Wright Corp.,</w:t>
      </w:r>
      <w:r>
        <w:t xml:space="preserve"> </w:t>
      </w:r>
      <w:r>
        <w:t xml:space="preserve">535 A.2d 840</w:t>
      </w:r>
      <w:r>
        <w:t xml:space="preserve">, 846 (Del.1987) (citations omitted).</w:t>
      </w:r>
    </w:p>
  </w:footnote>
  <w:footnote w:id="907">
    <w:p>
      <w:pPr>
        <w:pStyle w:val="CaseFootnoteText"/>
      </w:pPr>
      <w:r>
        <w:rPr>
          <w:rStyle w:val="FootnoteReference"/>
        </w:rPr>
        <w:t xml:space="preserve">116  </w:t>
      </w:r>
      <w:r>
        <w:rPr>
          <w:iCs/>
          <w:i/>
        </w:rPr>
        <w:t xml:space="preserve">See, e.g.</w:t>
      </w:r>
      <w:r>
        <w:t xml:space="preserve"/>
      </w:r>
      <w:r>
        <w:t xml:space="preserve">,</w:t>
      </w:r>
      <w:r>
        <w:t xml:space="preserve"> </w:t>
      </w:r>
      <w:r>
        <w:rPr>
          <w:iCs/>
          <w:i/>
        </w:rPr>
        <w:t xml:space="preserve">Chancery Opinion</w:t>
      </w:r>
      <w:r>
        <w:t xml:space="preserve"> </w:t>
      </w:r>
      <w:r>
        <w:t xml:space="preserve">,</w:t>
      </w:r>
      <w:r>
        <w:t xml:space="preserve"> </w:t>
      </w:r>
      <w:r>
        <w:t xml:space="preserve">2018 WL 818760</w:t>
      </w:r>
      <w:r>
        <w:t xml:space="preserve">, at *19, *24, *38, *65.</w:t>
      </w:r>
    </w:p>
  </w:footnote>
  <w:footnote w:id="908">
    <w:p>
      <w:pPr>
        <w:pStyle w:val="CaseFootnoteText"/>
      </w:pPr>
      <w:r>
        <w:rPr>
          <w:rStyle w:val="FootnoteReference"/>
        </w:rPr>
        <w:t xml:space="preserve">116  </w:t>
      </w:r>
      <w:r>
        <w:t xml:space="preserve"/>
      </w:r>
      <w:r>
        <w:t xml:space="preserve"> </w:t>
      </w:r>
      <w:r>
        <w:rPr>
          <w:iCs/>
          <w:i/>
        </w:rPr>
        <w:t xml:space="preserve">Id.</w:t>
      </w:r>
      <w:r>
        <w:t xml:space="preserve"> </w:t>
      </w:r>
      <w:r>
        <w:t xml:space="preserve">(citing</w:t>
      </w:r>
      <w:r>
        <w:t xml:space="preserve"> </w:t>
      </w:r>
      <w:r>
        <w:rPr>
          <w:iCs/>
          <w:i/>
        </w:rPr>
        <w:t xml:space="preserve">Levien v. Sinclair Oil Corp.,</w:t>
      </w:r>
      <w:r>
        <w:t xml:space="preserve"> </w:t>
      </w:r>
      <w:r>
        <w:t xml:space="preserve">Del.Ch.,</w:t>
      </w:r>
      <w:r>
        <w:t xml:space="preserve"> </w:t>
      </w:r>
      <w:r>
        <w:t xml:space="preserve">261 A.2d 911</w:t>
      </w:r>
      <w:r>
        <w:t xml:space="preserve"> </w:t>
      </w:r>
      <w:r>
        <w:t xml:space="preserve">(1969)).</w:t>
      </w:r>
    </w:p>
  </w:footnote>
  <w:footnote w:id="909">
    <w:p>
      <w:pPr>
        <w:pStyle w:val="CaseFootnoteText"/>
      </w:pPr>
      <w:r>
        <w:rPr>
          <w:rStyle w:val="FootnoteReference"/>
        </w:rPr>
        <w:t xml:space="preserve">116  </w:t>
      </w:r>
      <w:r>
        <w:t xml:space="preserve"/>
      </w:r>
      <w:r>
        <w:t xml:space="preserve"> </w:t>
      </w:r>
      <w:r>
        <w:rPr>
          <w:iCs/>
          <w:i/>
        </w:rPr>
        <w:t xml:space="preserve">See Pennaco,</w:t>
      </w:r>
      <w:r>
        <w:t xml:space="preserve"> </w:t>
      </w:r>
      <w:r>
        <w:t xml:space="preserve">787 A.2d at 715</w:t>
      </w:r>
      <w:r>
        <w:t xml:space="preserve"> </w:t>
      </w:r>
      <w:r>
        <w:t xml:space="preserve">("The court is also unconvinced that other sophisticated energy companies lack the information they need to determine whether to make a topping bid, given the abundance of information that is publicly available about Pennaco and its potential.”).</w:t>
      </w:r>
    </w:p>
  </w:footnote>
  <w:footnote w:id="910">
    <w:p>
      <w:pPr>
        <w:pStyle w:val="CaseFootnoteText"/>
      </w:pPr>
      <w:r>
        <w:rPr>
          <w:rStyle w:val="FootnoteReference"/>
        </w:rPr>
        <w:t xml:space="preserve">116  </w:t>
      </w:r>
      <w:r>
        <w:t xml:space="preserve"/>
      </w:r>
      <w:r>
        <w:t xml:space="preserve"> </w:t>
      </w:r>
      <w:r>
        <w:rPr>
          <w:iCs/>
          <w:i/>
        </w:rPr>
        <w:t xml:space="preserve">See</w:t>
      </w:r>
      <w:r>
        <w:t xml:space="preserve"> </w:t>
      </w:r>
      <w:r>
        <w:t xml:space="preserve">IX-103 at SP COMM 006886 (generating a high-end standalone value of Minera of $2.085 billion, using the A &amp; S-adjusted projections, a 7.5% discount rate, and a long-term copper price of $ 1.00/lb);</w:t>
      </w:r>
      <w:r>
        <w:t xml:space="preserve"> </w:t>
      </w:r>
      <w:r>
        <w:rPr>
          <w:iCs/>
          <w:i/>
        </w:rPr>
        <w:t xml:space="preserve">id.</w:t>
      </w:r>
      <w:r>
        <w:t xml:space="preserve"> </w:t>
      </w:r>
      <w:r>
        <w:t xml:space="preserve">at SP COMM 006898 (generating a mid-range relative value of 58.8 shares of Southern Peru, using A &amp; S-adjusted projections, a 9.0% discount rate, and a long-term copper price of $0.90/lb).</w:t>
      </w:r>
    </w:p>
  </w:footnote>
  <w:footnote w:id="911">
    <w:p>
      <w:pPr>
        <w:pStyle w:val="CaseFootnoteText"/>
      </w:pPr>
      <w:r>
        <w:rPr>
          <w:rStyle w:val="FootnoteReference"/>
        </w:rPr>
        <w:t xml:space="preserve">117  </w:t>
      </w:r>
      <w:r>
        <w:rPr>
          <w:iCs/>
          <w:i/>
        </w:rPr>
        <w:t xml:space="preserve">Nemec</w:t>
      </w:r>
      <w:r>
        <w:t xml:space="preserve"/>
      </w:r>
      <w:r>
        <w:t xml:space="preserve">,</w:t>
      </w:r>
      <w:r>
        <w:t xml:space="preserve"> </w:t>
      </w:r>
      <w:r>
        <w:t xml:space="preserve">991 A.2d at 1128</w:t>
      </w:r>
      <w:r>
        <w:t xml:space="preserve">.</w:t>
      </w:r>
    </w:p>
  </w:footnote>
  <w:footnote w:id="912">
    <w:p>
      <w:pPr>
        <w:pStyle w:val="CaseFootnoteText"/>
      </w:pPr>
      <w:r>
        <w:rPr>
          <w:rStyle w:val="FootnoteReference"/>
        </w:rPr>
        <w:t xml:space="preserve">117  </w:t>
      </w:r>
      <w:r>
        <w:t xml:space="preserve"/>
      </w:r>
      <w:r>
        <w:t xml:space="preserve"> </w:t>
      </w:r>
      <w:r>
        <w:rPr>
          <w:iCs/>
          <w:i/>
        </w:rPr>
        <w:t xml:space="preserve">Id.</w:t>
      </w:r>
      <w:r>
        <w:t xml:space="preserve"> </w:t>
      </w:r>
      <w:r>
        <w:t xml:space="preserve">at 710-11 (citing</w:t>
      </w:r>
      <w:r>
        <w:t xml:space="preserve"> </w:t>
      </w:r>
      <w:r>
        <w:rPr>
          <w:iCs/>
          <w:i/>
        </w:rPr>
        <w:t xml:space="preserve">Warshaw v. Calhoun,</w:t>
      </w:r>
      <w:r>
        <w:t xml:space="preserve"> </w:t>
      </w:r>
      <w:r>
        <w:t xml:space="preserve">Del.Supr.,</w:t>
      </w:r>
      <w:r>
        <w:t xml:space="preserve"> </w:t>
      </w:r>
      <w:r>
        <w:t xml:space="preserve">221 A.2d 487</w:t>
      </w:r>
      <w:r>
        <w:t xml:space="preserve">, 492 (1966) (citation omitted)).</w:t>
      </w:r>
    </w:p>
  </w:footnote>
  <w:footnote w:id="913">
    <w:p>
      <w:pPr>
        <w:pStyle w:val="CaseFootnoteText"/>
      </w:pPr>
      <w:r>
        <w:rPr>
          <w:rStyle w:val="FootnoteReference"/>
        </w:rPr>
        <w:t xml:space="preserve">117  </w:t>
      </w:r>
      <w:r>
        <w:t xml:space="preserve"/>
      </w:r>
      <w:r>
        <w:t xml:space="preserve"> </w:t>
      </w:r>
      <w:r>
        <w:rPr>
          <w:iCs/>
          <w:i/>
        </w:rPr>
        <w:t xml:space="preserve">McMillan v. Intercargo Corp.,</w:t>
      </w:r>
      <w:r>
        <w:t xml:space="preserve"> </w:t>
      </w:r>
      <w:r>
        <w:t xml:space="preserve">1999 WL 288128</w:t>
      </w:r>
      <w:r>
        <w:t xml:space="preserve">, at *4 (Del. Ch. May 3, 1999) ("The shareholders are not threatened with irreparable harm, because it is they who in the end will decide whether or not the company will be sold now. As long as the shareholders’ decision is informed, the choice between whether or not to merge will be voluntary and cannot in any legally meaningful sense be said to threaten irreparable harm.”).</w:t>
      </w:r>
    </w:p>
  </w:footnote>
  <w:footnote w:id="914">
    <w:p>
      <w:pPr>
        <w:pStyle w:val="CaseFootnoteText"/>
      </w:pPr>
      <w:r>
        <w:rPr>
          <w:rStyle w:val="FootnoteReference"/>
        </w:rPr>
        <w:t xml:space="preserve">117  </w:t>
      </w:r>
      <w:r>
        <w:t xml:space="preserve">The vote is of no less importance for purposes of the disclosure analysis simply because the result of the vote was effectively a lock. Otherwise, the defendants would reap an analytical benefit from their decision</w:t>
      </w:r>
      <w:r>
        <w:t xml:space="preserve"> </w:t>
      </w:r>
      <w:r>
        <w:rPr>
          <w:iCs/>
          <w:i/>
        </w:rPr>
        <w:t xml:space="preserve">not</w:t>
      </w:r>
      <w:r>
        <w:t xml:space="preserve"> </w:t>
      </w:r>
      <w:r>
        <w:t xml:space="preserve">to condition the Merger on a majority of the minority vote.</w:t>
      </w:r>
    </w:p>
  </w:footnote>
  <w:footnote w:id="915">
    <w:p>
      <w:pPr>
        <w:pStyle w:val="CaseFootnoteText"/>
      </w:pPr>
      <w:r>
        <w:rPr>
          <w:rStyle w:val="FootnoteReference"/>
        </w:rPr>
        <w:t xml:space="preserve">118  </w:t>
      </w:r>
      <w:r>
        <w:rPr>
          <w:iCs/>
          <w:i/>
        </w:rPr>
        <w:t xml:space="preserve">West Willow-Bay Court, LLC v. Robino-Bay Court Plaza, LLC</w:t>
      </w:r>
      <w:r>
        <w:t xml:space="preserve"/>
      </w:r>
      <w:r>
        <w:t xml:space="preserve">,</w:t>
      </w:r>
      <w:r>
        <w:t xml:space="preserve"> </w:t>
      </w:r>
      <w:r>
        <w:t xml:space="preserve">2007 WL 3317551</w:t>
      </w:r>
      <w:r>
        <w:t xml:space="preserve">, at *9 (Del. Ch. Nov. 2, 2007) ("The presumption that the parties are bound by the language of the agreement they negotiated applies with even greater force when the parties are sophisticated entities that have engaged in arms-length negotiations."),</w:t>
      </w:r>
      <w:r>
        <w:t xml:space="preserve"> </w:t>
      </w:r>
      <w:r>
        <w:rPr>
          <w:iCs/>
          <w:i/>
        </w:rPr>
        <w:t xml:space="preserve">aff'd</w:t>
      </w:r>
      <w:r>
        <w:t xml:space="preserve"> </w:t>
      </w:r>
      <w:r>
        <w:t xml:space="preserve">,</w:t>
      </w:r>
      <w:r>
        <w:t xml:space="preserve"> </w:t>
      </w:r>
      <w:r>
        <w:t xml:space="preserve">985 A.2d 391</w:t>
      </w:r>
      <w:r>
        <w:t xml:space="preserve"> </w:t>
      </w:r>
      <w:r>
        <w:t xml:space="preserve">(Del. 2009).</w:t>
      </w:r>
    </w:p>
  </w:footnote>
  <w:footnote w:id="916">
    <w:p>
      <w:pPr>
        <w:pStyle w:val="CaseFootnoteText"/>
      </w:pPr>
      <w:r>
        <w:rPr>
          <w:rStyle w:val="FootnoteReference"/>
        </w:rPr>
        <w:t xml:space="preserve">118  </w:t>
      </w:r>
      <w:r>
        <w:t xml:space="preserve"/>
      </w:r>
      <w:r>
        <w:t xml:space="preserve"> </w:t>
      </w:r>
      <w:r>
        <w:rPr>
          <w:iCs/>
          <w:i/>
        </w:rPr>
        <w:t xml:space="preserve">See supra</w:t>
      </w:r>
      <w:r>
        <w:t xml:space="preserve"> </w:t>
      </w:r>
      <w:r>
        <w:t xml:space="preserve">at n. 4.</w:t>
      </w:r>
    </w:p>
  </w:footnote>
  <w:footnote w:id="917">
    <w:p>
      <w:pPr>
        <w:pStyle w:val="CaseFootnoteText"/>
      </w:pPr>
      <w:r>
        <w:rPr>
          <w:rStyle w:val="FootnoteReference"/>
        </w:rPr>
        <w:t xml:space="preserve">118  </w:t>
      </w:r>
      <w:r>
        <w:t xml:space="preserve">Under Section 7(e) of the parties' merger agreement, it is a condition precedent to the obligation of both parties that No temporary restraining order, preliminary or permanent injunction or other order or judgment issued by any Governmental Entity of competent jurisdiction (an ‘Injunction’) enjoining or prohibiting the consummation of the Merger shall be in effect. There shall not be any action taken, or any law, rule, regulation or order enacted, entered or enforced in respect of the Merger, by any Governmental Entity of competent' jurisdiction that makes the consummation of the Merger illegal. App. to Opening Br. at 229 (Merger Agreement at 77). In this case, enjoining the merger for 30 days poses substantial risk, because Section 8.1(c) of the merger agreement provides that if the merger has not been consummated by December 31, 2014, either party may terminate the agreement, with no exception for delays caused by a court-imposed injunction. App. to Opening Br. at 231 (Merger Agreement at 79).</w:t>
      </w:r>
    </w:p>
  </w:footnote>
  <w:footnote w:id="918">
    <w:p>
      <w:pPr>
        <w:pStyle w:val="CaseFootnoteText"/>
      </w:pPr>
      <w:r>
        <w:rPr>
          <w:rStyle w:val="FootnoteReference"/>
        </w:rPr>
        <w:t xml:space="preserve">118  </w:t>
      </w:r>
      <w:r>
        <w:t xml:space="preserve">Grupo Mexico’s equity share of Southern Peru increased from 54.2% to 75.1% as a result of the Merger.</w:t>
      </w:r>
      <w:r>
        <w:t xml:space="preserve"> </w:t>
      </w:r>
      <w:r>
        <w:rPr>
          <w:iCs/>
          <w:i/>
        </w:rPr>
        <w:t xml:space="preserve">See</w:t>
      </w:r>
      <w:r>
        <w:t xml:space="preserve"> </w:t>
      </w:r>
      <w:r>
        <w:t xml:space="preserve">JX-107.</w:t>
      </w:r>
    </w:p>
  </w:footnote>
  <w:footnote w:id="919">
    <w:p>
      <w:pPr>
        <w:pStyle w:val="CaseFootnoteText"/>
      </w:pPr>
      <w:r>
        <w:rPr>
          <w:rStyle w:val="FootnoteReference"/>
        </w:rPr>
        <w:t xml:space="preserve">119  </w:t>
      </w:r>
      <w:r>
        <w:rPr>
          <w:iCs/>
          <w:i/>
        </w:rPr>
        <w:t xml:space="preserve">See</w:t>
      </w:r>
      <w:r>
        <w:t xml:space="preserve"/>
      </w:r>
      <w:r>
        <w:rPr>
          <w:iCs/>
          <w:i/>
        </w:rPr>
        <w:t xml:space="preserve">Nationwide</w:t>
      </w:r>
      <w:r>
        <w:t xml:space="preserve"> </w:t>
      </w:r>
      <w:r>
        <w:t xml:space="preserve">,</w:t>
      </w:r>
      <w:r>
        <w:t xml:space="preserve"> </w:t>
      </w:r>
      <w:r>
        <w:t xml:space="preserve">112 A.3d at 892</w:t>
      </w:r>
      <w:r>
        <w:t xml:space="preserve"> </w:t>
      </w:r>
      <w:r>
        <w:t xml:space="preserve">(noting that a party "did not fairly raise a ... claim at trial" when "for much of trial" it argued a contrary point).</w:t>
      </w:r>
    </w:p>
  </w:footnote>
  <w:footnote w:id="920">
    <w:p>
      <w:pPr>
        <w:pStyle w:val="CaseFootnoteText"/>
      </w:pPr>
      <w:r>
        <w:rPr>
          <w:rStyle w:val="FootnoteReference"/>
        </w:rPr>
        <w:t xml:space="preserve">119  </w:t>
      </w:r>
      <w:r>
        <w:t xml:space="preserve"/>
      </w:r>
      <w:r>
        <w:t xml:space="preserve"> </w:t>
      </w:r>
      <w:r>
        <w:rPr>
          <w:iCs/>
          <w:i/>
        </w:rPr>
        <w:t xml:space="preserve">Weinberger,</w:t>
      </w:r>
      <w:r>
        <w:t xml:space="preserve"> </w:t>
      </w:r>
      <w:r>
        <w:t xml:space="preserve">457 A.2d at 710</w:t>
      </w:r>
      <w:r>
        <w:t xml:space="preserve">.</w:t>
      </w:r>
    </w:p>
  </w:footnote>
  <w:footnote w:id="921">
    <w:p>
      <w:pPr>
        <w:pStyle w:val="CaseFootnoteText"/>
      </w:pPr>
      <w:r>
        <w:rPr>
          <w:rStyle w:val="FootnoteReference"/>
        </w:rPr>
        <w:t xml:space="preserve">119  </w:t>
      </w:r>
      <w:r>
        <w:t xml:space="preserve">It is a general principle of contract law that a party’s prior material breach can discharge the other party's obligation to perform, or at least allow the other party to recover damages for the breach.</w:t>
      </w:r>
      <w:r>
        <w:t xml:space="preserve"> </w:t>
      </w:r>
      <w:r>
        <w:rPr>
          <w:iCs/>
          <w:i/>
        </w:rPr>
        <w:t xml:space="preserve">See</w:t>
      </w:r>
      <w:r>
        <w:t xml:space="preserve"> </w:t>
      </w:r>
      <w:r>
        <w:t xml:space="preserve">14 Samuel Williston</w:t>
      </w:r>
      <w:r>
        <w:t xml:space="preserve"> </w:t>
      </w:r>
      <w:r>
        <w:rPr>
          <w:iCs/>
          <w:i/>
        </w:rPr>
        <w:t xml:space="preserve">&amp;</w:t>
      </w:r>
      <w:r>
        <w:t xml:space="preserve"> </w:t>
      </w:r>
      <w:r>
        <w:t xml:space="preserve">Richard A. Lord, A Treatise On The Law Of Contracts § 43.5 (4th ed. 2003). The Court of Chancery has previously refused to grant a preliminary injunction that would result in a "breach of fundamental [merger agreement] provisions” in similar cases.</w:t>
      </w:r>
      <w:r>
        <w:t xml:space="preserve"> </w:t>
      </w:r>
      <w:r>
        <w:rPr>
          <w:iCs/>
          <w:i/>
        </w:rPr>
        <w:t xml:space="preserve">El Paso,</w:t>
      </w:r>
      <w:r>
        <w:t xml:space="preserve"> </w:t>
      </w:r>
      <w:r>
        <w:t xml:space="preserve">41 A.3d at 434</w:t>
      </w:r>
      <w:r>
        <w:t xml:space="preserve"> </w:t>
      </w:r>
      <w:r>
        <w:t xml:space="preserve">("[Plaintiff seeks] to keep [buyer] bound but to allow [target] to prospect for more. I understand that, but they are stuck with the requirements of equity, which is that they accept the risks that come with enjoining the Merger, including the risk that [buyer] will walk when the drop-dead date expires.”);</w:t>
      </w:r>
      <w:r>
        <w:t xml:space="preserve"> </w:t>
      </w:r>
      <w:r>
        <w:rPr>
          <w:iCs/>
          <w:i/>
        </w:rPr>
        <w:t xml:space="preserve">see also Netsmart,</w:t>
      </w:r>
      <w:r>
        <w:t xml:space="preserve"> </w:t>
      </w:r>
      <w:r>
        <w:t xml:space="preserve">924 A.2d at 209</w:t>
      </w:r>
      <w:r>
        <w:t xml:space="preserve">.</w:t>
      </w:r>
    </w:p>
  </w:footnote>
  <w:footnote w:id="922">
    <w:p>
      <w:pPr>
        <w:pStyle w:val="CaseFootnoteText"/>
      </w:pPr>
      <w:r>
        <w:rPr>
          <w:rStyle w:val="FootnoteReference"/>
        </w:rPr>
        <w:t xml:space="preserve">119  </w:t>
      </w:r>
      <w:r>
        <w:t xml:space="preserve">In its June 11, 2004 presentation, Goldman presented a DCF analysis that generated a midrange implied equity value for Minera of $1.7 billion, using an 8.5% discount rate, $0.90/lb long-term copper prices, and the A &amp;</w:t>
      </w:r>
      <w:r>
        <w:t xml:space="preserve"> </w:t>
      </w:r>
      <w:r>
        <w:rPr>
          <w:iCs/>
          <w:i/>
        </w:rPr>
        <w:t xml:space="preserve">S</w:t>
      </w:r>
      <w:r>
        <w:t xml:space="preserve"> </w:t>
      </w:r>
      <w:r>
        <w:t xml:space="preserve">adjusted projections. JX-101 at SP COMM 003375. In its July 8, 2004 presentation, Goldman presented a revised DCF analysis, which generated a mid-range implied equity value for Minera of $1.358 billion, using the same 8.5% discount rage, $0.90/lb long-term copper prices, and the A &amp; S adjusted projections. JX-103 at SP COMM 006886.</w:t>
      </w:r>
    </w:p>
  </w:footnote>
  <w:footnote w:id="923">
    <w:p>
      <w:pPr>
        <w:pStyle w:val="CaseFootnoteText"/>
      </w:pPr>
      <w:r>
        <w:rPr>
          <w:rStyle w:val="FootnoteReference"/>
        </w:rPr>
        <w:t xml:space="preserve">120  </w:t>
      </w:r>
      <w:r>
        <w:t xml:space="preserve">App. to Reply Br. at AR106, AR117.</w:t>
      </w:r>
    </w:p>
  </w:footnote>
  <w:footnote w:id="924">
    <w:p>
      <w:pPr>
        <w:pStyle w:val="CaseFootnoteText"/>
      </w:pPr>
      <w:r>
        <w:rPr>
          <w:rStyle w:val="FootnoteReference"/>
        </w:rPr>
        <w:t xml:space="preserve">120  </w:t>
      </w:r>
      <w:r>
        <w:t xml:space="preserve"/>
      </w:r>
      <w:r>
        <w:t xml:space="preserve"> </w:t>
      </w:r>
      <w:r>
        <w:rPr>
          <w:iCs/>
          <w:i/>
        </w:rPr>
        <w:t xml:space="preserve">Id.</w:t>
      </w:r>
      <w:r>
        <w:rPr>
          <w:iCs/>
          <w:i/>
        </w:rPr>
        <w:t xml:space="preserve"> </w:t>
      </w:r>
      <w:r>
        <w:t xml:space="preserve">at 711</w:t>
      </w:r>
      <w:r>
        <w:t xml:space="preserve">.</w:t>
      </w:r>
    </w:p>
  </w:footnote>
  <w:footnote w:id="925">
    <w:p>
      <w:pPr>
        <w:pStyle w:val="CaseFootnoteText"/>
      </w:pPr>
      <w:r>
        <w:rPr>
          <w:rStyle w:val="FootnoteReference"/>
        </w:rPr>
        <w:t xml:space="preserve">120  </w:t>
      </w:r>
      <w:r>
        <w:t xml:space="preserve">Bench Opinion at 13.</w:t>
      </w:r>
    </w:p>
    <w:p>
      <w:pPr>
        <w:pStyle w:val="NodeEnd"/>
      </w:pPr>
      <w:r>
        <w:t xml:space="preserve"> </w:t>
      </w:r>
    </w:p>
    <w:p>
      <w:pPr>
        <w:pStyle w:val="NodeStart"/>
      </w:pPr>
      <w:r>
        <w:t xml:space="preserve"> </w:t>
      </w:r>
    </w:p>
    <w:p>
      <w:pPr>
        <w:pStyle w:val="HeadSeparator"/>
      </w:pPr>
      <w:r>
        <w:t xml:space="preserve"> </w:t>
      </w:r>
    </w:p>
  </w:footnote>
  <w:footnote w:id="926">
    <w:p>
      <w:pPr>
        <w:pStyle w:val="CaseFootnoteText"/>
      </w:pPr>
      <w:r>
        <w:rPr>
          <w:rStyle w:val="FootnoteReference"/>
        </w:rPr>
        <w:t xml:space="preserve">120  </w:t>
      </w:r>
      <w:r>
        <w:t xml:space="preserve">According to Goldman’s spreadsheets produced by the plaintiff in discovery, Goldman arrived at a mid-range implied equity value of $1.254 billion for Minera, using an 8.5% discount rate and a $0.90 long-term copper price. The spreadsheets show that Southern Peru’s mid-range implied equity value was $1.6 billion, assuming a 9.5% discount rate, a $0.90 long-term copper price, and a royalty tax rate of 2%.</w:t>
      </w:r>
    </w:p>
  </w:footnote>
  <w:footnote w:id="927">
    <w:p>
      <w:pPr>
        <w:pStyle w:val="CaseFootnoteText"/>
      </w:pPr>
      <w:r>
        <w:rPr>
          <w:rStyle w:val="FootnoteReference"/>
        </w:rPr>
        <w:t xml:space="preserve">121  </w:t>
      </w:r>
      <w:r>
        <w:t xml:space="preserve">App. to Opening Br. at A671 (emphasis added). The Minority Members only arguably raised the Top-Off plain language argument in correspondence below.</w:t>
      </w:r>
      <w:r>
        <w:t xml:space="preserve"/>
      </w:r>
      <w:r>
        <w:rPr>
          <w:iCs/>
          <w:i/>
        </w:rPr>
        <w:t xml:space="preserve">See</w:t>
      </w:r>
      <w:r>
        <w:t xml:space="preserve"> </w:t>
      </w:r>
      <w:r>
        <w:t xml:space="preserve">App. to Answering Br. at B248-51. Although the trial court was aware of these communications, that does not excuse the advancing parties' failure to properly brief and argue them.</w:t>
      </w:r>
    </w:p>
  </w:footnote>
  <w:footnote w:id="928">
    <w:p>
      <w:pPr>
        <w:pStyle w:val="CaseFootnoteText"/>
      </w:pPr>
      <w:r>
        <w:rPr>
          <w:rStyle w:val="FootnoteReference"/>
        </w:rPr>
        <w:t xml:space="preserve">121  </w:t>
      </w:r>
      <w:r>
        <w:t xml:space="preserve"/>
      </w:r>
      <w:r>
        <w:t xml:space="preserve"> </w:t>
      </w:r>
      <w:r>
        <w:rPr>
          <w:iCs/>
          <w:i/>
        </w:rPr>
        <w:t xml:space="preserve">Id.</w:t>
      </w:r>
    </w:p>
  </w:footnote>
  <w:footnote w:id="929">
    <w:p>
      <w:pPr>
        <w:pStyle w:val="CaseFootnoteText"/>
      </w:pPr>
      <w:r>
        <w:rPr>
          <w:rStyle w:val="FootnoteReference"/>
        </w:rPr>
        <w:t xml:space="preserve">121  </w:t>
      </w:r>
      <w:r>
        <w:t xml:space="preserve">At the time of signing on October 21, 2004, Southern Peru shares were trading at $45.92. Given its capitalization of 80 million issued shares, Southern Peru's actual market equity value was $3.67 billion.</w:t>
      </w:r>
    </w:p>
  </w:footnote>
  <w:footnote w:id="930">
    <w:p>
      <w:pPr>
        <w:pStyle w:val="CaseFootnoteText"/>
      </w:pPr>
      <w:r>
        <w:rPr>
          <w:rStyle w:val="FootnoteReference"/>
        </w:rPr>
        <w:t xml:space="preserve">122  </w:t>
      </w:r>
      <w:r>
        <w:t xml:space="preserve">Opening Br. at 54.</w:t>
      </w:r>
    </w:p>
    <w:p>
      <w:pPr>
        <w:pStyle w:val="NodeEnd"/>
      </w:pPr>
      <w:r>
        <w:t xml:space="preserve"> </w:t>
      </w:r>
    </w:p>
    <w:p>
      <w:pPr>
        <w:pStyle w:val="NodeStart"/>
      </w:pPr>
      <w:r>
        <w:t xml:space="preserve"> </w:t>
      </w:r>
    </w:p>
    <w:p>
      <w:pPr>
        <w:pStyle w:val="HeadSeparator"/>
      </w:pPr>
      <w:r>
        <w:t xml:space="preserve"> </w:t>
      </w:r>
    </w:p>
  </w:footnote>
  <w:footnote w:id="931">
    <w:p>
      <w:pPr>
        <w:pStyle w:val="CaseFootnoteText"/>
      </w:pPr>
      <w:r>
        <w:rPr>
          <w:rStyle w:val="FootnoteReference"/>
        </w:rPr>
        <w:t xml:space="preserve">122  </w:t>
      </w:r>
      <w:r>
        <w:t xml:space="preserve"/>
      </w:r>
      <w:r>
        <w:t xml:space="preserve"> </w:t>
      </w:r>
      <w:r>
        <w:rPr>
          <w:iCs/>
          <w:i/>
        </w:rPr>
        <w:t xml:space="preserve">Id.</w:t>
      </w:r>
    </w:p>
  </w:footnote>
  <w:footnote w:id="932">
    <w:p>
      <w:pPr>
        <w:pStyle w:val="CaseFootnoteText"/>
      </w:pPr>
      <w:r>
        <w:rPr>
          <w:rStyle w:val="FootnoteReference"/>
        </w:rPr>
        <w:t xml:space="preserve">122  </w:t>
      </w:r>
      <w:r>
        <w:t xml:space="preserve">JX-129 at 34. Southern Peru’s EV/ 2005E EBITDA multiple of 5.5x was based on estimates of future results contained in selected Wall Street research reports,</w:t>
      </w:r>
      <w:r>
        <w:t xml:space="preserve"> </w:t>
      </w:r>
      <w:r>
        <w:rPr>
          <w:iCs/>
          <w:i/>
        </w:rPr>
        <w:t xml:space="preserve">id.</w:t>
      </w:r>
      <w:r>
        <w:t xml:space="preserve"> </w:t>
      </w:r>
      <w:r>
        <w:t xml:space="preserve">at 33, and appears to have been unadjusted for the $100 million dividend.</w:t>
      </w:r>
      <w:r>
        <w:t xml:space="preserve"> </w:t>
      </w:r>
      <w:r>
        <w:rPr>
          <w:iCs/>
          <w:i/>
        </w:rPr>
        <w:t xml:space="preserve">Compare</w:t>
      </w:r>
      <w:r>
        <w:t xml:space="preserve"> </w:t>
      </w:r>
      <w:r>
        <w:t xml:space="preserve">JX-106 at 24 n. 1 (adjusting the multiple to account for the dividend, which increases Southern Peru's EV/ 2005E EBITDA multiple based on Wall Street consensus to 5.6x).</w:t>
      </w:r>
    </w:p>
  </w:footnote>
  <w:footnote w:id="975">
    <w:p>
      <w:pPr>
        <w:pStyle w:val="CaseFootnoteText"/>
      </w:pPr>
      <w:r>
        <w:rPr>
          <w:rStyle w:val="FootnoteReference"/>
        </w:rPr>
        <w:t xml:space="preserve">*  </w:t>
      </w:r>
      <w:r>
        <w:t xml:space="preserve">The syllabus constitutes no part of the opinion of the Court but has been prepared by the Reporter of Decisions for the convenience of the reader. See</w:t>
      </w:r>
      <w:r>
        <w:t xml:space="preserve"/>
      </w:r>
      <w:r>
        <w:rPr>
          <w:iCs/>
          <w:i/>
        </w:rPr>
        <w:t xml:space="preserve">United States v. Detroit Timber &amp; Lumber Co.,</w:t>
      </w:r>
      <w:r>
        <w:t xml:space="preserve"> </w:t>
      </w:r>
      <w:r>
        <w:t xml:space="preserve">200 U.S. 321</w:t>
      </w:r>
      <w:r>
        <w:t xml:space="preserve">, 337,</w:t>
      </w:r>
      <w:r>
        <w:t xml:space="preserve"> </w:t>
      </w:r>
      <w:r>
        <w:t xml:space="preserve">26 S.Ct. 282</w:t>
      </w:r>
      <w:r>
        <w:t xml:space="preserve">,</w:t>
      </w:r>
      <w:r>
        <w:t xml:space="preserve"> </w:t>
      </w:r>
      <w:r>
        <w:t xml:space="preserve">50 L.Ed. 499</w:t>
      </w:r>
      <w:r>
        <w:t xml:space="preserve">.</w:t>
      </w:r>
    </w:p>
  </w:footnote>
  <w:footnote w:id="976">
    <w:p>
      <w:pPr>
        <w:pStyle w:val="CaseFootnoteText"/>
      </w:pPr>
      <w:r>
        <w:rPr>
          <w:rStyle w:val="FootnoteReference"/>
        </w:rPr>
        <w:t xml:space="preserve">*  </w:t>
      </w:r>
      <w:r>
        <w:t xml:space="preserve"/>
      </w:r>
      <w:r>
        <w:rPr>
          <w:iCs/>
          <w:i/>
        </w:rPr>
        <w:t xml:space="preserve">Solicitor General Bork</w:t>
      </w:r>
      <w:r>
        <w:t xml:space="preserve"> </w:t>
      </w:r>
      <w:r>
        <w:t xml:space="preserve">and</w:t>
      </w:r>
      <w:r>
        <w:t xml:space="preserve"> </w:t>
      </w:r>
      <w:r>
        <w:rPr>
          <w:iCs/>
          <w:i/>
        </w:rPr>
        <w:t xml:space="preserve">David Ferber</w:t>
      </w:r>
      <w:r>
        <w:t xml:space="preserve"> </w:t>
      </w:r>
      <w:r>
        <w:t xml:space="preserve">filed a brief for the Securities and Exchange Commission as</w:t>
      </w:r>
      <w:r>
        <w:t xml:space="preserve"> </w:t>
      </w:r>
      <w:r>
        <w:rPr>
          <w:iCs/>
          <w:i/>
        </w:rPr>
        <w:t xml:space="preserve">amicus curiae</w:t>
      </w:r>
      <w:r>
        <w:t xml:space="preserve"> </w:t>
      </w:r>
      <w:r>
        <w:t xml:space="preserve">urging affirmance.</w:t>
      </w:r>
    </w:p>
  </w:footnote>
  <w:footnote w:id="980">
    <w:p>
      <w:pPr>
        <w:pStyle w:val="CaseFootnoteText"/>
      </w:pPr>
      <w:r>
        <w:rPr>
          <w:rStyle w:val="FootnoteReference"/>
        </w:rPr>
        <w:t xml:space="preserve">123  </w:t>
      </w:r>
      <w:r>
        <w:t xml:space="preserve"/>
      </w:r>
      <w:r>
        <w:t xml:space="preserve"> </w:t>
      </w:r>
      <w:r>
        <w:rPr>
          <w:iCs/>
          <w:i/>
        </w:rPr>
        <w:t xml:space="preserve">Id.</w:t>
      </w:r>
    </w:p>
  </w:footnote>
  <w:footnote w:id="981">
    <w:p>
      <w:pPr>
        <w:pStyle w:val="CaseFootnoteText"/>
      </w:pPr>
      <w:r>
        <w:rPr>
          <w:rStyle w:val="FootnoteReference"/>
        </w:rPr>
        <w:t xml:space="preserve">123  </w:t>
      </w:r>
      <w:r>
        <w:t xml:space="preserve"/>
      </w:r>
      <w:r>
        <w:t xml:space="preserve"> </w:t>
      </w:r>
      <w:r>
        <w:rPr>
          <w:iCs/>
          <w:i/>
        </w:rPr>
        <w:t xml:space="preserve">Id.</w:t>
      </w:r>
      <w:r>
        <w:t xml:space="preserve"> </w:t>
      </w:r>
      <w:r>
        <w:t xml:space="preserve">at 34. The comparable company EV/ 2005E EBITDA multiples were all based on median estimates published by the Institutional Brokers Estimate System.</w:t>
      </w:r>
      <w:r>
        <w:t xml:space="preserve"> </w:t>
      </w:r>
      <w:r>
        <w:rPr>
          <w:iCs/>
          <w:i/>
        </w:rPr>
        <w:t xml:space="preserve">Id.</w:t>
      </w:r>
      <w:r>
        <w:t xml:space="preserve"> </w:t>
      </w:r>
      <w:r>
        <w:t xml:space="preserve">at 33.</w:t>
      </w:r>
    </w:p>
  </w:footnote>
  <w:footnote w:id="982">
    <w:p>
      <w:pPr>
        <w:pStyle w:val="CaseFootnoteText"/>
      </w:pPr>
      <w:r>
        <w:rPr>
          <w:rStyle w:val="FootnoteReference"/>
        </w:rPr>
        <w:t xml:space="preserve">124  </w:t>
      </w:r>
      <w:r>
        <w:t xml:space="preserve">Def. Intermedia’s Br. at 38.</w:t>
      </w:r>
    </w:p>
  </w:footnote>
  <w:footnote w:id="983">
    <w:p>
      <w:pPr>
        <w:pStyle w:val="CaseFootnoteText"/>
      </w:pPr>
      <w:r>
        <w:rPr>
          <w:rStyle w:val="FootnoteReference"/>
        </w:rPr>
        <w:t xml:space="preserve">124  </w:t>
      </w:r>
      <w:r>
        <w:t xml:space="preserve">JX-106 at SP COMM 004926. As discussed above, the 5.6x multiple (5.5x if unadjusted for the dividend) used by Goldman was based on estimates of Southern Peru's 2005E EBITDA as contained in Wall Street research reports. The materially higher 6.3x, 6.4x, and 6.5x multiples, however, were based on Southern Peru’s internal projections for its 2005E EBITDA, which reduced the 2005E EBITDA figures to questionably low levels, given its strong performance in 2004 coupled with the incentives to decrease the figures in order to arrive at a higher multiple to support a 67.2 million share issuance for Minera.</w:t>
      </w:r>
    </w:p>
  </w:footnote>
  <w:footnote w:id="984">
    <w:p>
      <w:pPr>
        <w:pStyle w:val="CaseFootnoteText"/>
      </w:pPr>
      <w:r>
        <w:rPr>
          <w:rStyle w:val="FootnoteReference"/>
        </w:rPr>
        <w:t xml:space="preserve">125  </w:t>
      </w:r>
      <w:r>
        <w:t xml:space="preserve">All parties concerned agree that by this time, negotiations with Exodus had reached at least a temporary dead end.</w:t>
      </w:r>
    </w:p>
  </w:footnote>
  <w:footnote w:id="985">
    <w:p>
      <w:pPr>
        <w:pStyle w:val="CaseFootnoteText"/>
      </w:pPr>
      <w:r>
        <w:rPr>
          <w:rStyle w:val="FootnoteReference"/>
        </w:rPr>
        <w:t xml:space="preserve">125  </w:t>
      </w:r>
      <w:r>
        <w:t xml:space="preserve">JX-106 at SP COMM 004926 (internal 2005E EBITDA projections ranging from $570 million to $592 million, where Wall Street projections were $664 million and its 2004 YTD annualized EBITDA was at that point $801 million).</w:t>
      </w:r>
    </w:p>
  </w:footnote>
  <w:footnote w:id="986">
    <w:p>
      <w:pPr>
        <w:pStyle w:val="CaseFootnoteText"/>
      </w:pPr>
      <w:r>
        <w:rPr>
          <w:rStyle w:val="FootnoteReference"/>
        </w:rPr>
        <w:t xml:space="preserve">126  </w:t>
      </w:r>
      <w:r>
        <w:t xml:space="preserve">Def. Intermedia’s Br. at 4-5.</w:t>
      </w:r>
    </w:p>
  </w:footnote>
  <w:footnote w:id="987">
    <w:p>
      <w:pPr>
        <w:pStyle w:val="CaseFootnoteText"/>
      </w:pPr>
      <w:r>
        <w:rPr>
          <w:rStyle w:val="FootnoteReference"/>
        </w:rPr>
        <w:t xml:space="preserve">126  </w:t>
      </w:r>
      <w:r>
        <w:t xml:space="preserve"/>
      </w:r>
      <w:r>
        <w:t xml:space="preserve"> </w:t>
      </w:r>
      <w:r>
        <w:rPr>
          <w:iCs/>
          <w:i/>
        </w:rPr>
        <w:t xml:space="preserve">Id.</w:t>
      </w:r>
      <w:r>
        <w:t xml:space="preserve"> </w:t>
      </w:r>
      <w:r>
        <w:t xml:space="preserve">(showing that at minimum, either a combination of a 6.4x multiple multiplied by management’s unadjusted 2005E EBITDA for Minera or a 6.5x multiple multiplied by the A &amp; S-adjusted 2005 E EBITDA for Minera was needed to justify an issuance of over 67 million shares).</w:t>
      </w:r>
    </w:p>
  </w:footnote>
  <w:footnote w:id="988">
    <w:p>
      <w:pPr>
        <w:pStyle w:val="CaseFootnoteText"/>
      </w:pPr>
      <w:r>
        <w:rPr>
          <w:rStyle w:val="FootnoteReference"/>
        </w:rPr>
        <w:t xml:space="preserve">127  </w:t>
      </w:r>
      <w:r>
        <w:t xml:space="preserve"/>
      </w:r>
      <w:r>
        <w:t xml:space="preserve"> </w:t>
      </w:r>
      <w:r>
        <w:rPr>
          <w:iCs/>
          <w:i/>
        </w:rPr>
        <w:t xml:space="preserve">Weinberger,</w:t>
      </w:r>
      <w:r>
        <w:t xml:space="preserve"> </w:t>
      </w:r>
      <w:r>
        <w:t xml:space="preserve">457 A.2d at 711</w:t>
      </w:r>
      <w:r>
        <w:t xml:space="preserve">.</w:t>
      </w:r>
    </w:p>
  </w:footnote>
  <w:footnote w:id="989">
    <w:p>
      <w:pPr>
        <w:pStyle w:val="CaseFootnoteText"/>
      </w:pPr>
      <w:r>
        <w:rPr>
          <w:rStyle w:val="FootnoteReference"/>
        </w:rPr>
        <w:t xml:space="preserve">127  </w:t>
      </w:r>
      <w:r>
        <w:t xml:space="preserve">The 2005E Wall Street consensus median multiple of the comparable companies used by Goldman for 2005 was 4.8x. JX-129 at 34.</w:t>
      </w:r>
    </w:p>
  </w:footnote>
  <w:footnote w:id="990">
    <w:p>
      <w:pPr>
        <w:pStyle w:val="CaseFootnoteText"/>
      </w:pPr>
      <w:r>
        <w:rPr>
          <w:rStyle w:val="FootnoteReference"/>
        </w:rPr>
        <w:t xml:space="preserve">128  </w:t>
      </w:r>
      <w:r>
        <w:t xml:space="preserve"/>
      </w:r>
      <w:r>
        <w:rPr>
          <w:iCs/>
          <w:i/>
        </w:rPr>
        <w:t xml:space="preserve">.In re Western Nat’l Corp. Shareholders Litig.,</w:t>
      </w:r>
      <w:r>
        <w:t xml:space="preserve"> </w:t>
      </w:r>
      <w:r>
        <w:t xml:space="preserve">C.A. No. 15927,</w:t>
      </w:r>
      <w:r>
        <w:t xml:space="preserve"> </w:t>
      </w:r>
      <w:r>
        <w:t xml:space="preserve">2000 WL 710192</w:t>
      </w:r>
      <w:r>
        <w:t xml:space="preserve">, Chandler, C. (May 22, 2000), mem. op.</w:t>
      </w:r>
    </w:p>
  </w:footnote>
  <w:footnote w:id="991">
    <w:p>
      <w:pPr>
        <w:pStyle w:val="CaseFootnoteText"/>
      </w:pPr>
      <w:r>
        <w:rPr>
          <w:rStyle w:val="FootnoteReference"/>
        </w:rPr>
        <w:t xml:space="preserve">128  </w:t>
      </w:r>
      <w:r>
        <w:t xml:space="preserve">The 2005E Wall Street consensus multiple of Southern was 5.5x (unadjusted for the dividend) or 5.6x (adjusted for the dividend). JX-129 at 34; JX-106 at 24 n. 1</w:t>
      </w:r>
    </w:p>
  </w:footnote>
  <w:footnote w:id="992">
    <w:p>
      <w:pPr>
        <w:pStyle w:val="CaseFootnoteText"/>
      </w:pPr>
      <w:r>
        <w:rPr>
          <w:rStyle w:val="FootnoteReference"/>
        </w:rPr>
        <w:t xml:space="preserve">129  </w:t>
      </w:r>
      <w:r>
        <w:t xml:space="preserve">Def. Intermedia's Br. at 39.</w:t>
      </w:r>
    </w:p>
  </w:footnote>
  <w:footnote w:id="993">
    <w:p>
      <w:pPr>
        <w:pStyle w:val="CaseFootnoteText"/>
      </w:pPr>
      <w:r>
        <w:rPr>
          <w:rStyle w:val="FootnoteReference"/>
        </w:rPr>
        <w:t xml:space="preserve">129  </w:t>
      </w:r>
      <w:r>
        <w:t xml:space="preserve">JX-107 (Road Show Presentation) at SP COMM 006674. As I will discuss, this multiple was derived from an enterprise value of Minera of $4.1 billion.</w:t>
      </w:r>
    </w:p>
  </w:footnote>
  <w:footnote w:id="994">
    <w:p>
      <w:pPr>
        <w:pStyle w:val="CaseFootnoteText"/>
      </w:pPr>
      <w:r>
        <w:rPr>
          <w:rStyle w:val="FootnoteReference"/>
        </w:rPr>
        <w:t xml:space="preserve">130  </w:t>
      </w:r>
      <w:r>
        <w:t xml:space="preserve"/>
      </w:r>
      <w:r>
        <w:t xml:space="preserve"> </w:t>
      </w:r>
      <w:r>
        <w:rPr>
          <w:iCs/>
          <w:i/>
        </w:rPr>
        <w:t xml:space="preserve">See Smith v. Van Gorkom,</w:t>
      </w:r>
      <w:r>
        <w:t xml:space="preserve"> </w:t>
      </w:r>
      <w:r>
        <w:t xml:space="preserve">Del.Supr.,</w:t>
      </w:r>
      <w:r>
        <w:t xml:space="preserve"> </w:t>
      </w:r>
      <w:r>
        <w:t xml:space="preserve">488 A.2d 858</w:t>
      </w:r>
      <w:r>
        <w:t xml:space="preserve"> </w:t>
      </w:r>
      <w:r>
        <w:t xml:space="preserve">(1985).</w:t>
      </w:r>
    </w:p>
  </w:footnote>
  <w:footnote w:id="995">
    <w:p>
      <w:pPr>
        <w:pStyle w:val="CaseFootnoteText"/>
      </w:pPr>
      <w:r>
        <w:rPr>
          <w:rStyle w:val="FootnoteReference"/>
        </w:rPr>
        <w:t xml:space="preserve">130  </w:t>
      </w:r>
      <w:r>
        <w:t xml:space="preserve">JX-106 at SP COMM 004926.</w:t>
      </w:r>
    </w:p>
  </w:footnote>
  <w:footnote w:id="996">
    <w:p>
      <w:pPr>
        <w:pStyle w:val="CaseFootnoteText"/>
      </w:pPr>
      <w:r>
        <w:rPr>
          <w:rStyle w:val="FootnoteReference"/>
        </w:rPr>
        <w:t xml:space="preserve">131  </w:t>
      </w:r>
      <w:r>
        <w:t xml:space="preserve"/>
      </w:r>
      <w:r>
        <w:t xml:space="preserve"> </w:t>
      </w:r>
      <w:r>
        <w:rPr>
          <w:iCs/>
          <w:i/>
        </w:rPr>
        <w:t xml:space="preserve">See</w:t>
      </w:r>
      <w:r>
        <w:t xml:space="preserve"> </w:t>
      </w:r>
      <w:r>
        <w:t xml:space="preserve">Campbell Dep. at 125-30 (explaining the particular needs of Digex and why World-Com, as a new parent, could effectively meet them).</w:t>
      </w:r>
    </w:p>
  </w:footnote>
  <w:footnote w:id="997">
    <w:p>
      <w:pPr>
        <w:pStyle w:val="CaseFootnoteText"/>
      </w:pPr>
      <w:r>
        <w:rPr>
          <w:rStyle w:val="FootnoteReference"/>
        </w:rPr>
        <w:t xml:space="preserve">131  </w:t>
      </w:r>
      <w:r>
        <w:t xml:space="preserve">Goldman's contribution analysis assumed that Minera's estimated 2005 EBITDA would be $622 million (as adjusted by A &amp; S) or $672 (per the unadjusted management figures). The road show, however, implied an estimated 2005 EBITDA for Minera of $732 million (derived by dividing the listed $4.1 billion enterprise value by the 5.6x EV/2005E EBITDA multiple). JX-107 at SP COMM 006674.</w:t>
      </w:r>
    </w:p>
  </w:footnote>
  <w:footnote w:id="998">
    <w:p>
      <w:pPr>
        <w:pStyle w:val="CaseFootnoteText"/>
      </w:pPr>
      <w:r>
        <w:rPr>
          <w:rStyle w:val="FootnoteReference"/>
        </w:rPr>
        <w:t xml:space="preserve">132  </w:t>
      </w:r>
      <w:r>
        <w:t xml:space="preserve">Campbell Dep. at 159.</w:t>
      </w:r>
      <w:r>
        <w:t xml:space="preserve"> </w:t>
      </w:r>
      <w:r>
        <w:rPr>
          <w:iCs/>
          <w:i/>
        </w:rPr>
        <w:t xml:space="preserve">See also id.</w:t>
      </w:r>
      <w:r>
        <w:t xml:space="preserve"> </w:t>
      </w:r>
      <w:r>
        <w:t xml:space="preserve">at 163-64 (stating that he believed WorldCom might pull the deal if Intermedia deferred its decision).</w:t>
      </w:r>
    </w:p>
  </w:footnote>
  <w:footnote w:id="999">
    <w:p>
      <w:pPr>
        <w:pStyle w:val="CaseFootnoteText"/>
      </w:pPr>
      <w:r>
        <w:rPr>
          <w:rStyle w:val="FootnoteReference"/>
        </w:rPr>
        <w:t xml:space="preserve">132  </w:t>
      </w:r>
      <w:r>
        <w:t xml:space="preserve">The road show assumed an estimated 2005 copper production of 365.4 Mt, JX-107 at SP COMM 006674, whereas, as of October 21, 2004, A &amp; S projected an estimated 2005 copper production of 329.1 Mt, and Minera itself projected an estimated 2005 copper production of 355.0 Mt. JX-106 at SP COMM 004918.</w:t>
      </w:r>
    </w:p>
  </w:footnote>
  <w:footnote w:id="1000">
    <w:p>
      <w:pPr>
        <w:pStyle w:val="CaseFootnoteText"/>
      </w:pPr>
      <w:r>
        <w:rPr>
          <w:rStyle w:val="FootnoteReference"/>
        </w:rPr>
        <w:t xml:space="preserve">133  </w:t>
      </w:r>
      <w:r>
        <w:t xml:space="preserve">Campbell Dep. at 168-69.</w:t>
      </w:r>
    </w:p>
  </w:footnote>
  <w:footnote w:id="1001">
    <w:p>
      <w:pPr>
        <w:pStyle w:val="CaseFootnoteText"/>
      </w:pPr>
      <w:r>
        <w:rPr>
          <w:rStyle w:val="FootnoteReference"/>
        </w:rPr>
        <w:t xml:space="preserve">133  </w:t>
      </w:r>
      <w:r>
        <w:t xml:space="preserve">JX-16 at SP COMM 000441.</w:t>
      </w:r>
    </w:p>
  </w:footnote>
  <w:footnote w:id="1002">
    <w:p>
      <w:pPr>
        <w:pStyle w:val="CaseFootnoteText"/>
      </w:pPr>
      <w:r>
        <w:rPr>
          <w:rStyle w:val="FootnoteReference"/>
        </w:rPr>
        <w:t xml:space="preserve">134  </w:t>
      </w:r>
      <w:r>
        <w:t xml:space="preserve">Ruberg Dep. at 146-47.</w:t>
      </w:r>
    </w:p>
  </w:footnote>
  <w:footnote w:id="1003">
    <w:p>
      <w:pPr>
        <w:pStyle w:val="CaseFootnoteText"/>
      </w:pPr>
      <w:r>
        <w:rPr>
          <w:rStyle w:val="FootnoteReference"/>
        </w:rPr>
        <w:t xml:space="preserve">134  </w:t>
      </w:r>
      <w:r>
        <w:t xml:space="preserve"/>
      </w:r>
      <w:r>
        <w:t xml:space="preserve"> </w:t>
      </w:r>
      <w:r>
        <w:rPr>
          <w:iCs/>
          <w:i/>
        </w:rPr>
        <w:t xml:space="preserve">See</w:t>
      </w:r>
      <w:r>
        <w:t xml:space="preserve"> </w:t>
      </w:r>
      <w:r>
        <w:t xml:space="preserve">Tr. at 14 (Palomino) ("Q. To what extent did the Special Committee have the authority to negotiate with Grupo Mexico? A. Well ... we had to evaluate in any way that deems to be desirable, in such manner as deems to be desirable. While we did not try to make our own proposals to Grupo Mexico, we could negotiate with them in the sense of telling them what it is that we don't agree with; and if we are going to evaluate this in a way that makes this transaction move forward, then you're going to have to change the things that we don't agree with or we won't be able to recommend it.”);</w:t>
      </w:r>
      <w:r>
        <w:t xml:space="preserve"> </w:t>
      </w:r>
      <w:r>
        <w:rPr>
          <w:iCs/>
          <w:i/>
        </w:rPr>
        <w:t xml:space="preserve">id.</w:t>
      </w:r>
      <w:r>
        <w:t xml:space="preserve"> </w:t>
      </w:r>
      <w:r>
        <w:t xml:space="preserve">at 143-44 (Handelsman) ("Q. To what extent was the Special Committee empowered to negotiate with Grupo Mexico? A. Well, the way I looked at this was that ... the committee was to educate itself and determine whether they believe that the proposed transaction was a good or bad one. If good, then the transaction would progress in its normal course. And if the committee found that the transaction was not beneficial to the shareholders other than Grupo Mexico of Southern Peru, then the committee would say no. And that if Grupo Mexico determined that it wanted to negotiate in the face of a no, it could do so.”); Palomino Dep. at 39-40 ("Our mandate was to evaluate the transaction and to — provided that the transaction was beneficial to all shareholders of [Southern Peru] and to minority shareholders in particular, to recommend to the board that the transaction be approved.”);</w:t>
      </w:r>
      <w:r>
        <w:t xml:space="preserve"> </w:t>
      </w:r>
      <w:r>
        <w:rPr>
          <w:iCs/>
          <w:i/>
        </w:rPr>
        <w:t xml:space="preserve">id.</w:t>
      </w:r>
      <w:r>
        <w:t xml:space="preserve"> </w:t>
      </w:r>
      <w:r>
        <w:t xml:space="preserve">at 106 (“Our mandate was to evaluate and recommend to the board, so we did ... I don’t recall exactly what, if any, responsibilities were left or any purpose of the Special Committee was left after that.”);</w:t>
      </w:r>
      <w:r>
        <w:t xml:space="preserve"> </w:t>
      </w:r>
      <w:r>
        <w:rPr>
          <w:iCs/>
          <w:i/>
        </w:rPr>
        <w:t xml:space="preserve">see also</w:t>
      </w:r>
      <w:r>
        <w:t xml:space="preserve"> </w:t>
      </w:r>
      <w:r>
        <w:t xml:space="preserve">Handelsman Dep. at 34-35 (acknowledging that the resolution creating the Special Committee did not say "negotiate”).</w:t>
      </w:r>
    </w:p>
  </w:footnote>
  <w:footnote w:id="1004">
    <w:p>
      <w:pPr>
        <w:pStyle w:val="CaseFootnoteText"/>
      </w:pPr>
      <w:r>
        <w:rPr>
          <w:rStyle w:val="FootnoteReference"/>
        </w:rPr>
        <w:t xml:space="preserve">135  </w:t>
      </w:r>
      <w:r>
        <w:t xml:space="preserve"/>
      </w:r>
      <w:r>
        <w:t xml:space="preserve"> </w:t>
      </w:r>
      <w:r>
        <w:rPr>
          <w:iCs/>
          <w:i/>
        </w:rPr>
        <w:t xml:space="preserve">Id.</w:t>
      </w:r>
    </w:p>
  </w:footnote>
  <w:footnote w:id="1005">
    <w:p>
      <w:pPr>
        <w:pStyle w:val="CaseFootnoteText"/>
      </w:pPr>
      <w:r>
        <w:rPr>
          <w:rStyle w:val="FootnoteReference"/>
        </w:rPr>
        <w:t xml:space="preserve">135  </w:t>
      </w:r>
      <w:r>
        <w:t xml:space="preserve"/>
      </w:r>
      <w:r>
        <w:t xml:space="preserve"> </w:t>
      </w:r>
      <w:r>
        <w:rPr>
          <w:iCs/>
          <w:i/>
        </w:rPr>
        <w:t xml:space="preserve">See In re Loral Space &amp; Commc'ns Inc.,</w:t>
      </w:r>
      <w:r>
        <w:t xml:space="preserve"> </w:t>
      </w:r>
      <w:r>
        <w:t xml:space="preserve">2008 WL 4293781</w:t>
      </w:r>
      <w:r>
        <w:t xml:space="preserve">, at *9 (Del.Ch. Sept. 19, 2008).</w:t>
      </w:r>
    </w:p>
  </w:footnote>
  <w:footnote w:id="1006">
    <w:p>
      <w:pPr>
        <w:pStyle w:val="CaseFootnoteText"/>
      </w:pPr>
      <w:r>
        <w:rPr>
          <w:rStyle w:val="FootnoteReference"/>
        </w:rPr>
        <w:t xml:space="preserve">136  </w:t>
      </w:r>
      <w:r>
        <w:t xml:space="preserve"/>
      </w:r>
      <w:r>
        <w:t xml:space="preserve"> </w:t>
      </w:r>
      <w:r>
        <w:rPr>
          <w:iCs/>
          <w:i/>
        </w:rPr>
        <w:t xml:space="preserve">See</w:t>
      </w:r>
      <w:r>
        <w:t xml:space="preserve"> </w:t>
      </w:r>
      <w:r>
        <w:t xml:space="preserve">Baker Dep. at 91-92, 101-02, 105.</w:t>
      </w:r>
    </w:p>
  </w:footnote>
  <w:footnote w:id="1007">
    <w:p>
      <w:pPr>
        <w:pStyle w:val="CaseFootnoteText"/>
      </w:pPr>
      <w:r>
        <w:rPr>
          <w:rStyle w:val="FootnoteReference"/>
        </w:rPr>
        <w:t xml:space="preserve">136  </w:t>
      </w:r>
      <w:r>
        <w:t xml:space="preserve"/>
      </w:r>
      <w:r>
        <w:t xml:space="preserve"> </w:t>
      </w:r>
      <w:r>
        <w:rPr>
          <w:iCs/>
          <w:i/>
        </w:rPr>
        <w:t xml:space="preserve">But cf. Venoco, Inc. v. Eson,</w:t>
      </w:r>
      <w:r>
        <w:t xml:space="preserve"> </w:t>
      </w:r>
      <w:r>
        <w:t xml:space="preserve">2002 WL 1288703</w:t>
      </w:r>
      <w:r>
        <w:t xml:space="preserve">, at *7 (Del.Ch. June 7, 2002) ("The primary concern for directors, even if they are minority directors and significant shareholders, must be the best interests of the corporation rather than their own interests as shareholders.”).</w:t>
      </w:r>
    </w:p>
  </w:footnote>
  <w:footnote w:id="1008">
    <w:p>
      <w:pPr>
        <w:pStyle w:val="CaseFootnoteText"/>
      </w:pPr>
      <w:r>
        <w:rPr>
          <w:rStyle w:val="FootnoteReference"/>
        </w:rPr>
        <w:t xml:space="preserve">137  </w:t>
      </w:r>
      <w:r>
        <w:t xml:space="preserve"/>
      </w:r>
      <w:r>
        <w:t xml:space="preserve"> </w:t>
      </w:r>
      <w:r>
        <w:rPr>
          <w:iCs/>
          <w:i/>
        </w:rPr>
        <w:t xml:space="preserve">See</w:t>
      </w:r>
      <w:r>
        <w:t xml:space="preserve"> </w:t>
      </w:r>
      <w:r>
        <w:t xml:space="preserve">Baker Dep. at 83-84.</w:t>
      </w:r>
    </w:p>
  </w:footnote>
  <w:footnote w:id="1009">
    <w:p>
      <w:pPr>
        <w:pStyle w:val="CaseFootnoteText"/>
      </w:pPr>
      <w:r>
        <w:rPr>
          <w:rStyle w:val="FootnoteReference"/>
        </w:rPr>
        <w:t xml:space="preserve">137  </w:t>
      </w:r>
      <w:r>
        <w:t xml:space="preserve">The defendants suggest that Handels-man's interest in liquidity had less to do with Cerro’s wish for registration rights and more with improving Southern Peru’s public float for the benefit of all minority shareholders. I have no doubts that Handelsman rationalized that granting the registration rights would create a better public float and more efficient market for Southern Peru shareholders, but this seems to me more of a high-minded justification rather than the driving reason why Handelsman pursued such rights. Handels-man has been an attorney for the Pritzker interests since 1978 and has represented them in various business transactions, and he admitted that it was very clear to him that the Pritzkers wanted to sell their shares and liquidate their ownership position in Southern Peru. Put simply, I do not decide the case on the inference that Handelsman, with the prospect of registration rights as part of the Merger dangling in front him, put the Pritzkers’ interest wholly aside and only considered the benefit the registration rights created for the minority shareholders.</w:t>
      </w:r>
    </w:p>
  </w:footnote>
  <w:footnote w:id="1010">
    <w:p>
      <w:pPr>
        <w:pStyle w:val="CaseFootnoteText"/>
      </w:pPr>
      <w:r>
        <w:rPr>
          <w:rStyle w:val="FootnoteReference"/>
        </w:rPr>
        <w:t xml:space="preserve">138  </w:t>
      </w:r>
      <w:r>
        <w:t xml:space="preserve"/>
      </w:r>
      <w:r>
        <w:t xml:space="preserve"> </w:t>
      </w:r>
      <w:r>
        <w:rPr>
          <w:iCs/>
          <w:i/>
        </w:rPr>
        <w:t xml:space="preserve">See</w:t>
      </w:r>
      <w:r>
        <w:t xml:space="preserve"> </w:t>
      </w:r>
      <w:r>
        <w:t xml:space="preserve">Manning Dep. at 243.</w:t>
      </w:r>
    </w:p>
  </w:footnote>
  <w:footnote w:id="1011">
    <w:p>
      <w:pPr>
        <w:pStyle w:val="CaseFootnoteText"/>
      </w:pPr>
      <w:r>
        <w:rPr>
          <w:rStyle w:val="FootnoteReference"/>
        </w:rPr>
        <w:t xml:space="preserve">138  </w:t>
      </w:r>
      <w:r>
        <w:t xml:space="preserve">The August 21, 2004 term sheet sent by Grupo Mexico to the Special Committee included "Liquidity and Support” provisions that would provide registration rights necessary to allow Cerro and Phelps Dodge to liquidate their holdings in Southern Peru after the close of the Merger. JX-157 at SP COMM 010487. The September 23, 2004 term sheet from the Special Committee stated that as to the possibility of Cerro and Phelps Dodge receiving registration rights for the sale of their shares in Southern Peru, the term sheet provided that such rights would be ”[a]s determined in good faith by agreement among the Founding Stockholders, with the consultation of the Special Committee.” JX-159 at AMC 0027547.</w:t>
      </w:r>
    </w:p>
  </w:footnote>
  <w:footnote w:id="1012">
    <w:p>
      <w:pPr>
        <w:pStyle w:val="CaseFootnoteText"/>
      </w:pPr>
      <w:r>
        <w:rPr>
          <w:rStyle w:val="FootnoteReference"/>
        </w:rPr>
        <w:t xml:space="preserve">139  </w:t>
      </w:r>
      <w:r>
        <w:t xml:space="preserve"/>
      </w:r>
      <w:r>
        <w:t xml:space="preserve"> </w:t>
      </w:r>
      <w:r>
        <w:rPr>
          <w:iCs/>
          <w:i/>
        </w:rPr>
        <w:t xml:space="preserve">See id.</w:t>
      </w:r>
      <w:r>
        <w:t xml:space="preserve"> </w:t>
      </w:r>
      <w:r>
        <w:t xml:space="preserve">at 238-39.</w:t>
      </w:r>
    </w:p>
  </w:footnote>
  <w:footnote w:id="1013">
    <w:p>
      <w:pPr>
        <w:pStyle w:val="CaseFootnoteText"/>
      </w:pPr>
      <w:r>
        <w:rPr>
          <w:rStyle w:val="FootnoteReference"/>
        </w:rPr>
        <w:t xml:space="preserve">139  </w:t>
      </w:r>
      <w:r>
        <w:t xml:space="preserve"/>
      </w:r>
      <w:r>
        <w:t xml:space="preserve"> </w:t>
      </w:r>
      <w:r>
        <w:rPr>
          <w:iCs/>
          <w:i/>
        </w:rPr>
        <w:t xml:space="preserve">Cf. Merritt v. Colonial Foods, Inc.,</w:t>
      </w:r>
      <w:r>
        <w:t xml:space="preserve"> </w:t>
      </w:r>
      <w:r>
        <w:t xml:space="preserve">505 A.2d 757</w:t>
      </w:r>
      <w:r>
        <w:t xml:space="preserve">, 765 (Del.Ch.1986) (”[T]he law, sensitive to the weakness of human nature and alert to the ever-present inclination to rationalize as right that which is merely beneficial, will accord scant weight to the subjective judgment of an interested director concerning the fairness of a transaction that benefits him.” (citation omitted)).</w:t>
      </w:r>
    </w:p>
  </w:footnote>
  <w:footnote w:id="1014">
    <w:p>
      <w:pPr>
        <w:pStyle w:val="CaseFootnoteText"/>
      </w:pPr>
      <w:r>
        <w:rPr>
          <w:rStyle w:val="FootnoteReference"/>
        </w:rPr>
        <w:t xml:space="preserve">140  </w:t>
      </w:r>
      <w:r>
        <w:t xml:space="preserve"/>
      </w:r>
      <w:r>
        <w:t xml:space="preserve"> </w:t>
      </w:r>
      <w:r>
        <w:rPr>
          <w:iCs/>
          <w:i/>
        </w:rPr>
        <w:t xml:space="preserve">See id.</w:t>
      </w:r>
      <w:r>
        <w:t xml:space="preserve"> </w:t>
      </w:r>
      <w:r>
        <w:t xml:space="preserve">233-34.</w:t>
      </w:r>
    </w:p>
  </w:footnote>
  <w:footnote w:id="1015">
    <w:p>
      <w:pPr>
        <w:pStyle w:val="CaseFootnoteText"/>
      </w:pPr>
      <w:r>
        <w:rPr>
          <w:rStyle w:val="FootnoteReference"/>
        </w:rPr>
        <w:t xml:space="preserve">140  </w:t>
      </w:r>
      <w:r>
        <w:t xml:space="preserve"/>
      </w:r>
      <w:r>
        <w:t xml:space="preserve"> </w:t>
      </w:r>
      <w:r>
        <w:rPr>
          <w:iCs/>
          <w:i/>
        </w:rPr>
        <w:t xml:space="preserve">Kahn v. Tremont Corp.,</w:t>
      </w:r>
      <w:r>
        <w:t xml:space="preserve"> </w:t>
      </w:r>
      <w:r>
        <w:t xml:space="preserve">694 A.2d 422</w:t>
      </w:r>
      <w:r>
        <w:t xml:space="preserve">, 429 (Del.1997).</w:t>
      </w:r>
    </w:p>
  </w:footnote>
  <w:footnote w:id="1016">
    <w:p>
      <w:pPr>
        <w:pStyle w:val="CaseFootnoteText"/>
      </w:pPr>
      <w:r>
        <w:rPr>
          <w:rStyle w:val="FootnoteReference"/>
        </w:rPr>
        <w:t xml:space="preserve">141  </w:t>
      </w:r>
      <w:r>
        <w:t xml:space="preserve"/>
      </w:r>
      <w:r>
        <w:t xml:space="preserve"> </w:t>
      </w:r>
      <w:r>
        <w:rPr>
          <w:iCs/>
          <w:i/>
        </w:rPr>
        <w:t xml:space="preserve">See id.</w:t>
      </w:r>
      <w:r>
        <w:t xml:space="preserve"> </w:t>
      </w:r>
      <w:r>
        <w:t xml:space="preserve">at 246.</w:t>
      </w:r>
    </w:p>
  </w:footnote>
  <w:footnote w:id="1017">
    <w:p>
      <w:pPr>
        <w:pStyle w:val="CaseFootnoteText"/>
      </w:pPr>
      <w:r>
        <w:rPr>
          <w:rStyle w:val="FootnoteReference"/>
        </w:rPr>
        <w:t xml:space="preserve">141  </w:t>
      </w:r>
      <w:r>
        <w:t xml:space="preserve"/>
      </w:r>
      <w:r>
        <w:t xml:space="preserve"> </w:t>
      </w:r>
      <w:r>
        <w:rPr>
          <w:iCs/>
          <w:i/>
        </w:rPr>
        <w:t xml:space="preserve">See In re Loral Space &amp; Commc’ns Inc.,</w:t>
      </w:r>
      <w:r>
        <w:t xml:space="preserve"> </w:t>
      </w:r>
      <w:r>
        <w:t xml:space="preserve">2008 WL 4293781</w:t>
      </w:r>
      <w:r>
        <w:t xml:space="preserve">, at *9, *24-25 (Del.Ch. Sept. 19, 2008).</w:t>
      </w:r>
    </w:p>
  </w:footnote>
  <w:footnote w:id="1018">
    <w:p>
      <w:pPr>
        <w:pStyle w:val="CaseFootnoteText"/>
      </w:pPr>
      <w:r>
        <w:rPr>
          <w:rStyle w:val="FootnoteReference"/>
        </w:rPr>
        <w:t xml:space="preserve">142  </w:t>
      </w:r>
      <w:r>
        <w:t xml:space="preserve">Campbell Dep. at 163-64.</w:t>
      </w:r>
    </w:p>
  </w:footnote>
  <w:footnote w:id="1019">
    <w:p>
      <w:pPr>
        <w:pStyle w:val="CaseFootnoteText"/>
      </w:pPr>
      <w:r>
        <w:rPr>
          <w:rStyle w:val="FootnoteReference"/>
        </w:rPr>
        <w:t xml:space="preserve">142  </w:t>
      </w:r>
      <w:r>
        <w:t xml:space="preserve">PL Op. Pre-Tr. Br. at 3.</w:t>
      </w:r>
    </w:p>
  </w:footnote>
  <w:footnote w:id="1020">
    <w:p>
      <w:pPr>
        <w:pStyle w:val="CaseFootnoteText"/>
      </w:pPr>
      <w:r>
        <w:rPr>
          <w:rStyle w:val="FootnoteReference"/>
        </w:rPr>
        <w:t xml:space="preserve">143  </w:t>
      </w:r>
      <w:r>
        <w:t xml:space="preserve">Ruberg Dep. at 146-47.</w:t>
      </w:r>
    </w:p>
  </w:footnote>
  <w:footnote w:id="1021">
    <w:p>
      <w:pPr>
        <w:pStyle w:val="CaseFootnoteText"/>
      </w:pPr>
      <w:r>
        <w:rPr>
          <w:rStyle w:val="FootnoteReference"/>
        </w:rPr>
        <w:t xml:space="preserve">143  </w:t>
      </w:r>
      <w:r>
        <w:t xml:space="preserve"/>
      </w:r>
      <w:r>
        <w:t xml:space="preserve"> </w:t>
      </w:r>
      <w:r>
        <w:rPr>
          <w:iCs/>
          <w:i/>
        </w:rPr>
        <w:t xml:space="preserve">See</w:t>
      </w:r>
      <w:r>
        <w:t xml:space="preserve"> </w:t>
      </w:r>
      <w:r>
        <w:t xml:space="preserve">Tr. at 49 (Palomino) ("[I]f you used these same numbers for Minera [ ] and Southern Peru [ ] and on the same parameters, then you were comparing apples to apples.”);</w:t>
      </w:r>
      <w:r>
        <w:t xml:space="preserve"> </w:t>
      </w:r>
      <w:r>
        <w:rPr>
          <w:iCs/>
          <w:i/>
        </w:rPr>
        <w:t xml:space="preserve">see also</w:t>
      </w:r>
      <w:r>
        <w:t xml:space="preserve"> </w:t>
      </w:r>
      <w:r>
        <w:t xml:space="preserve">Def. Op. Post-Tr. Br. at 17 (explaining that one of the major reasons the Special Committee used relative valuation was that it allowed Southern Peru and Minera to be evaluated using the same set of assumptions,</w:t>
      </w:r>
      <w:r>
        <w:t xml:space="preserve"> </w:t>
      </w:r>
      <w:r>
        <w:rPr>
          <w:iCs/>
          <w:i/>
        </w:rPr>
        <w:t xml:space="preserve">“i.e.,</w:t>
      </w:r>
      <w:r>
        <w:t xml:space="preserve"> </w:t>
      </w:r>
      <w:r>
        <w:t xml:space="preserve">an apples-to-apples comparison.”).</w:t>
      </w:r>
    </w:p>
  </w:footnote>
  <w:footnote w:id="1022">
    <w:p>
      <w:pPr>
        <w:pStyle w:val="CaseFootnoteText"/>
      </w:pPr>
      <w:r>
        <w:rPr>
          <w:rStyle w:val="FootnoteReference"/>
        </w:rPr>
        <w:t xml:space="preserve">144  </w:t>
      </w:r>
      <w:r>
        <w:t xml:space="preserve"/>
      </w:r>
      <w:r>
        <w:rPr>
          <w:iCs/>
          <w:i/>
        </w:rPr>
        <w:t xml:space="preserve">.See</w:t>
      </w:r>
      <w:r>
        <w:t xml:space="preserve"> </w:t>
      </w:r>
      <w:r>
        <w:t xml:space="preserve">Manning Dep. at 246.</w:t>
      </w:r>
    </w:p>
  </w:footnote>
  <w:footnote w:id="1023">
    <w:p>
      <w:pPr>
        <w:pStyle w:val="CaseFootnoteText"/>
      </w:pPr>
      <w:r>
        <w:rPr>
          <w:rStyle w:val="FootnoteReference"/>
        </w:rPr>
        <w:t xml:space="preserve">144  </w:t>
      </w:r>
      <w:r>
        <w:t xml:space="preserve"/>
      </w:r>
      <w:r>
        <w:t xml:space="preserve"> </w:t>
      </w:r>
      <w:r>
        <w:rPr>
          <w:iCs/>
          <w:i/>
        </w:rPr>
        <w:t xml:space="preserve">See</w:t>
      </w:r>
      <w:r>
        <w:t xml:space="preserve"> </w:t>
      </w:r>
      <w:r>
        <w:t xml:space="preserve">JX-74 (summary of Grupo Mexico/UBS/GS meeting (March 9, 2004)) at SPCOMM 010049 (noting that "mine studies have recently been completed by third party experts for all of [Mineral’s mines to support their life and quality arguments ... [Grupo Mexico] is aware of no recent reports on [Southern Peru] mines”);</w:t>
      </w:r>
      <w:r>
        <w:t xml:space="preserve"> </w:t>
      </w:r>
      <w:r>
        <w:rPr>
          <w:iCs/>
          <w:i/>
        </w:rPr>
        <w:t xml:space="preserve">see also</w:t>
      </w:r>
      <w:r>
        <w:t xml:space="preserve"> </w:t>
      </w:r>
      <w:r>
        <w:t xml:space="preserve">Tr. at 355-56 (Beaulne) (discussing the differences between Minera’s updated and optimized life-of-mine plan and the Southern Peru’s stale life-of-mine plan).</w:t>
      </w:r>
    </w:p>
  </w:footnote>
  <w:footnote w:id="1024">
    <w:p>
      <w:pPr>
        <w:pStyle w:val="CaseFootnoteText"/>
      </w:pPr>
      <w:r>
        <w:rPr>
          <w:rStyle w:val="FootnoteReference"/>
        </w:rPr>
        <w:t xml:space="preserve">145  </w:t>
      </w:r>
      <w:r>
        <w:t xml:space="preserve">Campbell Dep. at 126-28; Manning Dep. at 242-44.</w:t>
      </w:r>
    </w:p>
  </w:footnote>
  <w:footnote w:id="1025">
    <w:p>
      <w:pPr>
        <w:pStyle w:val="CaseFootnoteText"/>
      </w:pPr>
      <w:r>
        <w:rPr>
          <w:rStyle w:val="FootnoteReference"/>
        </w:rPr>
        <w:t xml:space="preserve">145  </w:t>
      </w:r>
      <w:r>
        <w:t xml:space="preserve">Parker Dep. at 41.</w:t>
      </w:r>
    </w:p>
  </w:footnote>
  <w:footnote w:id="1026">
    <w:p>
      <w:pPr>
        <w:pStyle w:val="CaseFootnoteText"/>
      </w:pPr>
      <w:r>
        <w:rPr>
          <w:rStyle w:val="FootnoteReference"/>
        </w:rPr>
        <w:t xml:space="preserve">146  </w:t>
      </w:r>
      <w:r>
        <w:t xml:space="preserve">After all, to quote John Maynard Keynes, "In the long run, we are all dead.”</w:t>
      </w:r>
    </w:p>
  </w:footnote>
  <w:footnote w:id="1027">
    <w:p>
      <w:pPr>
        <w:pStyle w:val="CaseFootnoteText"/>
      </w:pPr>
      <w:r>
        <w:rPr>
          <w:rStyle w:val="FootnoteReference"/>
        </w:rPr>
        <w:t xml:space="preserve">146  </w:t>
      </w:r>
      <w:r>
        <w:t xml:space="preserve"/>
      </w:r>
      <w:r>
        <w:t xml:space="preserve"> </w:t>
      </w:r>
      <w:r>
        <w:rPr>
          <w:iCs/>
          <w:i/>
        </w:rPr>
        <w:t xml:space="preserve">Compare</w:t>
      </w:r>
      <w:r>
        <w:t xml:space="preserve"> </w:t>
      </w:r>
      <w:r>
        <w:t xml:space="preserve">JX-103 at SP COMM 006883 (discussing Minera projections and noting that ”[n]ew optimization plan for Cananea (‘Alternative 3’), recently developed by [Grupo Mexico] and Mintec was not included in the projections at this point. According to Min-tec, such a plan could yield US$240mm in incremental value on a pre-tax net present value basis prior to any potential adjustments by [A &amp; S], using a 8.76% real discount rate as per [Minera] management”)</w:t>
      </w:r>
      <w:r>
        <w:t xml:space="preserve"> </w:t>
      </w:r>
      <w:r>
        <w:rPr>
          <w:iCs/>
          <w:i/>
        </w:rPr>
        <w:t xml:space="preserve">with</w:t>
      </w:r>
      <w:r>
        <w:t xml:space="preserve"> </w:t>
      </w:r>
      <w:r>
        <w:t xml:space="preserve">JX-106 at SP COMM 004917 (noting that Minera projections "include new optimization plan for Cananea ('Alternative 3’) developed by [Grupo Mexico] and Mintec.”).</w:t>
      </w:r>
    </w:p>
  </w:footnote>
  <w:footnote w:id="1028">
    <w:p>
      <w:pPr>
        <w:pStyle w:val="CaseFootnoteText"/>
      </w:pPr>
      <w:r>
        <w:rPr>
          <w:rStyle w:val="FootnoteReference"/>
        </w:rPr>
        <w:t xml:space="preserve">147  </w:t>
      </w:r>
      <w:r>
        <w:t xml:space="preserve">The following discussion of irreparable harm only pertains to the § 203 waiver vote. For the reasons discussed above in section III, plaintiffs’ arguments regarding their corporate opportunity claim have not established a likelihood of success on the merits and therefore, the Court has no reason to reach or to consider, in that context, the threat of irreparable harm and the balance of the equities.</w:t>
      </w:r>
    </w:p>
  </w:footnote>
  <w:footnote w:id="1029">
    <w:p>
      <w:pPr>
        <w:pStyle w:val="CaseFootnoteText"/>
      </w:pPr>
      <w:r>
        <w:rPr>
          <w:rStyle w:val="FootnoteReference"/>
        </w:rPr>
        <w:t xml:space="preserve">147  </w:t>
      </w:r>
      <w:r>
        <w:t xml:space="preserve">Parker Dep. at 44.</w:t>
      </w:r>
    </w:p>
  </w:footnote>
  <w:footnote w:id="1030">
    <w:p>
      <w:pPr>
        <w:pStyle w:val="CaseFootnoteText"/>
      </w:pPr>
      <w:r>
        <w:rPr>
          <w:rStyle w:val="FootnoteReference"/>
        </w:rPr>
        <w:t xml:space="preserve">148  </w:t>
      </w:r>
      <w:r>
        <w:t xml:space="preserve"/>
      </w:r>
      <w:r>
        <w:t xml:space="preserve"> </w:t>
      </w:r>
      <w:r>
        <w:rPr>
          <w:iCs/>
          <w:i/>
        </w:rPr>
        <w:t xml:space="preserve">See Appoquinimink Education Ass’n v. Board of Education of Appoquinimink School District,</w:t>
      </w:r>
      <w:r>
        <w:t xml:space="preserve"> </w:t>
      </w:r>
      <w:r>
        <w:t xml:space="preserve">Del. Ch., C.A. No. 6391,</w:t>
      </w:r>
      <w:r>
        <w:t xml:space="preserve"> </w:t>
      </w:r>
      <w:r>
        <w:t xml:space="preserve">1981 WL 15120</w:t>
      </w:r>
      <w:r>
        <w:t xml:space="preserve">, Brown, V.C. (April 7, 1981) ("... interim injunctive relief is rarely granted where the immediate result would be to allow the applicant all the relief it might hope to gain after a final hearing.”) (citing</w:t>
      </w:r>
      <w:r>
        <w:t xml:space="preserve"> </w:t>
      </w:r>
      <w:r>
        <w:rPr>
          <w:iCs/>
          <w:i/>
        </w:rPr>
        <w:t xml:space="preserve">Thomas C. Marshall, Inc. v. Holiday Inn, Inc.,</w:t>
      </w:r>
      <w:r>
        <w:t xml:space="preserve"> </w:t>
      </w:r>
      <w:r>
        <w:t xml:space="preserve">Del.Ch.,</w:t>
      </w:r>
      <w:r>
        <w:t xml:space="preserve"> </w:t>
      </w:r>
      <w:r>
        <w:t xml:space="preserve">174 A.2d 27</w:t>
      </w:r>
      <w:r>
        <w:t xml:space="preserve"> </w:t>
      </w:r>
      <w:r>
        <w:t xml:space="preserve">(1961)).</w:t>
      </w:r>
      <w:r>
        <w:t xml:space="preserve"> </w:t>
      </w:r>
      <w:r>
        <w:rPr>
          <w:iCs/>
          <w:i/>
        </w:rPr>
        <w:t xml:space="preserve">See also Dunkin Donuts, Inc. v. O'Connor,</w:t>
      </w:r>
      <w:r>
        <w:t xml:space="preserve"> </w:t>
      </w:r>
      <w:r>
        <w:t xml:space="preserve">Del. Ch., C.A. No. 13274,-</w:t>
      </w:r>
      <w:r>
        <w:t xml:space="preserve">1994 WL 178142</w:t>
      </w:r>
      <w:r>
        <w:t xml:space="preserve">, Jacobs, V.C. (April 28, 1994).</w:t>
      </w:r>
    </w:p>
  </w:footnote>
  <w:footnote w:id="1031">
    <w:p>
      <w:pPr>
        <w:pStyle w:val="CaseFootnoteText"/>
      </w:pPr>
      <w:r>
        <w:rPr>
          <w:rStyle w:val="FootnoteReference"/>
        </w:rPr>
        <w:t xml:space="preserve">148  </w:t>
      </w:r>
      <w:r>
        <w:t xml:space="preserve"/>
      </w:r>
      <w:r>
        <w:t xml:space="preserve"> </w:t>
      </w:r>
      <w:r>
        <w:rPr>
          <w:iCs/>
          <w:i/>
        </w:rPr>
        <w:t xml:space="preserve">See, e.g.,</w:t>
      </w:r>
      <w:r>
        <w:t xml:space="preserve"> </w:t>
      </w:r>
      <w:r>
        <w:t xml:space="preserve">JX-102 (Goldman presentation to the Special Committee (June 23, 2004)) at SP COMM 006976 (discussing Southern Peru projections and noting that "[A &amp; S] changes to [Southern Peru] Case limited to CapEx assumptions; overall NPV impact of [A &amp; S] changes to the model is about 70mm assuming 9% discount rate").</w:t>
      </w:r>
    </w:p>
  </w:footnote>
  <w:footnote w:id="1032">
    <w:p>
      <w:pPr>
        <w:pStyle w:val="CaseFootnoteText"/>
      </w:pPr>
      <w:r>
        <w:rPr>
          <w:rStyle w:val="FootnoteReference"/>
        </w:rPr>
        <w:t xml:space="preserve">149  </w:t>
      </w:r>
      <w:r>
        <w:t xml:space="preserve"/>
      </w:r>
      <w:r>
        <w:t xml:space="preserve"> </w:t>
      </w:r>
      <w:r>
        <w:rPr>
          <w:iCs/>
          <w:i/>
        </w:rPr>
        <w:t xml:space="preserve">See generally</w:t>
      </w:r>
      <w:r>
        <w:t xml:space="preserve"> </w:t>
      </w:r>
      <w:r>
        <w:t xml:space="preserve">Wolfe and Pittenger, § 10-2(a), 693-94, citing 1 J.L. High, A Treatise On The Law Of Injunctions (4th ed.1905) (preliminary injunctive relief has no application where the act complained of has already occurred). Because the Court has determined that the plaintiffs have failed to show irreparable harm on the § 203 claim, the Court does not address the balancing of the equities prong of the test for a preliminary injunction.</w:t>
      </w:r>
    </w:p>
    <w:p>
      <w:pPr>
        <w:pStyle w:val="NodeEnd"/>
      </w:pPr>
      <w:r>
        <w:t xml:space="preserve"> </w:t>
      </w:r>
    </w:p>
    <w:p>
      <w:pPr>
        <w:pStyle w:val="NodeStart"/>
      </w:pPr>
      <w:r>
        <w:t xml:space="preserve"> </w:t>
      </w:r>
    </w:p>
    <w:p>
      <w:pPr>
        <w:pStyle w:val="HeadSeparator"/>
      </w:pPr>
      <w:r>
        <w:t xml:space="preserve"> </w:t>
      </w:r>
    </w:p>
  </w:footnote>
  <w:footnote w:id="1033">
    <w:p>
      <w:pPr>
        <w:pStyle w:val="CaseFootnoteText"/>
      </w:pPr>
      <w:r>
        <w:rPr>
          <w:rStyle w:val="FootnoteReference"/>
        </w:rPr>
        <w:t xml:space="preserve">149  </w:t>
      </w:r>
      <w:r>
        <w:t xml:space="preserve">JX-75 (A &amp; S comments to Goldman following its meeting with Mintec and Minera (June 25, 2004)) at SP COMM 006957.</w:t>
      </w:r>
    </w:p>
  </w:footnote>
  <w:footnote w:id="1034">
    <w:p>
      <w:pPr>
        <w:pStyle w:val="CaseFootnoteText"/>
      </w:pPr>
      <w:r>
        <w:rPr>
          <w:rStyle w:val="FootnoteReference"/>
        </w:rPr>
        <w:t xml:space="preserve">†  </w:t>
      </w:r>
      <w:r>
        <w:t xml:space="preserve">Judge Denney is serving as a judge pro tempore of the Supreme Court pursuant to Art. 4, § 2(a) (amendment 38), state constitution.</w:t>
      </w:r>
    </w:p>
  </w:footnote>
  <w:footnote w:id="1035">
    <w:p>
      <w:pPr>
        <w:pStyle w:val="CaseFootnoteText"/>
      </w:pPr>
      <w:r>
        <w:rPr>
          <w:rStyle w:val="FootnoteReference"/>
        </w:rPr>
        <w:t xml:space="preserve">150  </w:t>
      </w:r>
      <w:r>
        <w:t xml:space="preserve"/>
      </w:r>
      <w:r>
        <w:t xml:space="preserve"> </w:t>
      </w:r>
      <w:r>
        <w:rPr>
          <w:iCs/>
          <w:i/>
        </w:rPr>
        <w:t xml:space="preserve">See</w:t>
      </w:r>
      <w:r>
        <w:t xml:space="preserve"> </w:t>
      </w:r>
      <w:r>
        <w:t xml:space="preserve">Parker Dep. at 50; Tr. at 98 (Palomino);</w:t>
      </w:r>
      <w:r>
        <w:t xml:space="preserve"> </w:t>
      </w:r>
      <w:r>
        <w:rPr>
          <w:iCs/>
          <w:i/>
        </w:rPr>
        <w:t xml:space="preserve">see also</w:t>
      </w:r>
      <w:r>
        <w:t xml:space="preserve"> </w:t>
      </w:r>
      <w:r>
        <w:t xml:space="preserve">JX-47 (expert report of Daniel Beaulne) (March 16, 2010) ("Beaulne Report”) at 17 (discussing adverse effects of depressed metal prices and lower sales volumes on Minera’s financial performance in 2001, 2002, and 2003).</w:t>
      </w:r>
    </w:p>
  </w:footnote>
  <w:footnote w:id="1036">
    <w:p>
      <w:pPr>
        <w:pStyle w:val="CaseFootnoteText"/>
      </w:pPr>
      <w:r>
        <w:rPr>
          <w:rStyle w:val="FootnoteReference"/>
        </w:rPr>
        <w:t xml:space="preserve">151  </w:t>
      </w:r>
      <w:r>
        <w:t xml:space="preserve">JX-106 at SP COMM 004917 (noting that Minera projections used in the fairness analysis "assume[] that [the Merger] closes on December 31, 2004.”).</w:t>
      </w:r>
    </w:p>
  </w:footnote>
  <w:footnote w:id="1037">
    <w:p>
      <w:pPr>
        <w:pStyle w:val="CaseFootnoteText"/>
      </w:pPr>
      <w:r>
        <w:rPr>
          <w:rStyle w:val="FootnoteReference"/>
        </w:rPr>
        <w:t xml:space="preserve">152  </w:t>
      </w:r>
      <w:r>
        <w:t xml:space="preserve"/>
      </w:r>
      <w:r>
        <w:t xml:space="preserve"> </w:t>
      </w:r>
      <w:r>
        <w:rPr>
          <w:iCs/>
          <w:i/>
        </w:rPr>
        <w:t xml:space="preserve">See In re Loral Space &amp; Commc'ns Inc.,</w:t>
      </w:r>
      <w:r>
        <w:t xml:space="preserve"> </w:t>
      </w:r>
      <w:r>
        <w:t xml:space="preserve">2008 WL 4293781</w:t>
      </w:r>
      <w:r>
        <w:t xml:space="preserve">, at *24 (Del.Ch. Sept. 19, 2008) (criticizing the special committee for its failure "to respond to the realities as an aggressive negotiator seeking advantage would have”).</w:t>
      </w:r>
    </w:p>
  </w:footnote>
  <w:footnote w:id="1038">
    <w:p>
      <w:pPr>
        <w:pStyle w:val="CaseFootnoteText"/>
      </w:pPr>
      <w:r>
        <w:rPr>
          <w:rStyle w:val="FootnoteReference"/>
        </w:rPr>
        <w:t xml:space="preserve">153  </w:t>
      </w:r>
      <w:r>
        <w:t xml:space="preserve">JX-33 (Goldman engagement letter (March 2, 2004)) at SP COMM 014786-SP COMM 014787 (providing for a flat fee structure).</w:t>
      </w:r>
    </w:p>
  </w:footnote>
  <w:footnote w:id="1039">
    <w:p>
      <w:pPr>
        <w:pStyle w:val="CaseFootnoteText"/>
      </w:pPr>
      <w:r>
        <w:rPr>
          <w:rStyle w:val="FootnoteReference"/>
        </w:rPr>
        <w:t xml:space="preserve">154  </w:t>
      </w:r>
      <w:r>
        <w:t xml:space="preserve"/>
      </w:r>
      <w:r>
        <w:t xml:space="preserve"> </w:t>
      </w:r>
      <w:r>
        <w:rPr>
          <w:iCs/>
          <w:i/>
        </w:rPr>
        <w:t xml:space="preserve">Weinberger v. UOP, Inc.,</w:t>
      </w:r>
      <w:r>
        <w:t xml:space="preserve"> </w:t>
      </w:r>
      <w:r>
        <w:t xml:space="preserve">457 A.2d 701</w:t>
      </w:r>
      <w:r>
        <w:t xml:space="preserve">, 712-13 (Del.1983).</w:t>
      </w:r>
    </w:p>
  </w:footnote>
  <w:footnote w:id="1040">
    <w:p>
      <w:pPr>
        <w:pStyle w:val="CaseFootnoteText"/>
      </w:pPr>
      <w:r>
        <w:rPr>
          <w:rStyle w:val="FootnoteReference"/>
        </w:rPr>
        <w:t xml:space="preserve">155  </w:t>
      </w:r>
      <w:r>
        <w:t xml:space="preserve"/>
      </w:r>
      <w:r>
        <w:t xml:space="preserve"> </w:t>
      </w:r>
      <w:r>
        <w:rPr>
          <w:iCs/>
          <w:i/>
        </w:rPr>
        <w:t xml:space="preserve">Paramount Commons, Inc. v. Time Inc.,</w:t>
      </w:r>
      <w:r>
        <w:t xml:space="preserve"> </w:t>
      </w:r>
      <w:r>
        <w:t xml:space="preserve">571 A.2d 1140</w:t>
      </w:r>
      <w:r>
        <w:t xml:space="preserve">, 1150 n. 12 (Del.1989).</w:t>
      </w:r>
    </w:p>
  </w:footnote>
  <w:footnote w:id="1041">
    <w:p>
      <w:pPr>
        <w:pStyle w:val="CaseFootnoteText"/>
      </w:pPr>
      <w:r>
        <w:rPr>
          <w:rStyle w:val="FootnoteReference"/>
        </w:rPr>
        <w:t xml:space="preserve">156  </w:t>
      </w:r>
      <w:r>
        <w:t xml:space="preserve"/>
      </w:r>
      <w:r>
        <w:t xml:space="preserve"> </w:t>
      </w:r>
      <w:r>
        <w:rPr>
          <w:iCs/>
          <w:i/>
        </w:rPr>
        <w:t xml:space="preserve">Paramount Commc’ns, Inc. v. Time Inc.,</w:t>
      </w:r>
      <w:r>
        <w:t xml:space="preserve"> </w:t>
      </w:r>
      <w:r>
        <w:t xml:space="preserve">1989 WL 79880</w:t>
      </w:r>
      <w:r>
        <w:t xml:space="preserve">, at *19 (Del.Ch. July 14, 1984),</w:t>
      </w:r>
      <w:r>
        <w:t xml:space="preserve"> </w:t>
      </w:r>
      <w:r>
        <w:rPr>
          <w:iCs/>
          <w:i/>
        </w:rPr>
        <w:t xml:space="preserve">aff’d,</w:t>
      </w:r>
      <w:r>
        <w:t xml:space="preserve"> </w:t>
      </w:r>
      <w:r>
        <w:t xml:space="preserve">571 A.2d 1140</w:t>
      </w:r>
      <w:r>
        <w:t xml:space="preserve"> </w:t>
      </w:r>
      <w:r>
        <w:t xml:space="preserve">(Del.1989).</w:t>
      </w:r>
    </w:p>
  </w:footnote>
  <w:footnote w:id="1042">
    <w:p>
      <w:pPr>
        <w:pStyle w:val="CaseFootnoteText"/>
      </w:pPr>
      <w:r>
        <w:rPr>
          <w:rStyle w:val="FootnoteReference"/>
        </w:rPr>
        <w:t xml:space="preserve">157  </w:t>
      </w:r>
      <w:r>
        <w:t xml:space="preserve"/>
      </w:r>
      <w:r>
        <w:t xml:space="preserve"> </w:t>
      </w:r>
      <w:r>
        <w:rPr>
          <w:iCs/>
          <w:i/>
        </w:rPr>
        <w:t xml:space="preserve">Time,</w:t>
      </w:r>
      <w:r>
        <w:t xml:space="preserve"> </w:t>
      </w:r>
      <w:r>
        <w:t xml:space="preserve">571 A.2d at 1149</w:t>
      </w:r>
      <w:r>
        <w:t xml:space="preserve">.</w:t>
      </w:r>
    </w:p>
  </w:footnote>
  <w:footnote w:id="1043">
    <w:p>
      <w:pPr>
        <w:pStyle w:val="CaseFootnoteText"/>
      </w:pPr>
      <w:r>
        <w:rPr>
          <w:rStyle w:val="FootnoteReference"/>
        </w:rPr>
        <w:t xml:space="preserve">158  </w:t>
      </w:r>
      <w:r>
        <w:t xml:space="preserve"/>
      </w:r>
      <w:r>
        <w:t xml:space="preserve"> </w:t>
      </w:r>
      <w:r>
        <w:rPr>
          <w:iCs/>
          <w:i/>
        </w:rPr>
        <w:t xml:space="preserve">See</w:t>
      </w:r>
      <w:r>
        <w:t xml:space="preserve"> </w:t>
      </w:r>
      <w:r>
        <w:t xml:space="preserve">JX-103 at SP COMM 006886. This value was calculated by applying Goldman's most aggressive assumptions (a $1.00 long-term copper price and 7.5% discount rate) to unadjusted projections provided by Minera management. I am not taking into account the $3 billion valuation that was produced under the same assumptions in Goldman's June 11 presentation because at that point due diligence on Minera was still very much a work in progress.</w:t>
      </w:r>
      <w:r>
        <w:t xml:space="preserve"> </w:t>
      </w:r>
      <w:r>
        <w:rPr>
          <w:iCs/>
          <w:i/>
        </w:rPr>
        <w:t xml:space="preserve">See also</w:t>
      </w:r>
      <w:r>
        <w:t xml:space="preserve"> </w:t>
      </w:r>
      <w:r>
        <w:t xml:space="preserve">JX-101 at SP COMM 003338 ("Due diligence process is still ongoing ...").</w:t>
      </w:r>
    </w:p>
  </w:footnote>
  <w:footnote w:id="1044">
    <w:p>
      <w:pPr>
        <w:pStyle w:val="CaseFootnoteText"/>
      </w:pPr>
      <w:r>
        <w:rPr>
          <w:rStyle w:val="FootnoteReference"/>
        </w:rPr>
        <w:t xml:space="preserve">159  </w:t>
      </w:r>
      <w:r>
        <w:t xml:space="preserve">Tr. at 445 (Schwartz). In his report, Schwartz, who used the same relative valuation methodology as Goldman did, sets forth a continuum of valuation results ranging from those based on the $0.90/lb long-term copper price used by Goldman to the $ 1.30/lb long-term copper price that he considered to be a reasonable assumption at the time. At $0.90/lb Minera was worth approximately 67.6 million shares of Southern Peru stock, with a then-current market value of $1.7 billion; at $1.30 it was worth approximately 80 million shares, with a then-current market value of $3.7 billion. JX-48 (expert report of Eduardo Schwartz) (April 21, 2010) (“Schwartz Report”) ¶ 25 at Ex. 2. These dollar values are derived from determining the number of shares that Southern Peru would issue for Minera under a relative DCF analysis using these copper price assumptions, multiplied by the $45.92 closing price of Southern Peru on October 21, 2004.</w:t>
      </w:r>
    </w:p>
  </w:footnote>
  <w:footnote w:id="1045">
    <w:p>
      <w:pPr>
        <w:pStyle w:val="CaseFootnoteText"/>
      </w:pPr>
      <w:r>
        <w:rPr>
          <w:rStyle w:val="FootnoteReference"/>
        </w:rPr>
        <w:t xml:space="preserve">160  </w:t>
      </w:r>
      <w:r>
        <w:t xml:space="preserve">Tr. at 437 (Schwartz) ("In this case, Min-era [] was more sensitive to the price of copper. When we increase the price of copper, the value, the present value of Minera [ ] went higher than [Southern Peru] ...”); Schwartz Report ¶ 45 ("[A] lower copper price causes the calculated value of Minera to decrease to a greater extent than the value of [Southern Peru] using the same assumptions.”).</w:t>
      </w:r>
    </w:p>
  </w:footnote>
  <w:footnote w:id="1046">
    <w:p>
      <w:pPr>
        <w:pStyle w:val="CaseFootnoteText"/>
      </w:pPr>
      <w:r>
        <w:rPr>
          <w:rStyle w:val="FootnoteReference"/>
        </w:rPr>
        <w:t xml:space="preserve">161  </w:t>
      </w:r>
      <w:r>
        <w:t xml:space="preserve">Schwartz Report ¶¶ 36-43.</w:t>
      </w:r>
    </w:p>
  </w:footnote>
  <w:footnote w:id="1047">
    <w:p>
      <w:pPr>
        <w:pStyle w:val="CaseFootnoteText"/>
      </w:pPr>
      <w:r>
        <w:rPr>
          <w:rStyle w:val="FootnoteReference"/>
        </w:rPr>
        <w:t xml:space="preserve">162  </w:t>
      </w:r>
      <w:r>
        <w:t xml:space="preserve">Tr. at 481 (Schwartz) ("I got the Excel file from Goldman Sachs as modified by [A &amp; S], and that’s the data that I used to value both Minera [] and [Southern Peru].”).</w:t>
      </w:r>
    </w:p>
  </w:footnote>
  <w:footnote w:id="1048">
    <w:p>
      <w:pPr>
        <w:pStyle w:val="CaseFootnoteText"/>
      </w:pPr>
      <w:r>
        <w:rPr>
          <w:rStyle w:val="FootnoteReference"/>
        </w:rPr>
        <w:t xml:space="preserve">163  </w:t>
      </w:r>
      <w:r>
        <w:t xml:space="preserve">Defendants point to the testimony of Palomino as evidence of the Special Committee’s bargaining strategy. Palomino testified that "strategically, it was to our advantage to try to be conservative with copper prices, because otherwise, the relative valuations would be altered in favor of Minera ... [t]he fact that the lower the price, the better for us, that was quite clear from the beginning.” Tr. at 41 (Palomino). But nowhere does any piece of written evidence support this as being a genuine deal dynamic.</w:t>
      </w:r>
    </w:p>
  </w:footnote>
  <w:footnote w:id="1049">
    <w:p>
      <w:pPr>
        <w:pStyle w:val="CaseFootnoteText"/>
      </w:pPr>
      <w:r>
        <w:rPr>
          <w:rStyle w:val="FootnoteReference"/>
        </w:rPr>
        <w:t xml:space="preserve">164  </w:t>
      </w:r>
      <w:r>
        <w:t xml:space="preserve">JX-143 at 66 (Southern Copper Corporation Form 10-K (February 29, 2008)).</w:t>
      </w:r>
    </w:p>
  </w:footnote>
  <w:footnote w:id="1050">
    <w:p>
      <w:pPr>
        <w:pStyle w:val="CaseFootnoteText"/>
      </w:pPr>
      <w:r>
        <w:rPr>
          <w:rStyle w:val="FootnoteReference"/>
        </w:rPr>
        <w:t xml:space="preserve">165  </w:t>
      </w:r>
      <w:r>
        <w:t xml:space="preserve">JX-101; JX-102; JX-103; JX-105; JX-106.</w:t>
      </w:r>
    </w:p>
  </w:footnote>
  <w:footnote w:id="1051">
    <w:p>
      <w:pPr>
        <w:pStyle w:val="CaseFootnoteText"/>
      </w:pPr>
      <w:r>
        <w:rPr>
          <w:rStyle w:val="FootnoteReference"/>
        </w:rPr>
        <w:t xml:space="preserve">166  </w:t>
      </w:r>
      <w:r>
        <w:t xml:space="preserve">The value of copper mining companies is basically related to the reserves they have. A copper mining company's reserves are not fixed based on the amount of ore in the ground, but are rather a representation of how much of that ore can be mined at a profit. That calculation, of course, turns in large part on the long-term copper price. When the long-term copper price goes up, the company's reserves will increase without any new ore being discovered because at a higher price more ore can be taken from the mine at a profit. Accordingly, in the long term, the company will take more copper out of the ground and its projections may change to reflect an increase in its reserves.</w:t>
      </w:r>
    </w:p>
  </w:footnote>
  <w:footnote w:id="1052">
    <w:p>
      <w:pPr>
        <w:pStyle w:val="CaseFootnoteText"/>
      </w:pPr>
      <w:r>
        <w:rPr>
          <w:rStyle w:val="FootnoteReference"/>
        </w:rPr>
        <w:t xml:space="preserve">167  </w:t>
      </w:r>
      <w:r>
        <w:t xml:space="preserve">Tr. at 155 (Handelsman).</w:t>
      </w:r>
    </w:p>
  </w:footnote>
  <w:footnote w:id="1053">
    <w:p>
      <w:pPr>
        <w:pStyle w:val="CaseFootnoteText"/>
      </w:pPr>
      <w:r>
        <w:rPr>
          <w:rStyle w:val="FootnoteReference"/>
        </w:rPr>
        <w:t xml:space="preserve">168  </w:t>
      </w:r>
      <w:r>
        <w:t xml:space="preserve">In contrast to Schwartz, the plaintiff's expert Daniel Beaulne determined a standalone fair value for Minera. Using a DCF analysis, Beaulne came up with an enterprise value for Minera of $2.785 billion as of October 21, 2004.</w:t>
      </w:r>
      <w:r>
        <w:t xml:space="preserve"> </w:t>
      </w:r>
      <w:r>
        <w:rPr>
          <w:iCs/>
          <w:i/>
        </w:rPr>
        <w:t xml:space="preserve">See</w:t>
      </w:r>
      <w:r>
        <w:t xml:space="preserve"> </w:t>
      </w:r>
      <w:r>
        <w:t xml:space="preserve">Beaulne Report at 42. Using a comparable companies analysis, Beaulne came up with an enterprise value for Minera of $2.831 billion as of October 21, 2004. Beaulne then took the average of the two enterprise values from each of the valuation approaches and added Minera's cash balance and subtracted Minera’s debt, concluding that the "indicated equity value” of Minera was $1.854 billion as of October 21, 2004. Operating under the assumption that the "publicly traded share price of [Southern Peru] is a fair and accurate representation of the market value of a share of its common stock,” Beaulne multiplied the $1.854 billion equity value of Minera by the 99.15% interest that Southern Peru was purchasing and then divided that amount by the publicly-available share price of Southern Peru as of October 21, 2004 adjusted by the $100 million transaction dividend (which translated to $1.25 per share). Out of conservatism, I adopt a different valuation for remedy purposes, but, if I had to make a binary choice, I would favor Beaulne’s DCF analysis as more reliable than the Schwartz approval, which largely accepted (without any gumption check for, say, the $300 million in extra EBITDA Southern Peru earned in 2004) the defendant-friendly inputs of a flawed process and used an after-the fact generated copper price along with them to come to a determination of fairness.</w:t>
      </w:r>
    </w:p>
  </w:footnote>
  <w:footnote w:id="1054">
    <w:p>
      <w:pPr>
        <w:pStyle w:val="CaseFootnoteText"/>
      </w:pPr>
      <w:r>
        <w:rPr>
          <w:rStyle w:val="FootnoteReference"/>
        </w:rPr>
        <w:t xml:space="preserve">169  </w:t>
      </w:r>
      <w:r>
        <w:t xml:space="preserve">JX-125 at 55; JX-107 at SP COMM 006674.</w:t>
      </w:r>
    </w:p>
  </w:footnote>
  <w:footnote w:id="1055">
    <w:p>
      <w:pPr>
        <w:pStyle w:val="CaseFootnoteText"/>
      </w:pPr>
      <w:r>
        <w:rPr>
          <w:rStyle w:val="FootnoteReference"/>
        </w:rPr>
        <w:t xml:space="preserve">170  </w:t>
      </w:r>
      <w:r>
        <w:t xml:space="preserve">JX-156 at SP COMM 007080.</w:t>
      </w:r>
    </w:p>
  </w:footnote>
  <w:footnote w:id="1056">
    <w:p>
      <w:pPr>
        <w:pStyle w:val="CaseFootnoteText"/>
      </w:pPr>
      <w:r>
        <w:rPr>
          <w:rStyle w:val="FootnoteReference"/>
        </w:rPr>
        <w:t xml:space="preserve">171  </w:t>
      </w:r>
      <w:r>
        <w:t xml:space="preserve">JX-118 (UBS presentation to Grupo Mexico (July 2004)) at UBS-SCC00005558.</w:t>
      </w:r>
    </w:p>
  </w:footnote>
  <w:footnote w:id="1057">
    <w:p>
      <w:pPr>
        <w:pStyle w:val="CaseFootnoteText"/>
      </w:pPr>
      <w:r>
        <w:rPr>
          <w:rStyle w:val="FootnoteReference"/>
        </w:rPr>
        <w:t xml:space="preserve">172  </w:t>
      </w:r>
      <w:r>
        <w:t xml:space="preserve">JX-159 at AMC0027547.</w:t>
      </w:r>
    </w:p>
  </w:footnote>
  <w:footnote w:id="1058">
    <w:p>
      <w:pPr>
        <w:pStyle w:val="CaseFootnoteText"/>
      </w:pPr>
      <w:r>
        <w:rPr>
          <w:rStyle w:val="FootnoteReference"/>
        </w:rPr>
        <w:t xml:space="preserve">173  </w:t>
      </w:r>
      <w:r>
        <w:t xml:space="preserve"/>
      </w:r>
      <w:r>
        <w:t xml:space="preserve"> </w:t>
      </w:r>
      <w:r>
        <w:rPr>
          <w:iCs/>
          <w:i/>
        </w:rPr>
        <w:t xml:space="preserve">Compare</w:t>
      </w:r>
      <w:r>
        <w:t xml:space="preserve"> </w:t>
      </w:r>
      <w:r>
        <w:t xml:space="preserve">JX-160 at SP COMM 010497 (offering $10 million threshold)</w:t>
      </w:r>
      <w:r>
        <w:t xml:space="preserve"> </w:t>
      </w:r>
      <w:r>
        <w:rPr>
          <w:iCs/>
          <w:i/>
        </w:rPr>
        <w:t xml:space="preserve">with</w:t>
      </w:r>
      <w:r>
        <w:t xml:space="preserve"> </w:t>
      </w:r>
      <w:r>
        <w:t xml:space="preserve">Pre-Tr. Stip at 15 (stipulating that parties agreed to $10 million threshold).</w:t>
      </w:r>
    </w:p>
  </w:footnote>
  <w:footnote w:id="1059">
    <w:p>
      <w:pPr>
        <w:pStyle w:val="CaseFootnoteText"/>
      </w:pPr>
      <w:r>
        <w:rPr>
          <w:rStyle w:val="FootnoteReference"/>
        </w:rPr>
        <w:t xml:space="preserve">174  </w:t>
      </w:r>
      <w:r>
        <w:t xml:space="preserve">Cerro’s voting agreement required it to vote in accordance with the Special Committee's recommendation, but Phelps Dodge’s voting agreement, which was entered into two months after the Merger was signed, did not have a similar provision. Rather, the agreement provided that, given the Special Committee's recommendation in favor of the Merger and the Board’s approval of the Merger, Phelps Dodge expressed its current intention to vote in favor of the Merger. Although it seems that Phelps Dodge would be contractually entitled to vote against the Merger if the Special Committee had subsequently withdrawn its recommendation, nowhere does the agreement require such a result. Given Phelps Dodge’s independent interest in obtaining the liquidity rights that were tied to the Merger, it is unclear how it would have voted if the Special Committee had changed its mind. Thus, because Phelps Dodge’s vote by itself would be sufficient to satisfy the two-thirds supermajority vote condition, it is equally unclear what power the Special Committee actually had to stop the Merger once it was signed.</w:t>
      </w:r>
    </w:p>
  </w:footnote>
  <w:footnote w:id="1060">
    <w:p>
      <w:pPr>
        <w:pStyle w:val="CaseFootnoteText"/>
      </w:pPr>
      <w:r>
        <w:rPr>
          <w:rStyle w:val="FootnoteReference"/>
        </w:rPr>
        <w:t xml:space="preserve">175  </w:t>
      </w:r>
      <w:r>
        <w:t xml:space="preserve">Tr. at 175 (Handelsman) ("I thought the collar had some meaning, but I thought that it was less important because I believed — based on my feeling that a relative value of the two companies made sense, that ships rise with a rising tide and ships fall with a falling tide; and, therefore, the chances of the value of one getting out of sync with the value of the other was a chance that was worth taking, although it certainly would have been better to have the collar.”).</w:t>
      </w:r>
    </w:p>
  </w:footnote>
  <w:footnote w:id="1061">
    <w:p>
      <w:pPr>
        <w:pStyle w:val="CaseFootnoteText"/>
      </w:pPr>
      <w:r>
        <w:rPr>
          <w:rStyle w:val="FootnoteReference"/>
        </w:rPr>
        <w:t xml:space="preserve">176  </w:t>
      </w:r>
      <w:r>
        <w:t xml:space="preserve">The switch to a fixed exchange ratio turned out to be hugely disadvantageous to Southern Peru. If the Special Committee had instead accepted Grupo Mexico’s original May 7, 2004 proposal for Southern Peru to issue $3.1 billion dollars worth of stock with the number of shares to be calculated based on the 20-day average closing price of Southern Peru starting five days before the Merger closed, Southern Peru would have only had to issue 52.7 million shares of Southern Peru stock, based on the 20-day average price at that time of $59.75 per share. In other words, if the Special Committee had done no negotiating at all and had simply accepted Grupo Mexico’s first ask, Southern Peru would have issued about 14.5 million fewer shares to purchase Minera than it did after the Special Committee was finished negotiating.</w:t>
      </w:r>
    </w:p>
  </w:footnote>
  <w:footnote w:id="1062">
    <w:p>
      <w:pPr>
        <w:pStyle w:val="CaseFootnoteText"/>
      </w:pPr>
      <w:r>
        <w:rPr>
          <w:rStyle w:val="FootnoteReference"/>
        </w:rPr>
        <w:t xml:space="preserve">177  </w:t>
      </w:r>
      <w:r>
        <w:t xml:space="preserve">In their papers, both the plaintiff and the defendants point to evidence post-dating the Merger to support their arguments.</w:t>
      </w:r>
      <w:r>
        <w:t xml:space="preserve"> </w:t>
      </w:r>
      <w:r>
        <w:rPr>
          <w:iCs/>
          <w:i/>
        </w:rPr>
        <w:t xml:space="preserve">See, e.g.,</w:t>
      </w:r>
      <w:r>
        <w:t xml:space="preserve"> </w:t>
      </w:r>
      <w:r>
        <w:t xml:space="preserve">Pl. Op. Post-Tr. Br. at 7-9,18 (discussing post-Merger evidence of reported ore reserves for Southern Peru and post-Merger completion of a significant exploration program relating to Southern Peru's mines); Pl. Ans. Post-Tr. Br. at 12 (citing to evidence of Southern Peru and Minera's 2005 EBITDA performance); Def. Op. Post-Tr. Br. at 22 (including chart that shows investment return in Southern Peru and selected comparable companies from October 21, 2004 to June 27, 2011). Def. Ans. Post-Tr. Br. at Ex. A. As their supplemental letters after post-trial argument show, our law is not entirely clear about the extent to which such evidence can be considered. In an appraisal case, it is of course important to confine oneself tó only information that was available as of the date of the transaction giving rise to appraisal. 8</w:t>
      </w:r>
      <w:r>
        <w:t xml:space="preserve"> </w:t>
      </w:r>
      <w:r>
        <w:rPr>
          <w:iCs/>
          <w:i/>
        </w:rPr>
        <w:t xml:space="preserve">Del. C.</w:t>
      </w:r>
      <w:r>
        <w:t xml:space="preserve"> </w:t>
      </w:r>
      <w:r>
        <w:t xml:space="preserve">§ 262(h) ("[T]he [c]ourt shall determine the fair value of the shares exclusive of any element of value arising from the accomplishment or expectation of the merger or consolidation.”). But even in appraisal, there are situations when post-transaction evidence has relevance.</w:t>
      </w:r>
      <w:r>
        <w:t xml:space="preserve"> </w:t>
      </w:r>
      <w:r>
        <w:rPr>
          <w:iCs/>
          <w:i/>
        </w:rPr>
        <w:t xml:space="preserve">Cede &amp; Co. v. Technicolor, Inc.,</w:t>
      </w:r>
      <w:r>
        <w:t xml:space="preserve"> </w:t>
      </w:r>
      <w:r>
        <w:t xml:space="preserve">758 A.2d 485</w:t>
      </w:r>
      <w:r>
        <w:t xml:space="preserve">, 499 (Del.2000) (holding that post-merger evidence that validated a pre-merger forecast was admissible "to show that plans in effect at the time of the merger have born fruition.” (citation omitted));</w:t>
      </w:r>
      <w:r>
        <w:t xml:space="preserve"> </w:t>
      </w:r>
      <w:r>
        <w:rPr>
          <w:iCs/>
          <w:i/>
        </w:rPr>
        <w:t xml:space="preserve">Cavalier Oil Corp. v. Harnett,</w:t>
      </w:r>
      <w:r>
        <w:t xml:space="preserve"> </w:t>
      </w:r>
      <w:r>
        <w:t xml:space="preserve">1988 WL 15816</w:t>
      </w:r>
      <w:r>
        <w:t xml:space="preserve">, at *14 (Del.Ch. Feb. 22, 1988),</w:t>
      </w:r>
      <w:r>
        <w:t xml:space="preserve"> </w:t>
      </w:r>
      <w:r>
        <w:rPr>
          <w:iCs/>
          <w:i/>
        </w:rPr>
        <w:t xml:space="preserve">aff’d,</w:t>
      </w:r>
      <w:r>
        <w:t xml:space="preserve"> </w:t>
      </w:r>
      <w:r>
        <w:t xml:space="preserve">564 A.2d 1137</w:t>
      </w:r>
      <w:r>
        <w:t xml:space="preserve"> </w:t>
      </w:r>
      <w:r>
        <w:t xml:space="preserve">(Del.1989) ("[p]ost-merger data may be considered" if it meets the</w:t>
      </w:r>
      <w:r>
        <w:t xml:space="preserve"> </w:t>
      </w:r>
      <w:r>
        <w:rPr>
          <w:iCs/>
          <w:i/>
        </w:rPr>
        <w:t xml:space="preserve">Weinberger</w:t>
      </w:r>
      <w:r>
        <w:t xml:space="preserve"> </w:t>
      </w:r>
      <w:r>
        <w:t xml:space="preserve">standard pertaining to non-speculative evidence);</w:t>
      </w:r>
      <w:r>
        <w:t xml:space="preserve"> </w:t>
      </w:r>
      <w:r>
        <w:rPr>
          <w:iCs/>
          <w:i/>
        </w:rPr>
        <w:t xml:space="preserve">see generally</w:t>
      </w:r>
      <w:r>
        <w:t xml:space="preserve"> </w:t>
      </w:r>
      <w:r>
        <w:t xml:space="preserve">R. Franklin Balotti &amp; Jesse A. Finkelstein,</w:t>
      </w:r>
      <w:r>
        <w:t xml:space="preserve"> </w:t>
      </w:r>
      <w:r>
        <w:rPr>
          <w:iCs/>
          <w:i/>
        </w:rPr>
        <w:t xml:space="preserve">The Delaware Law of Corporations and Business Organizations</w:t>
      </w:r>
      <w:r>
        <w:t xml:space="preserve"> </w:t>
      </w:r>
      <w:r>
        <w:t xml:space="preserve">§ 9.45 (3d ed.1998) (discussing the court's ability to consider post-merger evidence in the appraisal context). In an entire fairness case, where the influence of control is important, there is a sucker insurance purpose to such evidence.</w:t>
      </w:r>
      <w:r>
        <w:t xml:space="preserve"> </w:t>
      </w:r>
      <w:r>
        <w:rPr>
          <w:iCs/>
          <w:i/>
        </w:rPr>
        <w:t xml:space="preserve">See Gentile v. Rossette,</w:t>
      </w:r>
      <w:r>
        <w:t xml:space="preserve"> </w:t>
      </w:r>
      <w:r>
        <w:t xml:space="preserve">2010 WL 2171613</w:t>
      </w:r>
      <w:r>
        <w:t xml:space="preserve">, at *2 (Del.Ch. May 28, 2010) (noting that "[s]ome rumination upon the outcome of the fair price and process dynamic ... cannot be avoided");</w:t>
      </w:r>
      <w:r>
        <w:t xml:space="preserve"> </w:t>
      </w:r>
      <w:r>
        <w:rPr>
          <w:iCs/>
          <w:i/>
        </w:rPr>
        <w:t xml:space="preserve">Ryan</w:t>
      </w:r>
      <w:r>
        <w:t xml:space="preserve"> </w:t>
      </w:r>
      <w:r>
        <w:t xml:space="preserve">v.</w:t>
      </w:r>
      <w:r>
        <w:t xml:space="preserve"> </w:t>
      </w:r>
      <w:r>
        <w:rPr>
          <w:iCs/>
          <w:i/>
        </w:rPr>
        <w:t xml:space="preserve">Tad’s Enters., Inc.,</w:t>
      </w:r>
      <w:r>
        <w:t xml:space="preserve"> </w:t>
      </w:r>
      <w:r>
        <w:t xml:space="preserve">709 A.2d 682</w:t>
      </w:r>
      <w:r>
        <w:t xml:space="preserve">, 697 (Del.Ch. 1996) (considering post-merger events in determining whether merger price was fair). In this case, for example, the estimated cash flows for Southern Peru, which were not optimized, were important in setting the transaction price. As of the Merger date, the Special Committee and Gru-po Mexico had access to results of. Southern Peru that showed that the estimates for 2004 had been exceeded by a large amount and that Southern Peru was running well ahead of the 2005 estimate, suggesting that Southern Peru’s non-optimized cash flow estimates might have been too low, whereas Minera’s optimized cash flows seemed about right. The ultimate results from 2005 also cast serious doubt on the fairness of the relative valuation exercise that was used to justify the transaction.</w:t>
      </w:r>
    </w:p>
  </w:footnote>
  <w:footnote w:id="1063">
    <w:p>
      <w:pPr>
        <w:pStyle w:val="CaseFootnoteText"/>
      </w:pPr>
      <w:r>
        <w:rPr>
          <w:rStyle w:val="FootnoteReference"/>
        </w:rPr>
        <w:t xml:space="preserve">178  </w:t>
      </w:r>
      <w:r>
        <w:t xml:space="preserve">Def. Ans. Post-Tr. Br. at Ex. A.</w:t>
      </w:r>
    </w:p>
  </w:footnote>
  <w:footnote w:id="1064">
    <w:p>
      <w:pPr>
        <w:pStyle w:val="CaseFootnoteText"/>
      </w:pPr>
      <w:r>
        <w:rPr>
          <w:rStyle w:val="FootnoteReference"/>
        </w:rPr>
        <w:t xml:space="preserve">179  </w:t>
      </w:r>
      <w:r>
        <w:t xml:space="preserve">All actual EBITDA numbers are drawn from Southern Peru's post-Merger annual reports, which continue to report the results of the Southern Peru and the Minera businesses separately as operating segments. JX-138; JX-142; JX-143; JX-144; JX-146; JX-147. All numbers are in millions.</w:t>
      </w:r>
    </w:p>
  </w:footnote>
  <w:footnote w:id="1065">
    <w:p>
      <w:pPr>
        <w:pStyle w:val="CaseFootnoteText"/>
      </w:pPr>
      <w:r>
        <w:rPr>
          <w:rStyle w:val="FootnoteReference"/>
        </w:rPr>
        <w:t xml:space="preserve">180  </w:t>
      </w:r>
      <w:r>
        <w:t xml:space="preserve">All estimated EBITDA numbers are based on the A &amp; S-adjusted projections used in Goldman's October 21, 2004 presentation. The 2005E EBITDA numbers are based on the A &amp; S-adjusted estimates in Goldman’s contribution analysis, JX-106 at SP COMM 004926 (which assume a</w:t>
      </w:r>
      <w:r>
        <w:t xml:space="preserve"> </w:t>
      </w:r>
      <w:r>
        <w:rPr>
          <w:iCs/>
          <w:i/>
        </w:rPr>
        <w:t xml:space="preserve">2%</w:t>
      </w:r>
      <w:r>
        <w:t xml:space="preserve"> </w:t>
      </w:r>
      <w:r>
        <w:t xml:space="preserve">royalty tax on Southern Peru and certain other additional adjustments) and the 2006E-2010E EBITDA numbers are based on the A &amp; S-adjusted projections underlying Goldman’s final relative DCF analyses.</w:t>
      </w:r>
      <w:r>
        <w:t xml:space="preserve"> </w:t>
      </w:r>
      <w:r>
        <w:rPr>
          <w:iCs/>
          <w:i/>
        </w:rPr>
        <w:t xml:space="preserve">Id.</w:t>
      </w:r>
      <w:r>
        <w:t xml:space="preserve"> </w:t>
      </w:r>
      <w:r>
        <w:t xml:space="preserve">at SP COMM004918; SP COMM004920.</w:t>
      </w:r>
    </w:p>
  </w:footnote>
  <w:footnote w:id="1066">
    <w:p>
      <w:pPr>
        <w:pStyle w:val="CaseFootnoteText"/>
      </w:pPr>
      <w:r>
        <w:rPr>
          <w:rStyle w:val="FootnoteReference"/>
        </w:rPr>
        <w:t xml:space="preserve">181  </w:t>
      </w:r>
      <w:r>
        <w:t xml:space="preserve"/>
      </w:r>
      <w:r>
        <w:t xml:space="preserve"> </w:t>
      </w:r>
      <w:r>
        <w:rPr>
          <w:iCs/>
          <w:i/>
        </w:rPr>
        <w:t xml:space="preserve">See</w:t>
      </w:r>
      <w:r>
        <w:t xml:space="preserve"> </w:t>
      </w:r>
      <w:r>
        <w:t xml:space="preserve">Beaulne Report at 45. The 24.7 million figure is based on calculations as of the date of closing (April 1, 2005), rather than as of the date of Goldman’s fairness opinion and the Special Committee’s approval of the Merger (October 21, 2004).</w:t>
      </w:r>
    </w:p>
  </w:footnote>
  <w:footnote w:id="1067">
    <w:p>
      <w:pPr>
        <w:pStyle w:val="CaseFootnoteText"/>
      </w:pPr>
      <w:r>
        <w:rPr>
          <w:rStyle w:val="FootnoteReference"/>
        </w:rPr>
        <w:t xml:space="preserve">182  </w:t>
      </w:r>
      <w:r>
        <w:t xml:space="preserve"/>
      </w:r>
      <w:r>
        <w:rPr>
          <w:iCs/>
          <w:i/>
        </w:rPr>
        <w:t xml:space="preserve">. Int'l Telecharge, Inc. v. Bomarko, Inc.,</w:t>
      </w:r>
      <w:r>
        <w:t xml:space="preserve"> </w:t>
      </w:r>
      <w:r>
        <w:t xml:space="preserve">766 A.2d 437</w:t>
      </w:r>
      <w:r>
        <w:t xml:space="preserve">, 439 (Del.2000) (noting that the Delaware Supreme Court "defer[s] substantially to the discretion of the trial court in determining the proper remedy....”);</w:t>
      </w:r>
      <w:r>
        <w:t xml:space="preserve"> </w:t>
      </w:r>
      <w:r>
        <w:rPr>
          <w:iCs/>
          <w:i/>
        </w:rPr>
        <w:t xml:space="preserve">Weinberger v. UOP, Inc.,</w:t>
      </w:r>
      <w:r>
        <w:t xml:space="preserve"> </w:t>
      </w:r>
      <w:r>
        <w:t xml:space="preserve">457 A.2d 701</w:t>
      </w:r>
      <w:r>
        <w:t xml:space="preserve">, 715 (Del.1983) (noting "the broad discretion of the Chancellor to fashion such relief as the facts of a given case may dictate”).</w:t>
      </w:r>
    </w:p>
  </w:footnote>
  <w:footnote w:id="1068">
    <w:p>
      <w:pPr>
        <w:pStyle w:val="CaseFootnoteText"/>
      </w:pPr>
      <w:r>
        <w:rPr>
          <w:rStyle w:val="FootnoteReference"/>
        </w:rPr>
        <w:t xml:space="preserve">183  </w:t>
      </w:r>
      <w:r>
        <w:t xml:space="preserve"/>
      </w:r>
      <w:r>
        <w:t xml:space="preserve"> </w:t>
      </w:r>
      <w:r>
        <w:rPr>
          <w:iCs/>
          <w:i/>
        </w:rPr>
        <w:t xml:space="preserve">Thorpe v. CERBCO, Inc.,</w:t>
      </w:r>
      <w:r>
        <w:t xml:space="preserve"> </w:t>
      </w:r>
      <w:r>
        <w:t xml:space="preserve">676 A.2d 436</w:t>
      </w:r>
      <w:r>
        <w:t xml:space="preserve">, 444 (Del.1996).</w:t>
      </w:r>
    </w:p>
  </w:footnote>
  <w:footnote w:id="1069">
    <w:p>
      <w:pPr>
        <w:pStyle w:val="CaseFootnoteText"/>
      </w:pPr>
      <w:r>
        <w:rPr>
          <w:rStyle w:val="FootnoteReference"/>
        </w:rPr>
        <w:t xml:space="preserve">184  </w:t>
      </w:r>
      <w:r>
        <w:t xml:space="preserve"/>
      </w:r>
      <w:r>
        <w:t xml:space="preserve"> </w:t>
      </w:r>
      <w:r>
        <w:rPr>
          <w:iCs/>
          <w:i/>
        </w:rPr>
        <w:t xml:space="preserve">Bomarko, Inc. v. Int’l Telecharge, Inc.,</w:t>
      </w:r>
      <w:r>
        <w:t xml:space="preserve"> </w:t>
      </w:r>
      <w:r>
        <w:t xml:space="preserve">794 A.2d 1161</w:t>
      </w:r>
      <w:r>
        <w:t xml:space="preserve">, 1184 (Del.Ch.1999), aff</w:t>
      </w:r>
      <w:r>
        <w:rPr>
          <w:iCs/>
          <w:i/>
        </w:rPr>
        <w:t xml:space="preserve">'d,</w:t>
      </w:r>
      <w:r>
        <w:t xml:space="preserve"> </w:t>
      </w:r>
      <w:r>
        <w:t xml:space="preserve">766 A.2d 437</w:t>
      </w:r>
      <w:r>
        <w:t xml:space="preserve"> </w:t>
      </w:r>
      <w:r>
        <w:t xml:space="preserve">(Del.2000).</w:t>
      </w:r>
    </w:p>
  </w:footnote>
  <w:footnote w:id="1070">
    <w:p>
      <w:pPr>
        <w:pStyle w:val="CaseFootnoteText"/>
      </w:pPr>
      <w:r>
        <w:rPr>
          <w:rStyle w:val="FootnoteReference"/>
        </w:rPr>
        <w:t xml:space="preserve">185  </w:t>
      </w:r>
      <w:r>
        <w:t xml:space="preserve"/>
      </w:r>
      <w:r>
        <w:t xml:space="preserve"> </w:t>
      </w:r>
      <w:r>
        <w:rPr>
          <w:iCs/>
          <w:i/>
        </w:rPr>
        <w:t xml:space="preserve">Summa Corp. v. Trans World Airlines, Inc.,</w:t>
      </w:r>
      <w:r>
        <w:t xml:space="preserve"> </w:t>
      </w:r>
      <w:r>
        <w:t xml:space="preserve">540 A.2d 403</w:t>
      </w:r>
      <w:r>
        <w:t xml:space="preserve">, 409 (Del.1988).</w:t>
      </w:r>
    </w:p>
  </w:footnote>
  <w:footnote w:id="1071">
    <w:p>
      <w:pPr>
        <w:pStyle w:val="CaseFootnoteText"/>
      </w:pPr>
      <w:r>
        <w:rPr>
          <w:rStyle w:val="FootnoteReference"/>
        </w:rPr>
        <w:t xml:space="preserve">186  </w:t>
      </w:r>
      <w:r>
        <w:t xml:space="preserve"/>
      </w:r>
      <w:r>
        <w:t xml:space="preserve"> </w:t>
      </w:r>
      <w:r>
        <w:rPr>
          <w:iCs/>
          <w:i/>
        </w:rPr>
        <w:t xml:space="preserve">Ryan v. Tad’s Enters., Inc.,</w:t>
      </w:r>
      <w:r>
        <w:rPr>
          <w:iCs/>
          <w:i/>
        </w:rPr>
        <w:t xml:space="preserve"> </w:t>
      </w:r>
      <w:r>
        <w:rPr>
          <w:iCs/>
          <w:i/>
        </w:rPr>
        <w:t xml:space="preserve">709</w:t>
      </w:r>
      <w:r>
        <w:rPr>
          <w:iCs/>
          <w:i/>
        </w:rPr>
        <w:t xml:space="preserve"> </w:t>
      </w:r>
      <w:r>
        <w:t xml:space="preserve">A.2d 682</w:t>
      </w:r>
      <w:r>
        <w:t xml:space="preserve">, 699 (Del.Ch.1996) (highlighting the principle of equity that a plaintiff waives the right to rescission by excessive delay in seeking it, and extending that principle to rescissory damages, based on die policy reason that excessive delay allows plaintiffs to see whether the defendants achieve an increase in the value of the company before deciding to assert a claim).</w:t>
      </w:r>
    </w:p>
  </w:footnote>
  <w:footnote w:id="1072">
    <w:p>
      <w:pPr>
        <w:pStyle w:val="CaseFootnoteText"/>
      </w:pPr>
      <w:r>
        <w:rPr>
          <w:rStyle w:val="FootnoteReference"/>
        </w:rPr>
        <w:t xml:space="preserve">187  </w:t>
      </w:r>
      <w:r>
        <w:t xml:space="preserve"/>
      </w:r>
      <w:r>
        <w:t xml:space="preserve"> </w:t>
      </w:r>
      <w:r>
        <w:rPr>
          <w:iCs/>
          <w:i/>
        </w:rPr>
        <w:t xml:space="preserve">Gotham Partners, L.P. v. Hallwood Realty Partners, L.P.,</w:t>
      </w:r>
      <w:r>
        <w:t xml:space="preserve"> </w:t>
      </w:r>
      <w:r>
        <w:t xml:space="preserve">855 A.2d 1059</w:t>
      </w:r>
      <w:r>
        <w:t xml:space="preserve">, 1072 (Del.Ch.2003).</w:t>
      </w:r>
    </w:p>
  </w:footnote>
  <w:footnote w:id="1073">
    <w:p>
      <w:pPr>
        <w:pStyle w:val="CaseFootnoteText"/>
      </w:pPr>
      <w:r>
        <w:rPr>
          <w:rStyle w:val="FootnoteReference"/>
        </w:rPr>
        <w:t xml:space="preserve">188  </w:t>
      </w:r>
      <w:r>
        <w:t xml:space="preserve"/>
      </w:r>
      <w:r>
        <w:t xml:space="preserve"> </w:t>
      </w:r>
      <w:r>
        <w:rPr>
          <w:iCs/>
          <w:i/>
        </w:rPr>
        <w:t xml:space="preserve">Weinberger v. UOP, Inc.,</w:t>
      </w:r>
      <w:r>
        <w:t xml:space="preserve"> </w:t>
      </w:r>
      <w:r>
        <w:t xml:space="preserve">457 A.2d 701</w:t>
      </w:r>
      <w:r>
        <w:t xml:space="preserve">, 714 (Del.1983);</w:t>
      </w:r>
      <w:r>
        <w:t xml:space="preserve"> </w:t>
      </w:r>
      <w:r>
        <w:rPr>
          <w:iCs/>
          <w:i/>
        </w:rPr>
        <w:t xml:space="preserve">Ryan,</w:t>
      </w:r>
      <w:r>
        <w:t xml:space="preserve"> </w:t>
      </w:r>
      <w:r>
        <w:t xml:space="preserve">709 A.2d at 699</w:t>
      </w:r>
      <w:r>
        <w:t xml:space="preserve">.</w:t>
      </w:r>
    </w:p>
  </w:footnote>
  <w:footnote w:id="1074">
    <w:p>
      <w:pPr>
        <w:pStyle w:val="CaseFootnoteText"/>
      </w:pPr>
      <w:r>
        <w:rPr>
          <w:rStyle w:val="FootnoteReference"/>
        </w:rPr>
        <w:t xml:space="preserve">189  </w:t>
      </w:r>
      <w:r>
        <w:t xml:space="preserve">As discussed earlier in this opinion, the Special Committee should have re-evaluated the Merger between signing and the stockholder vote due to changes in Southern Peru's stock price and Southern Peru’s projection-shattering 2004 EBITDA and 2005 year to date performances. Instead, the Special Committee's decision to treat the Merger as a foregone conclusion was a failure in terms of fair process. For this and other related reasons, I am therefore calculating damages with respect to the market value of Southern Peru shares as of the Merger date, April 1, 2005.</w:t>
      </w:r>
    </w:p>
  </w:footnote>
  <w:footnote w:id="1075">
    <w:p>
      <w:pPr>
        <w:pStyle w:val="CaseFootnoteText"/>
      </w:pPr>
      <w:r>
        <w:rPr>
          <w:rStyle w:val="FootnoteReference"/>
        </w:rPr>
        <w:t xml:space="preserve">190  </w:t>
      </w:r>
      <w:r>
        <w:t xml:space="preserve">I say did not stop rather than did not slow, because they are different. By being conservative in my approach to a remedy, I give the defendants credit for some of their market-based arguments, in a manner that one could even say I should not in a duty of loyalty case.</w:t>
      </w:r>
      <w:r>
        <w:t xml:space="preserve"> </w:t>
      </w:r>
      <w:r>
        <w:rPr>
          <w:iCs/>
          <w:i/>
        </w:rPr>
        <w:t xml:space="preserve">See Thorpe v. CERBCO, Inc.,</w:t>
      </w:r>
      <w:r>
        <w:t xml:space="preserve"> </w:t>
      </w:r>
      <w:r>
        <w:t xml:space="preserve">676 A.2d 436</w:t>
      </w:r>
      <w:r>
        <w:t xml:space="preserve">, 444 (Del.1996) ("Delaware law dictates that the scope of recovery for a breach of the duty of loyalty is not to be determined narrowly.”). But I think this is responsible because the record suffers from some issues, including the absence of a Goldman trial witness and likely diminished memories, that are properly laid at the plaintiff’s door.</w:t>
      </w:r>
    </w:p>
  </w:footnote>
  <w:footnote w:id="1076">
    <w:p>
      <w:pPr>
        <w:pStyle w:val="CaseFootnoteText"/>
      </w:pPr>
      <w:r>
        <w:rPr>
          <w:rStyle w:val="FootnoteReference"/>
        </w:rPr>
        <w:t xml:space="preserve">191  </w:t>
      </w:r>
      <w:r>
        <w:t xml:space="preserve">Beaulne Report at 44.</w:t>
      </w:r>
    </w:p>
  </w:footnote>
  <w:footnote w:id="1077">
    <w:p>
      <w:pPr>
        <w:pStyle w:val="CaseFootnoteText"/>
      </w:pPr>
      <w:r>
        <w:rPr>
          <w:rStyle w:val="FootnoteReference"/>
        </w:rPr>
        <w:t xml:space="preserve">192  </w:t>
      </w:r>
      <w:r>
        <w:t xml:space="preserve"/>
      </w:r>
      <w:r>
        <w:t xml:space="preserve"> </w:t>
      </w:r>
      <w:r>
        <w:rPr>
          <w:iCs/>
          <w:i/>
        </w:rPr>
        <w:t xml:space="preserve">Id.</w:t>
      </w:r>
      <w:r>
        <w:t xml:space="preserve"> </w:t>
      </w:r>
      <w:r>
        <w:t xml:space="preserve">at 21.</w:t>
      </w:r>
    </w:p>
  </w:footnote>
  <w:footnote w:id="1078">
    <w:p>
      <w:pPr>
        <w:pStyle w:val="CaseFootnoteText"/>
      </w:pPr>
      <w:r>
        <w:rPr>
          <w:rStyle w:val="FootnoteReference"/>
        </w:rPr>
        <w:t xml:space="preserve">193  </w:t>
      </w:r>
      <w:r>
        <w:t xml:space="preserve">Tr. at 340-341 (Beaulne).</w:t>
      </w:r>
    </w:p>
  </w:footnote>
  <w:footnote w:id="1079">
    <w:p>
      <w:pPr>
        <w:pStyle w:val="CaseFootnoteText"/>
      </w:pPr>
      <w:r>
        <w:rPr>
          <w:rStyle w:val="FootnoteReference"/>
        </w:rPr>
        <w:t xml:space="preserve">194  </w:t>
      </w:r>
      <w:r>
        <w:t xml:space="preserve">Beaulne Report at 36. Like Beaulne, I disregard the potential tax benefits of $0-131 million for Minera that Goldman factored in to its valuations as of the date of the fairness opinion. JX-106 at SP COMM 004917. The schedules and estimates provided by Minera management to Goldman on the potential tax benefits are not in the record, making them difficult to evaluate. Moreover, Schwartz also disregards these potential tax benefits in his relative valuation analysis, Schwartz Report ¶ 22, and the defendants do not take issue with Beaulne’s exclusion of them.</w:t>
      </w:r>
    </w:p>
  </w:footnote>
  <w:footnote w:id="1080">
    <w:p>
      <w:pPr>
        <w:pStyle w:val="CaseFootnoteText"/>
      </w:pPr>
      <w:r>
        <w:rPr>
          <w:rStyle w:val="FootnoteReference"/>
        </w:rPr>
        <w:t xml:space="preserve">195  </w:t>
      </w:r>
      <w:r>
        <w:t xml:space="preserve">Beaulne’s model, adjusted to reflect my inputs, yields an enterprise value for Minera of $3.452 billion, from which I subtracted the $1 billion in debt that Southern Peru assumed in the Merger. To the extent the defendants’ gripe about the remedy, using the $0.90 per pound long-term copper price they told the investing public was the right number, the equity value of Minera would be only $1.512 million. At the high end of the long-term copper prices used in Goldman’s standalone DCF model, or $1.00 per per pound, Minera’s value was only $1.982 million. This underscores the conservatism of my approach, given the record evidence.</w:t>
      </w:r>
    </w:p>
  </w:footnote>
  <w:footnote w:id="1081">
    <w:p>
      <w:pPr>
        <w:pStyle w:val="CaseFootnoteText"/>
      </w:pPr>
      <w:r>
        <w:rPr>
          <w:rStyle w:val="FootnoteReference"/>
        </w:rPr>
        <w:t xml:space="preserve">196  </w:t>
      </w:r>
      <w:r>
        <w:t xml:space="preserve">$45.92 closing price x 52,000,000 = $2,387,840,000.</w:t>
      </w:r>
    </w:p>
  </w:footnote>
  <w:footnote w:id="1082">
    <w:p>
      <w:pPr>
        <w:pStyle w:val="CaseFootnoteText"/>
      </w:pPr>
      <w:r>
        <w:rPr>
          <w:rStyle w:val="FootnoteReference"/>
        </w:rPr>
        <w:t xml:space="preserve">197  </w:t>
      </w:r>
      <w:r>
        <w:t xml:space="preserve"/>
      </w:r>
      <w:r>
        <w:t xml:space="preserve"> </w:t>
      </w:r>
      <w:r>
        <w:rPr>
          <w:iCs/>
          <w:i/>
        </w:rPr>
        <w:t xml:space="preserve">See</w:t>
      </w:r>
      <w:r>
        <w:t xml:space="preserve"> </w:t>
      </w:r>
      <w:r>
        <w:t xml:space="preserve">JX-106 at SP COMM 004913, SP COMM 004925.</w:t>
      </w:r>
    </w:p>
  </w:footnote>
  <w:footnote w:id="1083">
    <w:p>
      <w:pPr>
        <w:pStyle w:val="CaseFootnoteText"/>
      </w:pPr>
      <w:r>
        <w:rPr>
          <w:rStyle w:val="FootnoteReference"/>
        </w:rPr>
        <w:t xml:space="preserve">198  </w:t>
      </w:r>
      <w:r>
        <w:t xml:space="preserve"/>
      </w:r>
      <w:r>
        <w:t xml:space="preserve"> </w:t>
      </w:r>
      <w:r>
        <w:rPr>
          <w:iCs/>
          <w:i/>
        </w:rPr>
        <w:t xml:space="preserve">Id.</w:t>
      </w:r>
      <w:r>
        <w:t xml:space="preserve"> </w:t>
      </w:r>
      <w:r>
        <w:t xml:space="preserve">at SP COMM 004925.</w:t>
      </w:r>
    </w:p>
  </w:footnote>
  <w:footnote w:id="1084">
    <w:p>
      <w:pPr>
        <w:pStyle w:val="CaseFootnoteText"/>
      </w:pPr>
      <w:r>
        <w:rPr>
          <w:rStyle w:val="FootnoteReference"/>
        </w:rPr>
        <w:t xml:space="preserve">199  </w:t>
      </w:r>
      <w:r>
        <w:t xml:space="preserve">$1.986 billion = (4.8 x 622 million) — $1 billion net debt.</w:t>
      </w:r>
    </w:p>
  </w:footnote>
  <w:footnote w:id="1085">
    <w:p>
      <w:pPr>
        <w:pStyle w:val="CaseFootnoteText"/>
      </w:pPr>
      <w:r>
        <w:rPr>
          <w:rStyle w:val="FootnoteReference"/>
        </w:rPr>
        <w:t xml:space="preserve">200  </w:t>
      </w:r>
      <w:r>
        <w:t xml:space="preserve"/>
      </w:r>
      <w:r>
        <w:t xml:space="preserve"> </w:t>
      </w:r>
      <w:r>
        <w:rPr>
          <w:iCs/>
          <w:i/>
        </w:rPr>
        <w:t xml:space="preserve">Andaloro v. PFPC Worldwide, Inc.,</w:t>
      </w:r>
      <w:r>
        <w:t xml:space="preserve"> </w:t>
      </w:r>
      <w:r>
        <w:t xml:space="preserve">2005 WL 2045640</w:t>
      </w:r>
      <w:r>
        <w:t xml:space="preserve">, at *16 (Del.Ch. Aug. 19, 2005).</w:t>
      </w:r>
    </w:p>
  </w:footnote>
  <w:footnote w:id="1086">
    <w:p>
      <w:pPr>
        <w:pStyle w:val="CaseFootnoteText"/>
      </w:pPr>
      <w:r>
        <w:rPr>
          <w:rStyle w:val="FootnoteReference"/>
        </w:rPr>
        <w:t xml:space="preserve">201  </w:t>
      </w:r>
      <w:r>
        <w:t xml:space="preserve"/>
      </w:r>
      <w:r>
        <w:t xml:space="preserve"> </w:t>
      </w:r>
      <w:r>
        <w:rPr>
          <w:iCs/>
          <w:i/>
        </w:rPr>
        <w:t xml:space="preserve">Borruso v. Commc'ns Telesystems, Int’l,</w:t>
      </w:r>
      <w:r>
        <w:t xml:space="preserve"> </w:t>
      </w:r>
      <w:r>
        <w:t xml:space="preserve">753 A.2d 451</w:t>
      </w:r>
      <w:r>
        <w:t xml:space="preserve">, 458 (Del.Ch.1999).</w:t>
      </w:r>
    </w:p>
  </w:footnote>
  <w:footnote w:id="1087">
    <w:p>
      <w:pPr>
        <w:pStyle w:val="CaseFootnoteText"/>
      </w:pPr>
      <w:r>
        <w:rPr>
          <w:rStyle w:val="FootnoteReference"/>
        </w:rPr>
        <w:t xml:space="preserve">202  </w:t>
      </w:r>
      <w:r>
        <w:t xml:space="preserve"/>
      </w:r>
      <w:r>
        <w:t xml:space="preserve"> </w:t>
      </w:r>
      <w:r>
        <w:rPr>
          <w:iCs/>
          <w:i/>
        </w:rPr>
        <w:t xml:space="preserve">Agranoff v. Miller,</w:t>
      </w:r>
      <w:r>
        <w:t xml:space="preserve"> </w:t>
      </w:r>
      <w:r>
        <w:t xml:space="preserve">791 A.2d 880</w:t>
      </w:r>
      <w:r>
        <w:t xml:space="preserve">, 893 (Del.Ch.2001).</w:t>
      </w:r>
    </w:p>
  </w:footnote>
  <w:footnote w:id="1088">
    <w:p>
      <w:pPr>
        <w:pStyle w:val="CaseFootnoteText"/>
      </w:pPr>
      <w:r>
        <w:rPr>
          <w:rStyle w:val="FootnoteReference"/>
        </w:rPr>
        <w:t xml:space="preserve">203  </w:t>
      </w:r>
      <w:r>
        <w:t xml:space="preserve">2006 Mergerstat® Review (Santa Monica: FactSet Mergerstat, LLC, 2006) at 24.</w:t>
      </w:r>
    </w:p>
  </w:footnote>
  <w:footnote w:id="1089">
    <w:p>
      <w:pPr>
        <w:pStyle w:val="CaseFootnoteText"/>
      </w:pPr>
      <w:r>
        <w:rPr>
          <w:rStyle w:val="FootnoteReference"/>
        </w:rPr>
        <w:t xml:space="preserve">204  </w:t>
      </w:r>
      <w:r>
        <w:t xml:space="preserve">$55.89 closing price x 67,200,000 = $3,755,808,000.</w:t>
      </w:r>
    </w:p>
  </w:footnote>
  <w:footnote w:id="1090">
    <w:p>
      <w:pPr>
        <w:pStyle w:val="CaseFootnoteText"/>
      </w:pPr>
      <w:r>
        <w:rPr>
          <w:rStyle w:val="FootnoteReference"/>
        </w:rPr>
        <w:t xml:space="preserve">205  </w:t>
      </w:r>
      <w:r>
        <w:t xml:space="preserve">$3.756 billion - $2.409 billion = $1.347 billion.</w:t>
      </w:r>
    </w:p>
  </w:footnote>
  <w:footnote w:id="1091">
    <w:p>
      <w:pPr>
        <w:pStyle w:val="CaseFootnoteText"/>
      </w:pPr>
      <w:r>
        <w:rPr>
          <w:rStyle w:val="FootnoteReference"/>
        </w:rPr>
        <w:t xml:space="preserve">206  </w:t>
      </w:r>
      <w:r>
        <w:t xml:space="preserve">The plaintiff has not sought to have the defendants pay his attorneys' fees. The parties shall confer regarding whether they can reach agreement on a responsible fee that the court can consider awarding, with the plaintiff's counsel taking into account the reality their own delays affected the remedy awarded and are a basis for conservatism in any fee award.</w:t>
      </w:r>
    </w:p>
    <w:p>
      <w:pPr>
        <w:pStyle w:val="NodeEnd"/>
      </w:pPr>
      <w:r>
        <w:t xml:space="preserve"> </w:t>
      </w:r>
    </w:p>
    <w:p>
      <w:pPr>
        <w:pStyle w:val="NodeStart"/>
      </w:pPr>
      <w:r>
        <w:t xml:space="preserve"> </w:t>
      </w:r>
    </w:p>
    <w:p>
      <w:pPr>
        <w:pStyle w:val="HeadSeparator"/>
      </w:pPr>
      <w:r>
        <w:t xml:space="preserve"> </w:t>
      </w:r>
    </w:p>
  </w:footnote>
</w:footnotes>
</file>

<file path=word/header_blank.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BodyText"/>
      <w:ind w:right="360" w:firstLine="360"/>
    </w:pPr>
    <w:r>
      <w:t/>
    </w:r>
  </w:p>
</w:hdr>
</file>

<file path=word/header_even.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Header"/>
      <w:framePr w:wrap="around"/>
    </w:pPr>
    <w:r>
      <w:fldChar w:fldCharType="begin"/>
    </w:r>
    <w:r>
      <w:instrText>STYLEREF "Chapter Number" </w:instrText>
    </w:r>
    <w:r>
      <w:fldChar w:fldCharType="separate"/>
    </w:r>
    <w:r w:rsidR="006019C2">
      <w:rPr>
        <w:noProof/>
      </w:rPr>
      <w:t>ChapterNumber</w:t>
    </w:r>
    <w:r>
      <w:rPr>
        <w:noProof/>
      </w:rPr>
      <w:fldChar w:fldCharType="end"/>
    </w:r>
    <w:r w:rsidR="00C81DA0">
      <w:t xml:space="preserve">: </w:t>
    </w:r>
    <w:r>
      <w:fldChar w:fldCharType="begin"/>
    </w:r>
    <w:r>
      <w:instrText>STYLEREF "Chapter Title"</w:instrText>
    </w:r>
    <w:r>
      <w:fldChar w:fldCharType="separate"/>
    </w:r>
    <w:r>
      <w:rPr>
        <w:noProof/>
      </w:rPr>
      <w:fldChar w:fldCharType="end"/>
    </w:r>
  </w:p>
  <w:p>
    <w:pPr>
      <w:pStyle w:val="HeaderPageNumber"/>
      <w:framePr w:wrap="around"/>
    </w:pPr>
    <w:r>
      <w:fldChar w:fldCharType="begin"/>
    </w:r>
    <w:r>
      <w:instrText>PAGE</w:instrText>
    </w:r>
    <w:r>
      <w:fldChar w:fldCharType="end"/>
    </w:r>
  </w:p>
</w:hdr>
</file>

<file path=word/header_front_matter_even.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Header"/>
      <w:framePr w:wrap="around"/>
    </w:pPr>
    <w:r>
      <w:fldChar w:fldCharType="begin"/>
    </w:r>
    <w:r>
      <w:t> </w:t>
    </w:r>
    <w:r>
      <w:fldChar w:fldCharType="separate"/>
    </w:r>
    <w:r w:rsidR="006019C2">
      <w:rPr>
        <w:noProof/>
      </w:rPr>
      <w:t> </w:t>
    </w:r>
    <w:r>
      <w:rPr>
        <w:noProof/>
      </w:rPr>
      <w:fldChar w:fldCharType="end"/>
    </w:r>
    <w:r>
      <w:fldChar w:fldCharType="begin"/>
    </w:r>
    <w:r>
      <w:t> </w:t>
    </w:r>
    <w:r>
      <w:fldChar w:fldCharType="separate"/>
    </w:r>
    <w:r>
      <w:rPr>
        <w:noProof/>
      </w:rPr>
      <w:fldChar w:fldCharType="end"/>
    </w:r>
  </w:p>
  <w:p>
    <w:pPr>
      <w:pStyle w:val="HeaderPageNumber"/>
      <w:framePr w:wrap="around"/>
    </w:pPr>
    <w:r>
      <w:fldChar w:fldCharType="begin"/>
    </w:r>
    <w:r>
      <w:instrText>PAGE</w:instrText>
    </w:r>
    <w:r>
      <w:fldChar w:fldCharType="end"/>
    </w:r>
  </w:p>
</w:hdr>
</file>

<file path=word/header_front_matter_odd.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Header"/>
      <w:framePr w:wrap="around"/>
    </w:pPr>
    <w:r>
      <w:fldChar w:fldCharType="begin"/>
    </w:r>
    <w:r>
      <w:t> </w:t>
    </w:r>
    <w:r>
      <w:fldChar w:fldCharType="separate"/>
    </w:r>
    <w:r>
      <w:rPr>
        <w:noProof/>
      </w:rPr>
      <w:fldChar w:fldCharType="end"/>
    </w:r>
  </w:p>
  <w:p>
    <w:pPr>
      <w:pStyle w:val="HeaderPageNumber"/>
      <w:framePr w:wrap="around"/>
    </w:pPr>
    <w:r>
      <w:fldChar w:fldCharType="begin"/>
    </w:r>
    <w:r>
      <w:instrText>PAGE</w:instrText>
    </w:r>
    <w:r>
      <w:fldChar w:fldCharType="end"/>
    </w:r>
  </w:p>
</w:hdr>
</file>

<file path=word/header_odd.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Header"/>
      <w:framePr w:wrap="around"/>
    </w:pPr>
    <w:r>
      <w:fldChar w:fldCharType="begin"/>
    </w:r>
    <w:r>
      <w:instrText>STYLEREF "Casebook Title"</w:instrText>
    </w:r>
    <w:r>
      <w:fldChar w:fldCharType="separate"/>
    </w:r>
    <w:r>
      <w:rPr>
        <w:noProof/>
      </w:rPr>
      <w:fldChar w:fldCharType="end"/>
    </w:r>
  </w:p>
  <w:p>
    <w:pPr>
      <w:pStyle w:val="HeaderPageNumber"/>
      <w:framePr w:wrap="around"/>
    </w:pPr>
    <w:r>
      <w:fldChar w:fldCharType="begin"/>
    </w:r>
    <w:r>
      <w:instrText>PAGE</w:instrText>
    </w:r>
    <w:r>
      <w:fldChar w:fldCharType="end"/>
    </w: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203">
    <w:nsid w:val="A99203"/>
    <w:multiLevelType w:val="multilevel"/>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99202">
    <w:nsid w:val="A99202"/>
    <w:multiLevelType w:val="multilevel"/>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2">
    <w:abstractNumId w:val="991"/>
  </w:num>
  <w:num w:numId="1053">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4">
    <w:abstractNumId w:val="991"/>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90"/>
  <w:embedSystemFonts/>
  <w:evenAndOddHeader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Lucida Grande"/>
    <m:brkBin m:val="before"/>
    <m:brkBinSub m:val="--"/>
    <m:smallFrac m:val="false"/>
    <m:dispDef m:val="false"/>
    <m:lMargin m:val="0"/>
    <m:rMargin m:val="0"/>
    <m:wrapRight/>
    <m:intLim m:val="subSup"/>
    <m:naryLim m:val="subSup"/>
  </m:mathPr>
  <w:themeFontLang w:val="en-US"/>
  <w:decimalSymbol w:val="."/>
  <w:listSeparator w:val=","/>
  <w:mirrorMargins/>
</w:settings>
</file>

<file path=word/styles.xml><?xml version="1.0" encoding="utf-8"?>
<w:styles xmlns:r="http://schemas.openxmlformats.org/officeDocument/2006/relationships" xmlns:w="http://schemas.openxmlformats.org/wordprocessingml/2006/main">
  <w:docDefaults>
    <w:rPrDefault>
      <w:rPr>
        <w:rFonts w:ascii="Century Gothic" w:cs="Arial" w:eastAsia="Arial" w:hAnsi="Century Gothic"/>
        <w:lang w:bidi="ar-SA" w:eastAsia="en-US" w:val="en-US"/>
        <w:color w:val="000000"/>
        <w:spacing w:val="5"/>
        <w:sz w:val="18"/>
      </w:rPr>
    </w:rPrDefault>
    <w:pPrDefault/>
  </w:docDefaults>
  <w:style w:customStyle="1" w:styleId="TitleHeadnoteDefaultFontProperties" w:type="paragraph">
    <w:name w:val="Title Headnote Default Font Properties"/>
    <w:semiHidden/>
    <w:unhideWhenUsed/>
    <w:uiPriority w:val="99"/>
    <w:rPr>
      <w:rFonts w:ascii="Century Gothic" w:hAnsi="Century Gothic"/>
      <w:color w:val="000000"/>
      <w:spacing w:val="5"/>
      <w:sz w:val="18"/>
    </w:rPr>
  </w:style>
  <w:style w:customStyle="1" w:styleId="BodyCaseDefaultFontProperties" w:type="paragraph">
    <w:name w:val="Body Case Default Font Properties"/>
    <w:semiHidden/>
    <w:unhideWhenUsed/>
    <w:uiPriority w:val="99"/>
    <w:rPr>
      <w:rFonts w:ascii="Baskerville" w:hAnsi="Baskerville"/>
      <w:color w:themeColor="text1" w:val="000000"/>
      <w:spacing w:val="5"/>
      <w:sz w:val="18"/>
    </w:rPr>
  </w:style>
  <w:style w:customStyle="1" w:styleId="MonospaceDefaultFontProperties" w:type="paragraph">
    <w:name w:val="Monospace Default Font Properties"/>
    <w:semiHidden/>
    <w:unhideWhenUsed/>
    <w:semiHidden/>
    <w:uiPriority w:val="99"/>
    <w:rPr>
      <w:sz w:val="16"/>
      <w:rFonts w:ascii="Courier New" w:cs="Courier New" w:hAnsi="Courier New"/>
      <w:spacing w:val="5"/>
      <w:sz w:val="16"/>
    </w:rPr>
  </w:style>
  <w:style w:styleId="BodyTextLayout" w:type="paragraph">
    <w:name w:val="Body Text Layout"/>
    <w:basedOn w:val="BodyCaseDefaultFontProperties"/>
    <w:semiHidden/>
    <w:unhideWhenUsed/>
    <w:uiPriority w:val="99"/>
    <w:pPr>
      <w:spacing w:before="160" w:line="276" w:lineRule="auto"/>
      <w:ind w:right="2160"/>
    </w:pPr>
  </w:style>
  <w:style w:customStyle="1" w:styleId="HeadnoteTextLayout" w:type="paragraph">
    <w:name w:val="Headnote Text Layout"/>
    <w:uiPriority w:val="59"/>
    <w:basedOn w:val="TitleHeadnoteDefaultFontProperties"/>
    <w:semiHidden/>
    <w:unhideWhenUsed/>
    <w:uiPriority w:val="99"/>
    <w:pPr>
      <w:spacing w:before="160" w:line="276" w:lineRule="auto"/>
      <w:ind w:right="2880"/>
    </w:pPr>
  </w:style>
  <w:style w:customStyle="1" w:styleId="HeadnoteText" w:type="paragraph">
    <w:name w:val="Headnote Text"/>
    <w:uiPriority w:val="59"/>
    <w:basedOn w:val="HeadnoteTextLayout"/>
    <w:qFormat/>
    <w:uiPriority w:val="0"/>
  </w:style>
  <w:style w:customStyle="1" w:default="1" w:styleId="BodyText" w:type="paragraph">
    <w:name w:val="Body Text"/>
    <w:basedOn w:val="BodyTextLayout"/>
    <w:qFormat/>
    <w:uiPriority w:val="0"/>
  </w:style>
  <w:style w:customStyle="1" w:styleId="FirstParagraph" w:type="paragraph">
    <w:name w:val="First Paragraph"/>
    <w:basedOn w:val="BodyTextLayout"/>
    <w:semiHidden/>
    <w:unhideWhenUsed/>
    <w:uiPriority w:val="99"/>
  </w:style>
  <w:style w:styleId="Normal" w:type="paragraph">
    <w:name w:val="Normal"/>
    <w:basedOn w:val="BodyTextLayout"/>
    <w:semiHidden/>
    <w:unhideWhenUsed/>
    <w:uiPriority w:val="99"/>
  </w:style>
  <w:style w:customStyle="1" w:styleId="Compact" w:type="paragraph">
    <w:name w:val="Compact"/>
    <w:hidden/>
  </w:style>
  <w:style w:customStyle="1" w:styleId="CaseHeader" w:type="paragraph">
    <w:name w:val="Case Header"/>
    <w:basedOn w:val="CaseBody"/>
    <w:uiPriority w:val="8"/>
    <w:qFormat/>
    <w:pPr>
      <w:keepNext/>
      <w:keepLines/>
      <w:suppressAutoHyphens/>
      <w:contextualSpacing/>
      <w:jc w:val="center"/>
    </w:pPr>
    <w:rPr>
      <w:b w:val="0"/>
      <w:bCs w:val="0"/>
      <w:sz w:val="28"/>
    </w:rPr>
  </w:style>
  <w:style w:customStyle="1" w:styleId="CaseBody" w:type="paragraph">
    <w:name w:val="Case Body"/>
    <w:basedOn w:val="BodyText"/>
    <w:uiPriority w:val="8"/>
    <w:qFormat/>
  </w:style>
  <w:style w:styleId="Heading1" w:type="paragraph">
    <w:name w:val="heading 1"/>
    <w:basedOn w:val="HStruct05Title"/>
    <w:next w:val="BodyText"/>
    <w:uiPriority w:val="2"/>
    <w:qFormat/>
    <w:pPr>
      <w:spacing w:after="340" w:before="680"/>
      <w:outlineLvl w:val="0"/>
      <w:ind w:right="2880"/>
    </w:pPr>
    <w:rPr>
      <w:color w:val="000000"/>
      <w:kern w:val="24"/>
      <w:sz w:val="36"/>
    </w:rPr>
  </w:style>
  <w:style w:styleId="Heading2" w:type="paragraph">
    <w:name w:val="heading 2"/>
    <w:basedOn w:val="Heading1"/>
    <w:next w:val="BodyText"/>
    <w:uiPriority w:val="2"/>
    <w:qFormat/>
    <w:pPr>
      <w:spacing w:after="280" w:before="560"/>
      <w:outlineLvl w:val="1"/>
    </w:pPr>
    <w:rPr>
      <w:sz w:val="28"/>
    </w:rPr>
  </w:style>
  <w:style w:styleId="Heading3" w:type="paragraph">
    <w:name w:val="heading 3"/>
    <w:basedOn w:val="Heading2"/>
    <w:next w:val="BodyText"/>
    <w:uiPriority w:val="2"/>
    <w:qFormat/>
    <w:pPr>
      <w:spacing w:after="220" w:before="440"/>
      <w:outlineLvl w:val="2"/>
    </w:pPr>
    <w:rPr>
      <w:b w:val="0"/>
      <w:bCs w:val="0"/>
      <w:sz w:val="28"/>
    </w:rPr>
  </w:style>
  <w:style w:styleId="Heading4" w:type="paragraph">
    <w:name w:val="heading 4"/>
    <w:basedOn w:val="Heading3"/>
    <w:next w:val="BodyText"/>
    <w:uiPriority w:val="2"/>
    <w:qFormat/>
    <w:pPr>
      <w:spacing w:after="180" w:before="320"/>
      <w:outlineLvl w:val="3"/>
    </w:pPr>
    <w:rPr>
      <w:sz w:val="24"/>
    </w:rPr>
  </w:style>
  <w:style w:styleId="Heading5" w:type="paragraph">
    <w:name w:val="heading 5"/>
    <w:basedOn w:val="Heading4"/>
    <w:next w:val="BodyText"/>
    <w:uiPriority w:val="2"/>
    <w:qFormat/>
    <w:pPr>
      <w:spacing w:after="180" w:before="260"/>
      <w:outlineLvl w:val="4"/>
    </w:pPr>
    <w:rPr>
      <w:sz w:val="20"/>
    </w:rPr>
  </w:style>
  <w:style w:styleId="Heading6" w:type="paragraph">
    <w:name w:val="heading 6"/>
    <w:basedOn w:val="Heading5"/>
    <w:next w:val="BodyText"/>
    <w:uiPriority w:val="9"/>
    <w:unhideWhenUsed/>
    <w:uiPriority w:val="2"/>
    <w:qFormat/>
    <w:pPr>
      <w:outlineLvl w:val="5"/>
    </w:pPr>
    <w:rPr>
      <w:b w:val="0"/>
      <w:bCs w:val="0"/>
      <w:u/>
      <w:sz w:val="18"/>
    </w:rPr>
  </w:style>
  <w:style w:styleId="Heading7" w:type="paragraph">
    <w:name w:val="heading 7"/>
    <w:basedOn w:val="Heading6"/>
    <w:next w:val="BodyText"/>
    <w:uiPriority w:val="9"/>
    <w:unhideWhenUsed/>
    <w:uiPriority w:val="2"/>
    <w:qFormat/>
    <w:pPr>
      <w:outlineLvl w:val="6"/>
    </w:pPr>
    <w:rPr>
      <w:sz w:val="16"/>
    </w:rPr>
  </w:style>
  <w:style w:styleId="Heading8" w:type="paragraph">
    <w:name w:val="heading 8"/>
    <w:basedOn w:val="Heading7"/>
    <w:next w:val="BodyText"/>
    <w:uiPriority w:val="9"/>
    <w:unhideWhenUsed/>
    <w:uiPriority w:val="2"/>
    <w:qFormat/>
    <w:pPr>
      <w:outlineLvl w:val="7"/>
    </w:pPr>
    <w:rPr>
      <w:u/>
      <w:sz w:val="16"/>
    </w:rPr>
  </w:style>
  <w:style w:styleId="Heading9" w:type="paragraph">
    <w:name w:val="heading 9"/>
    <w:basedOn w:val="Heading8"/>
    <w:next w:val="BodyText"/>
    <w:uiPriority w:val="9"/>
    <w:unhideWhenUsed/>
    <w:uiPriority w:val="2"/>
    <w:qFormat/>
    <w:pPr>
      <w:outlineLvl w:val="8"/>
    </w:pPr>
    <w:rPr>
      <w:u/>
      <w:sz w:val="12"/>
    </w:rPr>
  </w:style>
  <w:style w:customStyle="1" w:styleId="Subheading1" w:type="paragraph">
    <w:name w:val="Subheading 1"/>
    <w:basedOn w:val="Heading1"/>
    <w:next w:val="BodyText"/>
    <w:uiPriority w:val="3"/>
    <w:qFormat/>
    <w:pPr>
      <w:spacing w:before="0"/>
      <w:spacing w:after="180" w:before="320"/>
      <w:outlineLvl w:val="2"/>
    </w:pPr>
    <w:rPr>
      <w:b w:val="0"/>
      <w:bCs w:val="0"/>
      <w:i/>
      <w:iCs/>
      <w:color w:val="5A771D"/>
    </w:rPr>
  </w:style>
  <w:style w:customStyle="1" w:styleId="Subheading2" w:type="paragraph">
    <w:name w:val="Subheading 2"/>
    <w:basedOn w:val="Heading2"/>
    <w:next w:val="BodyText"/>
    <w:uiPriority w:val="3"/>
    <w:qFormat/>
    <w:rPr>
      <w:b w:val="0"/>
      <w:bCs w:val="0"/>
      <w:i/>
      <w:iCs/>
      <w:color w:val="5A771D"/>
      <w:u w:val="none"/>
    </w:rPr>
  </w:style>
  <w:style w:customStyle="1" w:styleId="Subheading3" w:type="paragraph">
    <w:name w:val="Subheading 3"/>
    <w:basedOn w:val="Heading3"/>
    <w:next w:val="BodyText"/>
    <w:uiPriority w:val="3"/>
    <w:qFormat/>
    <w:rPr>
      <w:b w:val="0"/>
      <w:bCs w:val="0"/>
      <w:i/>
      <w:iCs/>
      <w:color w:val="5A771D"/>
      <w:u w:val="none"/>
    </w:rPr>
  </w:style>
  <w:style w:customStyle="1" w:styleId="Subheading4" w:type="paragraph">
    <w:name w:val="Subheading 4"/>
    <w:basedOn w:val="Heading4"/>
    <w:next w:val="BodyText"/>
    <w:uiPriority w:val="3"/>
    <w:qFormat/>
    <w:rPr>
      <w:b w:val="0"/>
      <w:bCs w:val="0"/>
      <w:i/>
      <w:iCs/>
      <w:color w:val="5A771D"/>
      <w:u w:val="none"/>
    </w:rPr>
  </w:style>
  <w:style w:customStyle="1" w:styleId="Subheading5" w:type="paragraph">
    <w:name w:val="Subheading 5"/>
    <w:basedOn w:val="Heading5"/>
    <w:next w:val="BodyText"/>
    <w:uiPriority w:val="3"/>
    <w:qFormat/>
    <w:rPr>
      <w:b w:val="0"/>
      <w:bCs w:val="0"/>
      <w:i/>
      <w:iCs/>
      <w:color w:val="5A771D"/>
      <w:u w:val="none"/>
    </w:rPr>
  </w:style>
  <w:style w:customStyle="1" w:styleId="Subheading6" w:type="paragraph">
    <w:name w:val="Subheading 6"/>
    <w:basedOn w:val="Heading6"/>
    <w:next w:val="BodyText"/>
    <w:uiPriority w:val="3"/>
    <w:qFormat/>
    <w:rPr>
      <w:b w:val="0"/>
      <w:bCs w:val="0"/>
      <w:i/>
      <w:iCs/>
      <w:color w:val="5A771D"/>
      <w:u w:val="none"/>
    </w:rPr>
  </w:style>
  <w:style w:customStyle="1" w:styleId="Subheading7" w:type="paragraph">
    <w:name w:val="Subheading 7"/>
    <w:basedOn w:val="Heading7"/>
    <w:next w:val="BodyText"/>
    <w:uiPriority w:val="3"/>
    <w:qFormat/>
    <w:rPr>
      <w:b w:val="0"/>
      <w:bCs w:val="0"/>
      <w:i/>
      <w:iCs/>
      <w:color w:val="5A771D"/>
      <w:u w:val="none"/>
    </w:rPr>
  </w:style>
  <w:style w:customStyle="1" w:styleId="Subheading8" w:type="paragraph">
    <w:name w:val="Subheading 8"/>
    <w:basedOn w:val="Heading8"/>
    <w:next w:val="BodyText"/>
    <w:uiPriority w:val="3"/>
    <w:qFormat/>
    <w:rPr>
      <w:b w:val="0"/>
      <w:bCs w:val="0"/>
      <w:i/>
      <w:iCs/>
      <w:color w:val="5A771D"/>
      <w:u w:val="none"/>
    </w:rPr>
  </w:style>
  <w:style w:customStyle="1" w:styleId="Subheading9" w:type="paragraph">
    <w:name w:val="Subheading 9"/>
    <w:basedOn w:val="Heading9"/>
    <w:next w:val="BodyText"/>
    <w:uiPriority w:val="3"/>
    <w:qFormat/>
    <w:rPr>
      <w:b w:val="0"/>
      <w:bCs w:val="0"/>
      <w:i/>
      <w:iCs/>
      <w:color w:val="5A771D"/>
      <w:u w:val="none"/>
    </w:rPr>
  </w:style>
  <w:style w:customStyle="1" w:styleId="HStructTitleBase" w:type="paragraph">
    <w:name w:val="H Struct Title Base"/>
    <w:basedOn w:val="TitleHeadnoteDefaultFontProperties"/>
    <w:uiPriority w:val="99"/>
    <w:semiHidden/>
    <w:pPr>
      <w:spacing w:after="240" w:line="204" w:lineRule="auto"/>
    </w:pPr>
    <w:rPr>
      <w:b/>
      <w:bCs/>
      <w:color w:val="1B418C"/>
      <w:kern w:val="24"/>
    </w:rPr>
  </w:style>
  <w:style w:customStyle="1" w:styleId="HStruct01Title" w:type="paragraph">
    <w:name w:val="H Struct 01 Title"/>
    <w:basedOn w:val="HStructTitleBase"/>
    <w:next w:val="HStruct01Subtitle"/>
    <w:uiPriority w:val="99"/>
    <w:semiHidden/>
    <w:rPr>
      <w:spacing w:val="-6"/>
      <w:sz w:val="72"/>
    </w:rPr>
  </w:style>
  <w:style w:customStyle="1" w:styleId="HStruct02Title" w:type="paragraph">
    <w:name w:val="H Struct 02 Title"/>
    <w:basedOn w:val="HStructTitleBase"/>
    <w:uiPriority w:val="59"/>
    <w:semiHidden/>
    <w:rPr>
      <w:spacing w:val="-5"/>
      <w:sz w:val="52"/>
    </w:rPr>
  </w:style>
  <w:style w:customStyle="1" w:styleId="HStruct03Title" w:type="paragraph">
    <w:name w:val="H Struct 03 Title"/>
    <w:basedOn w:val="HStructTitleBase"/>
    <w:uiPriority w:val="59"/>
    <w:semiHidden/>
    <w:rPr>
      <w:sz w:val="44"/>
    </w:rPr>
  </w:style>
  <w:style w:customStyle="1" w:styleId="HStruct04Title" w:type="paragraph">
    <w:name w:val="H Struct 04 Title"/>
    <w:basedOn w:val="HStructTitleBase"/>
    <w:uiPriority w:val="99"/>
    <w:semiHidden/>
    <w:rPr>
      <w:sz w:val="36"/>
    </w:rPr>
  </w:style>
  <w:style w:customStyle="1" w:styleId="HStruct05Title" w:type="paragraph">
    <w:name w:val="H Struct 05 Title"/>
    <w:basedOn w:val="HStructTitleBase"/>
    <w:uiPriority w:val="59"/>
    <w:semiHidden/>
    <w:rPr>
      <w:sz w:val="28"/>
    </w:rPr>
  </w:style>
  <w:style w:customStyle="1" w:styleId="HStructSubtitleBase" w:type="paragraph">
    <w:name w:val="H Struct Subtitle Base"/>
    <w:basedOn w:val="HStructTitleBase"/>
    <w:uiPriority w:val="59"/>
    <w:semiHidden/>
    <w:rPr>
      <w:b w:val="0"/>
      <w:bCs w:val="0"/>
      <w:color w:val="5A771D"/>
    </w:rPr>
  </w:style>
  <w:style w:customStyle="1" w:styleId="HStruct01Subtitle" w:type="paragraph">
    <w:name w:val="H Struct 01 Subtitle"/>
    <w:basedOn w:val="HStructSubtitleBase"/>
    <w:uiPriority w:val="59"/>
    <w:semiHidden/>
    <w:rPr>
      <w:sz w:val="36"/>
    </w:rPr>
  </w:style>
  <w:style w:customStyle="1" w:styleId="HStruct02Subtitle" w:type="paragraph">
    <w:name w:val="H Struct 02 Subtitle"/>
    <w:basedOn w:val="HStructSubtitleBase"/>
    <w:uiPriority w:val="59"/>
    <w:semiHidden/>
    <w:rPr>
      <w:sz w:val="26"/>
    </w:rPr>
  </w:style>
  <w:style w:customStyle="1" w:styleId="HStruct03Subtitle" w:type="paragraph">
    <w:name w:val="H Struct 03 Subtitle"/>
    <w:basedOn w:val="HStructSubtitleBase"/>
    <w:uiPriority w:val="59"/>
    <w:semiHidden/>
    <w:rPr>
      <w:sz w:val="24"/>
    </w:rPr>
  </w:style>
  <w:style w:customStyle="1" w:styleId="HStruct04Subtitle" w:type="paragraph">
    <w:name w:val="H Struct 04 Subtitle"/>
    <w:basedOn w:val="HStructSubtitleBase"/>
    <w:uiPriority w:val="59"/>
    <w:semiHidden/>
    <w:rPr>
      <w:sz w:val="22"/>
    </w:rPr>
  </w:style>
  <w:style w:customStyle="1" w:styleId="HStruct05Subtitle" w:type="paragraph">
    <w:name w:val="H Struct 05 Subtitle"/>
    <w:basedOn w:val="HStructSubtitleBase"/>
    <w:uiPriority w:val="59"/>
    <w:semiHidden/>
    <w:rPr>
      <w:sz w:val="20"/>
    </w:rPr>
  </w:style>
  <w:style w:customStyle="1" w:styleId="PostHeadlineShortBlurb" w:type="paragraph">
    <w:name w:val="Post Headline Short Blurb"/>
    <w:uiPriority w:val="59"/>
    <w:basedOn w:val="HeadnoteTextLayout"/>
    <w:semiHidden/>
    <w:pPr>
      <w:spacing w:line="276" w:lineRule="auto"/>
    </w:pPr>
    <w:rPr>
      <w:sz w:val="28"/>
    </w:rPr>
  </w:style>
  <w:style w:customStyle="1" w:styleId="HeadnoteTableText" w:type="paragraph">
    <w:name w:val="Headnote Table Text"/>
    <w:basedOn w:val="TitleHeadnoteDefaultFontProperties"/>
    <w:uiPriority w:val="40"/>
    <w:qFormat/>
  </w:style>
  <w:style w:customStyle="1" w:styleId="TableText" w:type="paragraph">
    <w:name w:val="Table Text"/>
    <w:basedOn w:val="BodyCaseDefaultFontProperties"/>
    <w:uiPriority w:val="40"/>
    <w:qFormat/>
  </w:style>
  <w:style w:customStyle="1" w:styleId="CasebookTitle" w:type="paragraph">
    <w:name w:val="Casebook Title"/>
    <w:basedOn w:val="HStruct01Title"/>
    <w:next w:val="CasebookSubtitle"/>
    <w:uiPriority w:val="40"/>
    <w:qFormat/>
    <w:pPr>
      <w:spacing w:before="2880"/>
      <w:jc w:val="right"/>
    </w:pPr>
  </w:style>
  <w:style w:customStyle="1" w:styleId="CasebookSubtitle" w:type="paragraph">
    <w:name w:val="Casebook Subtitle"/>
    <w:basedOn w:val="HStruct01Subtitle"/>
    <w:uiPriority w:val="40"/>
    <w:qFormat/>
    <w:pPr>
      <w:spacing w:after="0" w:before="480"/>
      <w:ind w:left="2880"/>
    </w:pPr>
  </w:style>
  <w:style w:customStyle="1" w:styleId="CasebookHeadnoteTitle" w:type="paragraph">
    <w:name w:val="Casebook Headnote Title"/>
    <w:basedOn w:val="HStruct02Title"/>
    <w:uiPriority w:val="40"/>
    <w:qFormat/>
    <w:pPr>
      <w:pageBreakBefore/>
    </w:pPr>
  </w:style>
  <w:style w:customStyle="1" w:styleId="CasebookHeadnote" w:type="paragraph">
    <w:name w:val="Casebook Headnote"/>
    <w:basedOn w:val="HeadnoteTextLayout"/>
    <w:uiPriority w:val="40"/>
    <w:qFormat/>
  </w:style>
  <w:style w:customStyle="1" w:styleId="CasebookBlurb" w:type="paragraph">
    <w:name w:val="Casebook Blurb"/>
    <w:basedOn w:val="PostHeadlineShortBlurb"/>
    <w:uiPriority w:val="40"/>
    <w:qFormat/>
    <w:pPr>
      <w:spacing w:after="0" w:before="2540"/>
    </w:pPr>
  </w:style>
  <w:style w:customStyle="1" w:styleId="CasebookAuthor" w:type="paragraph">
    <w:name w:val="Casebook Author"/>
    <w:basedOn w:val="HStruct04Title"/>
    <w:uiPriority w:val="40"/>
    <w:qFormat/>
    <w:pPr>
      <w:jc w:val="right"/>
    </w:pPr>
    <w:rPr>
      <w:color w:val="D96955"/>
    </w:rPr>
  </w:style>
  <w:style w:customStyle="1" w:styleId="AboutPageTitle" w:type="paragraph">
    <w:name w:val="About Page Title"/>
    <w:basedOn w:val="HStruct04Title"/>
    <w:uiPriority w:val="50"/>
    <w:pPr>
      <w:color w:val="5A771D"/>
      <w:pageBreakBefore/>
      <w:spacing w:before="1920"/>
      <w:ind w:right="2160"/>
    </w:pPr>
  </w:style>
  <w:style w:customStyle="1" w:styleId="AboutPageInstructions" w:type="paragraph">
    <w:name w:val="About Page Instructions"/>
    <w:basedOn w:val="HeadnoteTextLayout"/>
    <w:uiPriority w:val="50"/>
    <w:pPr>
      <w:spacing w:after="240" w:before="240" w:line="300" w:lineRule="auto"/>
      <w:ind w:right="2160"/>
    </w:pPr>
  </w:style>
  <w:style w:customStyle="1" w:styleId="AcknowledgementsTitle" w:type="paragraph">
    <w:name w:val="Acknowledgements Title"/>
    <w:basedOn w:val="HStruct02Title"/>
    <w:uiPriority w:val="50"/>
    <w:pPr>
      <w:color w:val="8C3829"/>
      <w:pageBreakBefore/>
    </w:pPr>
  </w:style>
  <w:style w:customStyle="1" w:styleId="AcknowledgementsSubtitle" w:type="paragraph">
    <w:name w:val="Acknowledgements Subtitle"/>
    <w:basedOn w:val="HStruct05Subtitle"/>
    <w:next w:val="Credits"/>
    <w:uiPriority w:val="50"/>
    <w:pPr>
      <w:spacing w:after="480"/>
    </w:pPr>
    <w:rPr>
      <w:sz w:val="36"/>
    </w:rPr>
  </w:style>
  <w:style w:customStyle="1" w:styleId="Credits" w:type="paragraph">
    <w:uiPriority w:val="20"/>
    <w:name w:val="Credits"/>
    <w:basedOn w:val="TitleHeadnoteDefaultFontProperties"/>
    <w:qFormat/>
  </w:style>
  <w:style w:styleId="Title" w:type="paragraph">
    <w:name w:val="Title"/>
    <w:basedOn w:val="HStruct01Title"/>
    <w:uiPriority w:val="99"/>
    <w:next w:val="BodyText"/>
    <w:semiHidden/>
    <w:unhideWhenUsed/>
  </w:style>
  <w:style w:styleId="Subtitle" w:type="paragraph">
    <w:name w:val="Subtitle"/>
    <w:basedOn w:val="HStruct01Subtitle"/>
    <w:uiPriority w:val="99"/>
    <w:next w:val="BodyText"/>
    <w:semiHidden/>
    <w:unhideWhenUsed/>
  </w:style>
  <w:style w:customStyle="1" w:styleId="Author" w:type="paragraph">
    <w:name w:val="Author"/>
    <w:basedOn w:val="TitleHeadnoteDefaultFontProperties"/>
    <w:uiPriority w:val="99"/>
    <w:semiHidden/>
    <w:unhideWhenUsed/>
  </w:style>
  <w:style w:styleId="Date" w:type="paragraph">
    <w:name w:val="Date"/>
    <w:basedOn w:val="TitleHeadnoteDefaultFontProperties"/>
    <w:uiPriority w:val="99"/>
    <w:semiHidden/>
    <w:unhideWhenUsed/>
  </w:style>
  <w:style w:styleId="TOCHeading" w:type="paragraph">
    <w:name w:val="TOC Heading"/>
    <w:basedOn w:val="HStruct02Title"/>
    <w:next w:val="BodyText"/>
    <w:uiPriority w:val="39"/>
    <w:qFormat/>
    <w:pPr>
      <w:pageBreakBefore/>
    </w:pPr>
  </w:style>
  <w:style w:styleId="TOC1" w:type="paragraph">
    <w:name w:val="toc 1"/>
    <w:basedOn w:val="TitleHeadnoteDefaultFontProperties"/>
    <w:uiPriority w:val="39"/>
    <w:semiHidden/>
    <w:unhideWhenUsed/>
    <w:pPr>
      <w:tabs>
        <w:tab w:pos="720" w:val="left"/>
        <w:tab w:pos="7200" w:val="right"/>
      </w:tabs>
      <w:spacing w:before="480" w:line="192" w:lineRule="auto"/>
      <w:ind w:hanging="720" w:left="720" w:right="2160"/>
    </w:pPr>
    <w:rPr>
      <w:bCs/>
      <w:noProof/>
      <w:spacing w:val="-7"/>
      <w:sz w:val="28"/>
    </w:rPr>
  </w:style>
  <w:style w:styleId="TOC2" w:type="paragraph">
    <w:name w:val="toc 2"/>
    <w:basedOn w:val="TOC1"/>
    <w:uiPriority w:val="39"/>
    <w:semiHidden/>
    <w:unhideWhenUsed/>
    <w:pPr>
      <w:tabs>
        <w:tab w:pos="720" w:val="clear"/>
        <w:tab w:pos="1080" w:val="left"/>
        <w:tab w:leader="dot" w:pos="7200" w:val="right"/>
      </w:tabs>
      <w:spacing w:after="0" w:before="240" w:line="252" w:lineRule="auto"/>
      <w:ind w:hanging="1080" w:left="1080"/>
    </w:pPr>
    <w:rPr>
      <w:bCs w:val="0"/>
      <w:sz w:val="22"/>
    </w:rPr>
  </w:style>
  <w:style w:styleId="TOC3" w:type="paragraph">
    <w:name w:val="toc 3"/>
    <w:basedOn w:val="TOC1"/>
    <w:uiPriority w:val="39"/>
    <w:semiHidden/>
    <w:unhideWhenUsed/>
    <w:pPr>
      <w:tabs>
        <w:tab w:pos="720" w:val="clear"/>
        <w:tab w:pos="1440" w:val="left"/>
        <w:tab w:leader="dot" w:pos="7200" w:val="right"/>
      </w:tabs>
      <w:spacing w:after="60" w:before="120" w:line="240" w:lineRule="auto"/>
      <w:ind w:hanging="1440" w:left="1440"/>
    </w:pPr>
    <w:rPr>
      <w:bCs w:val="0"/>
      <w:spacing w:val="0"/>
      <w:sz w:val="18"/>
    </w:rPr>
  </w:style>
  <w:style w:styleId="TOC4" w:type="paragraph">
    <w:name w:val="toc 4"/>
    <w:basedOn w:val="TOC3"/>
    <w:uiPriority w:val="39"/>
    <w:semiHidden/>
    <w:unhideWhenUsed/>
    <w:pPr>
      <w:tabs>
        <w:tab w:pos="1440" w:val="clear"/>
        <w:tab w:pos="1620" w:val="left"/>
        <w:tab w:leader="dot" w:pos="7200" w:val="right"/>
      </w:tabs>
      <w:ind w:hanging="1620" w:left="1620"/>
    </w:pPr>
  </w:style>
  <w:style w:styleId="TOC5" w:type="paragraph">
    <w:name w:val="toc 5"/>
    <w:basedOn w:val="TOC4"/>
    <w:uiPriority w:val="39"/>
    <w:semiHidden/>
    <w:unhideWhenUsed/>
    <w:pPr>
      <w:tabs>
        <w:tab w:pos="1620" w:val="clear"/>
        <w:tab w:pos="1800" w:val="left"/>
        <w:tab w:leader="dot" w:pos="7200" w:val="right"/>
      </w:tabs>
    </w:pPr>
    <w:ind w:hanging="1800" w:left="1800"/>
  </w:style>
  <w:style w:styleId="TOC6" w:type="paragraph">
    <w:name w:val="toc 6"/>
    <w:basedOn w:val="TOC5"/>
    <w:uiPriority w:val="39"/>
    <w:semiHidden/>
    <w:unhideWhenUsed/>
    <w:pPr>
      <w:tabs>
        <w:tab w:pos="1800" w:val="clear"/>
        <w:tab w:pos="1980" w:val="left"/>
        <w:tab w:leader="dot" w:pos="7200" w:val="right"/>
      </w:tabs>
      <w:ind w:hanging="1980" w:left="1980"/>
    </w:pPr>
  </w:style>
  <w:style w:styleId="TOC7" w:type="paragraph">
    <w:name w:val="toc 7"/>
    <w:basedOn w:val="TOC6"/>
    <w:uiPriority w:val="39"/>
    <w:semiHidden/>
    <w:unhideWhenUsed/>
    <w:pPr>
      <w:tabs>
        <w:tab w:pos="1980" w:val="clear"/>
        <w:tab w:pos="2160" w:val="left"/>
        <w:tab w:leader="dot" w:pos="7200" w:val="right"/>
      </w:tabs>
      <w:ind w:hanging="2160" w:left="2160"/>
    </w:pPr>
  </w:style>
  <w:style w:styleId="TOC8" w:type="paragraph">
    <w:name w:val="toc 8"/>
    <w:basedOn w:val="TOC7"/>
    <w:uiPriority w:val="39"/>
    <w:semiHidden/>
    <w:unhideWhenUsed/>
    <w:pPr>
      <w:tabs>
        <w:tab w:pos="2160" w:val="clear"/>
        <w:tab w:pos="2340" w:val="left"/>
        <w:tab w:leader="dot" w:pos="7200" w:val="right"/>
      </w:tabs>
      <w:ind w:hanging="2340" w:left="2340"/>
    </w:pPr>
  </w:style>
  <w:style w:styleId="TOC9" w:type="paragraph">
    <w:name w:val="toc 9"/>
    <w:basedOn w:val="TOC8"/>
    <w:uiPriority w:val="39"/>
    <w:semiHidden/>
    <w:unhideWhenUsed/>
    <w:pPr>
      <w:tabs>
        <w:tab w:pos="2340" w:val="clear"/>
        <w:tab w:pos="2520" w:val="left"/>
        <w:tab w:leader="dot" w:pos="7200" w:val="right"/>
      </w:tabs>
      <w:ind w:hanging="2520" w:left="2520"/>
    </w:pPr>
  </w:style>
  <w:style w:customStyle="1" w:styleId="Abstract" w:type="paragraph">
    <w:name w:val="Abstract"/>
    <w:basedOn w:val="BodyTextLayout"/>
    <w:semiHidden/>
    <w:unhideWhenUsed/>
    <w:pPr>
      <w:keepLines/>
    </w:pPr>
  </w:style>
  <w:style w:styleId="Bibliography" w:type="paragraph">
    <w:name w:val="Bibliography"/>
    <w:basedOn w:val="HeadnoteTextLayout"/>
    <w:semiHidden/>
    <w:unhideWhenUsed/>
  </w:style>
  <w:style w:styleId="Quote" w:type="paragraph">
    <w:name w:val="Quote"/>
    <w:basedOn w:val="BodyTextLayout"/>
    <w:semiHidden/>
    <w:unhideWhenUsed/>
    <w:pPr>
      <w:spacing w:after="200" w:before="200"/>
      <w:ind w:left="360"/>
    </w:pPr>
    <w:rPr>
      <w:i/>
      <w:iCs/>
    </w:rPr>
  </w:style>
  <w:style w:styleId="BlockText" w:type="paragraph">
    <w:name w:val="Block Text"/>
    <w:basedOn w:val="BodyTextLayout"/>
    <w:next w:val="BodyText"/>
    <w:uiPriority w:val="5"/>
    <w:qFormat/>
    <w:pPr>
      <w:spacing w:after="240" w:before="240"/>
      <w:ind w:left="360" w:right="2520"/>
    </w:pPr>
    <w:pPr>
      <w:shd w:color="5A771D" w:fill="auto" w:val="clear"/>
    </w:pPr>
  </w:style>
  <w:style w:customStyle="1" w:styleId="SourceCode" w:type="paragraph">
    <w:name w:val="Source Code"/>
    <w:basedOn w:val="MonospaceDefaultFontProperties"/>
    <w:uiPriority w:val="5"/>
    <w:qFormat/>
    <w:pPr>
      <w:pBdr>
        <w:top w:color="E0EBFF" w:space="6" w:sz="48" w:val="single"/>
        <w:left w:color="E0EBFF" w:space="0" w:sz="48" w:val="single"/>
        <w:bottom w:color="E0EBFF" w:space="6" w:sz="48" w:val="single"/>
      </w:pBdr>
      <w:shd w:color="auto" w:fill="E0EBFF" w:val="clear"/>
      <w:ind w:left="360"/>
    </w:pPr>
    <w:rPr>
      <w:sz w:val="14"/>
    </w:rPr>
  </w:style>
  <w:style w:customStyle="1" w:styleId="DefinitionTerm" w:type="paragraph">
    <w:name w:val="Definition Term"/>
    <w:basedOn w:val="Definition"/>
    <w:next w:val="Definition"/>
    <w:uiPriority w:val="20"/>
    <w:qFormat/>
    <w:pPr>
      <w:spacing w:before="320"/>
    </w:pPr>
    <w:rPr>
      <w:b/>
      <w:bCs/>
    </w:rPr>
  </w:style>
  <w:style w:customStyle="1" w:styleId="Definition" w:type="paragraph">
    <w:name w:val="Definition"/>
    <w:basedOn w:val="HeadnoteTextLayout"/>
    <w:uiPriority w:val="20"/>
    <w:qFormat/>
    <w:pPr>
      <w:spacing w:after="160"/>
    </w:pPr>
  </w:style>
  <w:style w:styleId="Caption" w:type="paragraph">
    <w:name w:val="caption"/>
    <w:basedOn w:val="HeadnoteTextLayout"/>
    <w:uiPriority w:val="30"/>
    <w:rPr>
      <w:keepNext/>
      <w:sz w:val="16"/>
      <w:i/>
      <w:iCs/>
    </w:rPr>
  </w:style>
  <w:style w:customStyle="1" w:styleId="TableCaption" w:type="paragraph">
    <w:name w:val="Table Caption"/>
    <w:basedOn w:val="Caption"/>
    <w:semiHidden/>
    <w:unhideWhenUsed/>
    <w:uiPriority w:val="35"/>
  </w:style>
  <w:style w:customStyle="1" w:styleId="ImageCaption" w:type="paragraph">
    <w:name w:val="Image Caption"/>
    <w:basedOn w:val="Caption"/>
    <w:uiPriority w:val="35"/>
    <w:rPr>
      <w:rFonts w:ascii="Baskerville" w:hAnsi="Baskerville"/>
    </w:rPr>
  </w:style>
  <w:style w:customStyle="1" w:styleId="Figure" w:type="paragraph">
    <w:name w:val="Figure"/>
    <w:basedOn w:val="TitleHeadnoteDefaultFontProperties"/>
    <w:uiPriority w:val="35"/>
    <w:semiHidden/>
    <w:unhideWhenUsed/>
    <w:rPr>
      <w:i/>
      <w:iCs/>
      <w:keepNext/>
    </w:rPr>
  </w:style>
  <w:style w:customStyle="1" w:styleId="CaptionedFigure" w:type="paragraph">
    <w:name w:val="Captioned Figure"/>
    <w:basedOn w:val="Figure"/>
    <w:uiPriority w:val="35"/>
    <w:semiHidden/>
    <w:unhideWhenUsed/>
  </w:style>
  <w:style w:customStyle="1" w:styleId="Image" w:type="paragraph">
    <w:name w:val="Image"/>
    <w:uiPriority w:val="65"/>
    <w:pPr>
      <w:framePr w:hAnchor="text" w:vAnchor="text" w:w="11520" w:wrap="notBeside" w:xAlign="center" w:y="1"/>
      <w:jc w:val="center"/>
    </w:pPr>
    <w:rPr>
      <w:noProof/>
    </w:rPr>
  </w:style>
  <w:style w:customStyle="1" w:styleId="ImageCenteredLarge" w:type="paragraph">
    <w:name w:val="Image Centered Large"/>
    <w:basedOn w:val="Image"/>
    <w:uiPriority w:val="65"/>
  </w:style>
  <w:style w:customStyle="1" w:styleId="ImageLeftMedium" w:type="paragraph">
    <w:name w:val="Image Left Medium"/>
    <w:basedOn w:val="Image"/>
    <w:uiPriority w:val="65"/>
  </w:style>
  <w:style w:customStyle="1" w:styleId="ImageRightMedium" w:type="paragraph">
    <w:name w:val="Image Right Medium"/>
    <w:basedOn w:val="Image"/>
    <w:uiPriority w:val="65"/>
  </w:style>
  <w:style w:customStyle="1" w:styleId="ImageCenteredMedium" w:type="paragraph">
    <w:name w:val="Image Centered Medium"/>
    <w:basedOn w:val="Image"/>
    <w:uiPriority w:val="65"/>
  </w:style>
  <w:style w:customStyle="1" w:styleId="ChapterNumber" w:type="paragraph">
    <w:name w:val="Chapter Number"/>
    <w:basedOn w:val="ChapterTitle"/>
    <w:next w:val="ChapterTitle"/>
    <w:uiPriority w:val="11"/>
    <w:qFormat/>
    <w:pPr>
      <w:keepNext/>
      <w:keepLines/>
      <w:framePr w:anchorLock="1" w:h="1450" w:hAnchor="margin" w:vAnchor="text" w:w="1440" w:wrap="around" w:xAlign="right"/>
      <w:jc w:val="right"/>
      <w:ind w:left="0" w:right="0"/>
    </w:pPr>
    <w:rPr>
      <w:spacing w:val="-12"/>
      <w:color w:val="D96955"/>
      <w:sz w:val="72"/>
    </w:rPr>
  </w:style>
  <w:style w:customStyle="1" w:styleId="ChapterTitle" w:type="paragraph">
    <w:name w:val="Chapter Title"/>
    <w:basedOn w:val="HStruct02Title"/>
    <w:next w:val="ChapterSubtitle"/>
    <w:uiPriority w:val="11"/>
    <w:qFormat/>
    <w:pPr>
      <w:keepNext/>
      <w:keepLines/>
      <w:ind w:right="2160"/>
    </w:pPr>
    <w:rPr>
      <w:spacing w:val="-5"/>
    </w:rPr>
  </w:style>
  <w:style w:customStyle="1" w:styleId="ChapterSubtitle" w:type="paragraph">
    <w:name w:val="Chapter Subtitle"/>
    <w:basedOn w:val="HStruct02Subtitle"/>
    <w:next w:val="ChapterHeadnote"/>
    <w:uiPriority w:val="11"/>
    <w:qFormat/>
    <w:pPr>
      <w:keepNext/>
      <w:keepLines/>
      <w:ind w:right="2160"/>
    </w:pPr>
  </w:style>
  <w:style w:customStyle="1" w:styleId="ChapterHeadnote" w:type="paragraph">
    <w:name w:val="Chapter Headnote"/>
    <w:basedOn w:val="HeadnoteTextLayout"/>
    <w:next w:val="ChapterHeadnote"/>
    <w:uiPriority w:val="11"/>
    <w:qFormat/>
    <w:pPr>
      <w:ind w:right="2160"/>
    </w:pPr>
  </w:style>
  <w:style w:customStyle="1" w:styleId="SectionNumber" w:type="paragraph">
    <w:name w:val="Section Number"/>
    <w:basedOn w:val="SectionTitle"/>
    <w:next w:val="SectionTitle"/>
    <w:uiPriority w:val="11"/>
    <w:qFormat/>
    <w:pPr>
      <w:keepNext/>
      <w:keepLines/>
      <w:framePr w:anchorLock="1" w:h="1450" w:hAnchor="margin" w:vAnchor="text" w:w="1440" w:wrap="around" w:xAlign="right"/>
      <w:jc w:val="right"/>
      <w:ind w:left="0" w:right="0"/>
    </w:pPr>
    <w:rPr>
      <w:color w:val="D96955"/>
    </w:rPr>
  </w:style>
  <w:style w:customStyle="1" w:styleId="SectionTitle" w:type="paragraph">
    <w:name w:val="Section Title"/>
    <w:basedOn w:val="HStruct03Title"/>
    <w:next w:val="SectionSubtitle"/>
    <w:uiPriority w:val="11"/>
    <w:qFormat/>
    <w:pPr>
      <w:keepNext/>
      <w:keepLines/>
      <w:ind w:right="2160"/>
    </w:pPr>
  </w:style>
  <w:style w:customStyle="1" w:styleId="SectionSubtitle" w:type="paragraph">
    <w:name w:val="Section Subtitle"/>
    <w:basedOn w:val="HStruct04Subtitle"/>
    <w:next w:val="SectionHeadnote"/>
    <w:uiPriority w:val="11"/>
    <w:qFormat/>
    <w:pPr>
      <w:keepNext/>
      <w:keepLines/>
      <w:ind w:right="2160"/>
    </w:pPr>
  </w:style>
  <w:style w:customStyle="1" w:styleId="SectionHeadnote" w:type="paragraph">
    <w:name w:val="Section Headnote"/>
    <w:basedOn w:val="HeadnoteTextLayout"/>
    <w:next w:val="SectionHeadnote"/>
    <w:qFormat/>
    <w:uiPriority w:val="11"/>
    <w:pPr>
      <w:ind w:right="2160"/>
    </w:pPr>
  </w:style>
  <w:style w:customStyle="1" w:styleId="ResourceNumber" w:type="paragraph">
    <w:name w:val="Resource Number"/>
    <w:basedOn w:val="ResourceTitle"/>
    <w:next w:val="ResourceTitle"/>
    <w:qFormat/>
    <w:uiPriority w:val="10"/>
    <w:pPr>
      <w:keepNext/>
      <w:keepLines/>
      <w:framePr w:anchorLock="1" w:h="1450" w:hAnchor="margin" w:vAnchor="text" w:w="1440" w:wrap="around" w:xAlign="right"/>
      <w:jc w:val="right"/>
      <w:ind w:left="0" w:right="0"/>
    </w:pPr>
    <w:rPr>
      <w:color w:val="D96955"/>
    </w:rPr>
  </w:style>
  <w:style w:customStyle="1" w:styleId="ResourceTitle" w:type="paragraph">
    <w:name w:val="Resource Title"/>
    <w:basedOn w:val="HStruct05Title"/>
    <w:next w:val="ResourceSubtitle"/>
    <w:qFormat/>
    <w:uiPriority w:val="10"/>
    <w:pPr>
      <w:keepNext/>
      <w:keepLines/>
      <w:ind w:right="2160"/>
      <w:spacing w:before="480"/>
    </w:pPr>
  </w:style>
  <w:style w:customStyle="1" w:styleId="ResourceSubtitle" w:type="paragraph">
    <w:name w:val="Resource Subtitle"/>
    <w:basedOn w:val="HStruct05Subtitle"/>
    <w:next w:val="ResourceHeadnote"/>
    <w:uiPriority w:val="10"/>
    <w:qFormat/>
    <w:pPr>
      <w:keepNext/>
      <w:keepLines/>
      <w:ind w:right="2160"/>
    </w:pPr>
  </w:style>
  <w:style w:customStyle="1" w:styleId="ResourceHeadnote" w:type="paragraph">
    <w:name w:val="Resource Headnote"/>
    <w:basedOn w:val="SectionHeadnote"/>
    <w:next w:val="ResourceHeadnote"/>
    <w:uiPriority w:val="10"/>
    <w:qFormat/>
    <w:pPr>
      <w:ind w:right="2160"/>
    </w:pPr>
  </w:style>
  <w:style w:customStyle="1" w:styleId="ResourceLink" w:type="paragraph">
    <w:name w:val="Resource Link"/>
    <w:basedOn w:val="ResourceSubtitle"/>
    <w:next w:val="ResourceHeadnote"/>
    <w:qFormat/>
    <w:uiPriority w:val="10"/>
    <w:pPr>
      <w:keepNext/>
      <w:keepLines/>
      <w:spacing w:after="240" w:line="240"/>
      <w:ind w:right="2880"/>
    </w:pPr>
    <w:rPr>
      <w:color w:val="3E71D8"/>
      <w:spacing w:val="10"/>
      <w:sz w:val="18"/>
    </w:rPr>
  </w:style>
  <w:style w:styleId="Footer" w:type="paragraph">
    <w:name w:val="footer"/>
    <w:basedOn w:val="BodyCaseDefaultFontProperties"/>
    <w:uiPriority w:val="99"/>
    <w:pPr>
      <w:tabs>
        <w:tab w:pos="4680" w:val="center"/>
        <w:tab w:pos="9360" w:val="right"/>
      </w:tabs>
    </w:pPr>
  </w:style>
  <w:style w:styleId="Header" w:type="paragraph">
    <w:name w:val="Header"/>
    <w:basedOn w:val="TitleHeadnoteDefaultFontProperties"/>
    <w:uiPriority w:val="50"/>
    <w:pPr>
      <w:framePr w:hAnchor="page" w:vAnchor="page" w:wrap="around" w:xAlign="center" w:y="361"/>
      <w:tabs>
        <w:tab w:pos="5040" w:val="right"/>
      </w:tabs>
      <w:spacing w:before="0"/>
      <w:jc w:val="center"/>
    </w:pPr>
  </w:style>
  <w:style w:customStyle="1" w:styleId="HeaderPageNumber" w:type="paragraph">
    <w:name w:val="Header Page Number"/>
    <w:basedOn w:val="Header"/>
    <w:qFormat/>
    <w:pPr>
      <w:framePr w:anchorLock="1" w:h="360" w:w="1440" w:wrap="around" w:xAlign="outside"/>
      <w:widowControl w:val="0"/>
      <w:pBdr>
        <w:bottom w:color="1B418C" w:space="1" w:sz="18" w:val="single"/>
      </w:pBdr>
      <w:adjustRightInd w:val="0"/>
      <w:snapToGrid w:val="0"/>
      <w:spacing w:before="0"/>
    </w:pPr>
    <w:rPr>
      <w:b/>
      <w:bCs/>
      <w:spacing w:val="-5"/>
      <w:sz w:val="13"/>
    </w:rPr>
  </w:style>
  <w:style w:styleId="FootnoteText" w:type="paragraph">
    <w:name w:val="Footnote Text"/>
    <w:basedOn w:val="TitleHeadnoteDefaultFontProperties"/>
    <w:uiPriority w:val="60"/>
    <w:rPr>
      <w:sz w:val="14"/>
    </w:rPr>
  </w:style>
  <w:style w:styleId="CaseFootnoteText" w:type="paragraph">
    <w:name w:val="Case Footnote Text"/>
    <w:basedOn w:val="BodyCaseDefaultFontProperties"/>
    <w:uiPriority w:val="60"/>
    <w:rPr>
      <w:sz w:val="14"/>
    </w:rPr>
  </w:style>
  <w:style w:customStyle="1" w:styleId="IntentionallyInvisibleSeparator" w:type="paragraph">
    <w:name w:val="Intentionally Invisible Separator"/>
    <w:uiPriority w:val="99"/>
    <w:semiHidden/>
    <w:unhideWhenUsed/>
    <w:rPr>
      <w:sz w:val="1"/>
      <w:color w:val="FFFFFF"/>
    </w:rPr>
  </w:style>
  <w:style w:customStyle="1" w:styleId="FrontMatterEnd" w:type="paragraph">
    <w:name w:val="Front Matter End"/>
    <w:basedOn w:val="IntentionallyInvisibleSeparator"/>
    <w:uiPriority w:val="15"/>
    <w:pPr>
      <w:widowControl w:val="0"/>
      <w:adjustRightInd w:val="0"/>
      <w:snapToGrid w:val="0"/>
      <w:framePr w:hAnchor="text" w:vAnchor="text" w:w="9000" w:wrap="notBeside" w:xAlign="center"/>
      <w:spacing w:before="0"/>
      <w:jc w:val="center"/>
    </w:pPr>
  </w:style>
  <w:style w:customStyle="1" w:styleId="HeadSeparator" w:type="paragraph">
    <w:name w:val="Head Separator"/>
    <w:basedOn w:val="IntentionallyInvisibleSeparator"/>
    <w:uiPriority w:val="15"/>
    <w:pPr>
      <w:spacing w:before="240"/>
      <w:jc w:val="center"/>
    </w:pPr>
    <w:rPr>
      <w:sz w:val="1"/>
    </w:rPr>
  </w:style>
  <w:style w:customStyle="1" w:styleId="ChapterSpacer" w:type="paragraph">
    <w:name w:val="Chapter Spacer"/>
    <w:basedOn w:val="IntentionallyInvisibleSeparator"/>
    <w:uiPriority w:val="15"/>
    <w:pPr>
      <w:widowControl w:val="0"/>
      <w:adjustRightInd w:val="0"/>
      <w:snapToGrid w:val="0"/>
      <w:spacing w:before="2160"/>
      <w:jc w:val="center"/>
    </w:pPr>
    <w:rPr>
      <w:sz w:val="1"/>
    </w:rPr>
  </w:style>
  <w:style w:customStyle="1" w:styleId="HeadFieldSeparator" w:type="paragraph">
    <w:name w:val="Head Field Separator"/>
    <w:basedOn w:val="IntentionallyInvisibleSeparator"/>
    <w:uiPriority w:val="15"/>
    <w:pPr>
      <w:spacing w:before="0"/>
      <w:jc w:val="center"/>
    </w:pPr>
    <w:rPr>
      <w:sz w:val="1"/>
    </w:rPr>
  </w:style>
  <w:style w:customStyle="1" w:styleId="HeadEnd" w:type="paragraph">
    <w:name w:val="Head End"/>
    <w:basedOn w:val="IntentionallyInvisibleSeparator"/>
    <w:uiPriority w:val="15"/>
    <w:pPr>
      <w:widowControl w:val="0"/>
      <w:adjustRightInd w:val="0"/>
      <w:snapToGrid w:val="0"/>
      <w:framePr w:hAnchor="page" w:vAnchor="text" w:w="9000" w:wrap="notBeside" w:xAlign="center"/>
      <w:spacing w:before="0"/>
      <w:jc w:val="center"/>
    </w:pPr>
    <w:rPr>
      <w:sz w:val="1"/>
    </w:rPr>
  </w:style>
  <w:style w:customStyle="1" w:styleId="NodeStart" w:type="paragraph">
    <w:name w:val="Node Start"/>
    <w:basedOn w:val="IntentionallyInvisibleSeparator"/>
    <w:uiPriority w:val="15"/>
    <w:pPr>
      <w:widowControl w:val="0"/>
      <w:adjustRightInd w:val="0"/>
      <w:snapToGrid w:val="0"/>
      <w:spacing w:before="0"/>
      <w:jc w:val="center"/>
    </w:pPr>
    <w:rPr>
      <w:sz w:val="1"/>
    </w:rPr>
  </w:style>
  <w:style w:customStyle="1" w:styleId="NodeEnd" w:type="paragraph">
    <w:name w:val="Node End"/>
    <w:basedOn w:val="IntentionallyInvisibleSeparator"/>
    <w:uiPriority w:val="15"/>
    <w:pPr>
      <w:widowControl w:val="0"/>
      <w:adjustRightInd w:val="0"/>
      <w:snapToGrid w:val="0"/>
      <w:spacing w:before="0"/>
      <w:jc w:val="center"/>
    </w:pPr>
    <w:rPr>
      <w:sz w:val="1"/>
    </w:rPr>
  </w:style>
  <w:style w:customStyle="1" w:styleId="CreditTitle" w:type="character">
    <w:name w:val="Credit Title"/>
    <w:basedOn w:val="CreditAuthors"/>
    <w:rPr>
      <w:b w:val="0"/>
      <w:bCs w:val="0"/>
      <w:caps/>
      <w:sz w:val="24"/>
      <w:u w:val="single"/>
    </w:rPr>
  </w:style>
  <w:style w:customStyle="1" w:styleId="CreditAuthors" w:type="character">
    <w:name w:val="Credit Authors"/>
    <w:basedOn w:val="DefaultParagraphFont"/>
    <w:rPr>
      <w:b/>
      <w:bCs/>
      <w:spacing w:val="4"/>
      <w:kern w:val="0"/>
      <w:sz w:val="20"/>
    </w:rPr>
  </w:style>
  <w:style w:default="1" w:styleId="DefaultParagraphFont" w:type="character">
    <w:name w:val="Default Paragraph Font"/>
    <w:uiPriority w:val="99"/>
    <w:semiHidden/>
    <w:unhideWhenUsed/>
    <w:rPr>
      <w:rFonts w:ascii="Century Gothic" w:hAnsi="Century Gothic"/>
      <w:color w:val="000000"/>
      <w:spacing w:val="5"/>
      <w:sz w:val="18"/>
    </w:rPr>
  </w:style>
  <w:style w:styleId="UnresolvedMention" w:type="character">
    <w:name w:val="Unresolved Mention"/>
    <w:basedOn w:val="DefaultParagraphFont"/>
    <w:uiPriority w:val="99"/>
    <w:semiHidden/>
    <w:unhideWhenUsed/>
    <w:rPr>
      <w:rFonts w:ascii="Baskerville" w:hAnsi="Baskerville"/>
      <w:color w:themeColor="text1" w:val="000000"/>
      <w:spacing w:val="5"/>
      <w:sz w:val="16"/>
    </w:rPr>
  </w:style>
  <w:style w:customStyle="1" w:styleId="Elision" w:type="character">
    <w:name w:val="Elision"/>
    <w:basedOn w:val="DefaultParagraphFont"/>
    <w:uiPriority w:val="25"/>
    <w:rPr>
      <w:b w:val="1"/>
      <w:bCs w:val="1"/>
      <w:color w:val="5A771D"/>
    </w:rPr>
  </w:style>
  <w:style w:customStyle="1" w:styleId="ReplacementText" w:type="character">
    <w:name w:val="Replacement Text"/>
    <w:uiPriority w:val="25"/>
    <w:rPr>
      <w:i/>
      <w:iCs/>
      <w:color w:val="5A771D"/>
      <w:u w:val="dotted"/>
    </w:rPr>
  </w:style>
  <w:style w:customStyle="1" w:styleId="HighlightedText" w:type="character">
    <w:name w:val="Highlighted Text"/>
    <w:uiPriority w:val="25"/>
    <w:rPr>
      <w:bdr w:color="auto" w:space="0" w:sz="0" w:val="none"/>
      <w:shd w:color="000000" w:fill="EAFFBD" w:val="clear"/>
    </w:rPr>
  </w:style>
  <w:style w:styleId="FootnoteReference" w:type="character">
    <w:name w:val="Footnote Reference"/>
    <w:uiPriority w:val="40"/>
    <w:rPr>
      <w:rFonts w:ascii="Century Gothic" w:hAnsi="Century Gothic"/>
      <w:b/>
      <w:i w:val="0"/>
      <w:color w:val="D96955"/>
      <w:position w:val="4"/>
      <w:sz w:val="15"/>
      <w:vertAlign w:val="superscript"/>
    </w:rPr>
  </w:style>
  <w:style w:customStyle="1" w:styleId="CaseFootnoteReference" w:type="character">
    <w:name w:val="Case Footnote Reference"/>
    <w:basedOn w:val="DefaultParagraphFont"/>
    <w:uiPriority w:val="40"/>
    <w:rPr>
      <w:b/>
      <w:bCs/>
      <w:color w:val="D96955"/>
      <w:position w:val="4"/>
      <w:sz w:val="13"/>
    </w:rPr>
  </w:style>
  <w:style w:styleId="Hyperlink" w:type="character">
    <w:name w:val="Hyperlink"/>
    <w:semiHidden/>
    <w:uiPriority w:val="99"/>
    <w:unhideWhenUsed/>
    <w:rPr>
      <w:color w:val="3E71D8"/>
      <w:u w:val="single"/>
    </w:rPr>
  </w:style>
  <w:style w:styleId="FollowedHyperlink" w:type="character">
    <w:name w:val="FollowedHyperlink"/>
    <w:basedOn w:val="Hyperlink"/>
    <w:semiHidden/>
    <w:uiPriority w:val="99"/>
    <w:unhideWhenUsed/>
    <w:rPr>
      <w:color w:themeColor="followedHyperlink" w:val="D96955"/>
      <w:u w:val="single"/>
    </w:rPr>
  </w:style>
  <w:style w:styleId="TOCTitleChar1" w:type="character">
    <w:name w:val="TOC Title Char 1"/>
    <w:basedOn w:val="DefaultParagraphFont"/>
    <w:semiHidden/>
    <w:uiPriority w:val="99"/>
    <w:unhideWhenUsed/>
    <w:rPr>
      <w:b/>
      <w:bCs/>
      <w:noProof/>
      <w:spacing w:val="-7"/>
      <w:sz w:val="24"/>
    </w:rPr>
  </w:style>
  <w:style w:styleId="TOCTitleChar2" w:type="character">
    <w:name w:val="TOC Title Char 2"/>
    <w:basedOn w:val="TOCTitleChar1"/>
    <w:semiHidden/>
    <w:uiPriority w:val="99"/>
    <w:unhideWhenUsed/>
    <w:rPr>
      <w:b w:val="0"/>
      <w:bCs/>
      <w:noProof/>
      <w:spacing w:val="-7"/>
      <w:sz w:val="20"/>
    </w:rPr>
  </w:style>
  <w:style w:styleId="TOCTitleChar3" w:type="character">
    <w:name w:val="TOC Title Char 3"/>
    <w:basedOn w:val="TOCTitleChar2"/>
    <w:semiHidden/>
    <w:uiPriority w:val="99"/>
    <w:unhideWhenUsed/>
    <w:rPr>
      <w:b w:val="0"/>
      <w:bCs w:val="0"/>
      <w:noProof/>
      <w:spacing w:val="0"/>
      <w:sz w:val="16"/>
    </w:rPr>
  </w:style>
  <w:style w:styleId="TOCTitleChar4" w:type="character">
    <w:name w:val="TOC Title Char 4"/>
    <w:basedOn w:val="TOCTitleChar3"/>
    <w:semiHidden/>
    <w:uiPriority w:val="99"/>
    <w:unhideWhenUsed/>
  </w:style>
  <w:style w:styleId="TOCTitleChar5" w:type="character">
    <w:name w:val="TOC Title Char 5"/>
    <w:basedOn w:val="TOCTitleChar4"/>
    <w:semiHidden/>
    <w:uiPriority w:val="99"/>
    <w:unhideWhenUsed/>
  </w:style>
  <w:style w:styleId="TOCTitleChar6" w:type="character">
    <w:name w:val="TOC Title Char 6"/>
    <w:basedOn w:val="TOCTitleChar5"/>
    <w:semiHidden/>
    <w:uiPriority w:val="99"/>
    <w:unhideWhenUsed/>
  </w:style>
  <w:style w:styleId="TOCTitleChar7" w:type="character">
    <w:name w:val="TOC Title Char 7"/>
    <w:basedOn w:val="TOCTitleChar6"/>
    <w:semiHidden/>
    <w:uiPriority w:val="99"/>
    <w:unhideWhenUsed/>
  </w:style>
  <w:style w:styleId="TOCTitleChar8" w:type="character">
    <w:name w:val="TOC Title Char 8"/>
    <w:basedOn w:val="TOCTitleChar7"/>
    <w:semiHidden/>
    <w:uiPriority w:val="99"/>
    <w:unhideWhenUsed/>
  </w:style>
  <w:style w:styleId="TOCTitleChar9" w:type="character">
    <w:name w:val="TOC Title Char 9"/>
    <w:basedOn w:val="TOCTitleChar8"/>
    <w:semiHidden/>
    <w:uiPriority w:val="99"/>
    <w:unhideWhenUsed/>
  </w:style>
  <w:style w:styleId="TOCOrdinalChar1" w:type="character">
    <w:name w:val="TOC Ordinal Char 1"/>
    <w:basedOn w:val="TOCTitleChar1"/>
    <w:semiHidden/>
    <w:uiPriority w:val="99"/>
    <w:unhideWhenUsed/>
    <w:rPr>
      <w:b/>
      <w:bCs/>
      <w:noProof/>
      <w:spacing w:val="-14"/>
      <w:sz w:val="56"/>
    </w:rPr>
  </w:style>
  <w:style w:styleId="TOCOrdinalChar2" w:type="character">
    <w:name w:val="TOC Ordinal Char 2"/>
    <w:basedOn w:val="TOCTitleChar2"/>
    <w:semiHidden/>
    <w:uiPriority w:val="99"/>
    <w:unhideWhenUsed/>
    <w:rPr>
      <w:b/>
      <w:bCs/>
      <w:noProof/>
      <w:spacing w:val="-7"/>
      <w:sz w:val="24"/>
    </w:rPr>
  </w:style>
  <w:style w:styleId="TOCOrdinalChar3" w:type="character">
    <w:name w:val="TOC Ordinal Char 3"/>
    <w:basedOn w:val="TOCTitleChar3"/>
    <w:semiHidden/>
    <w:uiPriority w:val="99"/>
    <w:unhideWhenUsed/>
    <w:rPr>
      <w:b w:val="0"/>
      <w:bCs w:val="0"/>
      <w:noProof/>
      <w:spacing w:val="0"/>
      <w:sz w:val="16"/>
    </w:rPr>
  </w:style>
  <w:style w:styleId="TOCOrdinalChar4" w:type="character">
    <w:name w:val="TOC Ordinal Char 4"/>
    <w:basedOn w:val="TOCTitleChar4"/>
    <w:semiHidden/>
    <w:uiPriority w:val="99"/>
    <w:unhideWhenUsed/>
    <w:rPr>
      <w:b w:val="0"/>
      <w:bCs w:val="0"/>
    </w:rPr>
  </w:style>
  <w:style w:styleId="TOCOrdinalChar5" w:type="character">
    <w:name w:val="TOC Ordinal Char 5"/>
    <w:basedOn w:val="TOCTitleChar5"/>
    <w:semiHidden/>
    <w:uiPriority w:val="99"/>
    <w:unhideWhenUsed/>
  </w:style>
  <w:style w:styleId="TOCOrdinalChar6" w:type="character">
    <w:name w:val="TOC Ordinal Char 6"/>
    <w:basedOn w:val="TOCTitleChar6"/>
    <w:semiHidden/>
    <w:uiPriority w:val="99"/>
    <w:unhideWhenUsed/>
  </w:style>
  <w:style w:styleId="TOCOrdinalChar7" w:type="character">
    <w:name w:val="TOC Ordinal Char 7"/>
    <w:basedOn w:val="TOCTitleChar7"/>
    <w:semiHidden/>
    <w:uiPriority w:val="99"/>
    <w:unhideWhenUsed/>
  </w:style>
  <w:style w:styleId="TOCOrdinalChar8" w:type="character">
    <w:name w:val="TOC Ordinal Char 8"/>
    <w:basedOn w:val="TOCTitleChar8"/>
    <w:semiHidden/>
    <w:uiPriority w:val="99"/>
    <w:unhideWhenUsed/>
  </w:style>
  <w:style w:styleId="TOCOrdinalChar9" w:type="character">
    <w:name w:val="TOC Ordinal Char 9"/>
    <w:basedOn w:val="TOCTitleChar9"/>
    <w:semiHidden/>
    <w:uiPriority w:val="99"/>
    <w:unhideWhenUsed/>
  </w:style>
  <w:style w:customStyle="1" w:styleId="VerbatimChar" w:type="character">
    <w:name w:val="Verbatim Char"/>
    <w:uiPriority w:val="50"/>
    <w:semiHidden/>
    <w:unhideWhenUsed/>
    <w:rPr>
      <w:sz w:val="16"/>
      <w:rFonts w:ascii="Courier New" w:cs="Courier New" w:hAnsi="Courier New"/>
      <w:spacing w:val="5"/>
      <w:sz w:val="16"/>
    </w:rPr>
  </w:style>
  <w:style w:customStyle="0" w:styleId="UnusedPandoc" w:type="character">
    <w:name w:val="UnusedPandoc"/>
    <w:hidden/>
    <w:uiPriority w:val="99"/>
  </w:style>
  <w:style w:customStyle="0" w:styleId="AlertTok" w:type="character">
    <w:name w:val="AlertTok"/>
    <w:basedOn w:val="UnusedPandoc"/>
    <w:hidden/>
    <w:uiPriority w:val="99"/>
  </w:style>
  <w:style w:customStyle="0" w:styleId="AnnotationTok" w:type="character">
    <w:name w:val="AnnotationTok"/>
    <w:basedOn w:val="UnusedPandoc"/>
    <w:hidden/>
    <w:uiPriority w:val="99"/>
  </w:style>
  <w:style w:customStyle="0" w:styleId="AttributeTok" w:type="character">
    <w:name w:val="AttributeTok"/>
    <w:basedOn w:val="UnusedPandoc"/>
    <w:hidden/>
    <w:uiPriority w:val="99"/>
  </w:style>
  <w:style w:customStyle="0" w:styleId="BaseNTok" w:type="character">
    <w:name w:val="BaseNTok"/>
    <w:basedOn w:val="UnusedPandoc"/>
    <w:hidden/>
    <w:uiPriority w:val="99"/>
  </w:style>
  <w:style w:customStyle="0" w:styleId="BuiltInTok" w:type="character">
    <w:name w:val="BuiltInTok"/>
    <w:basedOn w:val="UnusedPandoc"/>
    <w:hidden/>
    <w:uiPriority w:val="99"/>
  </w:style>
  <w:style w:customStyle="0" w:styleId="CharTok" w:type="character">
    <w:name w:val="CharTok"/>
    <w:basedOn w:val="UnusedPandoc"/>
    <w:hidden/>
    <w:uiPriority w:val="99"/>
  </w:style>
  <w:style w:customStyle="0" w:styleId="CommentTok" w:type="character">
    <w:name w:val="CommentTok"/>
    <w:basedOn w:val="UnusedPandoc"/>
    <w:hidden/>
    <w:uiPriority w:val="99"/>
  </w:style>
  <w:style w:customStyle="0" w:styleId="CommentVarTok" w:type="character">
    <w:name w:val="CommentVarTok"/>
    <w:basedOn w:val="UnusedPandoc"/>
    <w:hidden/>
    <w:uiPriority w:val="99"/>
  </w:style>
  <w:style w:customStyle="0" w:styleId="ControlFlowTok" w:type="character">
    <w:name w:val="ControlFlowTok"/>
    <w:basedOn w:val="UnusedPandoc"/>
    <w:hidden/>
    <w:uiPriority w:val="99"/>
  </w:style>
  <w:style w:customStyle="0" w:styleId="DataTypeTok" w:type="character">
    <w:name w:val="DataTypeTok"/>
    <w:basedOn w:val="UnusedPandoc"/>
    <w:hidden/>
    <w:uiPriority w:val="99"/>
  </w:style>
  <w:style w:customStyle="0" w:styleId="DocumentationTok" w:type="character">
    <w:name w:val="DocumentationTok"/>
    <w:basedOn w:val="UnusedPandoc"/>
    <w:hidden/>
    <w:uiPriority w:val="99"/>
  </w:style>
  <w:style w:customStyle="0" w:styleId="ErrorTok" w:type="character">
    <w:name w:val="ErrorTok"/>
    <w:basedOn w:val="UnusedPandoc"/>
    <w:hidden/>
    <w:uiPriority w:val="99"/>
  </w:style>
  <w:style w:customStyle="0" w:styleId="ExtensionTok" w:type="character">
    <w:name w:val="ExtensionTok"/>
    <w:basedOn w:val="UnusedPandoc"/>
    <w:hidden/>
    <w:uiPriority w:val="99"/>
  </w:style>
  <w:style w:customStyle="0" w:styleId="FloatTok" w:type="character">
    <w:name w:val="FloatTok"/>
    <w:basedOn w:val="UnusedPandoc"/>
    <w:hidden/>
    <w:uiPriority w:val="99"/>
  </w:style>
  <w:style w:customStyle="0" w:styleId="FunctionTok" w:type="character">
    <w:name w:val="FunctionTok"/>
    <w:basedOn w:val="UnusedPandoc"/>
    <w:hidden/>
    <w:uiPriority w:val="99"/>
  </w:style>
  <w:style w:customStyle="0" w:styleId="ImportTok" w:type="character">
    <w:name w:val="ImportTok"/>
    <w:basedOn w:val="UnusedPandoc"/>
    <w:hidden/>
    <w:uiPriority w:val="99"/>
  </w:style>
  <w:style w:customStyle="0" w:styleId="InformationTok" w:type="character">
    <w:name w:val="InformationTok"/>
    <w:basedOn w:val="UnusedPandoc"/>
    <w:hidden/>
    <w:uiPriority w:val="99"/>
  </w:style>
  <w:style w:customStyle="0" w:styleId="KeywordTok" w:type="character">
    <w:name w:val="KeywordTok"/>
    <w:basedOn w:val="UnusedPandoc"/>
    <w:hidden/>
    <w:uiPriority w:val="99"/>
  </w:style>
  <w:style w:customStyle="0" w:styleId="NormalTok" w:type="character">
    <w:name w:val="NormalTok"/>
    <w:basedOn w:val="UnusedPandoc"/>
    <w:hidden/>
    <w:uiPriority w:val="99"/>
  </w:style>
  <w:style w:customStyle="0" w:styleId="OperatorTok" w:type="character">
    <w:name w:val="OperatorTok"/>
    <w:basedOn w:val="UnusedPandoc"/>
    <w:hidden/>
    <w:uiPriority w:val="99"/>
  </w:style>
  <w:style w:customStyle="0" w:styleId="OtherTok" w:type="character">
    <w:name w:val="OtherTok"/>
    <w:basedOn w:val="UnusedPandoc"/>
    <w:hidden/>
    <w:uiPriority w:val="99"/>
  </w:style>
  <w:style w:customStyle="0" w:styleId="PreprocessorTok" w:type="character">
    <w:name w:val="PreprocessorTok"/>
    <w:basedOn w:val="UnusedPandoc"/>
    <w:hidden/>
    <w:uiPriority w:val="99"/>
  </w:style>
  <w:style w:customStyle="0" w:styleId="RegionMarkerTok" w:type="character">
    <w:name w:val="RegionMarkerTok"/>
    <w:basedOn w:val="UnusedPandoc"/>
    <w:hidden/>
    <w:uiPriority w:val="99"/>
  </w:style>
  <w:style w:customStyle="0" w:styleId="SpecialCharTok" w:type="character">
    <w:name w:val="SpecialCharTok"/>
    <w:basedOn w:val="UnusedPandoc"/>
    <w:hidden/>
    <w:uiPriority w:val="99"/>
  </w:style>
  <w:style w:customStyle="0" w:styleId="SpecialStringTok" w:type="character">
    <w:name w:val="SpecialStringTok"/>
    <w:basedOn w:val="UnusedPandoc"/>
    <w:hidden/>
    <w:uiPriority w:val="99"/>
  </w:style>
  <w:style w:customStyle="0" w:styleId="StringTok" w:type="character">
    <w:name w:val="StringTok"/>
    <w:basedOn w:val="UnusedPandoc"/>
    <w:hidden/>
    <w:uiPriority w:val="99"/>
  </w:style>
  <w:style w:customStyle="0" w:styleId="VariableTok" w:type="character">
    <w:name w:val="VariableTok"/>
    <w:basedOn w:val="UnusedPandoc"/>
    <w:hidden/>
    <w:uiPriority w:val="99"/>
  </w:style>
  <w:style w:customStyle="0" w:styleId="VerbatimStringTok" w:type="character">
    <w:name w:val="VerbatimStringTok"/>
    <w:basedOn w:val="UnusedPandoc"/>
    <w:hidden/>
    <w:uiPriority w:val="99"/>
  </w:style>
  <w:style w:customStyle="0" w:styleId="WarningTok" w:type="character">
    <w:name w:val="WarningTok"/>
    <w:basedOn w:val="UnusedPandoc"/>
    <w:hidden/>
    <w:uiPriority w:val="99"/>
  </w:style>
  <w:style w:styleId="PlainTable4" w:type="table">
    <w:name w:val="Plain Table 4"/>
    <w:basedOn w:val="TableNormal"/>
    <w:uiPriority w:val="9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eGrid" w:type="table">
    <w:name w:val="Table Grid"/>
    <w:basedOn w:val="TableNormal"/>
    <w:uiPriority w:val="9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le" w:type="table">
    <w:name w:val="Table"/>
    <w:semiHidden/>
    <w:unhideWhenUsed/>
    <w:uiPriority w:val="99"/>
    <w:tblPr>
      <w:tblInd w:type="dxa" w:w="0"/>
      <w:tblCellMar>
        <w:top w:type="dxa" w:w="0"/>
        <w:left w:type="dxa" w:w="108"/>
        <w:bottom w:type="dxa" w:w="0"/>
        <w:right w:type="dxa" w:w="108"/>
      </w:tblCellMar>
    </w:tblPr>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CurrentList1" w:type="numbering">
    <w:name w:val="Current List1"/>
    <w:uiPriority w:val="99"/>
    <w:pPr>
      <w:numPr>
        <w:numId w:val="20"/>
      </w:numPr>
    </w:pPr>
  </w:style>
  <w:style w:customStyle="1" w:styleId="CurrentList2" w:type="numbering">
    <w:name w:val="Current List2"/>
    <w:uiPriority w:val="99"/>
    <w:pPr>
      <w:numPr>
        <w:numId w:val="21"/>
      </w:numPr>
    </w:pPr>
  </w:style>
  <w:style w:customStyle="1" w:styleId="CurrentList3" w:type="numbering">
    <w:name w:val="Current List3"/>
    <w:uiPriority w:val="99"/>
    <w:pPr>
      <w:numPr>
        <w:numId w:val="23"/>
      </w:numPr>
    </w:pPr>
  </w:style>
  <w:style w:customStyle="1" w:styleId="CurrentList4" w:type="numbering">
    <w:name w:val="Current List4"/>
    <w:uiPriority w:val="99"/>
    <w:pPr>
      <w:numPr>
        <w:numId w:val="25"/>
      </w:numPr>
    </w:pPr>
  </w:style>
  <w:style w:type="character" w:customStyle="1" w:styleId="FootnoteRef">
    <w:name w:val="Footnote Ref"/>
    <w:basedOn w:val="BodyTextChar"/>
  </w:style>
  <w:style w:type="character" w:customStyle="1" w:styleId="DecValTok">
    <w:name w:val="DecValTok"/>
    <w:basedOn w:val="VerbatimChar"/>
    <w:rPr>
      <w:color w:val="40a070"/>
    </w:rPr>
  </w:style>
  <w:style w:type="character" w:customStyle="1" w:styleId="ConstantTok">
    <w:name w:val="ConstantTok"/>
    <w:basedOn w:val="VerbatimChar"/>
    <w:rPr>
      <w:color w:val="880000"/>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_front_matter_even.xml"/><Relationship Id="rId10" Type="http://schemas.openxmlformats.org/officeDocument/2006/relationships/header" Target="header_front_matter_odd.xml"/><Relationship Id="rId11" Type="http://schemas.openxmlformats.org/officeDocument/2006/relationships/header" Target="header_even.xml"/><Relationship Id="rId12" Type="http://schemas.openxmlformats.org/officeDocument/2006/relationships/header" Target="header_odd.xml"/><Relationship Id="rId13" Type="http://schemas.openxmlformats.org/officeDocument/2006/relationships/header" Target="header_blank.xml"/><Relationship Id="rId14" Type="http://schemas.openxmlformats.org/officeDocument/2006/relationships/footer" Target="footer_blank.xml"/><Relationship Id="rId15" Type="http://schemas.openxmlformats.org/officeDocument/2006/relationships/footer" Target="footer_title.xml"/><Relationship Id="rId357" Type="http://schemas.openxmlformats.org/officeDocument/2006/relationships/image" Target="media/rId357.png"/><Relationship Id="rId358" Type="http://schemas.openxmlformats.org/officeDocument/2006/relationships/image" Target="media/rId358.png"/><Relationship Id="rId335" Type="http://schemas.openxmlformats.org/officeDocument/2006/relationships/image" Target="media/rId335.png"/><Relationship Id="rId105" Type="http://schemas.openxmlformats.org/officeDocument/2006/relationships/image" Target="media/rId105.png"/><Relationship Id="rId216" Type="http://schemas.openxmlformats.org/officeDocument/2006/relationships/image" Target="media/rId216.png"/><Relationship Id="rId21" Type="http://schemas.openxmlformats.org/officeDocument/2006/relationships/image" Target="media/rId21.png"/><Relationship Id="rId28" Type="http://schemas.openxmlformats.org/officeDocument/2006/relationships/image" Target="media/rId28.jpg"/><Relationship Id="rId25" Type="http://schemas.openxmlformats.org/officeDocument/2006/relationships/hyperlink" Target="http://source.gosupra.com/docs/statute/224" TargetMode="External"/><Relationship Id="rId37" Type="http://schemas.openxmlformats.org/officeDocument/2006/relationships/hyperlink" Target="http://tomtoro.com/cartoons/#jp-carousel-135" TargetMode="External"/><Relationship Id="rId217" Type="http://schemas.openxmlformats.org/officeDocument/2006/relationships/hyperlink" Target="http://uscode.house.gov/view.xhtml?req=granuleid%3AUSC-prelim-title15-section18a&amp;edition=prelim" TargetMode="External"/><Relationship Id="rId334" Type="http://schemas.openxmlformats.org/officeDocument/2006/relationships/hyperlink" Target="http://www.courts.state.ny.us/reporter/archives/meinhard_salmon.htm" TargetMode="External"/><Relationship Id="rId286" Type="http://schemas.openxmlformats.org/officeDocument/2006/relationships/hyperlink" Target="http://www.sec.gov/Archives/edgar/data/792985/000119312513235934/d544044dex41.htm" TargetMode="External"/><Relationship Id="rId42" Type="http://schemas.openxmlformats.org/officeDocument/2006/relationships/hyperlink" Target="https://casetext.com/case/jennings-v-ptsbg-mercantile-co" TargetMode="External"/><Relationship Id="rId36" Type="http://schemas.openxmlformats.org/officeDocument/2006/relationships/hyperlink" Target="https://corpgov.law.harvard.edu/2018/01/17/a-sense-of-purpose/" TargetMode="External"/><Relationship Id="rId184" Type="http://schemas.openxmlformats.org/officeDocument/2006/relationships/hyperlink" Target="https://corpgov.law.harvard.edu/wp-content/uploads/2007/06/20070606%20Credit%20Lyonnais.pdf" TargetMode="External"/><Relationship Id="rId151" Type="http://schemas.openxmlformats.org/officeDocument/2006/relationships/hyperlink" Target="https://courts.delaware.gov/Opinions/Download.aspx?id=262420" TargetMode="External"/><Relationship Id="rId27" Type="http://schemas.openxmlformats.org/officeDocument/2006/relationships/hyperlink" Target="https://delcode.delaware.gov/title6/c018/" TargetMode="External"/><Relationship Id="rId29" Type="http://schemas.openxmlformats.org/officeDocument/2006/relationships/hyperlink" Target="https://delcode.delaware.gov/title8/c001/index.html" TargetMode="External"/><Relationship Id="rId73" Type="http://schemas.openxmlformats.org/officeDocument/2006/relationships/hyperlink" Target="https://h2o.law.harvard.edu/cases/5416" TargetMode="External"/><Relationship Id="rId316" Type="http://schemas.openxmlformats.org/officeDocument/2006/relationships/hyperlink" Target="https://h2o.law.harvard.edu/collages/3875" TargetMode="External"/><Relationship Id="rId33" Type="http://schemas.openxmlformats.org/officeDocument/2006/relationships/hyperlink" Target="https://hcsra.sph.harvard.edu/files/hcsra/files/harvardcharter.pdf" TargetMode="External"/><Relationship Id="rId32" Type="http://schemas.openxmlformats.org/officeDocument/2006/relationships/hyperlink" Target="https://historyofmassachusetts.org/massachusetts-charter-1629/" TargetMode="External"/><Relationship Id="rId43" Type="http://schemas.openxmlformats.org/officeDocument/2006/relationships/hyperlink" Target="https://law.justia.com/cases/new-york/other-courts/1976/86-misc-2d-809-383-n-y-s-2d-807-1976.html" TargetMode="External"/><Relationship Id="rId194" Type="http://schemas.openxmlformats.org/officeDocument/2006/relationships/hyperlink" Target="https://malegislature.gov/Laws/GeneralLaws/PartI/TitleXV/Chapter109A/Section5" TargetMode="External"/><Relationship Id="rId31" Type="http://schemas.openxmlformats.org/officeDocument/2006/relationships/hyperlink" Target="https://nyseguide.srorules.com/listed-company-manual/document?treeNodeId=csh-da-filter!WKUS-TAL-DOCS-PHC-%7B0588BF4A-D3B5-4B91-94EA-BE9F17057DF0%7D--WKUS_TAL_5667%23teid-66" TargetMode="External"/><Relationship Id="rId41" Type="http://schemas.openxmlformats.org/officeDocument/2006/relationships/hyperlink" Target="https://openai.com/blog/openai-lp/" TargetMode="External"/><Relationship Id="rId363" Type="http://schemas.openxmlformats.org/officeDocument/2006/relationships/hyperlink" Target="https://opencasebook.org/casebooks/1648-business-organizations/" TargetMode="External"/><Relationship Id="rId364" Type="http://schemas.openxmlformats.org/officeDocument/2006/relationships/hyperlink" Target="https://opencasebook.org/casebooks/397-securities-regulation-spring-2016/" TargetMode="External"/><Relationship Id="rId35" Type="http://schemas.openxmlformats.org/officeDocument/2006/relationships/hyperlink" Target="https://opportunity.businessroundtable.org/ourcommitment/" TargetMode="External"/><Relationship Id="rId287" Type="http://schemas.openxmlformats.org/officeDocument/2006/relationships/hyperlink" Target="https://perma.cc/TD93-PSAA" TargetMode="External"/><Relationship Id="rId20" Type="http://schemas.openxmlformats.org/officeDocument/2006/relationships/hyperlink" Target="https://support.microsoft.com/en-us/topic/the-styles-advantage-in-word-b4a6372f-188c-93cb-831b-c4dd0cb3a881" TargetMode="External"/><Relationship Id="rId144" Type="http://schemas.openxmlformats.org/officeDocument/2006/relationships/hyperlink" Target="https://supreme.justia.com/cases/federal/us/573/258/" TargetMode="External"/><Relationship Id="rId22" Type="http://schemas.openxmlformats.org/officeDocument/2006/relationships/hyperlink" Target="https://www.amherstma.gov/DocumentCenter/View/36571/10-Proof-of-Limited-Dividend?bidId=" TargetMode="External"/><Relationship Id="rId23" Type="http://schemas.openxmlformats.org/officeDocument/2006/relationships/hyperlink" Target="https://www.fdic.gov/buying/historical/structured/fnbn-cmlcon-i-llc/fnbn-cmlcon-operating-agreement.pdf" TargetMode="External"/><Relationship Id="rId30" Type="http://schemas.openxmlformats.org/officeDocument/2006/relationships/hyperlink" Target="https://www.govinfo.gov/content/pkg/COMPS-1885/pdf/COMPS-1885.pdf" TargetMode="External"/><Relationship Id="rId149" Type="http://schemas.openxmlformats.org/officeDocument/2006/relationships/hyperlink" Target="https://www.govinfo.gov/content/pkg/PLAW-107publ204/html/PLAW-107publ204.htm" TargetMode="External"/><Relationship Id="rId150" Type="http://schemas.openxmlformats.org/officeDocument/2006/relationships/hyperlink" Target="https://www.govinfo.gov/content/pkg/PLAW-111publ203/pdf/PLAW-111publ203.pdf" TargetMode="External"/><Relationship Id="rId145" Type="http://schemas.openxmlformats.org/officeDocument/2006/relationships/hyperlink" Target="https://www.law.cornell.edu/uscode/text/15/78dd-1" TargetMode="External"/><Relationship Id="rId146" Type="http://schemas.openxmlformats.org/officeDocument/2006/relationships/hyperlink" Target="https://www.law.cornell.edu/uscode/text/15/78dd-2" TargetMode="External"/><Relationship Id="rId148" Type="http://schemas.openxmlformats.org/officeDocument/2006/relationships/hyperlink" Target="https://www.law.cornell.edu/uscode/text/15/78m" TargetMode="External"/><Relationship Id="rId147" Type="http://schemas.openxmlformats.org/officeDocument/2006/relationships/hyperlink" Target="https://www.law.cornell.edu/uscode/text/31/5336" TargetMode="External"/><Relationship Id="rId24" Type="http://schemas.openxmlformats.org/officeDocument/2006/relationships/hyperlink" Target="https://www.sec.gov/Archives/edgar/data/1710904/000166919117000098/operatingagreement.pdf" TargetMode="External"/><Relationship Id="rId39" Type="http://schemas.openxmlformats.org/officeDocument/2006/relationships/hyperlink" Target="https://www.sec.gov/ix?doc=/Archives/edgar/data/1504776/000150477622000007/wrby-20211231.htm" TargetMode="External"/><Relationship Id="rId40" Type="http://schemas.openxmlformats.org/officeDocument/2006/relationships/hyperlink" Target="https://www.sec.gov/ix?doc=/Archives/edgar/data/1579733/000156459022009480/vitl-10k_20211226.htm" TargetMode="External"/><Relationship Id="rId38" Type="http://schemas.openxmlformats.org/officeDocument/2006/relationships/hyperlink" Target="https://www.sec.gov/ix?doc=/Archives/edgar/data/1651562/000095017022002807/cour-20211231.htm" TargetMode="External"/><Relationship Id="rId134" Type="http://schemas.openxmlformats.org/officeDocument/2006/relationships/hyperlink" Target="https://www.sec.gov/litigation/admin/34-47732.htm" TargetMode="External"/><Relationship Id="rId135" Type="http://schemas.openxmlformats.org/officeDocument/2006/relationships/hyperlink" Target="https://www.sec.gov/news/press-release/2022-215?utm_medium=email&amp;utm_source=govdelivery" TargetMode="External"/><Relationship Id="rId26" Type="http://schemas.openxmlformats.org/officeDocument/2006/relationships/hyperlink" Target="https://www.uniformlaws.org/HigherLogic/System/DownloadDocumentFile.ashx?DocumentFileKey=9e30c4d7-dbed-c173-dfc1-26394e60152d&amp;forceDialog=0" TargetMode="External"/><Relationship Id="rId34" Type="http://schemas.openxmlformats.org/officeDocument/2006/relationships/hyperlink" Target="https://www.youtube.com/watch?v=lPUBC2EuLZs" TargetMode="External"/></Relationships>
</file>

<file path=word/_rels/footnotes.xml.rels><?xml version='1.0' encoding='UTF-8' standalone='yes'?>
<Relationships xmlns="http://schemas.openxmlformats.org/package/2006/relationships"><Relationship Id="rId25" Type="http://schemas.openxmlformats.org/officeDocument/2006/relationships/hyperlink" Target="http://source.gosupra.com/docs/statute/224" TargetMode="External"/><Relationship Id="rId37" Type="http://schemas.openxmlformats.org/officeDocument/2006/relationships/hyperlink" Target="http://tomtoro.com/cartoons/#jp-carousel-135" TargetMode="External"/><Relationship Id="rId217" Type="http://schemas.openxmlformats.org/officeDocument/2006/relationships/hyperlink" Target="http://uscode.house.gov/view.xhtml?req=granuleid%3AUSC-prelim-title15-section18a&amp;edition=prelim" TargetMode="External"/><Relationship Id="rId334" Type="http://schemas.openxmlformats.org/officeDocument/2006/relationships/hyperlink" Target="http://www.courts.state.ny.us/reporter/archives/meinhard_salmon.htm" TargetMode="External"/><Relationship Id="rId286" Type="http://schemas.openxmlformats.org/officeDocument/2006/relationships/hyperlink" Target="http://www.sec.gov/Archives/edgar/data/792985/000119312513235934/d544044dex41.htm" TargetMode="External"/><Relationship Id="rId42" Type="http://schemas.openxmlformats.org/officeDocument/2006/relationships/hyperlink" Target="https://casetext.com/case/jennings-v-ptsbg-mercantile-co" TargetMode="External"/><Relationship Id="rId36" Type="http://schemas.openxmlformats.org/officeDocument/2006/relationships/hyperlink" Target="https://corpgov.law.harvard.edu/2018/01/17/a-sense-of-purpose/" TargetMode="External"/><Relationship Id="rId184" Type="http://schemas.openxmlformats.org/officeDocument/2006/relationships/hyperlink" Target="https://corpgov.law.harvard.edu/wp-content/uploads/2007/06/20070606%20Credit%20Lyonnais.pdf" TargetMode="External"/><Relationship Id="rId151" Type="http://schemas.openxmlformats.org/officeDocument/2006/relationships/hyperlink" Target="https://courts.delaware.gov/Opinions/Download.aspx?id=262420" TargetMode="External"/><Relationship Id="rId27" Type="http://schemas.openxmlformats.org/officeDocument/2006/relationships/hyperlink" Target="https://delcode.delaware.gov/title6/c018/" TargetMode="External"/><Relationship Id="rId29" Type="http://schemas.openxmlformats.org/officeDocument/2006/relationships/hyperlink" Target="https://delcode.delaware.gov/title8/c001/index.html" TargetMode="External"/><Relationship Id="rId73" Type="http://schemas.openxmlformats.org/officeDocument/2006/relationships/hyperlink" Target="https://h2o.law.harvard.edu/cases/5416" TargetMode="External"/><Relationship Id="rId316" Type="http://schemas.openxmlformats.org/officeDocument/2006/relationships/hyperlink" Target="https://h2o.law.harvard.edu/collages/3875" TargetMode="External"/><Relationship Id="rId33" Type="http://schemas.openxmlformats.org/officeDocument/2006/relationships/hyperlink" Target="https://hcsra.sph.harvard.edu/files/hcsra/files/harvardcharter.pdf" TargetMode="External"/><Relationship Id="rId32" Type="http://schemas.openxmlformats.org/officeDocument/2006/relationships/hyperlink" Target="https://historyofmassachusetts.org/massachusetts-charter-1629/" TargetMode="External"/><Relationship Id="rId43" Type="http://schemas.openxmlformats.org/officeDocument/2006/relationships/hyperlink" Target="https://law.justia.com/cases/new-york/other-courts/1976/86-misc-2d-809-383-n-y-s-2d-807-1976.html" TargetMode="External"/><Relationship Id="rId194" Type="http://schemas.openxmlformats.org/officeDocument/2006/relationships/hyperlink" Target="https://malegislature.gov/Laws/GeneralLaws/PartI/TitleXV/Chapter109A/Section5" TargetMode="External"/><Relationship Id="rId31" Type="http://schemas.openxmlformats.org/officeDocument/2006/relationships/hyperlink" Target="https://nyseguide.srorules.com/listed-company-manual/document?treeNodeId=csh-da-filter!WKUS-TAL-DOCS-PHC-%7B0588BF4A-D3B5-4B91-94EA-BE9F17057DF0%7D--WKUS_TAL_5667%23teid-66" TargetMode="External"/><Relationship Id="rId41" Type="http://schemas.openxmlformats.org/officeDocument/2006/relationships/hyperlink" Target="https://openai.com/blog/openai-lp/" TargetMode="External"/><Relationship Id="rId363" Type="http://schemas.openxmlformats.org/officeDocument/2006/relationships/hyperlink" Target="https://opencasebook.org/casebooks/1648-business-organizations/" TargetMode="External"/><Relationship Id="rId364" Type="http://schemas.openxmlformats.org/officeDocument/2006/relationships/hyperlink" Target="https://opencasebook.org/casebooks/397-securities-regulation-spring-2016/" TargetMode="External"/><Relationship Id="rId35" Type="http://schemas.openxmlformats.org/officeDocument/2006/relationships/hyperlink" Target="https://opportunity.businessroundtable.org/ourcommitment/" TargetMode="External"/><Relationship Id="rId287" Type="http://schemas.openxmlformats.org/officeDocument/2006/relationships/hyperlink" Target="https://perma.cc/TD93-PSAA" TargetMode="External"/><Relationship Id="rId20" Type="http://schemas.openxmlformats.org/officeDocument/2006/relationships/hyperlink" Target="https://support.microsoft.com/en-us/topic/the-styles-advantage-in-word-b4a6372f-188c-93cb-831b-c4dd0cb3a881" TargetMode="External"/><Relationship Id="rId144" Type="http://schemas.openxmlformats.org/officeDocument/2006/relationships/hyperlink" Target="https://supreme.justia.com/cases/federal/us/573/258/" TargetMode="External"/><Relationship Id="rId22" Type="http://schemas.openxmlformats.org/officeDocument/2006/relationships/hyperlink" Target="https://www.amherstma.gov/DocumentCenter/View/36571/10-Proof-of-Limited-Dividend?bidId=" TargetMode="External"/><Relationship Id="rId23" Type="http://schemas.openxmlformats.org/officeDocument/2006/relationships/hyperlink" Target="https://www.fdic.gov/buying/historical/structured/fnbn-cmlcon-i-llc/fnbn-cmlcon-operating-agreement.pdf" TargetMode="External"/><Relationship Id="rId30" Type="http://schemas.openxmlformats.org/officeDocument/2006/relationships/hyperlink" Target="https://www.govinfo.gov/content/pkg/COMPS-1885/pdf/COMPS-1885.pdf" TargetMode="External"/><Relationship Id="rId149" Type="http://schemas.openxmlformats.org/officeDocument/2006/relationships/hyperlink" Target="https://www.govinfo.gov/content/pkg/PLAW-107publ204/html/PLAW-107publ204.htm" TargetMode="External"/><Relationship Id="rId150" Type="http://schemas.openxmlformats.org/officeDocument/2006/relationships/hyperlink" Target="https://www.govinfo.gov/content/pkg/PLAW-111publ203/pdf/PLAW-111publ203.pdf" TargetMode="External"/><Relationship Id="rId145" Type="http://schemas.openxmlformats.org/officeDocument/2006/relationships/hyperlink" Target="https://www.law.cornell.edu/uscode/text/15/78dd-1" TargetMode="External"/><Relationship Id="rId146" Type="http://schemas.openxmlformats.org/officeDocument/2006/relationships/hyperlink" Target="https://www.law.cornell.edu/uscode/text/15/78dd-2" TargetMode="External"/><Relationship Id="rId148" Type="http://schemas.openxmlformats.org/officeDocument/2006/relationships/hyperlink" Target="https://www.law.cornell.edu/uscode/text/15/78m" TargetMode="External"/><Relationship Id="rId147" Type="http://schemas.openxmlformats.org/officeDocument/2006/relationships/hyperlink" Target="https://www.law.cornell.edu/uscode/text/31/5336" TargetMode="External"/><Relationship Id="rId24" Type="http://schemas.openxmlformats.org/officeDocument/2006/relationships/hyperlink" Target="https://www.sec.gov/Archives/edgar/data/1710904/000166919117000098/operatingagreement.pdf" TargetMode="External"/><Relationship Id="rId39" Type="http://schemas.openxmlformats.org/officeDocument/2006/relationships/hyperlink" Target="https://www.sec.gov/ix?doc=/Archives/edgar/data/1504776/000150477622000007/wrby-20211231.htm" TargetMode="External"/><Relationship Id="rId40" Type="http://schemas.openxmlformats.org/officeDocument/2006/relationships/hyperlink" Target="https://www.sec.gov/ix?doc=/Archives/edgar/data/1579733/000156459022009480/vitl-10k_20211226.htm" TargetMode="External"/><Relationship Id="rId38" Type="http://schemas.openxmlformats.org/officeDocument/2006/relationships/hyperlink" Target="https://www.sec.gov/ix?doc=/Archives/edgar/data/1651562/000095017022002807/cour-20211231.htm" TargetMode="External"/><Relationship Id="rId134" Type="http://schemas.openxmlformats.org/officeDocument/2006/relationships/hyperlink" Target="https://www.sec.gov/litigation/admin/34-47732.htm" TargetMode="External"/><Relationship Id="rId135" Type="http://schemas.openxmlformats.org/officeDocument/2006/relationships/hyperlink" Target="https://www.sec.gov/news/press-release/2022-215?utm_medium=email&amp;utm_source=govdelivery" TargetMode="External"/><Relationship Id="rId26" Type="http://schemas.openxmlformats.org/officeDocument/2006/relationships/hyperlink" Target="https://www.uniformlaws.org/HigherLogic/System/DownloadDocumentFile.ashx?DocumentFileKey=9e30c4d7-dbed-c173-dfc1-26394e60152d&amp;forceDialog=0" TargetMode="External"/><Relationship Id="rId34" Type="http://schemas.openxmlformats.org/officeDocument/2006/relationships/hyperlink" Target="https://www.youtube.com/watch?v=lPUBC2EuLZ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2025-08-25T16:20:19Z</dcterms:created>
  <dcterms:modified xsi:type="dcterms:W3CDTF">2025-08-25T16:20:19Z</dcterms:modified>
</cp:coreProperties>
</file>

<file path=docProps/custom.xml><?xml version="1.0" encoding="utf-8"?>
<Properties xmlns="http://schemas.openxmlformats.org/officeDocument/2006/custom-properties" xmlns:vt="http://schemas.openxmlformats.org/officeDocument/2006/docPropsVTypes"/>
</file>