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sz w:val="36"/>
          <w:szCs w:val="36"/>
        </w:rPr>
        <w:t xml:space="preserve">FIRST AMENDMENT</w:t>
      </w:r>
    </w:p>
    <w:p>
      <w:pPr>
        <w:spacing w:after="100" w:before="0"/>
        <w:jc w:val="center"/>
      </w:pPr>
      <w:r>
        <w:rPr>
          <w:rFonts w:ascii="Arial" w:cs="Arial" w:eastAsia="Arial" w:hAnsi="Arial"/>
          <w:b/>
          <w:bCs/>
          <w:sz w:val="30"/>
          <w:szCs w:val="30"/>
        </w:rPr>
        <w:t xml:space="preserve">BLACK LETTER LAW OUTLINE</w:t>
      </w:r>
    </w:p>
    <w:p>
      <w:pPr>
        <w:spacing w:after="100" w:before="0"/>
        <w:jc w:val="center"/>
      </w:pPr>
      <w:r>
        <w:rPr>
          <w:rFonts w:ascii="Arial" w:cs="Arial" w:eastAsia="Arial" w:hAnsi="Arial"/>
          <w:color w:val="666666"/>
          <w:sz w:val="22"/>
          <w:szCs w:val="22"/>
        </w:rPr>
        <w:t xml:space="preserve">Religion Clauses • Free Speech • Press • Association</w:t>
      </w:r>
    </w:p>
    <w:p>
      <w:pPr>
        <w:spacing w:after="400" w:before="0"/>
        <w:jc w:val="center"/>
      </w:pPr>
      <w:r>
        <w:rPr>
          <w:rFonts w:ascii="Arial" w:cs="Arial" w:eastAsia="Arial" w:hAnsi="Arial"/>
          <w:i/>
          <w:iCs/>
          <w:color w:val="888888"/>
          <w:sz w:val="20"/>
          <w:szCs w:val="20"/>
        </w:rPr>
        <w:t xml:space="preserve">NextGen UBE Content Scope — Constitutional Law</w:t>
      </w:r>
    </w:p>
    <w:p>
      <w:pPr>
        <w:pStyle w:val="Heading1"/>
        <w:spacing w:after="200" w:before="360"/>
      </w:pPr>
      <w:r>
        <w:rPr>
          <w:rFonts w:ascii="Arial" w:cs="Arial" w:eastAsia="Arial" w:hAnsi="Arial"/>
          <w:b/>
          <w:bCs/>
          <w:sz w:val="28"/>
          <w:szCs w:val="28"/>
        </w:rPr>
        <w:t xml:space="preserve">I. THE RELIGION CLAUSES</w:t>
      </w:r>
    </w:p>
    <w:p>
      <w:pPr>
        <w:spacing w:after="60" w:before="60"/>
        <w:ind w:left="360"/>
      </w:pPr>
      <w:r>
        <w:rPr>
          <w:rFonts w:ascii="Arial" w:cs="Arial" w:eastAsia="Arial" w:hAnsi="Arial"/>
          <w:sz w:val="21"/>
          <w:szCs w:val="21"/>
        </w:rPr>
        <w:t xml:space="preserve">The First Amendment provides: “Congress shall make no law respecting an establishment of religion, or prohibiting the free exercise thereof.” Both clauses are incorporated against the states through the Fourteenth Amendment.</w:t>
      </w:r>
    </w:p>
    <w:p>
      <w:pPr>
        <w:pStyle w:val="Heading2"/>
        <w:spacing w:after="160" w:before="280"/>
      </w:pPr>
      <w:r>
        <w:rPr>
          <w:rFonts w:ascii="Arial" w:cs="Arial" w:eastAsia="Arial" w:hAnsi="Arial"/>
          <w:b/>
          <w:bCs/>
          <w:sz w:val="24"/>
          <w:szCs w:val="24"/>
        </w:rPr>
        <w:t xml:space="preserve">A. The Establishment Clause</w:t>
      </w:r>
    </w:p>
    <w:p>
      <w:pPr>
        <w:pStyle w:val="Heading3"/>
        <w:spacing w:after="120" w:before="240"/>
      </w:pPr>
      <w:r>
        <w:rPr>
          <w:rFonts w:ascii="Arial" w:cs="Arial" w:eastAsia="Arial" w:hAnsi="Arial"/>
          <w:b/>
          <w:bCs/>
          <w:sz w:val="22"/>
          <w:szCs w:val="22"/>
        </w:rPr>
        <w:t xml:space="preserve">1. Incorporation</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Establishment Clause applies to the states through the Due Process Clause of the Fourteenth Amendment. </w:t>
      </w:r>
      <w:r>
        <w:rPr>
          <w:rFonts w:ascii="Arial" w:cs="Arial" w:eastAsia="Arial" w:hAnsi="Arial"/>
          <w:i/>
          <w:iCs/>
          <w:color w:val="444444"/>
          <w:sz w:val="20"/>
          <w:szCs w:val="20"/>
        </w:rPr>
        <w:t xml:space="preserve">Everson v. Board of Education, 330 U.S. 1 (1947).</w:t>
      </w:r>
    </w:p>
    <w:p>
      <w:pPr>
        <w:pStyle w:val="Heading3"/>
        <w:spacing w:after="120" w:before="240"/>
      </w:pPr>
      <w:r>
        <w:rPr>
          <w:rFonts w:ascii="Arial" w:cs="Arial" w:eastAsia="Arial" w:hAnsi="Arial"/>
          <w:b/>
          <w:bCs/>
          <w:sz w:val="22"/>
          <w:szCs w:val="22"/>
        </w:rPr>
        <w:t xml:space="preserve">2. Analytical Frameworks</w:t>
      </w:r>
    </w:p>
    <w:p>
      <w:pPr>
        <w:spacing w:after="100" w:before="200"/>
      </w:pPr>
      <w:r>
        <w:rPr>
          <w:rFonts w:ascii="Arial" w:cs="Arial" w:eastAsia="Arial" w:hAnsi="Arial"/>
          <w:b/>
          <w:bCs/>
          <w:i/>
          <w:iCs/>
          <w:sz w:val="21"/>
          <w:szCs w:val="21"/>
        </w:rPr>
        <w:t xml:space="preserve">a. The Lemon Test (Historically Dominant)</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government action violates the Establishment Clause if it (1) lacks a secular legislative purpose, (2) has a primary effect that advances or inhibits religion, or (3) fosters excessive government entanglement with religion. </w:t>
      </w:r>
      <w:r>
        <w:rPr>
          <w:rFonts w:ascii="Arial" w:cs="Arial" w:eastAsia="Arial" w:hAnsi="Arial"/>
          <w:i/>
          <w:iCs/>
          <w:color w:val="444444"/>
          <w:sz w:val="20"/>
          <w:szCs w:val="20"/>
        </w:rPr>
        <w:t xml:space="preserve">Lemon v. Kurtzman, 403 U.S. 602 (1971).</w:t>
      </w:r>
    </w:p>
    <w:p>
      <w:pPr>
        <w:spacing w:after="60" w:before="60"/>
        <w:ind w:left="360"/>
      </w:pPr>
      <w:r>
        <w:rPr>
          <w:rFonts w:ascii="Arial" w:cs="Arial" w:eastAsia="Arial" w:hAnsi="Arial"/>
          <w:sz w:val="21"/>
          <w:szCs w:val="21"/>
        </w:rPr>
        <w:t xml:space="preserve">Note: The Court has acknowledged Lemon’s shortcomings over the decades and has increasingly declined to apply it.</w:t>
      </w:r>
    </w:p>
    <w:p>
      <w:pPr>
        <w:spacing w:after="100" w:before="200"/>
      </w:pPr>
      <w:r>
        <w:rPr>
          <w:rFonts w:ascii="Arial" w:cs="Arial" w:eastAsia="Arial" w:hAnsi="Arial"/>
          <w:b/>
          <w:bCs/>
          <w:i/>
          <w:iCs/>
          <w:sz w:val="21"/>
          <w:szCs w:val="21"/>
        </w:rPr>
        <w:t xml:space="preserve">b. The Endorsement Test</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Government action violates the Establishment Clause if a reasonable observer would perceive the government as endorsing or disapproving of religion. </w:t>
      </w:r>
      <w:r>
        <w:rPr>
          <w:rFonts w:ascii="Arial" w:cs="Arial" w:eastAsia="Arial" w:hAnsi="Arial"/>
          <w:i/>
          <w:iCs/>
          <w:color w:val="444444"/>
          <w:sz w:val="20"/>
          <w:szCs w:val="20"/>
        </w:rPr>
        <w:t xml:space="preserve">Lynch v. Donnelly, 465 U.S. 668 (1984) (O’Connor, J., concurring); County of Allegheny v. ACLU, 492 U.S. 573 (1989).</w:t>
      </w:r>
    </w:p>
    <w:p>
      <w:pPr>
        <w:spacing w:after="100" w:before="200"/>
      </w:pPr>
      <w:r>
        <w:rPr>
          <w:rFonts w:ascii="Arial" w:cs="Arial" w:eastAsia="Arial" w:hAnsi="Arial"/>
          <w:b/>
          <w:bCs/>
          <w:i/>
          <w:iCs/>
          <w:sz w:val="21"/>
          <w:szCs w:val="21"/>
        </w:rPr>
        <w:t xml:space="preserve">c. The Coercion Test</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Government may not coerce anyone to support or participate in religion or its exercise. In the public-school context, even subtle and indirect coercion is impermissible because of the particular vulnerability of schoolchildren. </w:t>
      </w:r>
      <w:r>
        <w:rPr>
          <w:rFonts w:ascii="Arial" w:cs="Arial" w:eastAsia="Arial" w:hAnsi="Arial"/>
          <w:i/>
          <w:iCs/>
          <w:color w:val="444444"/>
          <w:sz w:val="20"/>
          <w:szCs w:val="20"/>
        </w:rPr>
        <w:t xml:space="preserve">Lee v. Weisman, 505 U.S. 577 (1992).</w:t>
      </w:r>
    </w:p>
    <w:p>
      <w:pPr>
        <w:spacing w:after="100" w:before="200"/>
      </w:pPr>
      <w:r>
        <w:rPr>
          <w:rFonts w:ascii="Arial" w:cs="Arial" w:eastAsia="Arial" w:hAnsi="Arial"/>
          <w:b/>
          <w:bCs/>
          <w:i/>
          <w:iCs/>
          <w:sz w:val="21"/>
          <w:szCs w:val="21"/>
        </w:rPr>
        <w:t xml:space="preserve">d. The Historical Practices and Understandings Test (Current Standard)</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Establishment Clause must be interpreted by reference to historical practices and understandings. The Court has abandoned Lemon and its endorsement-test offshoot in favor of this approach. </w:t>
      </w:r>
      <w:r>
        <w:rPr>
          <w:rFonts w:ascii="Arial" w:cs="Arial" w:eastAsia="Arial" w:hAnsi="Arial"/>
          <w:i/>
          <w:iCs/>
          <w:color w:val="444444"/>
          <w:sz w:val="20"/>
          <w:szCs w:val="20"/>
        </w:rPr>
        <w:t xml:space="preserve">Kennedy v. Bremerton School Dist., 597 U.S. 507 (2022); American Legion v. American Humanist Ass’n, 588 U.S. 29 (2019).</w:t>
      </w:r>
    </w:p>
    <w:p>
      <w:pPr>
        <w:pStyle w:val="Heading3"/>
        <w:spacing w:after="120" w:before="240"/>
      </w:pPr>
      <w:r>
        <w:rPr>
          <w:rFonts w:ascii="Arial" w:cs="Arial" w:eastAsia="Arial" w:hAnsi="Arial"/>
          <w:b/>
          <w:bCs/>
          <w:sz w:val="22"/>
          <w:szCs w:val="22"/>
        </w:rPr>
        <w:t xml:space="preserve">3. Religious Displays on Public Property</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longstanding religious monument or display on public land does not necessarily violate the Establishment Clause, particularly where it has acquired secular meaning through the passage of time. The Court applies the historical-practices framework, not Lemon, to such challenges. </w:t>
      </w:r>
      <w:r>
        <w:rPr>
          <w:rFonts w:ascii="Arial" w:cs="Arial" w:eastAsia="Arial" w:hAnsi="Arial"/>
          <w:i/>
          <w:iCs/>
          <w:color w:val="444444"/>
          <w:sz w:val="20"/>
          <w:szCs w:val="20"/>
        </w:rPr>
        <w:t xml:space="preserve">American Legion v. American Humanist Ass’n, 588 U.S. 29 (2019) (Bladensburg Peace Cross).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Context matters. A Ten Commandments display among other historical monuments on a state capitol’s grounds is permissible, but a display whose context reveals a predominantly religious purpose violates the Establishment Clause. </w:t>
      </w:r>
      <w:r>
        <w:rPr>
          <w:rFonts w:ascii="Arial" w:cs="Arial" w:eastAsia="Arial" w:hAnsi="Arial"/>
          <w:i/>
          <w:iCs/>
          <w:color w:val="444444"/>
          <w:sz w:val="20"/>
          <w:szCs w:val="20"/>
        </w:rPr>
        <w:t xml:space="preserve">Van Orden v. Perry, 545 U.S. 677 (2005) (display upheld); McCreary County v. ACLU of Ky., 545 U.S. 844 (2005) (display struck down).</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crèche displayed alone in a government building conveys an impermissible endorsement of religion. A Christmas display combining a menorah, Christmas tree, and sign saluting liberty does not. </w:t>
      </w:r>
      <w:r>
        <w:rPr>
          <w:rFonts w:ascii="Arial" w:cs="Arial" w:eastAsia="Arial" w:hAnsi="Arial"/>
          <w:i/>
          <w:iCs/>
          <w:color w:val="444444"/>
          <w:sz w:val="20"/>
          <w:szCs w:val="20"/>
        </w:rPr>
        <w:t xml:space="preserve">County of Allegheny v. ACLU, 492 U.S. 573 (1989).</w:t>
      </w:r>
    </w:p>
    <w:p>
      <w:pPr>
        <w:pStyle w:val="Heading3"/>
        <w:spacing w:after="120" w:before="240"/>
      </w:pPr>
      <w:r>
        <w:rPr>
          <w:rFonts w:ascii="Arial" w:cs="Arial" w:eastAsia="Arial" w:hAnsi="Arial"/>
          <w:b/>
          <w:bCs/>
          <w:sz w:val="22"/>
          <w:szCs w:val="22"/>
        </w:rPr>
        <w:t xml:space="preserve">4. Government Discrimination Among Religions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government may not prefer one religion over another. Legislative prayer, however, does not violate the Establishment Clause where it is consistent with the long tradition of opening legislative sessions with prayer. A legislature need not censor prayer content, but it may not coerce participation. </w:t>
      </w:r>
      <w:r>
        <w:rPr>
          <w:rFonts w:ascii="Arial" w:cs="Arial" w:eastAsia="Arial" w:hAnsi="Arial"/>
          <w:i/>
          <w:iCs/>
          <w:color w:val="444444"/>
          <w:sz w:val="20"/>
          <w:szCs w:val="20"/>
        </w:rPr>
        <w:t xml:space="preserve">Town of Greece v. Galloway, 572 U.S. 565 (2014); Marsh v. Chambers, 463 U.S. 783 (1983).</w:t>
      </w:r>
    </w:p>
    <w:p>
      <w:pPr>
        <w:pStyle w:val="Heading3"/>
        <w:spacing w:after="120" w:before="240"/>
      </w:pPr>
      <w:r>
        <w:rPr>
          <w:rFonts w:ascii="Arial" w:cs="Arial" w:eastAsia="Arial" w:hAnsi="Arial"/>
          <w:b/>
          <w:bCs/>
          <w:sz w:val="22"/>
          <w:szCs w:val="22"/>
        </w:rPr>
        <w:t xml:space="preserve">5. Financial Benefits to Religious Entities</w:t>
      </w:r>
    </w:p>
    <w:p>
      <w:pPr>
        <w:spacing w:after="100" w:before="200"/>
      </w:pPr>
      <w:r>
        <w:rPr>
          <w:rFonts w:ascii="Arial" w:cs="Arial" w:eastAsia="Arial" w:hAnsi="Arial"/>
          <w:b/>
          <w:bCs/>
          <w:i/>
          <w:iCs/>
          <w:sz w:val="21"/>
          <w:szCs w:val="21"/>
        </w:rPr>
        <w:t xml:space="preserve">a. Aid to Colleges and Hospitals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Government financial aid to religiously affiliated colleges and hospitals is generally permissible where the aid is secular in nature and the institutions are not pervasively sectarian. </w:t>
      </w:r>
      <w:r>
        <w:rPr>
          <w:rFonts w:ascii="Arial" w:cs="Arial" w:eastAsia="Arial" w:hAnsi="Arial"/>
          <w:i/>
          <w:iCs/>
          <w:color w:val="444444"/>
          <w:sz w:val="20"/>
          <w:szCs w:val="20"/>
        </w:rPr>
        <w:t xml:space="preserve">Tilton v. Richardson, 403 U.S. 672 (1971); Bradfield v. Roberts, 175 U.S. 291 (1899).</w:t>
      </w:r>
    </w:p>
    <w:p>
      <w:pPr>
        <w:spacing w:after="100" w:before="200"/>
      </w:pPr>
      <w:r>
        <w:rPr>
          <w:rFonts w:ascii="Arial" w:cs="Arial" w:eastAsia="Arial" w:hAnsi="Arial"/>
          <w:b/>
          <w:bCs/>
          <w:i/>
          <w:iCs/>
          <w:sz w:val="21"/>
          <w:szCs w:val="21"/>
        </w:rPr>
        <w:t xml:space="preserve">b. Aid to K–12 Schools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neutral government program that provides aid to a broad class of citizens, who in turn direct that aid to religious schools through their own genuine and independent private choices, does not violate the Establishment Clause. </w:t>
      </w:r>
      <w:r>
        <w:rPr>
          <w:rFonts w:ascii="Arial" w:cs="Arial" w:eastAsia="Arial" w:hAnsi="Arial"/>
          <w:i/>
          <w:iCs/>
          <w:color w:val="444444"/>
          <w:sz w:val="20"/>
          <w:szCs w:val="20"/>
        </w:rPr>
        <w:t xml:space="preserve">Zelman v. Simmons-Harris, 536 U.S. 639 (2002) (school vouchers upheld).</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Government may provide secular textbooks and instructional materials to religious schools on a neutral basis. </w:t>
      </w:r>
      <w:r>
        <w:rPr>
          <w:rFonts w:ascii="Arial" w:cs="Arial" w:eastAsia="Arial" w:hAnsi="Arial"/>
          <w:i/>
          <w:iCs/>
          <w:color w:val="444444"/>
          <w:sz w:val="20"/>
          <w:szCs w:val="20"/>
        </w:rPr>
        <w:t xml:space="preserve">Mitchell v. Helms, 530 U.S. 793 (2000); Board of Education v. Allen, 392 U.S. 236 (1968).</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If a state provides public funds for private education, the Free Exercise Clause forbids excluding religious schools from the program solely because they are religious (status-based exclusion) or because they teach religion (use-based exclusion). </w:t>
      </w:r>
      <w:r>
        <w:rPr>
          <w:rFonts w:ascii="Arial" w:cs="Arial" w:eastAsia="Arial" w:hAnsi="Arial"/>
          <w:i/>
          <w:iCs/>
          <w:color w:val="444444"/>
          <w:sz w:val="20"/>
          <w:szCs w:val="20"/>
        </w:rPr>
        <w:t xml:space="preserve">Espinoza v. Montana Dept. of Revenue, 591 U.S. 464 (2020) (status); Carson v. Makin, 596 U.S. 767 (2022) (use).</w:t>
      </w:r>
    </w:p>
    <w:p>
      <w:pPr>
        <w:pStyle w:val="Heading3"/>
        <w:spacing w:after="120" w:before="240"/>
      </w:pPr>
      <w:r>
        <w:rPr>
          <w:rFonts w:ascii="Arial" w:cs="Arial" w:eastAsia="Arial" w:hAnsi="Arial"/>
          <w:b/>
          <w:bCs/>
          <w:sz w:val="22"/>
          <w:szCs w:val="22"/>
        </w:rPr>
        <w:t xml:space="preserve">6. Prohibition on Government Discrimination Against Religion in Funding</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Where the government provides a generally available public benefit (e.g., playground resurfacing grants), it may not exclude an otherwise eligible recipient solely because the recipient is a religious organization. Such exclusion triggers strict scrutiny. </w:t>
      </w:r>
      <w:r>
        <w:rPr>
          <w:rFonts w:ascii="Arial" w:cs="Arial" w:eastAsia="Arial" w:hAnsi="Arial"/>
          <w:i/>
          <w:iCs/>
          <w:color w:val="444444"/>
          <w:sz w:val="20"/>
          <w:szCs w:val="20"/>
        </w:rPr>
        <w:t xml:space="preserve">Trinity Lutheran Church of Columbia, Inc. v. Comer, 582 U.S. 449 (2017).</w:t>
      </w:r>
    </w:p>
    <w:p>
      <w:pPr>
        <w:pStyle w:val="Heading3"/>
        <w:spacing w:after="120" w:before="240"/>
      </w:pPr>
      <w:r>
        <w:rPr>
          <w:rFonts w:ascii="Arial" w:cs="Arial" w:eastAsia="Arial" w:hAnsi="Arial"/>
          <w:b/>
          <w:bCs/>
          <w:sz w:val="22"/>
          <w:szCs w:val="22"/>
        </w:rPr>
        <w:t xml:space="preserve">7. Tax Exemptions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property-tax exemption for religious organizations does not violate the Establishment Clause where it is granted as part of a broader class of exemptions for nonprofit organizations. Indeed, taxing churches could produce greater entanglement than exempting them. </w:t>
      </w:r>
      <w:r>
        <w:rPr>
          <w:rFonts w:ascii="Arial" w:cs="Arial" w:eastAsia="Arial" w:hAnsi="Arial"/>
          <w:i/>
          <w:iCs/>
          <w:color w:val="444444"/>
          <w:sz w:val="20"/>
          <w:szCs w:val="20"/>
        </w:rPr>
        <w:t xml:space="preserve">Walz v. Tax Comm’n of City of New York, 397 U.S. 664 (1970).</w:t>
      </w:r>
    </w:p>
    <w:p>
      <w:pPr>
        <w:pStyle w:val="Heading3"/>
        <w:spacing w:after="120" w:before="240"/>
      </w:pPr>
      <w:r>
        <w:rPr>
          <w:rFonts w:ascii="Arial" w:cs="Arial" w:eastAsia="Arial" w:hAnsi="Arial"/>
          <w:b/>
          <w:bCs/>
          <w:sz w:val="22"/>
          <w:szCs w:val="22"/>
        </w:rPr>
        <w:t xml:space="preserve">8. Curriculum Controls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state may not prohibit the teaching of evolution or require the teaching of “creation science” alongside evolution, because such requirements have an impermissible religious purpose. </w:t>
      </w:r>
      <w:r>
        <w:rPr>
          <w:rFonts w:ascii="Arial" w:cs="Arial" w:eastAsia="Arial" w:hAnsi="Arial"/>
          <w:i/>
          <w:iCs/>
          <w:color w:val="444444"/>
          <w:sz w:val="20"/>
          <w:szCs w:val="20"/>
        </w:rPr>
        <w:t xml:space="preserve">Edwards v. Aguillard, 482 U.S. 578 (1987); Epperson v. Arkansas, 393 U.S. 97 (1968).</w:t>
      </w:r>
    </w:p>
    <w:p>
      <w:pPr>
        <w:pStyle w:val="Heading3"/>
        <w:spacing w:after="120" w:before="240"/>
      </w:pPr>
      <w:r>
        <w:rPr>
          <w:rFonts w:ascii="Arial" w:cs="Arial" w:eastAsia="Arial" w:hAnsi="Arial"/>
          <w:b/>
          <w:bCs/>
          <w:sz w:val="22"/>
          <w:szCs w:val="22"/>
        </w:rPr>
        <w:t xml:space="preserve">9. Religious Activities in Public Schools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State-sponsored prayer in public schools is unconstitutional, even if participation is nominally voluntary. </w:t>
      </w:r>
      <w:r>
        <w:rPr>
          <w:rFonts w:ascii="Arial" w:cs="Arial" w:eastAsia="Arial" w:hAnsi="Arial"/>
          <w:i/>
          <w:iCs/>
          <w:color w:val="444444"/>
          <w:sz w:val="20"/>
          <w:szCs w:val="20"/>
        </w:rPr>
        <w:t xml:space="preserve">Engel v. Vitale, 370 U.S. 421 (1962).</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Mandatory Bible readings and recitation of the Lord’s Prayer in public schools violate the Establishment Clause. </w:t>
      </w:r>
      <w:r>
        <w:rPr>
          <w:rFonts w:ascii="Arial" w:cs="Arial" w:eastAsia="Arial" w:hAnsi="Arial"/>
          <w:i/>
          <w:iCs/>
          <w:color w:val="444444"/>
          <w:sz w:val="20"/>
          <w:szCs w:val="20"/>
        </w:rPr>
        <w:t xml:space="preserve">Abington School Dist. v. Schempp, 374 U.S. 203 (1963).</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state statute authorizing a moment of silence “for meditation or voluntary prayer” violates the Establishment Clause if the legislative history reveals a religious purpose. </w:t>
      </w:r>
      <w:r>
        <w:rPr>
          <w:rFonts w:ascii="Arial" w:cs="Arial" w:eastAsia="Arial" w:hAnsi="Arial"/>
          <w:i/>
          <w:iCs/>
          <w:color w:val="444444"/>
          <w:sz w:val="20"/>
          <w:szCs w:val="20"/>
        </w:rPr>
        <w:t xml:space="preserve">Wallace v. Jaffree, 472 U.S. 38 (1985).</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Student-led, student-initiated prayer at a school football game, conducted over the school’s public-address system, violates the Establishment Clause because it bears the imprint of state action. </w:t>
      </w:r>
      <w:r>
        <w:rPr>
          <w:rFonts w:ascii="Arial" w:cs="Arial" w:eastAsia="Arial" w:hAnsi="Arial"/>
          <w:i/>
          <w:iCs/>
          <w:color w:val="444444"/>
          <w:sz w:val="20"/>
          <w:szCs w:val="20"/>
        </w:rPr>
        <w:t xml:space="preserve">Santa Fe Independent School Dist. v. Doe, 530 U.S. 290 (2000).</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Government-directed prayer at a public school graduation ceremony is unconstitutional due to the coercive pressure it places on students. </w:t>
      </w:r>
      <w:r>
        <w:rPr>
          <w:rFonts w:ascii="Arial" w:cs="Arial" w:eastAsia="Arial" w:hAnsi="Arial"/>
          <w:i/>
          <w:iCs/>
          <w:color w:val="444444"/>
          <w:sz w:val="20"/>
          <w:szCs w:val="20"/>
        </w:rPr>
        <w:t xml:space="preserve">Lee v. Weisman, 505 U.S. 577 (1992).</w:t>
      </w:r>
    </w:p>
    <w:p>
      <w:pPr>
        <w:pStyle w:val="Heading3"/>
        <w:spacing w:after="120" w:before="240"/>
      </w:pPr>
      <w:r>
        <w:rPr>
          <w:rFonts w:ascii="Arial" w:cs="Arial" w:eastAsia="Arial" w:hAnsi="Arial"/>
          <w:b/>
          <w:bCs/>
          <w:sz w:val="22"/>
          <w:szCs w:val="22"/>
        </w:rPr>
        <w:t xml:space="preserve">10. Accommodations for Religious Students and Equal Access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public school that makes its facilities available to noncurricular student groups must provide equal access to religious student groups. Exclusion of religious groups from a limited public forum constitutes viewpoint discrimination. </w:t>
      </w:r>
      <w:r>
        <w:rPr>
          <w:rFonts w:ascii="Arial" w:cs="Arial" w:eastAsia="Arial" w:hAnsi="Arial"/>
          <w:i/>
          <w:iCs/>
          <w:color w:val="444444"/>
          <w:sz w:val="20"/>
          <w:szCs w:val="20"/>
        </w:rPr>
        <w:t xml:space="preserve">Good News Club v. Milford Central School, 533 U.S. 98 (2001); Widmar v. Vincent, 454 U.S. 263 (1981).</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public university may condition official recognition on an “all-comers” policy requiring student groups to accept all students, even where this policy burdens a religious group’s ability to restrict membership. </w:t>
      </w:r>
      <w:r>
        <w:rPr>
          <w:rFonts w:ascii="Arial" w:cs="Arial" w:eastAsia="Arial" w:hAnsi="Arial"/>
          <w:i/>
          <w:iCs/>
          <w:color w:val="444444"/>
          <w:sz w:val="20"/>
          <w:szCs w:val="20"/>
        </w:rPr>
        <w:t xml:space="preserve">Christian Legal Society v. Martinez, 561 U.S. 661 (2010).</w:t>
      </w:r>
    </w:p>
    <w:p>
      <w:r>
        <w:br w:type="page"/>
      </w:r>
    </w:p>
    <w:p>
      <w:pPr>
        <w:pStyle w:val="Heading2"/>
        <w:spacing w:after="160" w:before="280"/>
      </w:pPr>
      <w:r>
        <w:rPr>
          <w:rFonts w:ascii="Arial" w:cs="Arial" w:eastAsia="Arial" w:hAnsi="Arial"/>
          <w:b/>
          <w:bCs/>
          <w:sz w:val="24"/>
          <w:szCs w:val="24"/>
        </w:rPr>
        <w:t xml:space="preserve">B. The Free Exercise Clause</w:t>
      </w:r>
    </w:p>
    <w:p>
      <w:pPr>
        <w:pStyle w:val="Heading3"/>
        <w:spacing w:after="120" w:before="240"/>
      </w:pPr>
      <w:r>
        <w:rPr>
          <w:rFonts w:ascii="Arial" w:cs="Arial" w:eastAsia="Arial" w:hAnsi="Arial"/>
          <w:b/>
          <w:bCs/>
          <w:sz w:val="22"/>
          <w:szCs w:val="22"/>
        </w:rPr>
        <w:t xml:space="preserve">1. Incorporation</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Free Exercise Clause applies to the states through the Fourteenth Amendment. </w:t>
      </w:r>
      <w:r>
        <w:rPr>
          <w:rFonts w:ascii="Arial" w:cs="Arial" w:eastAsia="Arial" w:hAnsi="Arial"/>
          <w:i/>
          <w:iCs/>
          <w:color w:val="444444"/>
          <w:sz w:val="20"/>
          <w:szCs w:val="20"/>
        </w:rPr>
        <w:t xml:space="preserve">Cantwell v. Connecticut, 310 U.S. 296 (1940).</w:t>
      </w:r>
    </w:p>
    <w:p>
      <w:pPr>
        <w:pStyle w:val="Heading3"/>
        <w:spacing w:after="120" w:before="240"/>
      </w:pPr>
      <w:r>
        <w:rPr>
          <w:rFonts w:ascii="Arial" w:cs="Arial" w:eastAsia="Arial" w:hAnsi="Arial"/>
          <w:b/>
          <w:bCs/>
          <w:sz w:val="22"/>
          <w:szCs w:val="22"/>
        </w:rPr>
        <w:t xml:space="preserve">2. Meaning of “Religious Belief”</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Free Exercise Clause protects sincere religious beliefs; courts may not evaluate the truth of religious claims but may assess sincerity. The belief need not be part of an organized religion or a traditional denomination. </w:t>
      </w:r>
      <w:r>
        <w:rPr>
          <w:rFonts w:ascii="Arial" w:cs="Arial" w:eastAsia="Arial" w:hAnsi="Arial"/>
          <w:i/>
          <w:iCs/>
          <w:color w:val="444444"/>
          <w:sz w:val="20"/>
          <w:szCs w:val="20"/>
        </w:rPr>
        <w:t xml:space="preserve">Thomas v. Review Board, 450 U.S. 707 (1981); United States v. Seeger, 380 U.S. 163 (1965); Frazee v. Illinois Dept. of Employment Security, 489 U.S. 829 (1989).</w:t>
      </w:r>
    </w:p>
    <w:p>
      <w:pPr>
        <w:pStyle w:val="Heading3"/>
        <w:spacing w:after="120" w:before="240"/>
      </w:pPr>
      <w:r>
        <w:rPr>
          <w:rFonts w:ascii="Arial" w:cs="Arial" w:eastAsia="Arial" w:hAnsi="Arial"/>
          <w:b/>
          <w:bCs/>
          <w:sz w:val="22"/>
          <w:szCs w:val="22"/>
        </w:rPr>
        <w:t xml:space="preserve">3. The Smith Rule: Neutral, Generally Applicable Laws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neutral law of general applicability that incidentally burdens religious exercise does not violate the Free Exercise Clause and need not be justified by a compelling governmental interest. The Free Exercise Clause does not relieve an individual of the obligation to comply with a valid and neutral law of general applicability on the ground that the law proscribes conduct that his religion prescribes. </w:t>
      </w:r>
      <w:r>
        <w:rPr>
          <w:rFonts w:ascii="Arial" w:cs="Arial" w:eastAsia="Arial" w:hAnsi="Arial"/>
          <w:i/>
          <w:iCs/>
          <w:color w:val="444444"/>
          <w:sz w:val="20"/>
          <w:szCs w:val="20"/>
        </w:rPr>
        <w:t xml:space="preserve">Employment Division v. Smith, 494 U.S. 872 (1990).</w:t>
      </w:r>
    </w:p>
    <w:p>
      <w:pPr>
        <w:pStyle w:val="Heading3"/>
        <w:spacing w:after="120" w:before="240"/>
      </w:pPr>
      <w:r>
        <w:rPr>
          <w:rFonts w:ascii="Arial" w:cs="Arial" w:eastAsia="Arial" w:hAnsi="Arial"/>
          <w:b/>
          <w:bCs/>
          <w:sz w:val="22"/>
          <w:szCs w:val="22"/>
        </w:rPr>
        <w:t xml:space="preserve">4. Exceptions to Smith</w:t>
      </w:r>
    </w:p>
    <w:p>
      <w:pPr>
        <w:spacing w:after="100" w:before="200"/>
      </w:pPr>
      <w:r>
        <w:rPr>
          <w:rFonts w:ascii="Arial" w:cs="Arial" w:eastAsia="Arial" w:hAnsi="Arial"/>
          <w:b/>
          <w:bCs/>
          <w:i/>
          <w:iCs/>
          <w:sz w:val="21"/>
          <w:szCs w:val="21"/>
        </w:rPr>
        <w:t xml:space="preserve">a. Non-neutral or Non-generally-Applicable Laws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law that is not neutral or not generally applicable—i.e., one that targets religious conduct—must satisfy strict scrutiny: it must be narrowly tailored to serve a compelling governmental interest. </w:t>
      </w:r>
      <w:r>
        <w:rPr>
          <w:rFonts w:ascii="Arial" w:cs="Arial" w:eastAsia="Arial" w:hAnsi="Arial"/>
          <w:i/>
          <w:iCs/>
          <w:color w:val="444444"/>
          <w:sz w:val="20"/>
          <w:szCs w:val="20"/>
        </w:rPr>
        <w:t xml:space="preserve">Church of the Lukumi Babalu Aye, Inc. v. City of Hialeah, 508 U.S. 520 (1993).</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law is not generally applicable if it provides a mechanism for individualized exemptions (secular) but denies comparable exemptions for religious exercise. </w:t>
      </w:r>
      <w:r>
        <w:rPr>
          <w:rFonts w:ascii="Arial" w:cs="Arial" w:eastAsia="Arial" w:hAnsi="Arial"/>
          <w:i/>
          <w:iCs/>
          <w:color w:val="444444"/>
          <w:sz w:val="20"/>
          <w:szCs w:val="20"/>
        </w:rPr>
        <w:t xml:space="preserve">Fulton v. Philadelphia, 593 U.S. 522 (2021).</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law is not neutral and generally applicable if it treats any comparable secular activity more favorably than religious exercise. </w:t>
      </w:r>
      <w:r>
        <w:rPr>
          <w:rFonts w:ascii="Arial" w:cs="Arial" w:eastAsia="Arial" w:hAnsi="Arial"/>
          <w:i/>
          <w:iCs/>
          <w:color w:val="444444"/>
          <w:sz w:val="20"/>
          <w:szCs w:val="20"/>
        </w:rPr>
        <w:t xml:space="preserve">Tandon v. Newsom, 593 U.S. 61 (2021) (per curiam).</w:t>
      </w:r>
    </w:p>
    <w:p>
      <w:pPr>
        <w:spacing w:after="100" w:before="200"/>
      </w:pPr>
      <w:r>
        <w:rPr>
          <w:rFonts w:ascii="Arial" w:cs="Arial" w:eastAsia="Arial" w:hAnsi="Arial"/>
          <w:b/>
          <w:bCs/>
          <w:i/>
          <w:iCs/>
          <w:sz w:val="21"/>
          <w:szCs w:val="21"/>
        </w:rPr>
        <w:t xml:space="preserve">b. The Sherbert Compelling-Interest Test (Pre-Smith / RFRA Context)</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Under the framework that governed before Smith (and that RFRA restored for federal law), a law that substantially burdens a sincerely held religious belief must be justified by a compelling governmental interest and must use the least restrictive means. </w:t>
      </w:r>
      <w:r>
        <w:rPr>
          <w:rFonts w:ascii="Arial" w:cs="Arial" w:eastAsia="Arial" w:hAnsi="Arial"/>
          <w:i/>
          <w:iCs/>
          <w:color w:val="444444"/>
          <w:sz w:val="20"/>
          <w:szCs w:val="20"/>
        </w:rPr>
        <w:t xml:space="preserve">Sherbert v. Verner, 374 U.S. 398 (1963); Wisconsin v. Yoder, 406 U.S. 205 (1972).</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Under Sherbert, states could not deny unemployment benefits to individuals who lost their jobs because of Sabbath observance or sincerely held religious convictions against certain work. </w:t>
      </w:r>
      <w:r>
        <w:rPr>
          <w:rFonts w:ascii="Arial" w:cs="Arial" w:eastAsia="Arial" w:hAnsi="Arial"/>
          <w:i/>
          <w:iCs/>
          <w:color w:val="444444"/>
          <w:sz w:val="20"/>
          <w:szCs w:val="20"/>
        </w:rPr>
        <w:t xml:space="preserve">Sherbert v. Verner (1963); Thomas v. Review Board (1981); Hobbie v. Unemployment Appeals Comm’n, 480 U.S. 136 (1987).</w:t>
      </w:r>
    </w:p>
    <w:p>
      <w:pPr>
        <w:spacing w:after="100" w:before="200"/>
      </w:pPr>
      <w:r>
        <w:rPr>
          <w:rFonts w:ascii="Arial" w:cs="Arial" w:eastAsia="Arial" w:hAnsi="Arial"/>
          <w:b/>
          <w:bCs/>
          <w:i/>
          <w:iCs/>
          <w:sz w:val="21"/>
          <w:szCs w:val="21"/>
        </w:rPr>
        <w:t xml:space="preserve">c. Hybrid Rights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Smith acknowledged that the Free Exercise Clause, in conjunction with other constitutional protections (e.g., free speech, parental rights), may require exemptions from neutral, generally applicable laws. </w:t>
      </w:r>
      <w:r>
        <w:rPr>
          <w:rFonts w:ascii="Arial" w:cs="Arial" w:eastAsia="Arial" w:hAnsi="Arial"/>
          <w:i/>
          <w:iCs/>
          <w:color w:val="444444"/>
          <w:sz w:val="20"/>
          <w:szCs w:val="20"/>
        </w:rPr>
        <w:t xml:space="preserve">Employment Division v. Smith, 494 U.S. 872 (1990) (citing Wisconsin v. Yoder (1972)).</w:t>
      </w:r>
    </w:p>
    <w:p>
      <w:pPr>
        <w:pStyle w:val="Heading3"/>
        <w:spacing w:after="120" w:before="240"/>
      </w:pPr>
      <w:r>
        <w:rPr>
          <w:rFonts w:ascii="Arial" w:cs="Arial" w:eastAsia="Arial" w:hAnsi="Arial"/>
          <w:b/>
          <w:bCs/>
          <w:sz w:val="22"/>
          <w:szCs w:val="22"/>
        </w:rPr>
        <w:t xml:space="preserve">5. Exemptions from Antidiscrimination Laws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Government cannot apply antidiscrimination laws in a manner that exhibits hostility toward religion. Where adjudicatory proceedings reveal overt hostility to religious beliefs, the resulting order violates Free Exercise. </w:t>
      </w:r>
      <w:r>
        <w:rPr>
          <w:rFonts w:ascii="Arial" w:cs="Arial" w:eastAsia="Arial" w:hAnsi="Arial"/>
          <w:i/>
          <w:iCs/>
          <w:color w:val="444444"/>
          <w:sz w:val="20"/>
          <w:szCs w:val="20"/>
        </w:rPr>
        <w:t xml:space="preserve">Masterpiece Cakeshop, Ltd. v. Colorado Civil Rights Comm’n, 584 U.S. 617 (2018).</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Free Speech Clause prohibits a state from compelling an individual to create expressive works that convey a message with which the creator disagrees, even under a public-accommodations law. </w:t>
      </w:r>
      <w:r>
        <w:rPr>
          <w:rFonts w:ascii="Arial" w:cs="Arial" w:eastAsia="Arial" w:hAnsi="Arial"/>
          <w:i/>
          <w:iCs/>
          <w:color w:val="444444"/>
          <w:sz w:val="20"/>
          <w:szCs w:val="20"/>
        </w:rPr>
        <w:t xml:space="preserve">303 Creative LLC v. Elenis, 600 U.S. 570 (2023).</w:t>
      </w:r>
    </w:p>
    <w:p>
      <w:pPr>
        <w:pStyle w:val="Heading3"/>
        <w:spacing w:after="120" w:before="240"/>
      </w:pPr>
      <w:r>
        <w:rPr>
          <w:rFonts w:ascii="Arial" w:cs="Arial" w:eastAsia="Arial" w:hAnsi="Arial"/>
          <w:b/>
          <w:bCs/>
          <w:sz w:val="22"/>
          <w:szCs w:val="22"/>
        </w:rPr>
        <w:t xml:space="preserve">6. RFRA and RLUIPA</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Religious Freedom Restoration Act (1993) restored the Sherbert compelling-interest test as a statutory matter for challenges to federal law. The Supreme Court struck down RFRA as applied to the states. </w:t>
      </w:r>
      <w:r>
        <w:rPr>
          <w:rFonts w:ascii="Arial" w:cs="Arial" w:eastAsia="Arial" w:hAnsi="Arial"/>
          <w:i/>
          <w:iCs/>
          <w:color w:val="444444"/>
          <w:sz w:val="20"/>
          <w:szCs w:val="20"/>
        </w:rPr>
        <w:t xml:space="preserve">City of Boerne v. Flores, 521 U.S. 507 (1997).</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RFRA remains valid as applied to the federal government and requires strict scrutiny of substantial burdens on religious exercise. </w:t>
      </w:r>
      <w:r>
        <w:rPr>
          <w:rFonts w:ascii="Arial" w:cs="Arial" w:eastAsia="Arial" w:hAnsi="Arial"/>
          <w:i/>
          <w:iCs/>
          <w:color w:val="444444"/>
          <w:sz w:val="20"/>
          <w:szCs w:val="20"/>
        </w:rPr>
        <w:t xml:space="preserve">Gonzales v. O Centro Espírita Beneficente União do Vegetal, 546 U.S. 418 (2006); Burwell v. Hobby Lobby Stores, Inc., 573 U.S. 682 (2014).</w:t>
      </w:r>
    </w:p>
    <w:p>
      <w:r>
        <w:br w:type="page"/>
      </w:r>
    </w:p>
    <w:p>
      <w:pPr>
        <w:pStyle w:val="Heading1"/>
        <w:spacing w:after="200" w:before="360"/>
      </w:pPr>
      <w:r>
        <w:rPr>
          <w:rFonts w:ascii="Arial" w:cs="Arial" w:eastAsia="Arial" w:hAnsi="Arial"/>
          <w:b/>
          <w:bCs/>
          <w:sz w:val="28"/>
          <w:szCs w:val="28"/>
        </w:rPr>
        <w:t xml:space="preserve">II. THE FREE-SPEECH CLAUSE</w:t>
      </w:r>
    </w:p>
    <w:p>
      <w:pPr>
        <w:pStyle w:val="Heading2"/>
        <w:spacing w:after="160" w:before="280"/>
      </w:pPr>
      <w:r>
        <w:rPr>
          <w:rFonts w:ascii="Arial" w:cs="Arial" w:eastAsia="Arial" w:hAnsi="Arial"/>
          <w:b/>
          <w:bCs/>
          <w:sz w:val="24"/>
          <w:szCs w:val="24"/>
        </w:rPr>
        <w:t xml:space="preserve">A. Content-Based Regulation of Protected Expression</w:t>
      </w:r>
    </w:p>
    <w:p>
      <w:pPr>
        <w:pStyle w:val="Heading3"/>
        <w:spacing w:after="120" w:before="240"/>
      </w:pPr>
      <w:r>
        <w:rPr>
          <w:rFonts w:ascii="Arial" w:cs="Arial" w:eastAsia="Arial" w:hAnsi="Arial"/>
          <w:b/>
          <w:bCs/>
          <w:sz w:val="22"/>
          <w:szCs w:val="22"/>
        </w:rPr>
        <w:t xml:space="preserve">1. The Presumption Against Content-Based Laws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Content-based laws—those that target speech based on its communicative content—are presumptively unconstitutional and must satisfy strict scrutiny: the government must prove that the restriction is narrowly tailored to serve a compelling governmental interest. </w:t>
      </w:r>
      <w:r>
        <w:rPr>
          <w:rFonts w:ascii="Arial" w:cs="Arial" w:eastAsia="Arial" w:hAnsi="Arial"/>
          <w:i/>
          <w:iCs/>
          <w:color w:val="444444"/>
          <w:sz w:val="20"/>
          <w:szCs w:val="20"/>
        </w:rPr>
        <w:t xml:space="preserve">Reed v. Town of Gilbert, 576 U.S. 155 (2015).</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law is content-based if it draws distinctions based on the message a speaker conveys. This includes laws that define regulated speech by its function or purpose, even if they do not target a particular viewpoint. </w:t>
      </w:r>
      <w:r>
        <w:rPr>
          <w:rFonts w:ascii="Arial" w:cs="Arial" w:eastAsia="Arial" w:hAnsi="Arial"/>
          <w:i/>
          <w:iCs/>
          <w:color w:val="444444"/>
          <w:sz w:val="20"/>
          <w:szCs w:val="20"/>
        </w:rPr>
        <w:t xml:space="preserve">Reed v. Town of Gilbert (2015); Barr v. American Ass’n of Political Consultants, Inc., 591 U.S. 610 (2020).</w:t>
      </w:r>
    </w:p>
    <w:p>
      <w:pPr>
        <w:pStyle w:val="Heading3"/>
        <w:spacing w:after="120" w:before="240"/>
      </w:pPr>
      <w:r>
        <w:rPr>
          <w:rFonts w:ascii="Arial" w:cs="Arial" w:eastAsia="Arial" w:hAnsi="Arial"/>
          <w:b/>
          <w:bCs/>
          <w:sz w:val="22"/>
          <w:szCs w:val="22"/>
        </w:rPr>
        <w:t xml:space="preserve">2. Viewpoint Discrimination</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Viewpoint discrimination is an egregious form of content discrimination. The government may not suppress speech based on the speaker’s ideology, opinion, or perspective. </w:t>
      </w:r>
      <w:r>
        <w:rPr>
          <w:rFonts w:ascii="Arial" w:cs="Arial" w:eastAsia="Arial" w:hAnsi="Arial"/>
          <w:i/>
          <w:iCs/>
          <w:color w:val="444444"/>
          <w:sz w:val="20"/>
          <w:szCs w:val="20"/>
        </w:rPr>
        <w:t xml:space="preserve">Rosenberger v. Rector &amp; Visitors of University of Virginia, 515 U.S. 819 (1995); R.A.V. v. City of St. Paul, 505 U.S. 377 (1992).</w:t>
      </w:r>
    </w:p>
    <w:p>
      <w:pPr>
        <w:pStyle w:val="Heading3"/>
        <w:spacing w:after="120" w:before="240"/>
      </w:pPr>
      <w:r>
        <w:rPr>
          <w:rFonts w:ascii="Arial" w:cs="Arial" w:eastAsia="Arial" w:hAnsi="Arial"/>
          <w:b/>
          <w:bCs/>
          <w:sz w:val="22"/>
          <w:szCs w:val="22"/>
        </w:rPr>
        <w:t xml:space="preserve">3. Strict Scrutiny Application</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Under strict scrutiny, the government must demonstrate that its restriction serves a compelling interest and is the least restrictive means of achieving that interest. Content-based restrictions rarely survive this standard. </w:t>
      </w:r>
      <w:r>
        <w:rPr>
          <w:rFonts w:ascii="Arial" w:cs="Arial" w:eastAsia="Arial" w:hAnsi="Arial"/>
          <w:i/>
          <w:iCs/>
          <w:color w:val="444444"/>
          <w:sz w:val="20"/>
          <w:szCs w:val="20"/>
        </w:rPr>
        <w:t xml:space="preserve">United States v. Playboy Entertainment Group, Inc., 529 U.S. 803 (2000); Reed v. Town of Gilbert (2015).</w:t>
      </w:r>
    </w:p>
    <w:p>
      <w:pPr>
        <w:pStyle w:val="Heading3"/>
        <w:spacing w:after="120" w:before="240"/>
      </w:pPr>
      <w:r>
        <w:rPr>
          <w:rFonts w:ascii="Arial" w:cs="Arial" w:eastAsia="Arial" w:hAnsi="Arial"/>
          <w:b/>
          <w:bCs/>
          <w:sz w:val="22"/>
          <w:szCs w:val="22"/>
        </w:rPr>
        <w:t xml:space="preserve">4. Content-Based vs. Content-Neutral: The Dividing Line</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facially content-neutral law that cannot be justified without reference to the content of the regulated speech is content-based. If a law on its face draws distinctions based on the message a speaker conveys, that law is content-based regardless of the government’s benign motive. </w:t>
      </w:r>
      <w:r>
        <w:rPr>
          <w:rFonts w:ascii="Arial" w:cs="Arial" w:eastAsia="Arial" w:hAnsi="Arial"/>
          <w:i/>
          <w:iCs/>
          <w:color w:val="444444"/>
          <w:sz w:val="20"/>
          <w:szCs w:val="20"/>
        </w:rPr>
        <w:t xml:space="preserve">Reed v. Town of Gilbert (2015).</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However, not all laws that require reading a sign to determine its category are content-based. A law distinguishing between on-premises and off-premises signs does not require strict scrutiny if the distinction is based on location rather than communicative content. </w:t>
      </w:r>
      <w:r>
        <w:rPr>
          <w:rFonts w:ascii="Arial" w:cs="Arial" w:eastAsia="Arial" w:hAnsi="Arial"/>
          <w:i/>
          <w:iCs/>
          <w:color w:val="444444"/>
          <w:sz w:val="20"/>
          <w:szCs w:val="20"/>
        </w:rPr>
        <w:t xml:space="preserve">City of Austin v. Reagan National Advertising of Austin, LLC, 596 U.S. 61 (2022).</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Laws of general applicability that do not target speech at all—such as antitrust or tax laws—do not trigger First Amendment scrutiny simply because compliance may incidentally burden speech. </w:t>
      </w:r>
      <w:r>
        <w:rPr>
          <w:rFonts w:ascii="Arial" w:cs="Arial" w:eastAsia="Arial" w:hAnsi="Arial"/>
          <w:i/>
          <w:iCs/>
          <w:color w:val="444444"/>
          <w:sz w:val="20"/>
          <w:szCs w:val="20"/>
        </w:rPr>
        <w:t xml:space="preserve">Cohen v. Cowles Media Co., 501 U.S. 663 (1991); Rumsfeld v. Forum for Academic and Institutional Rights, Inc., 547 U.S. 47 (2006).</w:t>
      </w:r>
    </w:p>
    <w:p>
      <w:pPr>
        <w:pStyle w:val="Heading2"/>
        <w:spacing w:after="160" w:before="280"/>
      </w:pPr>
      <w:r>
        <w:rPr>
          <w:rFonts w:ascii="Arial" w:cs="Arial" w:eastAsia="Arial" w:hAnsi="Arial"/>
          <w:b/>
          <w:bCs/>
          <w:sz w:val="24"/>
          <w:szCs w:val="24"/>
        </w:rPr>
        <w:t xml:space="preserve">B. Content-Neutral Regulation and Forum Designations</w:t>
      </w:r>
    </w:p>
    <w:p>
      <w:pPr>
        <w:pStyle w:val="Heading3"/>
        <w:spacing w:after="120" w:before="240"/>
      </w:pPr>
      <w:r>
        <w:rPr>
          <w:rFonts w:ascii="Arial" w:cs="Arial" w:eastAsia="Arial" w:hAnsi="Arial"/>
          <w:b/>
          <w:bCs/>
          <w:sz w:val="22"/>
          <w:szCs w:val="22"/>
        </w:rPr>
        <w:t xml:space="preserve">1. Content-Neutral Restrictions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Content-neutral regulations of speech—those justified without reference to the content of the regulated speech—are subject to intermediate scrutiny: they must be narrowly tailored to serve a significant governmental interest and must leave open ample alternative channels of communication. </w:t>
      </w:r>
      <w:r>
        <w:rPr>
          <w:rFonts w:ascii="Arial" w:cs="Arial" w:eastAsia="Arial" w:hAnsi="Arial"/>
          <w:i/>
          <w:iCs/>
          <w:color w:val="444444"/>
          <w:sz w:val="20"/>
          <w:szCs w:val="20"/>
        </w:rPr>
        <w:t xml:space="preserve">Ward v. Rock Against Racism, 491 U.S. 781 (1989); Clark v. Community for Creative Non-Violence, 468 U.S. 288 (1984).</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“Narrowly tailored” in the content-neutral context does not require the least restrictive means; it requires only that the regulation not burden substantially more speech than necessary to further the government’s interest. </w:t>
      </w:r>
      <w:r>
        <w:rPr>
          <w:rFonts w:ascii="Arial" w:cs="Arial" w:eastAsia="Arial" w:hAnsi="Arial"/>
          <w:i/>
          <w:iCs/>
          <w:color w:val="444444"/>
          <w:sz w:val="20"/>
          <w:szCs w:val="20"/>
        </w:rPr>
        <w:t xml:space="preserve">Ward v. Rock Against Racism (1989).</w:t>
      </w:r>
    </w:p>
    <w:p>
      <w:pPr>
        <w:pStyle w:val="Heading3"/>
        <w:spacing w:after="120" w:before="240"/>
      </w:pPr>
      <w:r>
        <w:rPr>
          <w:rFonts w:ascii="Arial" w:cs="Arial" w:eastAsia="Arial" w:hAnsi="Arial"/>
          <w:b/>
          <w:bCs/>
          <w:sz w:val="22"/>
          <w:szCs w:val="22"/>
        </w:rPr>
        <w:t xml:space="preserve">2. Forum Analysis</w:t>
      </w:r>
    </w:p>
    <w:p>
      <w:pPr>
        <w:spacing w:after="100" w:before="200"/>
      </w:pPr>
      <w:r>
        <w:rPr>
          <w:rFonts w:ascii="Arial" w:cs="Arial" w:eastAsia="Arial" w:hAnsi="Arial"/>
          <w:b/>
          <w:bCs/>
          <w:i/>
          <w:iCs/>
          <w:sz w:val="21"/>
          <w:szCs w:val="21"/>
        </w:rPr>
        <w:t xml:space="preserve">a. Traditional Public Forum</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Streets, sidewalks, and parks that have been used for assembly, communication, and public debate since time immemorial are traditional public forums. Content-based restrictions must satisfy strict scrutiny; content-neutral time, place, and manner restrictions must satisfy intermediate scrutiny. </w:t>
      </w:r>
      <w:r>
        <w:rPr>
          <w:rFonts w:ascii="Arial" w:cs="Arial" w:eastAsia="Arial" w:hAnsi="Arial"/>
          <w:i/>
          <w:iCs/>
          <w:color w:val="444444"/>
          <w:sz w:val="20"/>
          <w:szCs w:val="20"/>
        </w:rPr>
        <w:t xml:space="preserve">Perry Education Ass’n v. Perry Local Educators’ Ass’n, 460 U.S. 37 (1983); United States v. Grace, 461 U.S. 171 (1983).</w:t>
      </w:r>
    </w:p>
    <w:p>
      <w:pPr>
        <w:spacing w:after="100" w:before="200"/>
      </w:pPr>
      <w:r>
        <w:rPr>
          <w:rFonts w:ascii="Arial" w:cs="Arial" w:eastAsia="Arial" w:hAnsi="Arial"/>
          <w:b/>
          <w:bCs/>
          <w:i/>
          <w:iCs/>
          <w:sz w:val="21"/>
          <w:szCs w:val="21"/>
        </w:rPr>
        <w:t xml:space="preserve">b. Designated (Limited) Public Forum</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When the government intentionally opens a nontraditional forum for public discourse (or for particular types of speakers or subjects), it is bound by the same standards as apply in a traditional public forum—within the scope of the designation. The government may restrict access to a limited public forum to certain groups or topics, provided the distinctions are reasonable and viewpoint-neutral. </w:t>
      </w:r>
      <w:r>
        <w:rPr>
          <w:rFonts w:ascii="Arial" w:cs="Arial" w:eastAsia="Arial" w:hAnsi="Arial"/>
          <w:i/>
          <w:iCs/>
          <w:color w:val="444444"/>
          <w:sz w:val="20"/>
          <w:szCs w:val="20"/>
        </w:rPr>
        <w:t xml:space="preserve">Perry Education Ass’n (1983); Cornelius v. NAACP Legal Defense &amp; Educational Fund, Inc., 473 U.S. 788 (1985); Rosenberger v. Rector &amp; Visitors of University of Virginia (1995).</w:t>
      </w:r>
    </w:p>
    <w:p>
      <w:pPr>
        <w:spacing w:after="100" w:before="200"/>
      </w:pPr>
      <w:r>
        <w:rPr>
          <w:rFonts w:ascii="Arial" w:cs="Arial" w:eastAsia="Arial" w:hAnsi="Arial"/>
          <w:b/>
          <w:bCs/>
          <w:i/>
          <w:iCs/>
          <w:sz w:val="21"/>
          <w:szCs w:val="21"/>
        </w:rPr>
        <w:t xml:space="preserve">c. Nonpublic Forum</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Government property that is not a traditional or designated public forum may be subject to speech restrictions that are reasonable and not based on the speaker’s viewpoint. The government need not meet strict scrutiny. </w:t>
      </w:r>
      <w:r>
        <w:rPr>
          <w:rFonts w:ascii="Arial" w:cs="Arial" w:eastAsia="Arial" w:hAnsi="Arial"/>
          <w:i/>
          <w:iCs/>
          <w:color w:val="444444"/>
          <w:sz w:val="20"/>
          <w:szCs w:val="20"/>
        </w:rPr>
        <w:t xml:space="preserve">International Society for Krishna Consciousness, Inc. v. Lee, 505 U.S. 672 (1992) (airport terminals); Perry Education Ass’n (1983).</w:t>
      </w:r>
    </w:p>
    <w:p>
      <w:pPr>
        <w:pStyle w:val="Heading3"/>
        <w:spacing w:after="120" w:before="240"/>
      </w:pPr>
      <w:r>
        <w:rPr>
          <w:rFonts w:ascii="Arial" w:cs="Arial" w:eastAsia="Arial" w:hAnsi="Arial"/>
          <w:b/>
          <w:bCs/>
          <w:sz w:val="22"/>
          <w:szCs w:val="22"/>
        </w:rPr>
        <w:t xml:space="preserve">3. Secondary Effects Doctrine</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Zoning ordinances that regulate the time, place, and manner of adult entertainment businesses may be treated as content-neutral if they are designed to combat the secondary effects of such businesses (e.g., crime, decreased property values), rather than the content of the speech. Such regulations are subject to intermediate scrutiny. </w:t>
      </w:r>
      <w:r>
        <w:rPr>
          <w:rFonts w:ascii="Arial" w:cs="Arial" w:eastAsia="Arial" w:hAnsi="Arial"/>
          <w:i/>
          <w:iCs/>
          <w:color w:val="444444"/>
          <w:sz w:val="20"/>
          <w:szCs w:val="20"/>
        </w:rPr>
        <w:t xml:space="preserve">City of Renton v. Playtime Theatres, Inc., 475 U.S. 41 (1986); City of Los Angeles v. Alameda Books, Inc., 535 U.S. 425 (2002).</w:t>
      </w:r>
    </w:p>
    <w:p>
      <w:pPr>
        <w:pStyle w:val="Heading2"/>
        <w:spacing w:after="160" w:before="280"/>
      </w:pPr>
      <w:r>
        <w:rPr>
          <w:rFonts w:ascii="Arial" w:cs="Arial" w:eastAsia="Arial" w:hAnsi="Arial"/>
          <w:b/>
          <w:bCs/>
          <w:sz w:val="24"/>
          <w:szCs w:val="24"/>
        </w:rPr>
        <w:t xml:space="preserve">C. Regulation of Expressive Conduct</w:t>
      </w:r>
    </w:p>
    <w:p>
      <w:pPr>
        <w:pStyle w:val="Heading3"/>
        <w:spacing w:after="120" w:before="240"/>
      </w:pPr>
      <w:r>
        <w:rPr>
          <w:rFonts w:ascii="Arial" w:cs="Arial" w:eastAsia="Arial" w:hAnsi="Arial"/>
          <w:b/>
          <w:bCs/>
          <w:sz w:val="22"/>
          <w:szCs w:val="22"/>
        </w:rPr>
        <w:t xml:space="preserve">1. The Spence Test: When Conduct Is “Speech”</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Conduct is sufficiently expressive to trigger First Amendment protection where (1) the actor intends to convey a particularized message, and (2) the likelihood is great that the message will be understood by those who view it. </w:t>
      </w:r>
      <w:r>
        <w:rPr>
          <w:rFonts w:ascii="Arial" w:cs="Arial" w:eastAsia="Arial" w:hAnsi="Arial"/>
          <w:i/>
          <w:iCs/>
          <w:color w:val="444444"/>
          <w:sz w:val="20"/>
          <w:szCs w:val="20"/>
        </w:rPr>
        <w:t xml:space="preserve">Spence v. Washington, 418 U.S. 405 (1974); Texas v. Johnson, 491 U.S. 397 (1989).</w:t>
      </w:r>
    </w:p>
    <w:p>
      <w:pPr>
        <w:pStyle w:val="Heading3"/>
        <w:spacing w:after="120" w:before="240"/>
      </w:pPr>
      <w:r>
        <w:rPr>
          <w:rFonts w:ascii="Arial" w:cs="Arial" w:eastAsia="Arial" w:hAnsi="Arial"/>
          <w:b/>
          <w:bCs/>
          <w:sz w:val="22"/>
          <w:szCs w:val="22"/>
        </w:rPr>
        <w:t xml:space="preserve">2. The O’Brien Test</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government regulation of expressive conduct is constitutional if (1) it is within the government’s constitutional power, (2) it furthers an important or substantial governmental interest, (3) the governmental interest is unrelated to the suppression of free expression, and (4) the incidental restriction on First Amendment freedoms is no greater than is essential to further that interest. </w:t>
      </w:r>
      <w:r>
        <w:rPr>
          <w:rFonts w:ascii="Arial" w:cs="Arial" w:eastAsia="Arial" w:hAnsi="Arial"/>
          <w:i/>
          <w:iCs/>
          <w:color w:val="444444"/>
          <w:sz w:val="20"/>
          <w:szCs w:val="20"/>
        </w:rPr>
        <w:t xml:space="preserve">United States v. O’Brien, 391 U.S. 367 (1968).</w:t>
      </w:r>
    </w:p>
    <w:p>
      <w:pPr>
        <w:pStyle w:val="Heading3"/>
        <w:spacing w:after="120" w:before="240"/>
      </w:pPr>
      <w:r>
        <w:rPr>
          <w:rFonts w:ascii="Arial" w:cs="Arial" w:eastAsia="Arial" w:hAnsi="Arial"/>
          <w:b/>
          <w:bCs/>
          <w:sz w:val="22"/>
          <w:szCs w:val="22"/>
        </w:rPr>
        <w:t xml:space="preserve">3. Flag Burning</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Flag burning constitutes expressive conduct protected by the First Amendment. A government may not prohibit the expression of an idea simply because society finds it disagreeable or offensive. </w:t>
      </w:r>
      <w:r>
        <w:rPr>
          <w:rFonts w:ascii="Arial" w:cs="Arial" w:eastAsia="Arial" w:hAnsi="Arial"/>
          <w:i/>
          <w:iCs/>
          <w:color w:val="444444"/>
          <w:sz w:val="20"/>
          <w:szCs w:val="20"/>
        </w:rPr>
        <w:t xml:space="preserve">Texas v. Johnson, 491 U.S. 397 (1989); United States v. Eichman, 496 U.S. 310 (1990).</w:t>
      </w:r>
    </w:p>
    <w:p>
      <w:pPr>
        <w:pStyle w:val="Heading3"/>
        <w:spacing w:after="120" w:before="240"/>
      </w:pPr>
      <w:r>
        <w:rPr>
          <w:rFonts w:ascii="Arial" w:cs="Arial" w:eastAsia="Arial" w:hAnsi="Arial"/>
          <w:b/>
          <w:bCs/>
          <w:sz w:val="22"/>
          <w:szCs w:val="22"/>
        </w:rPr>
        <w:t xml:space="preserve">4. Other Symbolic Speech</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Wearing black armbands in school as a protest is protected symbolic speech. </w:t>
      </w:r>
      <w:r>
        <w:rPr>
          <w:rFonts w:ascii="Arial" w:cs="Arial" w:eastAsia="Arial" w:hAnsi="Arial"/>
          <w:i/>
          <w:iCs/>
          <w:color w:val="444444"/>
          <w:sz w:val="20"/>
          <w:szCs w:val="20"/>
        </w:rPr>
        <w:t xml:space="preserve">Tinker v. Des Moines Independent Community School Dist., 393 U.S. 503 (1969).</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Nude dancing is marginally within the outer perimeters of the First Amendment but may be regulated under the O’Brien test. </w:t>
      </w:r>
      <w:r>
        <w:rPr>
          <w:rFonts w:ascii="Arial" w:cs="Arial" w:eastAsia="Arial" w:hAnsi="Arial"/>
          <w:i/>
          <w:iCs/>
          <w:color w:val="444444"/>
          <w:sz w:val="20"/>
          <w:szCs w:val="20"/>
        </w:rPr>
        <w:t xml:space="preserve">Barnes v. Glen Theatre, Inc., 501 U.S. 560 (1991); City of Erie v. Pap’s A.M., 529 U.S. 277 (2000).</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Conduct that is not inherently expressive—such as allowing military recruiters on campus—is not protected under the First Amendment’s expressive-conduct doctrine. </w:t>
      </w:r>
      <w:r>
        <w:rPr>
          <w:rFonts w:ascii="Arial" w:cs="Arial" w:eastAsia="Arial" w:hAnsi="Arial"/>
          <w:i/>
          <w:iCs/>
          <w:color w:val="444444"/>
          <w:sz w:val="20"/>
          <w:szCs w:val="20"/>
        </w:rPr>
        <w:t xml:space="preserve">Rumsfeld v. Forum for Academic and Institutional Rights, Inc., 547 U.S. 47 (2006).</w:t>
      </w:r>
    </w:p>
    <w:p>
      <w:r>
        <w:br w:type="page"/>
      </w:r>
    </w:p>
    <w:p>
      <w:pPr>
        <w:pStyle w:val="Heading2"/>
        <w:spacing w:after="160" w:before="280"/>
      </w:pPr>
      <w:r>
        <w:rPr>
          <w:rFonts w:ascii="Arial" w:cs="Arial" w:eastAsia="Arial" w:hAnsi="Arial"/>
          <w:b/>
          <w:bCs/>
          <w:sz w:val="24"/>
          <w:szCs w:val="24"/>
        </w:rPr>
        <w:t xml:space="preserve">D. Regulation of Unprotected Expression</w:t>
      </w:r>
    </w:p>
    <w:p>
      <w:pPr>
        <w:spacing w:after="60" w:before="60"/>
        <w:ind w:left="360"/>
      </w:pPr>
      <w:r>
        <w:rPr>
          <w:rFonts w:ascii="Arial" w:cs="Arial" w:eastAsia="Arial" w:hAnsi="Arial"/>
          <w:sz w:val="21"/>
          <w:szCs w:val="21"/>
        </w:rPr>
        <w:t xml:space="preserve">Certain categories of speech receive no First Amendment protection because their slight social value is clearly outweighed by the social interest in order and morality. The government may not, however, create new categories of unprotected speech by applying a cost-benefit analysis.</w:t>
      </w:r>
    </w:p>
    <w:p>
      <w:pPr>
        <w:spacing w:after="80" w:before="100"/>
        <w:ind w:left="720"/>
      </w:pPr>
      <w:r>
        <w:rPr>
          <w:rFonts w:ascii="Arial" w:cs="Arial" w:eastAsia="Arial" w:hAnsi="Arial"/>
          <w:b/>
          <w:bCs/>
          <w:sz w:val="21"/>
          <w:szCs w:val="21"/>
        </w:rPr>
        <w:t xml:space="preserve"/>
      </w:r>
      <w:r>
        <w:rPr>
          <w:rFonts w:ascii="Arial" w:cs="Arial" w:eastAsia="Arial" w:hAnsi="Arial"/>
          <w:sz w:val="21"/>
          <w:szCs w:val="21"/>
        </w:rPr>
        <w:t xml:space="preserve"/>
      </w:r>
      <w:r>
        <w:rPr>
          <w:rFonts w:ascii="Arial" w:cs="Arial" w:eastAsia="Arial" w:hAnsi="Arial"/>
          <w:i/>
          <w:iCs/>
          <w:color w:val="444444"/>
          <w:sz w:val="20"/>
          <w:szCs w:val="20"/>
        </w:rPr>
        <w:t xml:space="preserve">United States v. Stevens, 559 U.S. 460 (2010); Chaplinsky v. New Hampshire, 315 U.S. 568 (1942).</w:t>
      </w:r>
    </w:p>
    <w:p>
      <w:pPr>
        <w:pStyle w:val="Heading3"/>
        <w:spacing w:after="120" w:before="240"/>
      </w:pPr>
      <w:r>
        <w:rPr>
          <w:rFonts w:ascii="Arial" w:cs="Arial" w:eastAsia="Arial" w:hAnsi="Arial"/>
          <w:b/>
          <w:bCs/>
          <w:sz w:val="22"/>
          <w:szCs w:val="22"/>
        </w:rPr>
        <w:t xml:space="preserve">1. Fighting Words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“Fighting words”—those personally abusive words which, when addressed to the ordinary citizen, are, as a matter of common knowledge, inherently likely to provoke a violent reaction—are unprotected by the First Amendment. </w:t>
      </w:r>
      <w:r>
        <w:rPr>
          <w:rFonts w:ascii="Arial" w:cs="Arial" w:eastAsia="Arial" w:hAnsi="Arial"/>
          <w:i/>
          <w:iCs/>
          <w:color w:val="444444"/>
          <w:sz w:val="20"/>
          <w:szCs w:val="20"/>
        </w:rPr>
        <w:t xml:space="preserve">Chaplinsky v. New Hampshire, 315 U.S. 568 (1942).</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Even within an unprotected category such as fighting words, the government may not impose content-based distinctions that regulate some fighting words but not others based on viewpoint. </w:t>
      </w:r>
      <w:r>
        <w:rPr>
          <w:rFonts w:ascii="Arial" w:cs="Arial" w:eastAsia="Arial" w:hAnsi="Arial"/>
          <w:i/>
          <w:iCs/>
          <w:color w:val="444444"/>
          <w:sz w:val="20"/>
          <w:szCs w:val="20"/>
        </w:rPr>
        <w:t xml:space="preserve">R.A.V. v. City of St. Paul, 505 U.S. 377 (1992).</w:t>
      </w:r>
    </w:p>
    <w:p>
      <w:pPr>
        <w:spacing w:after="80" w:before="100"/>
        <w:ind w:left="720"/>
      </w:pPr>
      <w:r>
        <w:rPr>
          <w:rFonts w:ascii="Arial" w:cs="Arial" w:eastAsia="Arial" w:hAnsi="Arial"/>
          <w:b/>
          <w:bCs/>
          <w:sz w:val="21"/>
          <w:szCs w:val="21"/>
        </w:rPr>
        <w:t xml:space="preserve">Narrowing: </w:t>
      </w:r>
      <w:r>
        <w:rPr>
          <w:rFonts w:ascii="Arial" w:cs="Arial" w:eastAsia="Arial" w:hAnsi="Arial"/>
          <w:sz w:val="21"/>
          <w:szCs w:val="21"/>
        </w:rPr>
        <w:t xml:space="preserve">The Court has significantly narrowed the fighting-words doctrine since Chaplinsky, overturning convictions in multiple cases and suggesting that the doctrine is limited to face-to-face personal insults likely to provoke immediate violence. </w:t>
      </w:r>
      <w:r>
        <w:rPr>
          <w:rFonts w:ascii="Arial" w:cs="Arial" w:eastAsia="Arial" w:hAnsi="Arial"/>
          <w:i/>
          <w:iCs/>
          <w:color w:val="444444"/>
          <w:sz w:val="20"/>
          <w:szCs w:val="20"/>
        </w:rPr>
        <w:t xml:space="preserve">Gooding v. Wilson, 405 U.S. 518 (1972); Cohen v. California, 403 U.S. 15 (1971).</w:t>
      </w:r>
    </w:p>
    <w:p>
      <w:pPr>
        <w:pStyle w:val="Heading3"/>
        <w:spacing w:after="120" w:before="240"/>
      </w:pPr>
      <w:r>
        <w:rPr>
          <w:rFonts w:ascii="Arial" w:cs="Arial" w:eastAsia="Arial" w:hAnsi="Arial"/>
          <w:b/>
          <w:bCs/>
          <w:sz w:val="22"/>
          <w:szCs w:val="22"/>
        </w:rPr>
        <w:t xml:space="preserve">2. True Threats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“True threats” encompass those statements where the speaker means to communicate a serious expression of an intent to commit an act of unlawful violence to a particular individual or group of individuals. The speaker need not actually intend to carry out the threat. </w:t>
      </w:r>
      <w:r>
        <w:rPr>
          <w:rFonts w:ascii="Arial" w:cs="Arial" w:eastAsia="Arial" w:hAnsi="Arial"/>
          <w:i/>
          <w:iCs/>
          <w:color w:val="444444"/>
          <w:sz w:val="20"/>
          <w:szCs w:val="20"/>
        </w:rPr>
        <w:t xml:space="preserve">Virginia v. Black, 538 U.S. 343 (2003).</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To establish that a statement is a “true threat” unprotected by the First Amendment, the government must show that the defendant had some subjective understanding of the threatening nature of the statement—at minimum, a recklessness standard. </w:t>
      </w:r>
      <w:r>
        <w:rPr>
          <w:rFonts w:ascii="Arial" w:cs="Arial" w:eastAsia="Arial" w:hAnsi="Arial"/>
          <w:i/>
          <w:iCs/>
          <w:color w:val="444444"/>
          <w:sz w:val="20"/>
          <w:szCs w:val="20"/>
        </w:rPr>
        <w:t xml:space="preserve">Counterman v. Colorado, 600 U.S. 66 (2023).</w:t>
      </w:r>
    </w:p>
    <w:p>
      <w:pPr>
        <w:pStyle w:val="Heading3"/>
        <w:spacing w:after="120" w:before="240"/>
      </w:pPr>
      <w:r>
        <w:rPr>
          <w:rFonts w:ascii="Arial" w:cs="Arial" w:eastAsia="Arial" w:hAnsi="Arial"/>
          <w:b/>
          <w:bCs/>
          <w:sz w:val="22"/>
          <w:szCs w:val="22"/>
        </w:rPr>
        <w:t xml:space="preserve">3. Incitement</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Speech advocating illegal conduct is protected unless it is (1) directed to inciting or producing imminent lawless action, and (2) likely to incite or produce such action. Mere abstract advocacy of illegality is protected. </w:t>
      </w:r>
      <w:r>
        <w:rPr>
          <w:rFonts w:ascii="Arial" w:cs="Arial" w:eastAsia="Arial" w:hAnsi="Arial"/>
          <w:i/>
          <w:iCs/>
          <w:color w:val="444444"/>
          <w:sz w:val="20"/>
          <w:szCs w:val="20"/>
        </w:rPr>
        <w:t xml:space="preserve">Brandenburg v. Ohio, 395 U.S. 444 (1969).</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Brandenburg test requires both subjective intent to incite and objective likelihood of producing imminent lawless action. Advocacy of future illegal activity, or of the moral propriety of such action, is protected. </w:t>
      </w:r>
      <w:r>
        <w:rPr>
          <w:rFonts w:ascii="Arial" w:cs="Arial" w:eastAsia="Arial" w:hAnsi="Arial"/>
          <w:i/>
          <w:iCs/>
          <w:color w:val="444444"/>
          <w:sz w:val="20"/>
          <w:szCs w:val="20"/>
        </w:rPr>
        <w:t xml:space="preserve">Hess v. Indiana, 414 U.S. 105 (1973) (reversing conviction where statement amounted to advocacy of illegal action at some indefinite future time).</w:t>
      </w:r>
    </w:p>
    <w:p>
      <w:pPr>
        <w:pStyle w:val="Heading3"/>
        <w:spacing w:after="120" w:before="240"/>
      </w:pPr>
      <w:r>
        <w:rPr>
          <w:rFonts w:ascii="Arial" w:cs="Arial" w:eastAsia="Arial" w:hAnsi="Arial"/>
          <w:b/>
          <w:bCs/>
          <w:sz w:val="22"/>
          <w:szCs w:val="22"/>
        </w:rPr>
        <w:t xml:space="preserve">4. Obscenity</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Obscene material is not protected by the First Amendment. The three-part Miller test asks: (1) whether the average person, applying contemporary community standards, would find that the work, taken as a whole, appeals to the prurient interest in sex; (2) whether the work depicts or describes sexual conduct in a patently offensive way as defined by applicable state law; and (3) whether the work, taken as a whole, lacks serious literary, artistic, political, or scientific value. </w:t>
      </w:r>
      <w:r>
        <w:rPr>
          <w:rFonts w:ascii="Arial" w:cs="Arial" w:eastAsia="Arial" w:hAnsi="Arial"/>
          <w:i/>
          <w:iCs/>
          <w:color w:val="444444"/>
          <w:sz w:val="20"/>
          <w:szCs w:val="20"/>
        </w:rPr>
        <w:t xml:space="preserve">Miller v. California, 413 U.S. 15 (1973).</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“serious value” prong of the Miller test is judged by a reasonable-person standard, not by community standards. </w:t>
      </w:r>
      <w:r>
        <w:rPr>
          <w:rFonts w:ascii="Arial" w:cs="Arial" w:eastAsia="Arial" w:hAnsi="Arial"/>
          <w:i/>
          <w:iCs/>
          <w:color w:val="444444"/>
          <w:sz w:val="20"/>
          <w:szCs w:val="20"/>
        </w:rPr>
        <w:t xml:space="preserve">Pope v. Illinois, 481 U.S. 497 (1987).</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Virtual child pornography that does not depict actual minors is not obscenity per se and is protected by the First Amendment unless it independently satisfies the Miller test. </w:t>
      </w:r>
      <w:r>
        <w:rPr>
          <w:rFonts w:ascii="Arial" w:cs="Arial" w:eastAsia="Arial" w:hAnsi="Arial"/>
          <w:i/>
          <w:iCs/>
          <w:color w:val="444444"/>
          <w:sz w:val="20"/>
          <w:szCs w:val="20"/>
        </w:rPr>
        <w:t xml:space="preserve">Ashcroft v. Free Speech Coalition, 535 U.S. 234 (2002).</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Actual child pornography (depicting real minors) is unprotected regardless of whether it meets the Miller obscenity standard. </w:t>
      </w:r>
      <w:r>
        <w:rPr>
          <w:rFonts w:ascii="Arial" w:cs="Arial" w:eastAsia="Arial" w:hAnsi="Arial"/>
          <w:i/>
          <w:iCs/>
          <w:color w:val="444444"/>
          <w:sz w:val="20"/>
          <w:szCs w:val="20"/>
        </w:rPr>
        <w:t xml:space="preserve">New York v. Ferber, 458 U.S. 747 (1982).</w:t>
      </w:r>
    </w:p>
    <w:p>
      <w:pPr>
        <w:pStyle w:val="Heading3"/>
        <w:spacing w:after="120" w:before="240"/>
      </w:pPr>
      <w:r>
        <w:rPr>
          <w:rFonts w:ascii="Arial" w:cs="Arial" w:eastAsia="Arial" w:hAnsi="Arial"/>
          <w:b/>
          <w:bCs/>
          <w:sz w:val="22"/>
          <w:szCs w:val="22"/>
        </w:rPr>
        <w:t xml:space="preserve">5. Defamation</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public official may not recover damages for a defamatory falsehood relating to his or her official conduct unless the official proves with “convincing clarity” that the statement was made with “actual malice”—i.e., with knowledge that it was false or with reckless disregard for its truth or falsity. </w:t>
      </w:r>
      <w:r>
        <w:rPr>
          <w:rFonts w:ascii="Arial" w:cs="Arial" w:eastAsia="Arial" w:hAnsi="Arial"/>
          <w:i/>
          <w:iCs/>
          <w:color w:val="444444"/>
          <w:sz w:val="20"/>
          <w:szCs w:val="20"/>
        </w:rPr>
        <w:t xml:space="preserve">New York Times Co. v. Sullivan, 376 U.S. 254 (1964).</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actual-malice standard extends to public figures as well as public officials. </w:t>
      </w:r>
      <w:r>
        <w:rPr>
          <w:rFonts w:ascii="Arial" w:cs="Arial" w:eastAsia="Arial" w:hAnsi="Arial"/>
          <w:i/>
          <w:iCs/>
          <w:color w:val="444444"/>
          <w:sz w:val="20"/>
          <w:szCs w:val="20"/>
        </w:rPr>
        <w:t xml:space="preserve">Curtis Publishing Co. v. Butts, 388 U.S. 130 (1967).</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States may define the standard of liability for defamation of private individuals, but may not impose liability without some showing of fault (at minimum, negligence). States may not allow presumed or punitive damages without a showing of actual malice. </w:t>
      </w:r>
      <w:r>
        <w:rPr>
          <w:rFonts w:ascii="Arial" w:cs="Arial" w:eastAsia="Arial" w:hAnsi="Arial"/>
          <w:i/>
          <w:iCs/>
          <w:color w:val="444444"/>
          <w:sz w:val="20"/>
          <w:szCs w:val="20"/>
        </w:rPr>
        <w:t xml:space="preserve">Gertz v. Robert Welch, Inc., 418 U.S. 323 (1974).</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Where a private plaintiff sues a media defendant on a matter of public concern, the plaintiff bears the burden of proving the statement is false. </w:t>
      </w:r>
      <w:r>
        <w:rPr>
          <w:rFonts w:ascii="Arial" w:cs="Arial" w:eastAsia="Arial" w:hAnsi="Arial"/>
          <w:i/>
          <w:iCs/>
          <w:color w:val="444444"/>
          <w:sz w:val="20"/>
          <w:szCs w:val="20"/>
        </w:rPr>
        <w:t xml:space="preserve">Philadelphia Newspapers, Inc. v. Hepps, 475 U.S. 767 (1986).</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Where the speech involves matters of purely private concern, the Gertz limitations do not apply, and states may permit recovery of presumed and punitive damages without a showing of actual malice. </w:t>
      </w:r>
      <w:r>
        <w:rPr>
          <w:rFonts w:ascii="Arial" w:cs="Arial" w:eastAsia="Arial" w:hAnsi="Arial"/>
          <w:i/>
          <w:iCs/>
          <w:color w:val="444444"/>
          <w:sz w:val="20"/>
          <w:szCs w:val="20"/>
        </w:rPr>
        <w:t xml:space="preserve">Dun &amp; Bradstreet, Inc. v. Greenmoss Builders, Inc., 472 U.S. 749 (1985).</w:t>
      </w:r>
    </w:p>
    <w:p>
      <w:pPr>
        <w:pStyle w:val="Heading2"/>
        <w:spacing w:after="160" w:before="280"/>
      </w:pPr>
      <w:r>
        <w:rPr>
          <w:rFonts w:ascii="Arial" w:cs="Arial" w:eastAsia="Arial" w:hAnsi="Arial"/>
          <w:b/>
          <w:bCs/>
          <w:sz w:val="24"/>
          <w:szCs w:val="24"/>
        </w:rPr>
        <w:t xml:space="preserve">E. Regulation of Commercial Speech</w:t>
      </w:r>
    </w:p>
    <w:p>
      <w:pPr>
        <w:pStyle w:val="Heading3"/>
        <w:spacing w:after="120" w:before="240"/>
      </w:pPr>
      <w:r>
        <w:rPr>
          <w:rFonts w:ascii="Arial" w:cs="Arial" w:eastAsia="Arial" w:hAnsi="Arial"/>
          <w:b/>
          <w:bCs/>
          <w:sz w:val="22"/>
          <w:szCs w:val="22"/>
        </w:rPr>
        <w:t xml:space="preserve">1. Definition</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Commercial speech is expression that does no more than propose a commercial transaction. It receives a lesser degree of First Amendment protection than other forms of protected expression. </w:t>
      </w:r>
      <w:r>
        <w:rPr>
          <w:rFonts w:ascii="Arial" w:cs="Arial" w:eastAsia="Arial" w:hAnsi="Arial"/>
          <w:i/>
          <w:iCs/>
          <w:color w:val="444444"/>
          <w:sz w:val="20"/>
          <w:szCs w:val="20"/>
        </w:rPr>
        <w:t xml:space="preserve">Virginia State Board of Pharmacy v. Virginia Citizens Consumer Council, Inc., 425 U.S. 748 (1976); Board of Trustees of State Univ. of N.Y. v. Fox, 492 U.S. 469 (1989).</w:t>
      </w:r>
    </w:p>
    <w:p>
      <w:pPr>
        <w:pStyle w:val="Heading3"/>
        <w:spacing w:after="120" w:before="240"/>
      </w:pPr>
      <w:r>
        <w:rPr>
          <w:rFonts w:ascii="Arial" w:cs="Arial" w:eastAsia="Arial" w:hAnsi="Arial"/>
          <w:b/>
          <w:bCs/>
          <w:sz w:val="22"/>
          <w:szCs w:val="22"/>
        </w:rPr>
        <w:t xml:space="preserve">2. The Central Hudson Test</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Commercial speech may be regulated under a four-part test: (1) The speech must concern lawful activity and not be misleading (if it is misleading or proposes illegal activity, it may be freely regulated). (2) The government must assert a substantial interest. (3) The regulation must directly advance that interest. (4) The regulation must not be more extensive than necessary to serve that interest. </w:t>
      </w:r>
      <w:r>
        <w:rPr>
          <w:rFonts w:ascii="Arial" w:cs="Arial" w:eastAsia="Arial" w:hAnsi="Arial"/>
          <w:i/>
          <w:iCs/>
          <w:color w:val="444444"/>
          <w:sz w:val="20"/>
          <w:szCs w:val="20"/>
        </w:rPr>
        <w:t xml:space="preserve">Central Hudson Gas &amp; Electric Corp. v. Public Service Comm’n, 447 U.S. 557 (1980).</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“Not more extensive than necessary” does not require the least restrictive means; it requires a reasonable fit between the legislature’s ends and the means chosen to accomplish those ends. </w:t>
      </w:r>
      <w:r>
        <w:rPr>
          <w:rFonts w:ascii="Arial" w:cs="Arial" w:eastAsia="Arial" w:hAnsi="Arial"/>
          <w:i/>
          <w:iCs/>
          <w:color w:val="444444"/>
          <w:sz w:val="20"/>
          <w:szCs w:val="20"/>
        </w:rPr>
        <w:t xml:space="preserve">Board of Trustees of State Univ. of N.Y. v. Fox, 492 U.S. 469 (1989).</w:t>
      </w:r>
    </w:p>
    <w:p>
      <w:pPr>
        <w:pStyle w:val="Heading3"/>
        <w:spacing w:after="120" w:before="240"/>
      </w:pPr>
      <w:r>
        <w:rPr>
          <w:rFonts w:ascii="Arial" w:cs="Arial" w:eastAsia="Arial" w:hAnsi="Arial"/>
          <w:b/>
          <w:bCs/>
          <w:sz w:val="22"/>
          <w:szCs w:val="22"/>
        </w:rPr>
        <w:t xml:space="preserve">3. Applications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complete ban on truthful, non-misleading commercial speech about lawful activity is difficult to justify under Central Hudson, even where the government seeks to discourage consumption of the product. </w:t>
      </w:r>
      <w:r>
        <w:rPr>
          <w:rFonts w:ascii="Arial" w:cs="Arial" w:eastAsia="Arial" w:hAnsi="Arial"/>
          <w:i/>
          <w:iCs/>
          <w:color w:val="444444"/>
          <w:sz w:val="20"/>
          <w:szCs w:val="20"/>
        </w:rPr>
        <w:t xml:space="preserve">44 Liquormart, Inc. v. Rhode Island, 517 U.S. 484 (1996).</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government may not use commercial speech restrictions as a back door for suppressing speech when non-speech regulations could achieve the same end. </w:t>
      </w:r>
      <w:r>
        <w:rPr>
          <w:rFonts w:ascii="Arial" w:cs="Arial" w:eastAsia="Arial" w:hAnsi="Arial"/>
          <w:i/>
          <w:iCs/>
          <w:color w:val="444444"/>
          <w:sz w:val="20"/>
          <w:szCs w:val="20"/>
        </w:rPr>
        <w:t xml:space="preserve">Thompson v. Western States Medical Center, 535 U.S. 357 (2002).</w:t>
      </w:r>
    </w:p>
    <w:p>
      <w:r>
        <w:br w:type="page"/>
      </w:r>
    </w:p>
    <w:p>
      <w:pPr>
        <w:pStyle w:val="Heading2"/>
        <w:spacing w:after="160" w:before="280"/>
      </w:pPr>
      <w:r>
        <w:rPr>
          <w:rFonts w:ascii="Arial" w:cs="Arial" w:eastAsia="Arial" w:hAnsi="Arial"/>
          <w:b/>
          <w:bCs/>
          <w:sz w:val="24"/>
          <w:szCs w:val="24"/>
        </w:rPr>
        <w:t xml:space="preserve">F. Regulation of Public School Students and Public Employees</w:t>
      </w:r>
    </w:p>
    <w:p>
      <w:pPr>
        <w:pStyle w:val="Heading3"/>
        <w:spacing w:after="120" w:before="240"/>
      </w:pPr>
      <w:r>
        <w:rPr>
          <w:rFonts w:ascii="Arial" w:cs="Arial" w:eastAsia="Arial" w:hAnsi="Arial"/>
          <w:b/>
          <w:bCs/>
          <w:sz w:val="22"/>
          <w:szCs w:val="22"/>
        </w:rPr>
        <w:t xml:space="preserve">1. Public Employee Speech</w:t>
      </w:r>
    </w:p>
    <w:p>
      <w:pPr>
        <w:spacing w:after="100" w:before="200"/>
      </w:pPr>
      <w:r>
        <w:rPr>
          <w:rFonts w:ascii="Arial" w:cs="Arial" w:eastAsia="Arial" w:hAnsi="Arial"/>
          <w:b/>
          <w:bCs/>
          <w:i/>
          <w:iCs/>
          <w:sz w:val="21"/>
          <w:szCs w:val="21"/>
        </w:rPr>
        <w:t xml:space="preserve">a. The Garcetti/Pickering Framework</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When public employees make statements pursuant to their official duties, they are not speaking as citizens for First Amendment purposes, and the Constitution does not insulate their communications from employer discipline. </w:t>
      </w:r>
      <w:r>
        <w:rPr>
          <w:rFonts w:ascii="Arial" w:cs="Arial" w:eastAsia="Arial" w:hAnsi="Arial"/>
          <w:i/>
          <w:iCs/>
          <w:color w:val="444444"/>
          <w:sz w:val="20"/>
          <w:szCs w:val="20"/>
        </w:rPr>
        <w:t xml:space="preserve">Garcetti v. Ceballos, 547 U.S. 410 (2006).</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When a public employee speaks as a citizen on a matter of public concern, the court must balance the employee’s interest in commenting on matters of public concern against the employer’s interest in promoting the efficiency of the public services it performs. </w:t>
      </w:r>
      <w:r>
        <w:rPr>
          <w:rFonts w:ascii="Arial" w:cs="Arial" w:eastAsia="Arial" w:hAnsi="Arial"/>
          <w:i/>
          <w:iCs/>
          <w:color w:val="444444"/>
          <w:sz w:val="20"/>
          <w:szCs w:val="20"/>
        </w:rPr>
        <w:t xml:space="preserve">Pickering v. Board of Education, 391 U.S. 563 (1968).</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government employee’s speech is entitled to Pickering balancing only when the employee speaks as a citizen on a matter of public concern. If the speech addresses only matters of personal interest, the employee has no First Amendment cause of action. </w:t>
      </w:r>
      <w:r>
        <w:rPr>
          <w:rFonts w:ascii="Arial" w:cs="Arial" w:eastAsia="Arial" w:hAnsi="Arial"/>
          <w:i/>
          <w:iCs/>
          <w:color w:val="444444"/>
          <w:sz w:val="20"/>
          <w:szCs w:val="20"/>
        </w:rPr>
        <w:t xml:space="preserve">Connick v. Myers, 461 U.S. 138 (1983).</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Sworn testimony by a public employee, even if it relates to information learned through employment, is citizen speech on a matter of public concern and is protected. </w:t>
      </w:r>
      <w:r>
        <w:rPr>
          <w:rFonts w:ascii="Arial" w:cs="Arial" w:eastAsia="Arial" w:hAnsi="Arial"/>
          <w:i/>
          <w:iCs/>
          <w:color w:val="444444"/>
          <w:sz w:val="20"/>
          <w:szCs w:val="20"/>
        </w:rPr>
        <w:t xml:space="preserve">Lane v. Franks, 134 S. Ct. 2369 (2014).</w:t>
      </w:r>
    </w:p>
    <w:p>
      <w:pPr>
        <w:spacing w:after="100" w:before="200"/>
      </w:pPr>
      <w:r>
        <w:rPr>
          <w:rFonts w:ascii="Arial" w:cs="Arial" w:eastAsia="Arial" w:hAnsi="Arial"/>
          <w:b/>
          <w:bCs/>
          <w:i/>
          <w:iCs/>
          <w:sz w:val="21"/>
          <w:szCs w:val="21"/>
        </w:rPr>
        <w:t xml:space="preserve">b. Government Employees’ Political Activities (The Hatch Act)</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Hatch Act’s restrictions on partisan political activities by federal employees are constitutional. The government’s interest in maintaining a politically neutral civil service justifies reasonable restrictions on employees’ partisan political activities. </w:t>
      </w:r>
      <w:r>
        <w:rPr>
          <w:rFonts w:ascii="Arial" w:cs="Arial" w:eastAsia="Arial" w:hAnsi="Arial"/>
          <w:i/>
          <w:iCs/>
          <w:color w:val="444444"/>
          <w:sz w:val="20"/>
          <w:szCs w:val="20"/>
        </w:rPr>
        <w:t xml:space="preserve">United States Civil Service Comm’n v. National Ass’n of Letter Carriers, 413 U.S. 548 (1973); Broadrick v. Oklahoma, 413 U.S. 601 (1973).</w:t>
      </w:r>
    </w:p>
    <w:p>
      <w:pPr>
        <w:spacing w:after="100" w:before="200"/>
      </w:pPr>
      <w:r>
        <w:rPr>
          <w:rFonts w:ascii="Arial" w:cs="Arial" w:eastAsia="Arial" w:hAnsi="Arial"/>
          <w:b/>
          <w:bCs/>
          <w:i/>
          <w:iCs/>
          <w:sz w:val="21"/>
          <w:szCs w:val="21"/>
        </w:rPr>
        <w:t xml:space="preserve">c. Patronage</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First Amendment forbids the government from conditioning public employment on political allegiance (patronage dismissals) for positions that do not involve policymaking or confidential duties. </w:t>
      </w:r>
      <w:r>
        <w:rPr>
          <w:rFonts w:ascii="Arial" w:cs="Arial" w:eastAsia="Arial" w:hAnsi="Arial"/>
          <w:i/>
          <w:iCs/>
          <w:color w:val="444444"/>
          <w:sz w:val="20"/>
          <w:szCs w:val="20"/>
        </w:rPr>
        <w:t xml:space="preserve">Elrod v. Burns, 427 U.S. 347 (1976); Branti v. Finkel, 445 U.S. 507 (1980); Rutan v. Republican Party of Illinois, 497 U.S. 62 (1990).</w:t>
      </w:r>
    </w:p>
    <w:p>
      <w:pPr>
        <w:pStyle w:val="Heading3"/>
        <w:spacing w:after="120" w:before="240"/>
      </w:pPr>
      <w:r>
        <w:rPr>
          <w:rFonts w:ascii="Arial" w:cs="Arial" w:eastAsia="Arial" w:hAnsi="Arial"/>
          <w:b/>
          <w:bCs/>
          <w:sz w:val="22"/>
          <w:szCs w:val="22"/>
        </w:rPr>
        <w:t xml:space="preserve">2. Public School Student Speech</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Students do not “shed their constitutional rights to freedom of speech or expression at the schoolhouse gate.” Student speech may not be suppressed unless school authorities can demonstrate that the speech would materially and substantially interfere with the operation of the school or impinge upon the rights of other students. </w:t>
      </w:r>
      <w:r>
        <w:rPr>
          <w:rFonts w:ascii="Arial" w:cs="Arial" w:eastAsia="Arial" w:hAnsi="Arial"/>
          <w:i/>
          <w:iCs/>
          <w:color w:val="444444"/>
          <w:sz w:val="20"/>
          <w:szCs w:val="20"/>
        </w:rPr>
        <w:t xml:space="preserve">Tinker v. Des Moines Independent Community School Dist., 393 U.S. 503 (1969).</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Schools may punish lewd, vulgar, or plainly offensive speech at school events without meeting the Tinker standard. </w:t>
      </w:r>
      <w:r>
        <w:rPr>
          <w:rFonts w:ascii="Arial" w:cs="Arial" w:eastAsia="Arial" w:hAnsi="Arial"/>
          <w:i/>
          <w:iCs/>
          <w:color w:val="444444"/>
          <w:sz w:val="20"/>
          <w:szCs w:val="20"/>
        </w:rPr>
        <w:t xml:space="preserve">Bethel School Dist. No. 403 v. Fraser, 478 U.S. 675 (1986).</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School officials may exercise editorial control over the style and content of student speech in school-sponsored expressive activities (e.g., school newspapers, theatrical productions) so long as their actions are reasonably related to legitimate pedagogical concerns. </w:t>
      </w:r>
      <w:r>
        <w:rPr>
          <w:rFonts w:ascii="Arial" w:cs="Arial" w:eastAsia="Arial" w:hAnsi="Arial"/>
          <w:i/>
          <w:iCs/>
          <w:color w:val="444444"/>
          <w:sz w:val="20"/>
          <w:szCs w:val="20"/>
        </w:rPr>
        <w:t xml:space="preserve">Hazelwood School Dist. v. Kuhlmeier, 484 U.S. 260 (1988).</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Schools may restrict student speech that is reasonably viewed as promoting illegal drug use. </w:t>
      </w:r>
      <w:r>
        <w:rPr>
          <w:rFonts w:ascii="Arial" w:cs="Arial" w:eastAsia="Arial" w:hAnsi="Arial"/>
          <w:i/>
          <w:iCs/>
          <w:color w:val="444444"/>
          <w:sz w:val="20"/>
          <w:szCs w:val="20"/>
        </w:rPr>
        <w:t xml:space="preserve">Morse v. Frederick, 551 U.S. 393 (2007).</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Tinker’s authority extends to some off-campus student speech, but schools’ regulatory interests are diminished when speech occurs off campus. Features of off-campus speech that counsel special caution include the risk of 24-hour censorship, the school standing in loco parentis only on campus, and the importance of students’ ability to speak freely off campus. </w:t>
      </w:r>
      <w:r>
        <w:rPr>
          <w:rFonts w:ascii="Arial" w:cs="Arial" w:eastAsia="Arial" w:hAnsi="Arial"/>
          <w:i/>
          <w:iCs/>
          <w:color w:val="444444"/>
          <w:sz w:val="20"/>
          <w:szCs w:val="20"/>
        </w:rPr>
        <w:t xml:space="preserve">Mahanoy Area School Dist. v. B.L., 594 U.S. 180 (2021).</w:t>
      </w:r>
    </w:p>
    <w:p>
      <w:pPr>
        <w:pStyle w:val="Heading3"/>
        <w:spacing w:after="120" w:before="240"/>
      </w:pPr>
      <w:r>
        <w:rPr>
          <w:rFonts w:ascii="Arial" w:cs="Arial" w:eastAsia="Arial" w:hAnsi="Arial"/>
          <w:b/>
          <w:bCs/>
          <w:sz w:val="22"/>
          <w:szCs w:val="22"/>
        </w:rPr>
        <w:t xml:space="preserve">3. The Unconstitutional Conditions Doctrine</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government may not deny a benefit to a person on a basis that infringes his constitutionally protected freedom of speech even if he has no entitlement to that benefit. The government may not do indirectly (through conditions on benefits) what it cannot do directly (suppress speech). </w:t>
      </w:r>
      <w:r>
        <w:rPr>
          <w:rFonts w:ascii="Arial" w:cs="Arial" w:eastAsia="Arial" w:hAnsi="Arial"/>
          <w:i/>
          <w:iCs/>
          <w:color w:val="444444"/>
          <w:sz w:val="20"/>
          <w:szCs w:val="20"/>
        </w:rPr>
        <w:t xml:space="preserve">Perry v. Sindermann, 408 U.S. 593 (1972); Speiser v. Randall, 357 U.S. 513 (1958).</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However, when the government is itself the speaker (government-speech doctrine) or subsidizes private speech to convey a governmental message, it may choose the content of the message without implicating the unconstitutional-conditions doctrine. </w:t>
      </w:r>
      <w:r>
        <w:rPr>
          <w:rFonts w:ascii="Arial" w:cs="Arial" w:eastAsia="Arial" w:hAnsi="Arial"/>
          <w:i/>
          <w:iCs/>
          <w:color w:val="444444"/>
          <w:sz w:val="20"/>
          <w:szCs w:val="20"/>
        </w:rPr>
        <w:t xml:space="preserve">Rust v. Sullivan, 500 U.S. 173 (1991); Walker v. Texas Division, Sons of Confederate Veterans, Inc., 576 U.S. 200 (2015).</w:t>
      </w:r>
    </w:p>
    <w:p>
      <w:pPr>
        <w:pStyle w:val="Heading3"/>
        <w:spacing w:after="120" w:before="240"/>
      </w:pPr>
      <w:r>
        <w:rPr>
          <w:rFonts w:ascii="Arial" w:cs="Arial" w:eastAsia="Arial" w:hAnsi="Arial"/>
          <w:b/>
          <w:bCs/>
          <w:sz w:val="22"/>
          <w:szCs w:val="22"/>
        </w:rPr>
        <w:t xml:space="preserve">4. Government Speech and Compelled Speech</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Free Speech Clause restricts government regulation of private speech; it does not regulate government speech. When the government speaks on its own behalf, it may select the messages it wishes to express. </w:t>
      </w:r>
      <w:r>
        <w:rPr>
          <w:rFonts w:ascii="Arial" w:cs="Arial" w:eastAsia="Arial" w:hAnsi="Arial"/>
          <w:i/>
          <w:iCs/>
          <w:color w:val="444444"/>
          <w:sz w:val="20"/>
          <w:szCs w:val="20"/>
        </w:rPr>
        <w:t xml:space="preserve">Walker v. Texas Division, Sons of Confederate Veterans, Inc., 576 U.S. 200 (2015); Pleasant Grove City v. Summum, 555 U.S. 460 (2009).</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government may not compel individuals to express messages with which they disagree. A state may not require students to salute the flag or recite the Pledge of Allegiance. </w:t>
      </w:r>
      <w:r>
        <w:rPr>
          <w:rFonts w:ascii="Arial" w:cs="Arial" w:eastAsia="Arial" w:hAnsi="Arial"/>
          <w:i/>
          <w:iCs/>
          <w:color w:val="444444"/>
          <w:sz w:val="20"/>
          <w:szCs w:val="20"/>
        </w:rPr>
        <w:t xml:space="preserve">West Virginia State Board of Education v. Barnette, 319 U.S. 624 (1943).</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state may not require a newspaper to publish reply material, as such a compulsion intrudes on the editorial discretion of the press. </w:t>
      </w:r>
      <w:r>
        <w:rPr>
          <w:rFonts w:ascii="Arial" w:cs="Arial" w:eastAsia="Arial" w:hAnsi="Arial"/>
          <w:i/>
          <w:iCs/>
          <w:color w:val="444444"/>
          <w:sz w:val="20"/>
          <w:szCs w:val="20"/>
        </w:rPr>
        <w:t xml:space="preserve">Miami Herald Publishing Co. v. Tornillo, 418 U.S. 241 (1974).</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government may not compel a private business to create expressive works conveying messages with which it disagrees, even under a public-accommodations statute. </w:t>
      </w:r>
      <w:r>
        <w:rPr>
          <w:rFonts w:ascii="Arial" w:cs="Arial" w:eastAsia="Arial" w:hAnsi="Arial"/>
          <w:i/>
          <w:iCs/>
          <w:color w:val="444444"/>
          <w:sz w:val="20"/>
          <w:szCs w:val="20"/>
        </w:rPr>
        <w:t xml:space="preserve">303 Creative LLC v. Elenis, 600 U.S. 570 (2023).</w:t>
      </w:r>
    </w:p>
    <w:p>
      <w:pPr>
        <w:pStyle w:val="Heading2"/>
        <w:spacing w:after="160" w:before="280"/>
      </w:pPr>
      <w:r>
        <w:rPr>
          <w:rFonts w:ascii="Arial" w:cs="Arial" w:eastAsia="Arial" w:hAnsi="Arial"/>
          <w:b/>
          <w:bCs/>
          <w:sz w:val="24"/>
          <w:szCs w:val="24"/>
        </w:rPr>
        <w:t xml:space="preserve">H. Prior Restraint, Vagueness, and Overbreadth</w:t>
      </w:r>
    </w:p>
    <w:p>
      <w:pPr>
        <w:pStyle w:val="Heading3"/>
        <w:spacing w:after="120" w:before="240"/>
      </w:pPr>
      <w:r>
        <w:rPr>
          <w:rFonts w:ascii="Arial" w:cs="Arial" w:eastAsia="Arial" w:hAnsi="Arial"/>
          <w:b/>
          <w:bCs/>
          <w:sz w:val="22"/>
          <w:szCs w:val="22"/>
        </w:rPr>
        <w:t xml:space="preserve">1. Prior Restraints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Prior restraints on speech—government actions that prevent speech before it occurs—bear a heavy presumption against their constitutional validity. </w:t>
      </w:r>
      <w:r>
        <w:rPr>
          <w:rFonts w:ascii="Arial" w:cs="Arial" w:eastAsia="Arial" w:hAnsi="Arial"/>
          <w:i/>
          <w:iCs/>
          <w:color w:val="444444"/>
          <w:sz w:val="20"/>
          <w:szCs w:val="20"/>
        </w:rPr>
        <w:t xml:space="preserve">Near v. Minnesota ex rel. Olson, 283 U.S. 697 (1931); Bantam Books, Inc. v. Sullivan, 372 U.S. 58 (1963).</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court order enjoining publication is a prior restraint. Even where national-security interests are invoked, the government bears an extremely heavy burden to justify a prior restraint on publication. </w:t>
      </w:r>
      <w:r>
        <w:rPr>
          <w:rFonts w:ascii="Arial" w:cs="Arial" w:eastAsia="Arial" w:hAnsi="Arial"/>
          <w:i/>
          <w:iCs/>
          <w:color w:val="444444"/>
          <w:sz w:val="20"/>
          <w:szCs w:val="20"/>
        </w:rPr>
        <w:t xml:space="preserve">New York Times Co. v. United States, 403 U.S. 713 (1971) (Pentagon Papers case).</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gag order on the press prohibiting reporting on criminal proceedings is a prior restraint and is permissible only as a last resort when less restrictive alternatives would be inadequate. </w:t>
      </w:r>
      <w:r>
        <w:rPr>
          <w:rFonts w:ascii="Arial" w:cs="Arial" w:eastAsia="Arial" w:hAnsi="Arial"/>
          <w:i/>
          <w:iCs/>
          <w:color w:val="444444"/>
          <w:sz w:val="20"/>
          <w:szCs w:val="20"/>
        </w:rPr>
        <w:t xml:space="preserve">Nebraska Press Ass’n v. Stuart, 427 U.S. 539 (1976).</w:t>
      </w:r>
    </w:p>
    <w:p>
      <w:pPr>
        <w:pStyle w:val="Heading3"/>
        <w:spacing w:after="120" w:before="240"/>
      </w:pPr>
      <w:r>
        <w:rPr>
          <w:rFonts w:ascii="Arial" w:cs="Arial" w:eastAsia="Arial" w:hAnsi="Arial"/>
          <w:b/>
          <w:bCs/>
          <w:sz w:val="22"/>
          <w:szCs w:val="22"/>
        </w:rPr>
        <w:t xml:space="preserve">2. Licensing and Permit Systems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Licensing or permit systems regulating speech must contain narrow, objective, and definite standards to guide the licensing authority. A standardless licensing scheme constitutes an unconstitutional prior restraint. </w:t>
      </w:r>
      <w:r>
        <w:rPr>
          <w:rFonts w:ascii="Arial" w:cs="Arial" w:eastAsia="Arial" w:hAnsi="Arial"/>
          <w:i/>
          <w:iCs/>
          <w:color w:val="444444"/>
          <w:sz w:val="20"/>
          <w:szCs w:val="20"/>
        </w:rPr>
        <w:t xml:space="preserve">Forsyth County v. Nationalist Movement, 505 U.S. 123 (1992); City of Lakewood v. Plain Dealer Publishing Co., 486 U.S. 750 (1988).</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content-neutral permit scheme for speech in a public forum is not a prior restraint in the sense of Near v. Minnesota and need not satisfy the Freedman procedural safeguards required for content-based licensing. </w:t>
      </w:r>
      <w:r>
        <w:rPr>
          <w:rFonts w:ascii="Arial" w:cs="Arial" w:eastAsia="Arial" w:hAnsi="Arial"/>
          <w:i/>
          <w:iCs/>
          <w:color w:val="444444"/>
          <w:sz w:val="20"/>
          <w:szCs w:val="20"/>
        </w:rPr>
        <w:t xml:space="preserve">Thomas v. Chicago Park Dist., 534 U.S. 316 (2002).</w:t>
      </w:r>
    </w:p>
    <w:p>
      <w:pPr>
        <w:pStyle w:val="Heading3"/>
        <w:spacing w:after="120" w:before="240"/>
      </w:pPr>
      <w:r>
        <w:rPr>
          <w:rFonts w:ascii="Arial" w:cs="Arial" w:eastAsia="Arial" w:hAnsi="Arial"/>
          <w:b/>
          <w:bCs/>
          <w:sz w:val="22"/>
          <w:szCs w:val="22"/>
        </w:rPr>
        <w:t xml:space="preserve">3. Procedural Safeguards for Content-Based Licensing</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Any system of prior restraint through content-based licensing must provide (1) the burden of proof on the censor, (2) a prompt decision, and (3) prompt judicial review. </w:t>
      </w:r>
      <w:r>
        <w:rPr>
          <w:rFonts w:ascii="Arial" w:cs="Arial" w:eastAsia="Arial" w:hAnsi="Arial"/>
          <w:i/>
          <w:iCs/>
          <w:color w:val="444444"/>
          <w:sz w:val="20"/>
          <w:szCs w:val="20"/>
        </w:rPr>
        <w:t xml:space="preserve">Freedman v. Maryland, 380 U.S. 51 (1965).</w:t>
      </w:r>
    </w:p>
    <w:p>
      <w:pPr>
        <w:pStyle w:val="Heading3"/>
        <w:spacing w:after="120" w:before="240"/>
      </w:pPr>
      <w:r>
        <w:rPr>
          <w:rFonts w:ascii="Arial" w:cs="Arial" w:eastAsia="Arial" w:hAnsi="Arial"/>
          <w:b/>
          <w:bCs/>
          <w:sz w:val="22"/>
          <w:szCs w:val="22"/>
        </w:rPr>
        <w:t xml:space="preserve">4. Vagueness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law that prohibits speech is unconstitutionally vague if it fails to provide a person of ordinary intelligence fair notice of what is prohibited and does not contain explicit standards to prevent arbitrary and discriminatory enforcement. The standards are particularly demanding where First Amendment freedoms are implicated. </w:t>
      </w:r>
      <w:r>
        <w:rPr>
          <w:rFonts w:ascii="Arial" w:cs="Arial" w:eastAsia="Arial" w:hAnsi="Arial"/>
          <w:i/>
          <w:iCs/>
          <w:color w:val="444444"/>
          <w:sz w:val="20"/>
          <w:szCs w:val="20"/>
        </w:rPr>
        <w:t xml:space="preserve">Hoffman Estates v. Flipside, Hoffman Estates, Inc., 455 U.S. 489 (1982); Kolender v. Lawson, 461 U.S. 352 (1983).</w:t>
      </w:r>
    </w:p>
    <w:p>
      <w:pPr>
        <w:pStyle w:val="Heading3"/>
        <w:spacing w:after="120" w:before="240"/>
      </w:pPr>
      <w:r>
        <w:rPr>
          <w:rFonts w:ascii="Arial" w:cs="Arial" w:eastAsia="Arial" w:hAnsi="Arial"/>
          <w:b/>
          <w:bCs/>
          <w:sz w:val="22"/>
          <w:szCs w:val="22"/>
        </w:rPr>
        <w:t xml:space="preserve">5. Overbreadth</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statute is facially overbroad if it prohibits a substantial amount of protected speech judged in relation to the statute’s plainly legitimate sweep. The overbreadth doctrine is an exception to normal standing rules, allowing facial challenges even by those whose own conduct may be unprotected. </w:t>
      </w:r>
      <w:r>
        <w:rPr>
          <w:rFonts w:ascii="Arial" w:cs="Arial" w:eastAsia="Arial" w:hAnsi="Arial"/>
          <w:i/>
          <w:iCs/>
          <w:color w:val="444444"/>
          <w:sz w:val="20"/>
          <w:szCs w:val="20"/>
        </w:rPr>
        <w:t xml:space="preserve">Broadrick v. Oklahoma, 413 U.S. 601 (1973); Virginia v. Hicks, 539 U.S. 113 (2003).</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Overbreadth must be “substantial”—both in an absolute sense and relative to the statute’s plainly legitimate applications—before a court will invalidate the entire statute. </w:t>
      </w:r>
      <w:r>
        <w:rPr>
          <w:rFonts w:ascii="Arial" w:cs="Arial" w:eastAsia="Arial" w:hAnsi="Arial"/>
          <w:i/>
          <w:iCs/>
          <w:color w:val="444444"/>
          <w:sz w:val="20"/>
          <w:szCs w:val="20"/>
        </w:rPr>
        <w:t xml:space="preserve">United States v. Williams, 553 U.S. 285 (2008); Broadrick (1973).</w:t>
      </w:r>
    </w:p>
    <w:p>
      <w:r>
        <w:br w:type="page"/>
      </w:r>
    </w:p>
    <w:p>
      <w:pPr>
        <w:pStyle w:val="Heading1"/>
        <w:spacing w:after="200" w:before="360"/>
      </w:pPr>
      <w:r>
        <w:rPr>
          <w:rFonts w:ascii="Arial" w:cs="Arial" w:eastAsia="Arial" w:hAnsi="Arial"/>
          <w:b/>
          <w:bCs/>
          <w:sz w:val="28"/>
          <w:szCs w:val="28"/>
        </w:rPr>
        <w:t xml:space="preserve">III. FREEDOM OF THE PRESS</w:t>
      </w:r>
    </w:p>
    <w:p>
      <w:pPr>
        <w:pStyle w:val="Heading3"/>
        <w:spacing w:after="120" w:before="240"/>
      </w:pPr>
      <w:r>
        <w:rPr>
          <w:rFonts w:ascii="Arial" w:cs="Arial" w:eastAsia="Arial" w:hAnsi="Arial"/>
          <w:b/>
          <w:bCs/>
          <w:sz w:val="22"/>
          <w:szCs w:val="22"/>
        </w:rPr>
        <w:t xml:space="preserve">1. Publication of Truthful Information</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If a newspaper lawfully obtains truthful information about a matter of public significance, state officials may not constitutionally punish publication of the information, absent a need of the highest order. </w:t>
      </w:r>
      <w:r>
        <w:rPr>
          <w:rFonts w:ascii="Arial" w:cs="Arial" w:eastAsia="Arial" w:hAnsi="Arial"/>
          <w:i/>
          <w:iCs/>
          <w:color w:val="444444"/>
          <w:sz w:val="20"/>
          <w:szCs w:val="20"/>
        </w:rPr>
        <w:t xml:space="preserve">Smith v. Daily Mail Publishing Co., 443 U.S. 97 (1979); Florida Star v. B.J.F., 491 U.S. 524 (1989); Cox Broadcasting Corp. v. Cohn, 420 U.S. 469 (1975).</w:t>
      </w:r>
    </w:p>
    <w:p>
      <w:pPr>
        <w:pStyle w:val="Heading3"/>
        <w:spacing w:after="120" w:before="240"/>
      </w:pPr>
      <w:r>
        <w:rPr>
          <w:rFonts w:ascii="Arial" w:cs="Arial" w:eastAsia="Arial" w:hAnsi="Arial"/>
          <w:b/>
          <w:bCs/>
          <w:sz w:val="22"/>
          <w:szCs w:val="22"/>
        </w:rPr>
        <w:t xml:space="preserve">2. Press Access to Court Proceedings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First Amendment guarantees the press and public a right of access to criminal trials. The right is rooted in the history and tradition of open proceedings and the structural role of public access in ensuring the integrity of the trial process. </w:t>
      </w:r>
      <w:r>
        <w:rPr>
          <w:rFonts w:ascii="Arial" w:cs="Arial" w:eastAsia="Arial" w:hAnsi="Arial"/>
          <w:i/>
          <w:iCs/>
          <w:color w:val="444444"/>
          <w:sz w:val="20"/>
          <w:szCs w:val="20"/>
        </w:rPr>
        <w:t xml:space="preserve">Richmond Newspapers, Inc. v. Virginia, 448 U.S. 555 (1980).</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right of access extends to preliminary hearings, voir dire, and other pretrial proceedings. Closure may be ordered only if (1) the closure is necessitated by a compelling governmental interest and (2) is narrowly tailored to serve that interest. </w:t>
      </w:r>
      <w:r>
        <w:rPr>
          <w:rFonts w:ascii="Arial" w:cs="Arial" w:eastAsia="Arial" w:hAnsi="Arial"/>
          <w:i/>
          <w:iCs/>
          <w:color w:val="444444"/>
          <w:sz w:val="20"/>
          <w:szCs w:val="20"/>
        </w:rPr>
        <w:t xml:space="preserve">Press-Enterprise Co. v. Superior Court (“Press-Enterprise II”), 478 U.S. 1 (1986); Press-Enterprise Co. v. Superior Court (“Press-Enterprise I”), 464 U.S. 501 (1984); Globe Newspaper Co. v. Superior Court, 457 U.S. 596 (1982).</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mandatory rule excluding the press from all trials involving sexual offenses against minors is unconstitutional because it is not narrowly tailored. Case-by-case determinations are required. </w:t>
      </w:r>
      <w:r>
        <w:rPr>
          <w:rFonts w:ascii="Arial" w:cs="Arial" w:eastAsia="Arial" w:hAnsi="Arial"/>
          <w:i/>
          <w:iCs/>
          <w:color w:val="444444"/>
          <w:sz w:val="20"/>
          <w:szCs w:val="20"/>
        </w:rPr>
        <w:t xml:space="preserve">Globe Newspaper Co. v. Superior Court, 457 U.S. 596 (1982).</w:t>
      </w:r>
    </w:p>
    <w:p>
      <w:pPr>
        <w:pStyle w:val="Heading3"/>
        <w:spacing w:after="120" w:before="240"/>
      </w:pPr>
      <w:r>
        <w:rPr>
          <w:rFonts w:ascii="Arial" w:cs="Arial" w:eastAsia="Arial" w:hAnsi="Arial"/>
          <w:b/>
          <w:bCs/>
          <w:sz w:val="22"/>
          <w:szCs w:val="22"/>
        </w:rPr>
        <w:t xml:space="preserve">3. Protective Orders for Discovery Materials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Courts may issue protective orders restricting the dissemination of information obtained through civil discovery. Such orders do not constitute prior restraints because the information was obtained only by virtue of the court’s processes. </w:t>
      </w:r>
      <w:r>
        <w:rPr>
          <w:rFonts w:ascii="Arial" w:cs="Arial" w:eastAsia="Arial" w:hAnsi="Arial"/>
          <w:i/>
          <w:iCs/>
          <w:color w:val="444444"/>
          <w:sz w:val="20"/>
          <w:szCs w:val="20"/>
        </w:rPr>
        <w:t xml:space="preserve">Seattle Times Co. v. Rhinehart, 467 U.S. 20 (1984).</w:t>
      </w:r>
    </w:p>
    <w:p>
      <w:pPr>
        <w:pStyle w:val="Heading3"/>
        <w:spacing w:after="120" w:before="240"/>
      </w:pPr>
      <w:r>
        <w:rPr>
          <w:rFonts w:ascii="Arial" w:cs="Arial" w:eastAsia="Arial" w:hAnsi="Arial"/>
          <w:b/>
          <w:bCs/>
          <w:sz w:val="22"/>
          <w:szCs w:val="22"/>
        </w:rPr>
        <w:t xml:space="preserve">4. Press Access to Prisons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press has no constitutional right of access to prisons or to conduct face-to-face interviews with specific inmates beyond that afforded to the general public. </w:t>
      </w:r>
      <w:r>
        <w:rPr>
          <w:rFonts w:ascii="Arial" w:cs="Arial" w:eastAsia="Arial" w:hAnsi="Arial"/>
          <w:i/>
          <w:iCs/>
          <w:color w:val="444444"/>
          <w:sz w:val="20"/>
          <w:szCs w:val="20"/>
        </w:rPr>
        <w:t xml:space="preserve">Pell v. Procunier, 417 U.S. 817 (1974); Saxbe v. Washington Post Co., 417 U.S. 843 (1974); Houchins v. KQED, Inc., 438 U.S. 1 (1978).</w:t>
      </w:r>
    </w:p>
    <w:p>
      <w:pPr>
        <w:pStyle w:val="Heading3"/>
        <w:spacing w:after="120" w:before="240"/>
      </w:pPr>
      <w:r>
        <w:rPr>
          <w:rFonts w:ascii="Arial" w:cs="Arial" w:eastAsia="Arial" w:hAnsi="Arial"/>
          <w:b/>
          <w:bCs/>
          <w:sz w:val="22"/>
          <w:szCs w:val="22"/>
        </w:rPr>
        <w:t xml:space="preserve">5. Reporter’s Privilege</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First Amendment does not provide reporters with an absolute privilege against appearing before a grand jury or disclosing confidential sources. However, news gathering is not without First Amendment protections. </w:t>
      </w:r>
      <w:r>
        <w:rPr>
          <w:rFonts w:ascii="Arial" w:cs="Arial" w:eastAsia="Arial" w:hAnsi="Arial"/>
          <w:i/>
          <w:iCs/>
          <w:color w:val="444444"/>
          <w:sz w:val="20"/>
          <w:szCs w:val="20"/>
        </w:rPr>
        <w:t xml:space="preserve">Branzburg v. Hayes, 408 U.S. 665 (1972).</w:t>
      </w:r>
    </w:p>
    <w:p>
      <w:pPr>
        <w:pStyle w:val="Heading3"/>
        <w:spacing w:after="120" w:before="240"/>
      </w:pPr>
      <w:r>
        <w:rPr>
          <w:rFonts w:ascii="Arial" w:cs="Arial" w:eastAsia="Arial" w:hAnsi="Arial"/>
          <w:b/>
          <w:bCs/>
          <w:sz w:val="22"/>
          <w:szCs w:val="22"/>
        </w:rPr>
        <w:t xml:space="preserve">6. Press Not Exempt from Generally Applicable Laws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press is not exempt from the application of general laws, including promissory estoppel, that do not single out the press or target a particular publication. </w:t>
      </w:r>
      <w:r>
        <w:rPr>
          <w:rFonts w:ascii="Arial" w:cs="Arial" w:eastAsia="Arial" w:hAnsi="Arial"/>
          <w:i/>
          <w:iCs/>
          <w:color w:val="444444"/>
          <w:sz w:val="20"/>
          <w:szCs w:val="20"/>
        </w:rPr>
        <w:t xml:space="preserve">Cohen v. Cowles Media Co., 501 U.S. 663 (1991).</w:t>
      </w:r>
    </w:p>
    <w:p>
      <w:pPr>
        <w:pStyle w:val="Heading1"/>
        <w:spacing w:after="200" w:before="360"/>
      </w:pPr>
      <w:r>
        <w:rPr>
          <w:rFonts w:ascii="Arial" w:cs="Arial" w:eastAsia="Arial" w:hAnsi="Arial"/>
          <w:b/>
          <w:bCs/>
          <w:sz w:val="28"/>
          <w:szCs w:val="28"/>
        </w:rPr>
        <w:t xml:space="preserve">IV. FREEDOM OF ASSOCIATION</w:t>
      </w:r>
    </w:p>
    <w:p>
      <w:pPr>
        <w:pStyle w:val="Heading3"/>
        <w:spacing w:after="120" w:before="240"/>
      </w:pPr>
      <w:r>
        <w:rPr>
          <w:rFonts w:ascii="Arial" w:cs="Arial" w:eastAsia="Arial" w:hAnsi="Arial"/>
          <w:b/>
          <w:bCs/>
          <w:sz w:val="22"/>
          <w:szCs w:val="22"/>
        </w:rPr>
        <w:t xml:space="preserve">1. Expressive Association</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First Amendment protects the right to associate for the purpose of engaging in activities protected by the First Amendment—speech, assembly, petition. The right of expressive association includes a correlative right not to associate. </w:t>
      </w:r>
      <w:r>
        <w:rPr>
          <w:rFonts w:ascii="Arial" w:cs="Arial" w:eastAsia="Arial" w:hAnsi="Arial"/>
          <w:i/>
          <w:iCs/>
          <w:color w:val="444444"/>
          <w:sz w:val="20"/>
          <w:szCs w:val="20"/>
        </w:rPr>
        <w:t xml:space="preserve">Roberts v. United States Jaycees, 468 U.S. 609 (1984); Boy Scouts of America v. Dale, 530 U.S. 640 (2000).</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An organization may invoke the right of expressive association to resist forced inclusion of an unwanted person if the presence of that person would significantly affect the group’s ability to advocate its viewpoint. The court must balance the group’s right against the state’s compelling interest in the regulation (e.g., antidiscrimination). </w:t>
      </w:r>
      <w:r>
        <w:rPr>
          <w:rFonts w:ascii="Arial" w:cs="Arial" w:eastAsia="Arial" w:hAnsi="Arial"/>
          <w:i/>
          <w:iCs/>
          <w:color w:val="444444"/>
          <w:sz w:val="20"/>
          <w:szCs w:val="20"/>
        </w:rPr>
        <w:t xml:space="preserve">Boy Scouts of America v. Dale (2000); Hurley v. Irish-American Gay, Lesbian and Bisexual Group of Boston, Inc., 515 U.S. 557 (1995).</w:t>
      </w:r>
    </w:p>
    <w:p>
      <w:pPr>
        <w:pStyle w:val="Heading3"/>
        <w:spacing w:after="120" w:before="240"/>
      </w:pPr>
      <w:r>
        <w:rPr>
          <w:rFonts w:ascii="Arial" w:cs="Arial" w:eastAsia="Arial" w:hAnsi="Arial"/>
          <w:b/>
          <w:bCs/>
          <w:sz w:val="22"/>
          <w:szCs w:val="22"/>
        </w:rPr>
        <w:t xml:space="preserve">2. Intimate Association</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Constitution protects certain intimate human relationships (e.g., family relationships, marriage) as a fundamental element of personal liberty. Not every private club or social organization qualifies. </w:t>
      </w:r>
      <w:r>
        <w:rPr>
          <w:rFonts w:ascii="Arial" w:cs="Arial" w:eastAsia="Arial" w:hAnsi="Arial"/>
          <w:i/>
          <w:iCs/>
          <w:color w:val="444444"/>
          <w:sz w:val="20"/>
          <w:szCs w:val="20"/>
        </w:rPr>
        <w:t xml:space="preserve">Roberts v. United States Jaycees (1984); City of Dallas v. Stanglin, 490 U.S. 19 (1989).</w:t>
      </w:r>
    </w:p>
    <w:p>
      <w:pPr>
        <w:pStyle w:val="Heading3"/>
        <w:spacing w:after="120" w:before="240"/>
      </w:pPr>
      <w:r>
        <w:rPr>
          <w:rFonts w:ascii="Arial" w:cs="Arial" w:eastAsia="Arial" w:hAnsi="Arial"/>
          <w:b/>
          <w:bCs/>
          <w:sz w:val="22"/>
          <w:szCs w:val="22"/>
        </w:rPr>
        <w:t xml:space="preserve">3. Freedom of Association and the Electoral Process</w:t>
      </w:r>
    </w:p>
    <w:p>
      <w:pPr>
        <w:spacing w:after="100" w:before="200"/>
      </w:pPr>
      <w:r>
        <w:rPr>
          <w:rFonts w:ascii="Arial" w:cs="Arial" w:eastAsia="Arial" w:hAnsi="Arial"/>
          <w:b/>
          <w:bCs/>
          <w:i/>
          <w:iCs/>
          <w:sz w:val="21"/>
          <w:szCs w:val="21"/>
        </w:rPr>
        <w:t xml:space="preserve">a. Campaign Contributions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Campaign contribution limits are constitutional because contributions involve speech by proxy, and the government has a sufficiently important interest in preventing corruption or the appearance of corruption. Contribution limits are subject to “closely drawn” scrutiny (lesser than strict scrutiny). </w:t>
      </w:r>
      <w:r>
        <w:rPr>
          <w:rFonts w:ascii="Arial" w:cs="Arial" w:eastAsia="Arial" w:hAnsi="Arial"/>
          <w:i/>
          <w:iCs/>
          <w:color w:val="444444"/>
          <w:sz w:val="20"/>
          <w:szCs w:val="20"/>
        </w:rPr>
        <w:t xml:space="preserve">Buckley v. Valeo, 424 U.S. 1 (1976); Nixon v. Shrink Missouri Government PAC, 528 U.S. 377 (2000).</w:t>
      </w:r>
    </w:p>
    <w:p>
      <w:pPr>
        <w:spacing w:after="100" w:before="200"/>
      </w:pPr>
      <w:r>
        <w:rPr>
          <w:rFonts w:ascii="Arial" w:cs="Arial" w:eastAsia="Arial" w:hAnsi="Arial"/>
          <w:b/>
          <w:bCs/>
          <w:i/>
          <w:iCs/>
          <w:sz w:val="21"/>
          <w:szCs w:val="21"/>
        </w:rPr>
        <w:t xml:space="preserve">b. Campaign Expenditures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Independent expenditure limits are unconstitutional because they impose direct and substantial restraints on core political speech, and independent expenditures do not pose the same danger of corruption as direct contributions to candidates. </w:t>
      </w:r>
      <w:r>
        <w:rPr>
          <w:rFonts w:ascii="Arial" w:cs="Arial" w:eastAsia="Arial" w:hAnsi="Arial"/>
          <w:i/>
          <w:iCs/>
          <w:color w:val="444444"/>
          <w:sz w:val="20"/>
          <w:szCs w:val="20"/>
        </w:rPr>
        <w:t xml:space="preserve">Buckley v. Valeo, 424 U.S. 1 (1976); Citizens United v. Federal Election Commission, 558 U.S. 310 (2010) (overruling Austin v. Michigan State Chamber of Commerce and extending the principle to corporations and unions).</w:t>
      </w:r>
    </w:p>
    <w:p>
      <w:pPr>
        <w:spacing w:after="100" w:before="200"/>
      </w:pPr>
      <w:r>
        <w:rPr>
          <w:rFonts w:ascii="Arial" w:cs="Arial" w:eastAsia="Arial" w:hAnsi="Arial"/>
          <w:b/>
          <w:bCs/>
          <w:i/>
          <w:iCs/>
          <w:sz w:val="21"/>
          <w:szCs w:val="21"/>
        </w:rPr>
        <w:t xml:space="preserve">c. Corporate Political Speech</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First Amendment prohibits the government from restricting independent political expenditures by corporations and unions. Political speech does not lose First Amendment protection simply because its source is a corporation. </w:t>
      </w:r>
      <w:r>
        <w:rPr>
          <w:rFonts w:ascii="Arial" w:cs="Arial" w:eastAsia="Arial" w:hAnsi="Arial"/>
          <w:i/>
          <w:iCs/>
          <w:color w:val="444444"/>
          <w:sz w:val="20"/>
          <w:szCs w:val="20"/>
        </w:rPr>
        <w:t xml:space="preserve">Citizens United v. Federal Election Commission, 558 U.S. 310 (2010).</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Mandatory disclosure and disclaimer requirements for campaign-related speech are constitutional and serve informational interests. </w:t>
      </w:r>
      <w:r>
        <w:rPr>
          <w:rFonts w:ascii="Arial" w:cs="Arial" w:eastAsia="Arial" w:hAnsi="Arial"/>
          <w:i/>
          <w:iCs/>
          <w:color w:val="444444"/>
          <w:sz w:val="20"/>
          <w:szCs w:val="20"/>
        </w:rPr>
        <w:t xml:space="preserve">Citizens United (2010); Buckley v. Valeo (1976).</w:t>
      </w:r>
    </w:p>
    <w:p>
      <w:pPr>
        <w:spacing w:after="100" w:before="200"/>
      </w:pPr>
      <w:r>
        <w:rPr>
          <w:rFonts w:ascii="Arial" w:cs="Arial" w:eastAsia="Arial" w:hAnsi="Arial"/>
          <w:b/>
          <w:bCs/>
          <w:i/>
          <w:iCs/>
          <w:sz w:val="21"/>
          <w:szCs w:val="21"/>
        </w:rPr>
        <w:t xml:space="preserve">d. Ballot Access</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States may impose reasonable regulations on ballot access, including signature requirements and filing deadlines, to ensure orderly elections. A state’s interest in regulating the electoral process must be balanced against the right to associate for political purposes. Severe restrictions trigger strict scrutiny; reasonable, nondiscriminatory restrictions are reviewed under a more flexible standard. </w:t>
      </w:r>
      <w:r>
        <w:rPr>
          <w:rFonts w:ascii="Arial" w:cs="Arial" w:eastAsia="Arial" w:hAnsi="Arial"/>
          <w:i/>
          <w:iCs/>
          <w:color w:val="444444"/>
          <w:sz w:val="20"/>
          <w:szCs w:val="20"/>
        </w:rPr>
        <w:t xml:space="preserve">Anderson v. Celebrezze, 460 U.S. 780 (1983); Burdick v. Takushi, 504 U.S. 428 (1992); Timmons v. Twin Cities Area New Party, 520 U.S. 351 (1997).</w:t>
      </w:r>
    </w:p>
    <w:p>
      <w:pPr>
        <w:pStyle w:val="Heading3"/>
        <w:spacing w:after="120" w:before="240"/>
      </w:pPr>
      <w:r>
        <w:rPr>
          <w:rFonts w:ascii="Arial" w:cs="Arial" w:eastAsia="Arial" w:hAnsi="Arial"/>
          <w:b/>
          <w:bCs/>
          <w:sz w:val="22"/>
          <w:szCs w:val="22"/>
        </w:rPr>
        <w:t xml:space="preserve">4. Bar Membership</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government may not condition bar membership on disclosure of political associations unrelated to fitness to practice law. Compelled disclosure of organizational memberships implicates the freedom of association. </w:t>
      </w:r>
      <w:r>
        <w:rPr>
          <w:rFonts w:ascii="Arial" w:cs="Arial" w:eastAsia="Arial" w:hAnsi="Arial"/>
          <w:i/>
          <w:iCs/>
          <w:color w:val="444444"/>
          <w:sz w:val="20"/>
          <w:szCs w:val="20"/>
        </w:rPr>
        <w:t xml:space="preserve">Baird v. State Bar, 401 U.S. 1 (1971); In re Stolar, 401 U.S. 23 (1971).</w:t>
      </w:r>
    </w:p>
    <w:p>
      <w:pPr>
        <w:spacing w:after="100" w:before="200"/>
      </w:pPr>
      <w:r>
        <w:rPr>
          <w:rFonts w:ascii="Arial" w:cs="Arial" w:eastAsia="Arial" w:hAnsi="Arial"/>
          <w:b/>
          <w:bCs/>
          <w:i/>
          <w:iCs/>
          <w:sz w:val="21"/>
          <w:szCs w:val="21"/>
        </w:rPr>
        <w:t xml:space="preserve">e. Party Regulation</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States have broad power to regulate elections and the electoral process, including setting requirements for political parties to appear on the ballot. However, a state’s interest in regulating elections does not justify unreasonable restrictions on political parties’ associational rights, such as blanket primary systems that force a party to associate with voters who are hostile to its views. </w:t>
      </w:r>
      <w:r>
        <w:rPr>
          <w:rFonts w:ascii="Arial" w:cs="Arial" w:eastAsia="Arial" w:hAnsi="Arial"/>
          <w:i/>
          <w:iCs/>
          <w:color w:val="444444"/>
          <w:sz w:val="20"/>
          <w:szCs w:val="20"/>
        </w:rPr>
        <w:t xml:space="preserve">California Democratic Party v. Jones, 530 U.S. 567 (2000); Tashjian v. Republican Party of Conn., 479 U.S. 208 (1986).</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A state may use a nonpartisan “top two” primary system that advances the two highest vote-getters to the general election regardless of party, so long as the system does not create a constitutionally significant burden on associational rights. </w:t>
      </w:r>
      <w:r>
        <w:rPr>
          <w:rFonts w:ascii="Arial" w:cs="Arial" w:eastAsia="Arial" w:hAnsi="Arial"/>
          <w:i/>
          <w:iCs/>
          <w:color w:val="444444"/>
          <w:sz w:val="20"/>
          <w:szCs w:val="20"/>
        </w:rPr>
        <w:t xml:space="preserve">Washington State Grange v. Washington State Republican Party, 552 U.S. 442 (2008).</w:t>
      </w:r>
    </w:p>
    <w:p>
      <w:pPr>
        <w:pStyle w:val="Heading3"/>
        <w:spacing w:after="120" w:before="240"/>
      </w:pPr>
      <w:r>
        <w:rPr>
          <w:rFonts w:ascii="Arial" w:cs="Arial" w:eastAsia="Arial" w:hAnsi="Arial"/>
          <w:b/>
          <w:bCs/>
          <w:sz w:val="22"/>
          <w:szCs w:val="22"/>
        </w:rPr>
        <w:t xml:space="preserve">5. Laws Prohibiting or Punishing Membership</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The government may not punish an individual for mere membership in an organization, including a subversive one, absent specific intent to further the organization’s unlawful aims. </w:t>
      </w:r>
      <w:r>
        <w:rPr>
          <w:rFonts w:ascii="Arial" w:cs="Arial" w:eastAsia="Arial" w:hAnsi="Arial"/>
          <w:i/>
          <w:iCs/>
          <w:color w:val="444444"/>
          <w:sz w:val="20"/>
          <w:szCs w:val="20"/>
        </w:rPr>
        <w:t xml:space="preserve">Scales v. United States, 367 U.S. 203 (1961); Noto v. United States, 367 U.S. 290 (1961); Elfbrandt v. Russell, 384 U.S. 11 (1966).</w:t>
      </w:r>
    </w:p>
    <w:p>
      <w:pPr>
        <w:spacing w:after="80" w:before="100"/>
        <w:ind w:left="720"/>
      </w:pPr>
      <w:r>
        <w:rPr>
          <w:rFonts w:ascii="Arial" w:cs="Arial" w:eastAsia="Arial" w:hAnsi="Arial"/>
          <w:b/>
          <w:bCs/>
          <w:sz w:val="21"/>
          <w:szCs w:val="21"/>
        </w:rPr>
        <w:t xml:space="preserve">Rule: </w:t>
      </w:r>
      <w:r>
        <w:rPr>
          <w:rFonts w:ascii="Arial" w:cs="Arial" w:eastAsia="Arial" w:hAnsi="Arial"/>
          <w:sz w:val="21"/>
          <w:szCs w:val="21"/>
        </w:rPr>
        <w:t xml:space="preserve">Government employees may not be discharged solely for belonging to a political party. </w:t>
      </w:r>
      <w:r>
        <w:rPr>
          <w:rFonts w:ascii="Arial" w:cs="Arial" w:eastAsia="Arial" w:hAnsi="Arial"/>
          <w:i/>
          <w:iCs/>
          <w:color w:val="444444"/>
          <w:sz w:val="20"/>
          <w:szCs w:val="20"/>
        </w:rPr>
        <w:t xml:space="preserve">Elrod v. Burns, 427 U.S. 347 (1976); Branti v. Finkel, 445 U.S. 507 (1980).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 w:type="paragraph" w:styleId="Heading3">
    <w:name w:val="Heading 3"/>
    <w:basedOn w:val="Normal"/>
    <w:next w:val="Normal"/>
    <w:qFormat/>
    <w:pPr>
      <w:spacing w:after="12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2026-03-16T23:42:27.573Z</dcterms:created>
  <dcterms:modified xsi:type="dcterms:W3CDTF">2026-03-16T23:42:27.573Z</dcterms:modified>
</cp:coreProperties>
</file>

<file path=docProps/custom.xml><?xml version="1.0" encoding="utf-8"?>
<Properties xmlns="http://schemas.openxmlformats.org/officeDocument/2006/custom-properties" xmlns:vt="http://schemas.openxmlformats.org/officeDocument/2006/docPropsVTypes"/>
</file>