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Georgia" w:cs="Georgia" w:eastAsia="Georgia" w:hAnsi="Georgia"/>
          <w:b/>
          <w:bCs/>
          <w:color w:val="8B4513"/>
          <w:sz w:val="52"/>
          <w:szCs w:val="52"/>
        </w:rPr>
        <w:t xml:space="preserve">THE FIRST AMENDMENT MUSEUM</w:t>
      </w:r>
    </w:p>
    <w:p>
      <w:pPr>
        <w:spacing w:after="60"/>
        <w:jc w:val="center"/>
      </w:pPr>
      <w:r>
        <w:rPr>
          <w:color w:val="8B4513"/>
          <w:sz w:val="28"/>
          <w:szCs w:val="28"/>
        </w:rPr>
        <w:t xml:space="preserve">——————————</w:t>
      </w:r>
    </w:p>
    <w:p>
      <w:pPr>
        <w:spacing w:after="200"/>
        <w:jc w:val="center"/>
      </w:pPr>
      <w:r>
        <w:rPr>
          <w:rFonts w:ascii="Georgia" w:cs="Georgia" w:eastAsia="Georgia" w:hAnsi="Georgia"/>
          <w:i/>
          <w:iCs/>
          <w:color w:val="2c1810"/>
          <w:sz w:val="36"/>
          <w:szCs w:val="36"/>
        </w:rPr>
        <w:t xml:space="preserve">A Docent’s Guide</w:t>
      </w:r>
    </w:p>
    <w:p>
      <w:pPr>
        <w:spacing w:after="80"/>
        <w:jc w:val="center"/>
      </w:pPr>
      <w:r>
        <w:rPr>
          <w:rFonts w:ascii="Georgia" w:cs="Georgia" w:eastAsia="Georgia" w:hAnsi="Georgia"/>
          <w:color w:val="666666"/>
          <w:sz w:val="26"/>
          <w:szCs w:val="26"/>
        </w:rPr>
        <w:t xml:space="preserve">A 30-Minute Self-Guided Tour</w:t>
      </w:r>
    </w:p>
    <w:p>
      <w:pPr>
        <w:spacing w:after="400"/>
        <w:jc w:val="center"/>
      </w:pPr>
      <w:r>
        <w:rPr>
          <w:rFonts w:ascii="Georgia" w:cs="Georgia" w:eastAsia="Georgia" w:hAnsi="Georgia"/>
          <w:i/>
          <w:iCs/>
          <w:color w:val="666666"/>
          <w:sz w:val="24"/>
          <w:szCs w:val="24"/>
        </w:rPr>
        <w:t xml:space="preserve">for students of the First Amendment</w:t>
      </w:r>
    </w:p>
    <w:p>
      <w:pPr>
        <w:spacing w:after="80"/>
        <w:jc w:val="center"/>
      </w:pPr>
      <w:r>
        <w:rPr>
          <w:rFonts w:ascii="Georgia" w:cs="Georgia" w:eastAsia="Georgia" w:hAnsi="Georgia"/>
          <w:color w:val="666666"/>
          <w:sz w:val="22"/>
          <w:szCs w:val="22"/>
        </w:rPr>
        <w:t xml:space="preserve">Visit the Museum: </w:t>
      </w:r>
      <w:hyperlink w:history="1" r:id="rIdawhcf3rs08yg16m5jp4p8">
        <w:r>
          <w:rPr>
            <w:rFonts w:ascii="Georgia" w:cs="Georgia" w:eastAsia="Georgia" w:hAnsi="Georgia"/>
            <w:color w:val="8B4513"/>
            <w:sz w:val="22"/>
            <w:szCs w:val="22"/>
            <w:u w:val="single"/>
          </w:rPr>
          <w:t xml:space="preserve">https://sethchandler.github.io/first-amendment-museum/</w:t>
        </w:r>
      </w:hyperlink>
    </w:p>
    <w:p>
      <w:r>
        <w:br w:type="page"/>
      </w:r>
    </w:p>
    <w:p>
      <w:pPr>
        <w:pStyle w:val="Heading1"/>
      </w:pPr>
      <w:r>
        <w:t xml:space="preserve">Welcome to the Museum</w:t>
      </w:r>
    </w:p>
    <w:p>
      <w:pPr>
        <w:spacing w:after="160"/>
      </w:pPr>
      <w:r>
        <w:rPr>
          <w:rFonts w:ascii="Georgia" w:cs="Georgia" w:eastAsia="Georgia" w:hAnsi="Georgia"/>
          <w:sz w:val="24"/>
          <w:szCs w:val="24"/>
        </w:rPr>
        <w:t xml:space="preserve">You’re about to walk through 800 years of the most radical experiment in human governance: the idea that the state cannot tell you what to think, what to believe, or what to say. Forty-five words in the First Amendment. One hundred and forty-four Supreme Court cases. Thirty-four historical milestones. Eighteen competing theories about why any of it matters.</w:t>
      </w:r>
    </w:p>
    <w:p>
      <w:pPr>
        <w:spacing w:after="160"/>
      </w:pPr>
      <w:r>
        <w:rPr>
          <w:rFonts w:ascii="Georgia" w:cs="Georgia" w:eastAsia="Georgia" w:hAnsi="Georgia"/>
          <w:sz w:val="24"/>
          <w:szCs w:val="24"/>
        </w:rPr>
        <w:t xml:space="preserve">This guide is your docent. It will walk you through the museum in roughly 30 minutes, hitting the highlights and pointing you toward the rooms where you’ll want to linger on your own. You won’t see everything—no one does in a first visit. That’s the point. Come back.</w:t>
      </w:r>
    </w:p>
    <w:p>
      <w:pPr>
        <w:pStyle w:val="Heading2"/>
      </w:pPr>
      <w:r>
        <w:t xml:space="preserve">How the Museum Works</w:t>
      </w:r>
    </w:p>
    <w:p>
      <w:pPr>
        <w:spacing w:after="160"/>
      </w:pPr>
      <w:r>
        <w:rPr>
          <w:rFonts w:ascii="Georgia" w:cs="Georgia" w:eastAsia="Georgia" w:hAnsi="Georgia"/>
          <w:sz w:val="24"/>
          <w:szCs w:val="24"/>
        </w:rPr>
        <w:t xml:space="preserve">The museum is a single interactive webpage. Everything is self-contained—no logins, no downloads, no tracking. It has four main sections, accessible from the sticky navigation bar at the top:</w:t>
      </w:r>
    </w:p>
    <w:p>
      <w:pPr>
        <w:spacing w:after="160"/>
      </w:pPr>
      <w:r>
        <w:rPr>
          <w:rFonts w:ascii="Georgia" w:cs="Georgia" w:eastAsia="Georgia" w:hAnsi="Georgia"/>
          <w:sz w:val="24"/>
          <w:szCs w:val="24"/>
        </w:rPr>
        <w:t xml:space="preserve">The Outline is the black-letter law—the rules, organized by topic. Every case name you see is clickable. Click one and a card pops up with the facts, holding, and any notable dissent. This is your reference shelf. When you’re studying for the bar or prepping for class, start here.</w:t>
      </w:r>
    </w:p>
    <w:p>
      <w:pPr>
        <w:spacing w:after="160"/>
      </w:pPr>
      <w:r>
        <w:rPr>
          <w:rFonts w:ascii="Georgia" w:cs="Georgia" w:eastAsia="Georgia" w:hAnsi="Georgia"/>
          <w:sz w:val="24"/>
          <w:szCs w:val="24"/>
        </w:rPr>
        <w:t xml:space="preserve">The Case Gallery is the museum’s permanent collection: all 144 cases, organized into 13 galleries by topic. You can scroll through them or use the search bar to find a case by name, year, or keyword. Try typing “flag” or “prayer” and watch the collection filter in real time.</w:t>
      </w:r>
    </w:p>
    <w:p>
      <w:pPr>
        <w:spacing w:after="160"/>
      </w:pPr>
      <w:r>
        <w:rPr>
          <w:rFonts w:ascii="Georgia" w:cs="Georgia" w:eastAsia="Georgia" w:hAnsi="Georgia"/>
          <w:sz w:val="24"/>
          <w:szCs w:val="24"/>
        </w:rPr>
        <w:t xml:space="preserve">The History Gallery is a timeline tracing the idea of the First Amendment from Magna Carta to the age of AI. Each entry is tagged by wing—Speech, Religion, or both—and links back to the cases in the permanent collection.</w:t>
      </w:r>
    </w:p>
    <w:p>
      <w:pPr>
        <w:spacing w:after="160"/>
      </w:pPr>
      <w:r>
        <w:rPr>
          <w:rFonts w:ascii="Georgia" w:cs="Georgia" w:eastAsia="Georgia" w:hAnsi="Georgia"/>
          <w:sz w:val="24"/>
          <w:szCs w:val="24"/>
        </w:rPr>
        <w:t xml:space="preserve">The Theories Gallery is the intellectual engine room. Why do we protect speech? What does religious liberty actually require? This gallery presents 18 frameworks organized into two wings (Speech and Religion), each divided into canonical and contemporary approaches. Every theory links to the cases that best illustrate it.</w:t>
      </w:r>
    </w:p>
    <w:p>
      <w:pPr>
        <w:spacing w:after="160"/>
      </w:pPr>
      <w:r>
        <w:rPr>
          <w:rFonts w:ascii="Georgia" w:cs="Georgia" w:eastAsia="Georgia" w:hAnsi="Georgia"/>
          <w:sz w:val="24"/>
          <w:szCs w:val="24"/>
        </w:rPr>
        <w:t xml:space="preserve">One more thing: you can open the museum on your phone. It’s fully responsive. Riding the bus to class? Pull it up and click through a gallery.</w:t>
      </w:r>
    </w:p>
    <w:p>
      <w:r>
        <w:br w:type="page"/>
      </w:r>
    </w:p>
    <w:p>
      <w:pPr>
        <w:pStyle w:val="Heading1"/>
      </w:pPr>
      <w:r>
        <w:t xml:space="preserve">The Tour: 30 Minutes, 8 Stops</w:t>
      </w:r>
    </w:p>
    <w:p>
      <w:pPr>
        <w:spacing w:after="160"/>
      </w:pPr>
      <w:r>
        <w:rPr>
          <w:rFonts w:ascii="Georgia" w:cs="Georgia" w:eastAsia="Georgia" w:hAnsi="Georgia"/>
          <w:sz w:val="24"/>
          <w:szCs w:val="24"/>
        </w:rPr>
        <w:t xml:space="preserve">Here’s our route. Each stop takes 3–4 minutes. Read the description, then click the links on the website and explore. If something grabs you, go down the rabbit hole—you can always pick up the tour where you left off.</w:t>
      </w:r>
    </w:p>
    <w:p>
      <w:pPr>
        <w:pStyle w:val="Heading2"/>
      </w:pPr>
      <w:r>
        <w:t xml:space="preserve">Stop 1: The Lobby — Get Your Bearings (2 min)</w:t>
      </w:r>
    </w:p>
    <w:p>
      <w:pPr>
        <w:spacing w:after="160"/>
      </w:pPr>
      <w:r>
        <w:rPr>
          <w:rFonts w:ascii="Georgia" w:cs="Georgia" w:eastAsia="Georgia" w:hAnsi="Georgia"/>
          <w:sz w:val="24"/>
          <w:szCs w:val="24"/>
        </w:rPr>
        <w:t xml:space="preserve">Open the museum. Look at the header: 144 leading cases, 34 historical milestones, 18 theories. That’s the scope of the First Amendment in American law. Scroll down slowly through the Outline. Don’t read it all—just notice the architecture. The Religion Clauses come first (Establishment, then Free Exercise). Then Free Speech (content-based, content-neutral, expressive conduct, unprotected expression, and on and on). Then Press. Then Association.</w:t>
      </w:r>
    </w:p>
    <w:p>
      <w:pPr>
        <w:spacing w:after="160"/>
      </w:pPr>
      <w:r>
        <w:rPr>
          <w:rFonts w:ascii="Georgia" w:cs="Georgia" w:eastAsia="Georgia" w:hAnsi="Georgia"/>
          <w:sz w:val="24"/>
          <w:szCs w:val="24"/>
        </w:rPr>
        <w:t xml:space="preserve">Notice that every rule has a case attached to it. The First Amendment is not a set of abstract principles floating in the ether. It’s built, brick by brick, out of real disputes between real people and their government. Click on any case name that catches your eye. Read the popup. Close it. That’s how the whole museum works.</w:t>
      </w:r>
    </w:p>
    <w:p>
      <w:pPr>
        <w:pStyle w:val="Heading2"/>
      </w:pPr>
      <w:r>
        <w:t xml:space="preserve">Stop 2: The History Gallery — Before 1791 (4 min)</w:t>
      </w:r>
    </w:p>
    <w:p>
      <w:pPr>
        <w:spacing w:after="160"/>
      </w:pPr>
      <w:r>
        <w:rPr>
          <w:rFonts w:ascii="Georgia" w:cs="Georgia" w:eastAsia="Georgia" w:hAnsi="Georgia"/>
          <w:sz w:val="24"/>
          <w:szCs w:val="24"/>
        </w:rPr>
        <w:t xml:space="preserve">Click “History” in the nav bar. Scroll to the Pre-Colonial &amp; English Roots era. Read the entry on Milton’s Areopagitica (1644). This is the ur-text of the free speech tradition—and it was itself an act of illegal publishing. Milton didn’t ask permission to publish his pamphlet arguing against requiring permission to publish. Appreciate the irony.</w:t>
      </w:r>
    </w:p>
    <w:p>
      <w:pPr>
        <w:spacing w:after="160"/>
      </w:pPr>
      <w:r>
        <w:rPr>
          <w:rFonts w:ascii="Georgia" w:cs="Georgia" w:eastAsia="Georgia" w:hAnsi="Georgia"/>
          <w:sz w:val="24"/>
          <w:szCs w:val="24"/>
        </w:rPr>
        <w:t xml:space="preserve">Now read Roger Williams &amp; Rhode Island (1636–1663). Williams was banished from Massachusetts for his religious dissent and went on to found the first political community in modern history built on full religious freedom. He coined the phrase “wall of separation between the garden of the church and the wilderness of the world.” Jefferson and the Supreme Court would borrow it centuries later.</w:t>
      </w:r>
    </w:p>
    <w:p>
      <w:pPr>
        <w:spacing w:after="160"/>
      </w:pPr>
      <w:r>
        <w:rPr>
          <w:rFonts w:ascii="Georgia" w:cs="Georgia" w:eastAsia="Georgia" w:hAnsi="Georgia"/>
          <w:sz w:val="24"/>
          <w:szCs w:val="24"/>
        </w:rPr>
        <w:t xml:space="preserve">Click the “See:” case links at the bottom of each entry. They’ll take you to the cases in the permanent collection that connect to these historical roots. Notice how ideas from the 1640s show up in Supreme Court opinions from the 1940s and 2020s.</w:t>
      </w:r>
    </w:p>
    <w:p>
      <w:pPr>
        <w:pStyle w:val="Heading2"/>
      </w:pPr>
      <w:r>
        <w:t xml:space="preserve">Stop 3: The Founding Era — Madison’s Genius (3 min)</w:t>
      </w:r>
    </w:p>
    <w:p>
      <w:pPr>
        <w:spacing w:after="160"/>
      </w:pPr>
      <w:r>
        <w:rPr>
          <w:rFonts w:ascii="Georgia" w:cs="Georgia" w:eastAsia="Georgia" w:hAnsi="Georgia"/>
          <w:sz w:val="24"/>
          <w:szCs w:val="24"/>
        </w:rPr>
        <w:t xml:space="preserve">Stay in the History Gallery and scroll to The Founding Era. Read three entries in order: the Virginia Declaration of Rights (1776), Jefferson’s Virginia Statute for Religious Freedom (1786), and Madison’s Memorial and Remonstrance (1785).</w:t>
      </w:r>
    </w:p>
    <w:p>
      <w:pPr>
        <w:spacing w:after="160"/>
      </w:pPr>
      <w:r>
        <w:rPr>
          <w:rFonts w:ascii="Georgia" w:cs="Georgia" w:eastAsia="Georgia" w:hAnsi="Georgia"/>
          <w:sz w:val="24"/>
          <w:szCs w:val="24"/>
        </w:rPr>
        <w:t xml:space="preserve">Here’s what to notice: Madison changed one word in the Virginia Declaration—from “toleration” to “free exercise.” That’s not a synonym. Toleration means the government graciously permits you to believe what you want. Free exercise means the right is yours already and the government can’t touch it. That single word shift—from government privilege to inherent right—is the DNA of the First Amendment.</w:t>
      </w:r>
    </w:p>
    <w:p>
      <w:pPr>
        <w:spacing w:after="160"/>
      </w:pPr>
      <w:r>
        <w:rPr>
          <w:rFonts w:ascii="Georgia" w:cs="Georgia" w:eastAsia="Georgia" w:hAnsi="Georgia"/>
          <w:sz w:val="24"/>
          <w:szCs w:val="24"/>
        </w:rPr>
        <w:t xml:space="preserve">Then read The Sedition Act of 1798. Seven years after ratification, Congress passed a law making it a crime to criticize the government. It was a disaster. Justice Brennan would later write that “the attack upon its validity has carried the day in the court of history.” Click the case link to New York Times v. Sullivan (1964) and read how the Sedition Act’s ghost haunts defamation law 170 years later.</w:t>
      </w:r>
    </w:p>
    <w:p>
      <w:pPr>
        <w:pStyle w:val="Heading2"/>
      </w:pPr>
      <w:r>
        <w:t xml:space="preserve">Stop 4: The Case Gallery — A Flag Burns in Dallas (4 min)</w:t>
      </w:r>
    </w:p>
    <w:p>
      <w:pPr>
        <w:spacing w:after="160"/>
      </w:pPr>
      <w:r>
        <w:rPr>
          <w:rFonts w:ascii="Georgia" w:cs="Georgia" w:eastAsia="Georgia" w:hAnsi="Georgia"/>
          <w:sz w:val="24"/>
          <w:szCs w:val="24"/>
        </w:rPr>
        <w:t xml:space="preserve">Click “Case Gallery” in the nav bar. Use the search box and type “Johnson.” Click on Texas v. Johnson (1989).</w:t>
      </w:r>
    </w:p>
    <w:p>
      <w:pPr>
        <w:spacing w:after="160"/>
      </w:pPr>
      <w:r>
        <w:rPr>
          <w:rFonts w:ascii="Georgia" w:cs="Georgia" w:eastAsia="Georgia" w:hAnsi="Georgia"/>
          <w:sz w:val="24"/>
          <w:szCs w:val="24"/>
        </w:rPr>
        <w:t xml:space="preserve">Read the facts. A protester at the 1984 Republican National Convention burned an American flag in front of Dallas City Hall while the crowd chanted “America, the red, white, and blue, we spit on you.” No one was hurt. One witness was so offended he went home and buried the flag’s remains in his backyard.</w:t>
      </w:r>
    </w:p>
    <w:p>
      <w:pPr>
        <w:spacing w:after="160"/>
      </w:pPr>
      <w:r>
        <w:rPr>
          <w:rFonts w:ascii="Georgia" w:cs="Georgia" w:eastAsia="Georgia" w:hAnsi="Georgia"/>
          <w:sz w:val="24"/>
          <w:szCs w:val="24"/>
        </w:rPr>
        <w:t xml:space="preserve">Now read the holding: “If there is a bedrock principle underlying the First Amendment, it is that the government may not prohibit the expression of an idea simply because society finds the idea itself disagreeable or offensive.” That’s Justice Brennan. That single sentence might be the most important thing you learn in this course.</w:t>
      </w:r>
    </w:p>
    <w:p>
      <w:pPr>
        <w:spacing w:after="160"/>
      </w:pPr>
      <w:r>
        <w:rPr>
          <w:rFonts w:ascii="Georgia" w:cs="Georgia" w:eastAsia="Georgia" w:hAnsi="Georgia"/>
          <w:sz w:val="24"/>
          <w:szCs w:val="24"/>
        </w:rPr>
        <w:t xml:space="preserve">Read the dissent. Rehnquist invoked Iwo Jima, the Star-Spangled Banner, and two centuries of poetry. Stevens argued the prosecution targeted the method, not the message. Both lost, 5–4. Justice Kennedy, who joined the majority, wrote a concurrence confessing that the case “exacts its personal toll”—the flag “protects those who hold it in contempt.”</w:t>
      </w:r>
    </w:p>
    <w:p>
      <w:pPr>
        <w:spacing w:after="160"/>
      </w:pPr>
      <w:r>
        <w:rPr>
          <w:rFonts w:ascii="Georgia" w:cs="Georgia" w:eastAsia="Georgia" w:hAnsi="Georgia"/>
          <w:sz w:val="24"/>
          <w:szCs w:val="24"/>
        </w:rPr>
        <w:t xml:space="preserve">This is the First Amendment at its most difficult and its most honest.</w:t>
      </w:r>
    </w:p>
    <w:p>
      <w:pPr>
        <w:pStyle w:val="Heading2"/>
      </w:pPr>
      <w:r>
        <w:t xml:space="preserve">Stop 5: The Theories Gallery — Why Do We Do This? (4 min)</w:t>
      </w:r>
    </w:p>
    <w:p>
      <w:pPr>
        <w:spacing w:after="160"/>
      </w:pPr>
      <w:r>
        <w:rPr>
          <w:rFonts w:ascii="Georgia" w:cs="Georgia" w:eastAsia="Georgia" w:hAnsi="Georgia"/>
          <w:sz w:val="24"/>
          <w:szCs w:val="24"/>
        </w:rPr>
        <w:t xml:space="preserve">Click “Theories” in the nav bar. You’re now in the intellectual engine room. Start with the Free Speech Theories wing.</w:t>
      </w:r>
    </w:p>
    <w:p>
      <w:pPr>
        <w:spacing w:after="160"/>
      </w:pPr>
      <w:r>
        <w:rPr>
          <w:rFonts w:ascii="Georgia" w:cs="Georgia" w:eastAsia="Georgia" w:hAnsi="Georgia"/>
          <w:sz w:val="24"/>
          <w:szCs w:val="24"/>
        </w:rPr>
        <w:t xml:space="preserve">Read the first three canonical theories: The Marketplace of Ideas (Holmes: truth wins in competition), Self-Governance (Meiklejohn: democracy needs informed citizens), and Autonomy (Baker: speech is about the speaker’s dignity, not society’s benefit).</w:t>
      </w:r>
    </w:p>
    <w:p>
      <w:pPr>
        <w:spacing w:after="160"/>
      </w:pPr>
      <w:r>
        <w:rPr>
          <w:rFonts w:ascii="Georgia" w:cs="Georgia" w:eastAsia="Georgia" w:hAnsi="Georgia"/>
          <w:sz w:val="24"/>
          <w:szCs w:val="24"/>
        </w:rPr>
        <w:t xml:space="preserve">Here’s a question to carry with you: Which theory best explains why we protect flag burning? The marketplace of ideas? Burning a flag doesn’t exactly “compete” in a marketplace of propositions. Self-governance? Maybe—it’s political protest. Autonomy? Now we’re getting somewhere. The tolerance theory? Bollinger would say protecting the flag burner teaches us all to live with disagreement.</w:t>
      </w:r>
    </w:p>
    <w:p>
      <w:pPr>
        <w:spacing w:after="160"/>
      </w:pPr>
      <w:r>
        <w:rPr>
          <w:rFonts w:ascii="Georgia" w:cs="Georgia" w:eastAsia="Georgia" w:hAnsi="Georgia"/>
          <w:sz w:val="24"/>
          <w:szCs w:val="24"/>
        </w:rPr>
        <w:t xml:space="preserve">Now scroll down to the Expanded &amp; Contemporary Approaches. Read the Anti-Subordination Theory (Lawrence, Matsuda, Delgado). These scholars argue that some speech—hate speech, cross-burnings—functions as an act of subordination, not an idea competing for acceptance. Click the linked cases: R.A.V. v. City of St. Paul and Virginia v. Black. Notice the tension. The Court says even within unprotected categories, you can’t impose viewpoint-based distinctions—but cross-burning with intent to intimidate can be banned. Where’s the line?</w:t>
      </w:r>
    </w:p>
    <w:p>
      <w:pPr>
        <w:spacing w:after="160"/>
      </w:pPr>
      <w:r>
        <w:rPr>
          <w:rFonts w:ascii="Georgia" w:cs="Georgia" w:eastAsia="Georgia" w:hAnsi="Georgia"/>
          <w:sz w:val="24"/>
          <w:szCs w:val="24"/>
        </w:rPr>
        <w:t xml:space="preserve">You don’t have to resolve this today. But the fact that smart people disagree about it is the point.</w:t>
      </w:r>
    </w:p>
    <w:p>
      <w:pPr>
        <w:pStyle w:val="Heading2"/>
      </w:pPr>
      <w:r>
        <w:t xml:space="preserve">Stop 6: The Religion Wing — Smith and Its Discontents (4 min)</w:t>
      </w:r>
    </w:p>
    <w:p>
      <w:pPr>
        <w:spacing w:after="160"/>
      </w:pPr>
      <w:r>
        <w:rPr>
          <w:rFonts w:ascii="Georgia" w:cs="Georgia" w:eastAsia="Georgia" w:hAnsi="Georgia"/>
          <w:sz w:val="24"/>
          <w:szCs w:val="24"/>
        </w:rPr>
        <w:t xml:space="preserve">Click back to “Theories” and scroll to Religion Clause Theories. Read Formal Neutrality (Scalia’s Smith position: no special treatment for religion) and then Accommodationism (McConnell’s position: the Free Exercise Clause was originally understood to require exemptions).</w:t>
      </w:r>
    </w:p>
    <w:p>
      <w:pPr>
        <w:spacing w:after="160"/>
      </w:pPr>
      <w:r>
        <w:rPr>
          <w:rFonts w:ascii="Georgia" w:cs="Georgia" w:eastAsia="Georgia" w:hAnsi="Georgia"/>
          <w:sz w:val="24"/>
          <w:szCs w:val="24"/>
        </w:rPr>
        <w:t xml:space="preserve">These aren’t just academic debates. They map directly onto real cases. Click the linked case for Smith (Employment Division v. Smith, 1990). Two members of the Native American Church were fired for using peyote in a religious ceremony and denied unemployment benefits. The Court said: tough luck. A neutral, generally applicable law doesn’t need a religious exemption.</w:t>
      </w:r>
    </w:p>
    <w:p>
      <w:pPr>
        <w:spacing w:after="160"/>
      </w:pPr>
      <w:r>
        <w:rPr>
          <w:rFonts w:ascii="Georgia" w:cs="Georgia" w:eastAsia="Georgia" w:hAnsi="Georgia"/>
          <w:sz w:val="24"/>
          <w:szCs w:val="24"/>
        </w:rPr>
        <w:t xml:space="preserve">Now search the Case Gallery for “Fulton.” Read Fulton v. Philadelphia (2021). Catholic Social Services wouldn’t certify same-sex couples as foster parents. The City cut off referrals. The Court ruled for CSS—but on narrow grounds. The contract had a discretionary exemption clause, so it wasn’t “generally applicable” under Smith. Three Justices wanted to overrule Smith entirely. Justice Barrett wrote separately: she’s sympathetic to overruling Smith but “skeptical about swapping Smith’s categorical antidiscrimination approach for an equally categorical strict scrutiny regime.”</w:t>
      </w:r>
    </w:p>
    <w:p>
      <w:pPr>
        <w:spacing w:after="160"/>
      </w:pPr>
      <w:r>
        <w:rPr>
          <w:rFonts w:ascii="Georgia" w:cs="Georgia" w:eastAsia="Georgia" w:hAnsi="Georgia"/>
          <w:sz w:val="24"/>
          <w:szCs w:val="24"/>
        </w:rPr>
        <w:t xml:space="preserve">This is the live wire in Religion Clause law. Smith is wounded but standing. Pay attention.</w:t>
      </w:r>
    </w:p>
    <w:p>
      <w:pPr>
        <w:pStyle w:val="Heading2"/>
      </w:pPr>
      <w:r>
        <w:t xml:space="preserve">Stop 7: The History Gallery — The 21st Century (4 min)</w:t>
      </w:r>
    </w:p>
    <w:p>
      <w:pPr>
        <w:spacing w:after="160"/>
      </w:pPr>
      <w:r>
        <w:rPr>
          <w:rFonts w:ascii="Georgia" w:cs="Georgia" w:eastAsia="Georgia" w:hAnsi="Georgia"/>
          <w:sz w:val="24"/>
          <w:szCs w:val="24"/>
        </w:rPr>
        <w:t xml:space="preserve">Go back to the History Gallery and scroll to The 21st Century. Read the last four entries: Citizens United (2010), Reed v. Town of Gilbert (2015), Kennedy v. Bremerton (2022), and 303 Creative (2023).</w:t>
      </w:r>
    </w:p>
    <w:p>
      <w:pPr>
        <w:spacing w:after="160"/>
      </w:pPr>
      <w:r>
        <w:rPr>
          <w:rFonts w:ascii="Georgia" w:cs="Georgia" w:eastAsia="Georgia" w:hAnsi="Georgia"/>
          <w:sz w:val="24"/>
          <w:szCs w:val="24"/>
        </w:rPr>
        <w:t xml:space="preserve">Notice a pattern? The Roberts Court has simultaneously expanded both free speech and free exercise protections. Content-based speech restrictions almost always lose (Reed). Religious exercise claims almost always win (Fulton, Kennedy, 303 Creative). Campaign finance restrictions fell (Citizens United). Compelled-speech claims succeeded (303 Creative).</w:t>
      </w:r>
    </w:p>
    <w:p>
      <w:pPr>
        <w:spacing w:after="160"/>
      </w:pPr>
      <w:r>
        <w:rPr>
          <w:rFonts w:ascii="Georgia" w:cs="Georgia" w:eastAsia="Georgia" w:hAnsi="Georgia"/>
          <w:sz w:val="24"/>
          <w:szCs w:val="24"/>
        </w:rPr>
        <w:t xml:space="preserve">Now read Social Media, AI &amp; the Digital First Amendment. The Court called the internet “the modern public square,” but the old frameworks are straining. Can states force platforms to host content they want to suppress? Is algorithmic curation “speech”? Does an AI have First Amendment rights? These questions are arriving at the Court’s doorstep right now. You will encounter them in practice.</w:t>
      </w:r>
    </w:p>
    <w:p>
      <w:pPr>
        <w:pStyle w:val="Heading2"/>
      </w:pPr>
      <w:r>
        <w:t xml:space="preserve">Stop 8: The Gift Shop — The Outline as Reference (3 min)</w:t>
      </w:r>
    </w:p>
    <w:p>
      <w:pPr>
        <w:spacing w:after="160"/>
      </w:pPr>
      <w:r>
        <w:rPr>
          <w:rFonts w:ascii="Georgia" w:cs="Georgia" w:eastAsia="Georgia" w:hAnsi="Georgia"/>
          <w:sz w:val="24"/>
          <w:szCs w:val="24"/>
        </w:rPr>
        <w:t xml:space="preserve">Every museum tour ends in the gift shop. Ours is the Outline itself—the part you scrolled past at the beginning.</w:t>
      </w:r>
    </w:p>
    <w:p>
      <w:pPr>
        <w:spacing w:after="160"/>
      </w:pPr>
      <w:r>
        <w:rPr>
          <w:rFonts w:ascii="Georgia" w:cs="Georgia" w:eastAsia="Georgia" w:hAnsi="Georgia"/>
          <w:sz w:val="24"/>
          <w:szCs w:val="24"/>
        </w:rPr>
        <w:t xml:space="preserve">Go back to “Outline” in the nav bar. This time, pick one topic that interests you and read the rules carefully. Click every case. Read each popup. For example, scroll to “Regulation of Unprotected Expression” and work through Fighting Words, True Threats, Incitement, Obscenity, and Defamation. That’s five doctrines, each with a different test, each built from specific cases, each with real facts involving real people.</w:t>
      </w:r>
    </w:p>
    <w:p>
      <w:pPr>
        <w:spacing w:after="160"/>
      </w:pPr>
      <w:r>
        <w:rPr>
          <w:rFonts w:ascii="Georgia" w:cs="Georgia" w:eastAsia="Georgia" w:hAnsi="Georgia"/>
          <w:sz w:val="24"/>
          <w:szCs w:val="24"/>
        </w:rPr>
        <w:t xml:space="preserve">This outline is your study reference. When you’re preparing for class, come here first. When you’re reviewing for the bar exam, come here first. When a case name comes up in discussion and you can’t quite remember the holding, type it in the search bar. The museum is always open.</w:t>
      </w:r>
    </w:p>
    <w:p>
      <w:r>
        <w:br w:type="page"/>
      </w:r>
    </w:p>
    <w:p>
      <w:pPr>
        <w:pStyle w:val="Heading1"/>
      </w:pPr>
      <w:r>
        <w:t xml:space="preserve">A Note Before You Go</w:t>
      </w:r>
    </w:p>
    <w:p>
      <w:pPr>
        <w:spacing w:after="160"/>
      </w:pPr>
      <w:r>
        <w:rPr>
          <w:rFonts w:ascii="Georgia" w:cs="Georgia" w:eastAsia="Georgia" w:hAnsi="Georgia"/>
          <w:sz w:val="24"/>
          <w:szCs w:val="24"/>
        </w:rPr>
        <w:t xml:space="preserve">The First Amendment is 45 words long. It has generated more Supreme Court litigation than any other provision of the Constitution. It protects flag burners and funeral picketers and Nazis marching through neighborhoods of Holocaust survivors. It shields churches from anti-discrimination laws and keeps the government out of your prayers. It lets newspapers publish stolen Pentagon secrets and bars the state from compelling you to say the Pledge of Allegiance.</w:t>
      </w:r>
    </w:p>
    <w:p>
      <w:pPr>
        <w:spacing w:after="160"/>
      </w:pPr>
      <w:r>
        <w:rPr>
          <w:rFonts w:ascii="Georgia" w:cs="Georgia" w:eastAsia="Georgia" w:hAnsi="Georgia"/>
          <w:sz w:val="24"/>
          <w:szCs w:val="24"/>
        </w:rPr>
        <w:t xml:space="preserve">None of this is comfortable. That’s the point. Justice Kennedy said it best in Texas v. Johnson: “The hard fact is that sometimes we must make decisions we do not like. We make them because they are right, right in the sense that the law and the Constitution, as we see them, compel the result.”</w:t>
      </w:r>
    </w:p>
    <w:p>
      <w:pPr>
        <w:spacing w:after="160"/>
      </w:pPr>
      <w:r>
        <w:rPr>
          <w:rFonts w:ascii="Georgia" w:cs="Georgia" w:eastAsia="Georgia" w:hAnsi="Georgia"/>
          <w:sz w:val="24"/>
          <w:szCs w:val="24"/>
        </w:rPr>
        <w:t xml:space="preserve">The museum you’ve just toured is a map of those hard decisions. Use it well.</w:t>
      </w:r>
    </w:p>
    <w:p>
      <w:pPr>
        <w:spacing w:before="600"/>
      </w:pPr>
    </w:p>
    <w:p>
      <w:pPr>
        <w:jc w:val="center"/>
      </w:pPr>
      <w:r>
        <w:rPr>
          <w:color w:val="8B4513"/>
          <w:sz w:val="28"/>
          <w:szCs w:val="28"/>
        </w:rPr>
        <w:t xml:space="preserve">— — —</w:t>
      </w:r>
    </w:p>
    <w:p>
      <w:pPr>
        <w:spacing w:before="200"/>
        <w:jc w:val="center"/>
      </w:pPr>
      <w:r>
        <w:rPr>
          <w:i/>
          <w:iCs/>
          <w:color w:val="666666"/>
          <w:sz w:val="22"/>
          <w:szCs w:val="22"/>
        </w:rPr>
        <w:t xml:space="preserve">Visit: </w:t>
      </w:r>
      <w:hyperlink w:history="1" r:id="rIdvi2dcn2ne0amosk_ixpgx">
        <w:r>
          <w:rPr>
            <w:color w:val="8B4513"/>
            <w:sz w:val="22"/>
            <w:szCs w:val="22"/>
            <w:u w:val="single"/>
          </w:rPr>
          <w:t xml:space="preserve">https://sethchandler.github.io/first-amendment-museum/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8"/>
        <w:szCs w:val="18"/>
      </w:rPr>
      <w:t xml:space="preserve">The First Amendment Museum — Docent’s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op %1."/>
      <w:lvlJc w:val="left"/>
      <w:pPr>
        <w:ind w:left="720" w:hanging="360"/>
      </w:pPr>
      <w:rPr>
        <w:rFonts w:ascii="Georgia" w:cs="Georgia" w:eastAsia="Georgia" w:hAnsi="Georgia"/>
        <w:b/>
        <w:bCs/>
        <w:color w:val="8B451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181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4513" w:sz="6" w:space="4"/>
      </w:pBdr>
      <w:spacing w:after="200" w:before="360"/>
      <w:outlineLvl w:val="0"/>
    </w:pPr>
    <w:rPr>
      <w:rFonts w:ascii="Georgia" w:cs="Georgia" w:eastAsia="Georgia" w:hAnsi="Georgia"/>
      <w:b/>
      <w:bCs/>
      <w:color w:val="8B4513"/>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E5D4B"/>
      <w:sz w:val="28"/>
      <w:szCs w:val="28"/>
    </w:rPr>
  </w:style>
  <w:style w:type="paragraph" w:styleId="Heading3">
    <w:name w:val="Heading 3"/>
    <w:basedOn w:val="Normal"/>
    <w:next w:val="Normal"/>
    <w:qFormat/>
    <w:pPr>
      <w:spacing w:after="120" w:before="200"/>
      <w:outlineLvl w:val="2"/>
    </w:pPr>
    <w:rPr>
      <w:rFonts w:ascii="Georgia" w:cs="Georgia" w:eastAsia="Georgia" w:hAnsi="Georgia"/>
      <w:b/>
      <w:bCs/>
      <w:i/>
      <w:iCs/>
      <w:color w:val="7B3F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whcf3rs08yg16m5jp4p8" Type="http://schemas.openxmlformats.org/officeDocument/2006/relationships/hyperlink" Target="https://sethchandler.github.io/first-amendment-museum/" TargetMode="External"/><Relationship Id="rIdvi2dcn2ne0amosk_ixpgx" Type="http://schemas.openxmlformats.org/officeDocument/2006/relationships/hyperlink" Target="https://sethchandler.github.io/first-amendment-museu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2026-03-17T13:20:42.231Z</dcterms:created>
  <dcterms:modified xsi:type="dcterms:W3CDTF">2026-03-17T13:20:42.231Z</dcterms:modified>
</cp:coreProperties>
</file>

<file path=docProps/custom.xml><?xml version="1.0" encoding="utf-8"?>
<Properties xmlns="http://schemas.openxmlformats.org/officeDocument/2006/custom-properties" xmlns:vt="http://schemas.openxmlformats.org/officeDocument/2006/docPropsVTypes"/>
</file>