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B68F" w14:textId="77777777" w:rsidR="00596882" w:rsidRDefault="00000000">
      <w:pPr>
        <w:spacing w:after="200"/>
        <w:jc w:val="center"/>
      </w:pPr>
      <w:r>
        <w:rPr>
          <w:b/>
          <w:bCs/>
          <w:sz w:val="32"/>
          <w:szCs w:val="32"/>
        </w:rPr>
        <w:t>The Taxing Power, Emergency Authority, and the Limits of Delegation: Learning Resources, Inc. v. Trump</w:t>
      </w:r>
    </w:p>
    <w:p w14:paraId="7E65F075" w14:textId="77777777" w:rsidR="00596882" w:rsidRDefault="00000000">
      <w:pPr>
        <w:spacing w:after="400"/>
        <w:jc w:val="center"/>
      </w:pPr>
      <w:r>
        <w:rPr>
          <w:sz w:val="22"/>
          <w:szCs w:val="22"/>
        </w:rPr>
        <w:t>Professor Seth Chandler | February 2026</w:t>
      </w:r>
    </w:p>
    <w:p w14:paraId="27C6B796" w14:textId="77777777" w:rsidR="00596882" w:rsidRDefault="00000000">
      <w:r>
        <w:br w:type="page"/>
      </w:r>
    </w:p>
    <w:p w14:paraId="0D7DAB5E" w14:textId="77777777" w:rsidR="00596882" w:rsidRDefault="00000000">
      <w:pPr>
        <w:pStyle w:val="Heading1"/>
      </w:pPr>
      <w:r>
        <w:lastRenderedPageBreak/>
        <w:t>I. Introduction</w:t>
      </w:r>
    </w:p>
    <w:p w14:paraId="2923FFA1" w14:textId="77777777" w:rsidR="00596882" w:rsidRDefault="00000000">
      <w:pPr>
        <w:spacing w:after="120" w:line="276" w:lineRule="auto"/>
      </w:pPr>
      <w:r>
        <w:t xml:space="preserve">Learning Resources, Inc. v. Trump, 607 U.S. </w:t>
      </w:r>
      <w:r>
        <w:rPr>
          <w:i/>
          <w:iCs/>
        </w:rPr>
        <w:t>_</w:t>
      </w:r>
      <w:r>
        <w:t xml:space="preserve"> (2026), decided today by the Supreme Court, holds six to three that the International Emergency Economic Powers Act does not authorize the President to impose tariffs. The holding is important. But if this case were only about tariffs, it would belong in a trade law seminar. It appears in a first-year constitutional law course because it sits at the intersection of three foundational structural questions: the boundary between congressional and presidential power over taxation, the permissible scope of congressional delegation to the Executive, and the interpretive methodology courts should apply when the Executive claims sweeping authority from ambiguous statutory text. The opinion also exposes deep and unresolved fractures within the Court — not between the majority and the dissent, but within the majority itself — over the theoretical foundations of the major questions doctrine and the nondelegation doctrine.</w:t>
      </w:r>
    </w:p>
    <w:p w14:paraId="65128C18" w14:textId="77777777" w:rsidR="00596882" w:rsidRDefault="00000000">
      <w:pPr>
        <w:spacing w:after="120" w:line="276" w:lineRule="auto"/>
      </w:pPr>
      <w:r>
        <w:t>The case engages extensively with precedent that has already appeared in the course: McCulloch v. Maryland, 17 U.S. (4 Wheat.) 316 (1819); Gibbons v. Ogden, 22 U.S. (9 Wheat.) 1 (1824); Youngstown Sheet &amp; Tube Co. v. Sawyer, 343 U.S. 579 (1952); and Dames &amp; Moore v. Regan, 453 U.S. 654 (1981). It also implicates three lines of authority that require independent introduction: West Virginia v. EPA, 597 U.S. 697 (2022), and the major questions doctrine; Gundy v. United States, 588 U.S. 128 (2019), and the nondelegation doctrine; and United States v. Curtiss-Wright Export Corp., 299 U.S. 304 (1936), and the special status of presidential foreign affairs power. Each of these doctrines is the subject of ongoing scholarly and judicial debate. Learning Resources does not resolve any of them; it deepens all of them.</w:t>
      </w:r>
    </w:p>
    <w:p w14:paraId="13954EEF" w14:textId="77777777" w:rsidR="00596882" w:rsidRDefault="00000000">
      <w:pPr>
        <w:pStyle w:val="Heading1"/>
      </w:pPr>
      <w:r>
        <w:t>II. The Constitutional Foundation: Article I and the Taxing Power</w:t>
      </w:r>
    </w:p>
    <w:p w14:paraId="6201F4F9" w14:textId="77777777" w:rsidR="00596882" w:rsidRDefault="00000000">
      <w:pPr>
        <w:spacing w:after="120" w:line="276" w:lineRule="auto"/>
      </w:pPr>
      <w:r>
        <w:t>The majority opinion begins with constitutional text. Article I, Section 8, Clause 1 provides: "The Congress shall have Power To lay and collect Taxes, Duties, Imposts and Excises." The Court emphasizes that this power appears first among Congress's enumerated powers — a placement the Framers understood to be significant. Hamilton described the taxing power as "the most important of the authorities proposed to be conferred upon the Union." The Federalist No. 33, at 202-03 (C. Rossiter ed. 1961). The Court in Nicol v. Ames, 173 U.S. 509, 515 (1899), called it "the one great power upon which the whole national fabric is based."</w:t>
      </w:r>
    </w:p>
    <w:p w14:paraId="001FDF9C" w14:textId="77777777" w:rsidR="00596882" w:rsidRDefault="00000000">
      <w:pPr>
        <w:spacing w:after="120" w:line="276" w:lineRule="auto"/>
      </w:pPr>
      <w:r>
        <w:t xml:space="preserve">The opinion's use of McCulloch is notable for what it emphasizes and what it omits. Chief Justice Roberts invokes Marshall's characterization of the taxing power as a "power to destroy." McCulloch, 17 U.S. at 431. But the McCulloch passage, in its original context, was directed at the risk of state taxation destroying federal instrumentalities — not at the scope of federal taxing authority per se. Roberts </w:t>
      </w:r>
      <w:r>
        <w:lastRenderedPageBreak/>
        <w:t>repurposes the language to underscore the magnitude of the power and therefore the implausibility that Congress would delegate it through ambiguous language. This is McCulloch enlisted for structural separation-of-powers reasoning rather than for federalism.</w:t>
      </w:r>
    </w:p>
    <w:p w14:paraId="61D20D68" w14:textId="77777777" w:rsidR="00596882" w:rsidRDefault="00000000">
      <w:pPr>
        <w:spacing w:after="120" w:line="276" w:lineRule="auto"/>
      </w:pPr>
      <w:r>
        <w:t>Similarly, the opinion draws on Gibbons v. Ogden for the proposition that tariffs are "very clear[</w:t>
      </w:r>
      <w:proofErr w:type="spellStart"/>
      <w:r>
        <w:t>ly</w:t>
      </w:r>
      <w:proofErr w:type="spellEnd"/>
      <w:r>
        <w:t>] . . . a branch of the taxing power." Gibbons, 22 U.S. at 201. In Gibbons, Marshall was distinguishing the taxing power from the commerce power — explaining that although tariffs have a regulatory effect on commerce, they are exercises of the power to tax. That distinction, which was largely structural in Gibbons, becomes dispositive in Learning Resources: because tariffs are taxes, and because the Constitution vests the taxing power exclusively in Congress, the President must point to clear statutory authorization before exercising it. The Court thus takes a line from an 1824 federalism case and makes it load-bearing in a 2026 separation-of-powers case — a migration of precedent across doctrinal categories that is worth examining closely.</w:t>
      </w:r>
    </w:p>
    <w:p w14:paraId="52592F4A" w14:textId="77777777" w:rsidR="00596882" w:rsidRDefault="00000000">
      <w:pPr>
        <w:spacing w:after="120" w:line="276" w:lineRule="auto"/>
      </w:pPr>
      <w:r>
        <w:t xml:space="preserve">The Government conceded at oral argument that the President enjoys no inherent authority to impose tariffs during peacetime. Learning Resources, 607 U.S. at </w:t>
      </w:r>
      <w:r>
        <w:rPr>
          <w:i/>
          <w:iCs/>
        </w:rPr>
        <w:t>_</w:t>
      </w:r>
      <w:r>
        <w:t xml:space="preserve"> (slip op. at 6). That concession establishes the constitutional baseline: whatever tariff authority the President claims must flow from a congressional statute. The only question is whether IEEPA is such a statute.</w:t>
      </w:r>
    </w:p>
    <w:p w14:paraId="4278104F" w14:textId="77777777" w:rsidR="00596882" w:rsidRDefault="00000000">
      <w:pPr>
        <w:pStyle w:val="Heading1"/>
      </w:pPr>
      <w:r>
        <w:t>III. The Statutory Framework: IEEPA</w:t>
      </w:r>
    </w:p>
    <w:p w14:paraId="13168C28" w14:textId="77777777" w:rsidR="00596882" w:rsidRDefault="00000000">
      <w:pPr>
        <w:spacing w:after="120" w:line="276" w:lineRule="auto"/>
      </w:pPr>
      <w:r>
        <w:t>Enacted in 1977, IEEPA authorizes the President, upon declaring a national emergency involving an "unusual and extraordinary threat" originating primarily outside the United States, to take a series of economic actions. The key provision, 50 U.S.C. § 1702(a)(1)(B), authorizes the President to "investigate, block during the pendency of an investigation, regulate, direct and compel, nullify, void, prevent or prohibit, any acquisition, holding, withholding, use, transfer, withdrawal, transportation, importation or exportation of, or dealing in . . . any property in which any foreign country or a national thereof has any interest."</w:t>
      </w:r>
    </w:p>
    <w:p w14:paraId="630B8BC2" w14:textId="77777777" w:rsidR="00596882" w:rsidRDefault="00000000">
      <w:pPr>
        <w:spacing w:after="120" w:line="276" w:lineRule="auto"/>
      </w:pPr>
      <w:r>
        <w:t>The Government's argument rests on two words separated by sixteen others: "regulate" and "importation." The President invoked this language to impose tariffs on imports from Canada, Mexico, China, and ultimately all trading partners — tariffs that at their peak reached an effective rate of 145% on Chinese goods. Since imposing the initial tariffs, the President issued a dizzying series of increases, reductions, exemptions, and modifications, sometimes changing rates between consecutive days.</w:t>
      </w:r>
    </w:p>
    <w:p w14:paraId="4CFD7847" w14:textId="77777777" w:rsidR="00596882" w:rsidRDefault="00000000">
      <w:pPr>
        <w:spacing w:after="120" w:line="276" w:lineRule="auto"/>
      </w:pPr>
      <w:r>
        <w:t xml:space="preserve">All nine Justices engage with the statutory question. Six — the majority — say the answer is no. But within that majority, three Justices say the answer is no in part </w:t>
      </w:r>
      <w:r>
        <w:lastRenderedPageBreak/>
        <w:t>because of a constitutional doctrine that raises the bar for the Government's reading, and three refuse to join that reasoning.</w:t>
      </w:r>
    </w:p>
    <w:p w14:paraId="32FC1DBA" w14:textId="77777777" w:rsidR="00596882" w:rsidRDefault="00000000">
      <w:pPr>
        <w:pStyle w:val="Heading1"/>
      </w:pPr>
      <w:r>
        <w:t>IV. The Major Questions Doctrine: West Virginia v. EPA</w:t>
      </w:r>
    </w:p>
    <w:p w14:paraId="0D0D2B8F" w14:textId="77777777" w:rsidR="00596882" w:rsidRDefault="00000000">
      <w:pPr>
        <w:spacing w:after="120" w:line="276" w:lineRule="auto"/>
      </w:pPr>
      <w:r>
        <w:t>The majority's reasoning requires background on the major questions doctrine. The doctrine was named and formalized in West Virginia v. EPA, 597 U.S. 697 (2022), though it draws on a line of cases stretching back at least to FDA v. Brown &amp; Williamson Tobacco Corp., 529 U.S. 120 (2000).</w:t>
      </w:r>
    </w:p>
    <w:p w14:paraId="4D4CCF43" w14:textId="77777777" w:rsidR="00596882" w:rsidRDefault="00000000">
      <w:pPr>
        <w:spacing w:after="120" w:line="276" w:lineRule="auto"/>
      </w:pPr>
      <w:r>
        <w:t>In West Virginia, the EPA claimed authority under the Clean Air Act to restructure the nation's electricity grid by forcing a shift from coal-fired to natural gas and renewable generation. The statutory basis was a provision directing the EPA to identify the "best system of emission reduction" for existing power plants. 42 U.S.C. § 7411(a)(1). The Court held that the EPA's claimed authority was so "extraordinary" and of such "economic and political significance" that Congress would not have delegated it through ambiguous statutory language. West Virginia, 597 U.S. at 721-24. The agency was required to identify "clear congressional authorization" for its claim. Id. at 732.</w:t>
      </w:r>
    </w:p>
    <w:p w14:paraId="16B80DAA" w14:textId="77777777" w:rsidR="00596882" w:rsidRDefault="00000000">
      <w:pPr>
        <w:spacing w:after="120" w:line="276" w:lineRule="auto"/>
      </w:pPr>
      <w:r>
        <w:t>The doctrine appeared again in Biden v. Nebraska, 600 U.S. 477 (2023), where the Secretary of Education invoked the HEROES Act — which authorized him to "waive or modify" student loan provisions during a national emergency — to cancel approximately $430 billion in federal student loan debt. The Court held that the power to "waive or modify" did not clearly authorize wholesale debt cancellation. Id. at 504-06. Justice Barrett, concurring, offered a formulation that becomes important in Learning Resources: the doctrine reflects "commonsense principles of communication" — "context" and "common sense" about how Congress delegates. Id. at 512-14 (Barrett, J., concurring).</w:t>
      </w:r>
    </w:p>
    <w:p w14:paraId="2DF101CF" w14:textId="77777777" w:rsidR="00596882" w:rsidRDefault="00000000">
      <w:pPr>
        <w:spacing w:after="120" w:line="276" w:lineRule="auto"/>
      </w:pPr>
      <w:r>
        <w:t xml:space="preserve">The doctrine has been sharply contested. Justices Kagan, Sotomayor, and Jackson dissented in both West Virginia and Nebraska, arguing that the doctrine overrides legitimate congressional delegations and lacks any textual foundation. Justice Kagan called it a "special </w:t>
      </w:r>
      <w:proofErr w:type="spellStart"/>
      <w:r>
        <w:t>cano</w:t>
      </w:r>
      <w:proofErr w:type="spellEnd"/>
      <w:r>
        <w:t>[n]" that "magically appear[ed]." West Virginia, 597 U.S. at 779 (Kagan, J., dissenting). That history makes their behavior in Learning Resources — concurring in the result while refusing to join the major questions analysis — doctrinally significant.</w:t>
      </w:r>
    </w:p>
    <w:p w14:paraId="11DF2DE1" w14:textId="77777777" w:rsidR="00596882" w:rsidRDefault="00000000">
      <w:pPr>
        <w:pStyle w:val="Heading1"/>
      </w:pPr>
      <w:r>
        <w:t>V. The Majority's Two-Step Reasoning</w:t>
      </w:r>
    </w:p>
    <w:p w14:paraId="39EFD5BF" w14:textId="77777777" w:rsidR="00596882" w:rsidRDefault="00000000">
      <w:pPr>
        <w:spacing w:after="120" w:line="276" w:lineRule="auto"/>
      </w:pPr>
      <w:r>
        <w:t>Chief Justice Roberts's opinion proceeds in two steps that differ in their level of support.</w:t>
      </w:r>
    </w:p>
    <w:p w14:paraId="40E7E564" w14:textId="77777777" w:rsidR="00596882" w:rsidRDefault="00000000">
      <w:pPr>
        <w:spacing w:after="120" w:line="276" w:lineRule="auto"/>
      </w:pPr>
      <w:r>
        <w:t xml:space="preserve">Step One is the major questions analysis, set forth in Part II-A-2 of the opinion. This section is joined only by Justices Gorsuch and Barrett — making it a plurality opinion, </w:t>
      </w:r>
      <w:r>
        <w:lastRenderedPageBreak/>
        <w:t xml:space="preserve">not a holding of the Court. Roberts identifies several features that trigger heightened scrutiny. First, the purported delegation involves the "core congressional power of the purse" — Article I's taxing power, which belongs to Congress alone. Id. at </w:t>
      </w:r>
      <w:r>
        <w:rPr>
          <w:i/>
          <w:iCs/>
        </w:rPr>
        <w:t>_</w:t>
      </w:r>
      <w:r>
        <w:t xml:space="preserve"> (slip op. at 8). Second, the economic stakes are extraordinary: the Government itself projects that tariff revenue and trade agreements negotiated in reliance on the tariffs could be worth trillions of dollars — stakes that "dwarf those of other major questions cases." Id. at </w:t>
      </w:r>
      <w:r>
        <w:rPr>
          <w:i/>
          <w:iCs/>
        </w:rPr>
        <w:t>_</w:t>
      </w:r>
      <w:r>
        <w:t xml:space="preserve"> (slip op. at 11). Third, in IEEPA's half-century of existence, no President has ever invoked the statute to impose any tariffs. That "'lack of historical precedent,' coupled with the breadth of authority" claimed, suggests the tariffs exceed the President's "legitimate reach." Id. at </w:t>
      </w:r>
      <w:r>
        <w:rPr>
          <w:i/>
          <w:iCs/>
        </w:rPr>
        <w:t>_</w:t>
      </w:r>
      <w:r>
        <w:t xml:space="preserve"> (slip op. at 10) (quoting </w:t>
      </w:r>
      <w:proofErr w:type="spellStart"/>
      <w:r>
        <w:t>Nat'l</w:t>
      </w:r>
      <w:proofErr w:type="spellEnd"/>
      <w:r>
        <w:t xml:space="preserve"> </w:t>
      </w:r>
      <w:proofErr w:type="spellStart"/>
      <w:r>
        <w:t>Fed'n</w:t>
      </w:r>
      <w:proofErr w:type="spellEnd"/>
      <w:r>
        <w:t xml:space="preserve"> of </w:t>
      </w:r>
      <w:proofErr w:type="spellStart"/>
      <w:r>
        <w:t>Indep</w:t>
      </w:r>
      <w:proofErr w:type="spellEnd"/>
      <w:r>
        <w:t>. Bus. v. OSHA, 595 U.S. 109, 119 (2022) (per curiam)).</w:t>
      </w:r>
    </w:p>
    <w:p w14:paraId="1B58017A" w14:textId="77777777" w:rsidR="00596882" w:rsidRDefault="00000000">
      <w:pPr>
        <w:spacing w:after="120" w:line="276" w:lineRule="auto"/>
      </w:pPr>
      <w:r>
        <w:t xml:space="preserve">The plurality rejects two proposed exceptions. The Government argues the doctrine should not apply to emergency statutes. The Court responds that it rejected this same argument in Nebraska and quotes Justice Jackson's warning from Youngstown that "emergency powers tend to kindle emergencies." Youngstown, 343 U.S. at 650 (Jackson, J., concurring). The Government also proposes a foreign-affairs exception. The Court responds that the tariff power belongs to "Congress alone" during peacetime — the Government itself conceded as much — and concludes: "There is no major questions exception to the major questions doctrine." Learning Resources, 607 U.S. at </w:t>
      </w:r>
      <w:r>
        <w:rPr>
          <w:i/>
          <w:iCs/>
        </w:rPr>
        <w:t>_</w:t>
      </w:r>
      <w:r>
        <w:t xml:space="preserve"> (slip op. at 13).</w:t>
      </w:r>
    </w:p>
    <w:p w14:paraId="1A3D5820" w14:textId="77777777" w:rsidR="00596882" w:rsidRDefault="00000000">
      <w:pPr>
        <w:spacing w:after="120" w:line="276" w:lineRule="auto"/>
      </w:pPr>
      <w:r>
        <w:t xml:space="preserve">Step Two is the textual analysis, set forth in Part II-B. This section is joined by all six Justices in the majority, including Kagan, Sotomayor, and Jackson. The Court holds that "regulate" does not include the power to tax. The definition of "regulate" — "to fix, establish, or control; to adjust by rule, method, or established mode" — captures much of what government does, but taxation is not ordinarily understood as a species of regulation. The Government could not identify any statute in which the power to "regulate" includes the power to tax. And reading "regulate" to include taxation would render IEEPA partly unconstitutional, because the statute authorizes the President to "regulate . . . importation or exportation," and taxing exports is expressly forbidden by Article I, Section 9, Clause 5. Learning Resources, 607 U.S. at </w:t>
      </w:r>
      <w:r>
        <w:rPr>
          <w:i/>
          <w:iCs/>
        </w:rPr>
        <w:t>_</w:t>
      </w:r>
      <w:r>
        <w:t xml:space="preserve"> (slip op. at 15).</w:t>
      </w:r>
    </w:p>
    <w:p w14:paraId="3E6A7CF2" w14:textId="77777777" w:rsidR="00596882" w:rsidRDefault="00000000">
      <w:pPr>
        <w:spacing w:after="120" w:line="276" w:lineRule="auto"/>
      </w:pPr>
      <w:r>
        <w:t xml:space="preserve">The Court also relies on the noscitur a sociis canon. "Regulate" is one of nine verbs in Section 1702(a)(1)(B). Combined with eleven objects, they authorize ninety-nine possible presidential actions. None involves raising revenue. Tariffs are "different in kind, not degree" from the other authorities — they operate directly on domestic importers to raise revenue for the Treasury. Id. at </w:t>
      </w:r>
      <w:r>
        <w:rPr>
          <w:i/>
          <w:iCs/>
        </w:rPr>
        <w:t>_</w:t>
      </w:r>
      <w:r>
        <w:t xml:space="preserve"> (slip op. at 17).</w:t>
      </w:r>
    </w:p>
    <w:p w14:paraId="16482808" w14:textId="77777777" w:rsidR="00596882" w:rsidRDefault="00000000">
      <w:pPr>
        <w:pStyle w:val="Heading1"/>
      </w:pPr>
      <w:r>
        <w:t>VI. The Intra-Majority Debate: Three Theories of the Major Questions Doctrine</w:t>
      </w:r>
    </w:p>
    <w:p w14:paraId="693485C2" w14:textId="77777777" w:rsidR="00596882" w:rsidRDefault="00000000">
      <w:pPr>
        <w:spacing w:after="120" w:line="276" w:lineRule="auto"/>
      </w:pPr>
      <w:r>
        <w:lastRenderedPageBreak/>
        <w:t>The most consequential feature of this opinion may be the debate among the six Justices in the majority about the theoretical foundation of the major questions doctrine. Three incompatible theories emerge, and the trajectory of the doctrine depends on which prevails.</w:t>
      </w:r>
    </w:p>
    <w:p w14:paraId="1EFC4EED" w14:textId="77777777" w:rsidR="00596882" w:rsidRDefault="00000000">
      <w:pPr>
        <w:spacing w:after="120" w:line="276" w:lineRule="auto"/>
      </w:pPr>
      <w:r>
        <w:t xml:space="preserve">Justice Gorsuch's concurrence offers the strongest version. He treats the major questions doctrine as a clear-statement rule grounded in Article I's Vesting Clause — a "substantive canon" external to any </w:t>
      </w:r>
      <w:proofErr w:type="gramStart"/>
      <w:r>
        <w:t>particular statute</w:t>
      </w:r>
      <w:proofErr w:type="gramEnd"/>
      <w:r>
        <w:t xml:space="preserve">, designed to protect Congress's legislative power against executive aggrandizement. He traces its pedigree deep into the common law, citing English courts that strictly construed corporate charters when corporations claimed extraordinary powers not expressly granted, see Kirk v. </w:t>
      </w:r>
      <w:proofErr w:type="spellStart"/>
      <w:r>
        <w:t>Nowill</w:t>
      </w:r>
      <w:proofErr w:type="spellEnd"/>
      <w:r>
        <w:t>, 1 T.R. 118, 99 Eng. Rep. 1006 (K.B. 1786), and common-law agency principles requiring clear authorization before agents could exercise extraordinary powers, see Attwood v. Munnings, 7 B. &amp; C. 278, 108 Eng. Rep. 726 (K.B. 1827). He also cites early American precedent: the Interstate Commerce Commission could not set railroad rates under a broad delegation to regulate railroads. See ICC v. Cincinnati, N.O. &amp; T.P.R. Co., 167 U.S. 479, 505 (1897). On this account, the major questions doctrine is not a novelty but a restoration of longstanding interpretive practice.</w:t>
      </w:r>
    </w:p>
    <w:p w14:paraId="506C9FB5" w14:textId="77777777" w:rsidR="00596882" w:rsidRDefault="00000000">
      <w:pPr>
        <w:spacing w:after="120" w:line="276" w:lineRule="auto"/>
      </w:pPr>
      <w:r>
        <w:t>This matters for the doctrine's future. If Gorsuch is right, the major questions doctrine is a freestanding constitutional rule that operates independently of ordinary statutory interpretation. It would apply even where the statutory text, read without constitutional overlay, could plausibly support the Government's claim. Agencies would need clear statements before exercising transformative authority regardless of how persuasive their textual arguments might otherwise be.</w:t>
      </w:r>
    </w:p>
    <w:p w14:paraId="7237B2C6" w14:textId="77777777" w:rsidR="00596882" w:rsidRDefault="00000000">
      <w:pPr>
        <w:spacing w:after="120" w:line="276" w:lineRule="auto"/>
      </w:pPr>
      <w:r>
        <w:t xml:space="preserve">Justice Barrett joins the majority in full but writes separately to resist Gorsuch's framing. She contends the doctrine is best understood as an ordinary application of textualism — reading statutory text in context, where constitutional structure is part of that context. She resists the idea that the doctrine "loads the dice" or imposes a "clarity tax" on Congress. She calls Gorsuch's strong-form clear-statement rule a "judicial flex" in tension with the textualist commitment to reading statutes as written. Learning Resources, 607 U.S. at </w:t>
      </w:r>
      <w:r>
        <w:rPr>
          <w:i/>
          <w:iCs/>
        </w:rPr>
        <w:t>_</w:t>
      </w:r>
      <w:r>
        <w:t xml:space="preserve"> (Barrett, J., concurring, slip op. at 4). Barrett's version of the doctrine is less ambitious but harder to distinguish from ordinary statutory interpretation — a point that Justice Kagan exploits.</w:t>
      </w:r>
    </w:p>
    <w:p w14:paraId="5DD255D5" w14:textId="77777777" w:rsidR="00596882" w:rsidRDefault="00000000">
      <w:pPr>
        <w:spacing w:after="120" w:line="276" w:lineRule="auto"/>
      </w:pPr>
      <w:r>
        <w:t>Justice Kagan, joined by Justices Sotomayor and Jackson, takes a third position. She agrees IEEPA does not authorize tariffs but insists the major questions doctrine is unnecessary because "ordinary principles of statutory interpretation lead to the same result." Id. (Kagan, J., concurring in part, slip op. at 3). She applies what she describes as "straight-up statutory construction" — text, context, and common sense about how Congress delegates — and concludes the Government's reading fails the normal test, not an enhanced one.</w:t>
      </w:r>
    </w:p>
    <w:p w14:paraId="6933A89D" w14:textId="77777777" w:rsidR="00596882" w:rsidRDefault="00000000">
      <w:pPr>
        <w:spacing w:after="120" w:line="276" w:lineRule="auto"/>
      </w:pPr>
      <w:r>
        <w:lastRenderedPageBreak/>
        <w:t>The intellectual drama lies in the convergence. Justice Gorsuch devotes several pages to arguing that Kagan's prior dissents in West Virginia, Nebraska, NFIB v. OSHA, and Alabama Association of Realtors all read similarly broad statutory language expansively in favor of executive power. If "safe and healthful working conditions" authorized a vaccine mandate for 84 million Americans, and "regulations necessary to prevent the spread of communicable diseases" authorized a nationwide eviction moratorium, why does "regulate . . . importation" — language at least as broad — not authorize tariffs? Gorsuch's answer: what Kagan calls "context" is functionally indistinguishable from the major questions doctrine. He contends that "past skeptics owe the major questions doctrine a second look." Id. (Gorsuch, J., concurring, slip op. at 17).</w:t>
      </w:r>
    </w:p>
    <w:p w14:paraId="7DD87FE0" w14:textId="77777777" w:rsidR="00596882" w:rsidRDefault="00000000">
      <w:pPr>
        <w:spacing w:after="120" w:line="276" w:lineRule="auto"/>
      </w:pPr>
      <w:r>
        <w:t>This argument has force. Kagan's prior dissents did read broad delegations broadly; her concurrence here reads a broad delegation narrowly. The question is whether her interpretive method — which she insists is just ordinary textualism — can account for the difference without covertly importing the very doctrine she rejects. If it cannot, then Gorsuch may be right that the major questions doctrine is simply honest labeling of an interpretive practice that all Justices employ when the stakes are high enough. If it can — if the statutory context genuinely distinguishes IEEPA from the Clean Air Act and the HEROES Act — then Kagan's objection to the doctrine as an extratextual "thumb on the scale" retains its force.</w:t>
      </w:r>
    </w:p>
    <w:p w14:paraId="75AEA357" w14:textId="77777777" w:rsidR="00596882" w:rsidRDefault="00000000">
      <w:pPr>
        <w:spacing w:after="120" w:line="276" w:lineRule="auto"/>
      </w:pPr>
      <w:r>
        <w:t xml:space="preserve">The practical significance is this: with only three Justices joining the major questions analysis, Part II-A-2 is not a holding of the Court. The doctrine was essential to the result in West Virginia and Nebraska, where a majority joined it. Here, for the first time, </w:t>
      </w:r>
      <w:proofErr w:type="gramStart"/>
      <w:r>
        <w:t>a majority of</w:t>
      </w:r>
      <w:proofErr w:type="gramEnd"/>
      <w:r>
        <w:t xml:space="preserve"> the Court reaches a result that the plurality attributes to the major questions doctrine without a majority endorsing the doctrine as the basis. The doctrine's status as precedent is accordingly both strengthened (it influenced three more Justices to concur) and weakened (three fewer Justices were willing to sign onto it). This ambiguity will define litigation over the doctrine's scope for years to come.</w:t>
      </w:r>
    </w:p>
    <w:p w14:paraId="47BD4142" w14:textId="77777777" w:rsidR="00596882" w:rsidRDefault="00000000">
      <w:pPr>
        <w:pStyle w:val="Heading1"/>
      </w:pPr>
      <w:r>
        <w:t>VII. The Nondelegation Doctrine: Justice Thomas's Challenge</w:t>
      </w:r>
    </w:p>
    <w:p w14:paraId="427D562C" w14:textId="77777777" w:rsidR="00596882" w:rsidRDefault="00000000">
      <w:pPr>
        <w:spacing w:after="120" w:line="276" w:lineRule="auto"/>
      </w:pPr>
      <w:r>
        <w:t>Justice Thomas's separate dissent presents the most radical constitutional position in the case. He agrees with Justice Kavanaugh that IEEPA's text authorizes tariffs but writes separately to argue that the nondelegation doctrine does not apply to the tariff power at all.</w:t>
      </w:r>
    </w:p>
    <w:p w14:paraId="5D5F9D9D" w14:textId="77777777" w:rsidR="00596882" w:rsidRDefault="00000000">
      <w:pPr>
        <w:spacing w:after="120" w:line="276" w:lineRule="auto"/>
      </w:pPr>
      <w:r>
        <w:t xml:space="preserve">The nondelegation doctrine requires background. The basic principle flows from Article I, Section 1, which vests "all legislative Powers" in Congress. Congress cannot transfer core legislative authority to another branch. In practice, however, Congress has delegated vast rulemaking authority to executive agencies. The Court has upheld these delegations so long as Congress provides an "intelligible principle" to guide the executive's discretion. See J.W. Hampton, Jr. &amp; Co. v. United States, 276 U.S. 394, 409 </w:t>
      </w:r>
      <w:r>
        <w:lastRenderedPageBreak/>
        <w:t>(1928). The Court has struck down statutes on nondelegation grounds only twice, both times in 1935. See A.L.A. Schechter Poultry Corp. v. United States, 295 U.S. 495 (1935); Panama Refining Co. v. Ryan, 293 U.S. 388 (1935).</w:t>
      </w:r>
    </w:p>
    <w:p w14:paraId="382E82C0" w14:textId="77777777" w:rsidR="00596882" w:rsidRDefault="00000000">
      <w:pPr>
        <w:spacing w:after="120" w:line="276" w:lineRule="auto"/>
      </w:pPr>
      <w:r>
        <w:t xml:space="preserve">In Gundy v. United States, 588 U.S. 128 (2019), several Justices signaled interest in reviving the doctrine. Justice Gorsuch, dissenting, argued for replacing the permissive intelligible </w:t>
      </w:r>
      <w:proofErr w:type="gramStart"/>
      <w:r>
        <w:t>principle</w:t>
      </w:r>
      <w:proofErr w:type="gramEnd"/>
      <w:r>
        <w:t xml:space="preserve"> test with a stricter standard requiring Congress itself to make the important policy decisions. Id. at 157-59 (Gorsuch, J., dissenting). Justice Alito noted he would support reconsideration "in a proper case." Id. at 150 (Alito, J., concurring in the judgment). Justice Kavanaugh, who did not participate in Gundy, later indicated sympathy for Gorsuch's approach. See Paul v. United States, 589 U.S. 1099 (2020) (statement of Kavanaugh, J., respecting denial of certiorari). The Gundy dissent thus appeared to command a potential majority — a prospect that has hung over administrative law since 2019.</w:t>
      </w:r>
    </w:p>
    <w:p w14:paraId="6B5ADD1C" w14:textId="77777777" w:rsidR="00596882" w:rsidRDefault="00000000">
      <w:pPr>
        <w:spacing w:after="120" w:line="276" w:lineRule="auto"/>
      </w:pPr>
      <w:r>
        <w:t xml:space="preserve">Learning Resources perturbs this trajectory in an unexpected way. Justice Thomas has elsewhere argued that the nondelegation doctrine is grounded not only in the Legislative Vesting Clause but also in the Due Process </w:t>
      </w:r>
      <w:proofErr w:type="gramStart"/>
      <w:r>
        <w:t>Clause, and</w:t>
      </w:r>
      <w:proofErr w:type="gramEnd"/>
      <w:r>
        <w:t xml:space="preserve"> applies only to "core legislative power" — meaning the power to make rules setting conditions for deprivations of life, liberty, or property. See </w:t>
      </w:r>
      <w:proofErr w:type="spellStart"/>
      <w:r>
        <w:t>Dep't</w:t>
      </w:r>
      <w:proofErr w:type="spellEnd"/>
      <w:r>
        <w:t xml:space="preserve"> of Transp. v. </w:t>
      </w:r>
      <w:proofErr w:type="spellStart"/>
      <w:r>
        <w:t>Ass'n</w:t>
      </w:r>
      <w:proofErr w:type="spellEnd"/>
      <w:r>
        <w:t xml:space="preserve"> of Am. Railroads, 575 U.S. 43, 73-76 (2015) (Thomas, J., concurring in the judgment). In Learning Resources, Thomas applies that theory and reaches a striking conclusion: most of Article I, Section 8's enumerated powers — including the powers to borrow money, declare war, support armies, and regulate foreign commerce — are not "core legislative power" in this sense. They are former prerogative powers of the Crown that the Framers assigned to Congress for institutional reasons but that can be delegated back to the President without constitutional infirmity. Thomas contends that importing was a "privilege" at the founding, not a "right," and that imposing duties on imports therefore does not deprive anyone of "life, liberty, or property" for due-process purposes. Learning Resources, 607 U.S. at </w:t>
      </w:r>
      <w:r>
        <w:rPr>
          <w:i/>
          <w:iCs/>
        </w:rPr>
        <w:t>_</w:t>
      </w:r>
      <w:r>
        <w:t xml:space="preserve"> (Thomas, J., dissenting, slip op. at 10-11).</w:t>
      </w:r>
    </w:p>
    <w:p w14:paraId="17E16174" w14:textId="77777777" w:rsidR="00596882" w:rsidRDefault="00000000">
      <w:pPr>
        <w:spacing w:after="120" w:line="276" w:lineRule="auto"/>
      </w:pPr>
      <w:r>
        <w:t>The implications are sweeping. If Thomas's theory prevailed, Congress could delegate entire categories of enumerated powers — the war power, the borrowing power, the tariff power — permanently and without constraint to the President. The nondelegation doctrine would apply only to the subset of legislative activity that restricts individual liberty. Thomas's position thus simultaneously narrows the nondelegation doctrine (by exempting much of Article I) and expands presidential power (by permitting Congress to transfer its broadest authorities without constitutional limit).</w:t>
      </w:r>
    </w:p>
    <w:p w14:paraId="3C64505E" w14:textId="77777777" w:rsidR="00596882" w:rsidRDefault="00000000">
      <w:pPr>
        <w:spacing w:after="120" w:line="276" w:lineRule="auto"/>
      </w:pPr>
      <w:r>
        <w:t xml:space="preserve">Justice Gorsuch's concurrence offers a detailed rebuttal. He argues that the constitutional text draws no distinction between "core" and "non-core" legislative powers — Article I, Section 1 vests "all legislative Powers" in Congress without differentiation. He marshals founding-era evidence: the Founders themselves described powers </w:t>
      </w:r>
      <w:r>
        <w:lastRenderedPageBreak/>
        <w:t xml:space="preserve">Thomas would classify as "non-legislative" — including the tariff power, the power to raise armies, and the power to coin money — as "legislative powers." Id. (Gorsuch, J., concurring, slip op. at 42-43). He cites an episode from the Second Congress in which the House rejected, on nondelegation grounds, a proposal to give the President unfettered power to establish postal routes — even though doing so would hardly touch on life, liberty, or property. Id. at </w:t>
      </w:r>
      <w:r>
        <w:rPr>
          <w:i/>
          <w:iCs/>
        </w:rPr>
        <w:t>_</w:t>
      </w:r>
      <w:r>
        <w:t xml:space="preserve"> (slip op. at 43). The historical evidence, Gorsuch argues, refutes Thomas's category of delegable powers.</w:t>
      </w:r>
    </w:p>
    <w:p w14:paraId="6F6C0CF3" w14:textId="77777777" w:rsidR="00596882" w:rsidRDefault="00000000">
      <w:pPr>
        <w:spacing w:after="120" w:line="276" w:lineRule="auto"/>
      </w:pPr>
      <w:r>
        <w:t xml:space="preserve">This exchange is consequential because it fractures the potential Gundy majority. If Thomas maintains his narrow theory — that nondelegation protects only against delegations affecting life, liberty, and property — then even if five Justices support strengthening the nondelegation doctrine, they may not agree on which version to strengthen. Gorsuch's broad nondelegation principle and Thomas's narrow one </w:t>
      </w:r>
      <w:proofErr w:type="gramStart"/>
      <w:r>
        <w:t>are</w:t>
      </w:r>
      <w:proofErr w:type="gramEnd"/>
      <w:r>
        <w:t xml:space="preserve"> incompatible. Learning Resources thus reveals that the "emerging nondelegation majority" identified after Gundy may be less cohesive than it appeared.</w:t>
      </w:r>
    </w:p>
    <w:p w14:paraId="1F39A836" w14:textId="77777777" w:rsidR="00596882" w:rsidRDefault="00000000">
      <w:pPr>
        <w:pStyle w:val="Heading1"/>
      </w:pPr>
      <w:r>
        <w:t>VIII. Foreign Affairs: Curtiss-Wright and Its Limits</w:t>
      </w:r>
    </w:p>
    <w:p w14:paraId="01F6E2AF" w14:textId="77777777" w:rsidR="00596882" w:rsidRDefault="00000000">
      <w:pPr>
        <w:spacing w:after="120" w:line="276" w:lineRule="auto"/>
      </w:pPr>
      <w:r>
        <w:t xml:space="preserve">The dissent's strongest structural argument draws on United States v. Curtiss-Wright Export Corp., 299 U.S. 304 (1936). In Curtiss-Wright, Congress authorized the President to prohibit arms sales to countries engaged in a conflict in the Chaco region of South America, conditioned on a presidential finding that the prohibition would contribute to peace. The Court upheld the delegation, and Justice Sutherland's opinion contained sweeping language about presidential </w:t>
      </w:r>
      <w:proofErr w:type="spellStart"/>
      <w:r>
        <w:t>primacy</w:t>
      </w:r>
      <w:proofErr w:type="spellEnd"/>
      <w:r>
        <w:t xml:space="preserve"> in foreign affairs. He described the President as the "sole organ of the federal government in the field of international relations." Id. at 320. More consequentially for the delegation question, the Court suggested that "strict limitation upon congressional delegations of power to the President over internal affairs does not apply with respect to delegations of power in external affairs." Youngstown, 343 U.S. at 636 n.2 (Jackson, J., concurring) (summarizing Curtiss-Wright).</w:t>
      </w:r>
    </w:p>
    <w:p w14:paraId="7762F67D" w14:textId="77777777" w:rsidR="00596882" w:rsidRDefault="00000000">
      <w:pPr>
        <w:spacing w:after="120" w:line="276" w:lineRule="auto"/>
      </w:pPr>
      <w:r>
        <w:t xml:space="preserve">Justice Kavanaugh, writing the principal dissent for himself, Justice Thomas, and Justice Alito, cites Curtiss-Wright twelve times. He argues that courts should apply "routine textualist statutory interpretation" — reading the text as written — without any major-questions thumb on the scale against the President in the foreign affairs context. Learning Resources, 607 U.S. at </w:t>
      </w:r>
      <w:r>
        <w:rPr>
          <w:i/>
          <w:iCs/>
        </w:rPr>
        <w:t>_</w:t>
      </w:r>
      <w:r>
        <w:t xml:space="preserve"> (Kavanaugh, J., dissenting, slip op. at 33-34). He also invokes Dames &amp; Moore, arguing that the Court in 1981 blessed presidential action under IEEPA despite textual ambiguity and without applying the major questions doctrine, even though the doctrine's precursor had recently been articulated in Industrial Union Department v. American Petroleum Institute, 448 U.S. 607 (1980) (the "Benzene Case"). Id. at </w:t>
      </w:r>
      <w:r>
        <w:rPr>
          <w:i/>
          <w:iCs/>
        </w:rPr>
        <w:t>_</w:t>
      </w:r>
      <w:r>
        <w:t xml:space="preserve"> (slip op. at 55-56).</w:t>
      </w:r>
    </w:p>
    <w:p w14:paraId="2A970BFB" w14:textId="77777777" w:rsidR="00596882" w:rsidRDefault="00000000">
      <w:pPr>
        <w:spacing w:after="120" w:line="276" w:lineRule="auto"/>
      </w:pPr>
      <w:r>
        <w:lastRenderedPageBreak/>
        <w:t>The majority's treatment of Curtiss-Wright is a significant doctrinal development. Rather than endorsing Sutherland's broad dicta about inherent presidential foreign-affairs power, Gorsuch reads the case narrowly. The statute in Curtiss-Wright was far more constrained than IEEPA: it authorized the President to prohibit arms sales to specific countries after making a factual finding, and it applied to "a limited class of goods and countries." Id. (Gorsuch, J., concurring, slip op. at 36). Whatever Curtiss-Wright's sweeping language might mean as a general matter, the actual holding involved a carefully bounded delegation — not an open-ended grant of power over all imports at any rate forever. This narrow reading of Curtiss-Wright aligns with decades of scholarly criticism arguing that Sutherland's opinion conflated the President's power as diplomatic spokesperson with the quite different claim of substantive lawmaking authority. See, e.g., Charles A. Lofgren, United States v. Curtiss-Wright Export Corporation: An Historical Reassessment, 83 Yale L.J. 1 (1973).</w:t>
      </w:r>
    </w:p>
    <w:p w14:paraId="7FB35C3E" w14:textId="77777777" w:rsidR="00596882" w:rsidRDefault="00000000">
      <w:pPr>
        <w:spacing w:after="120" w:line="276" w:lineRule="auto"/>
      </w:pPr>
      <w:r>
        <w:t xml:space="preserve">The treatment of Dames &amp; Moore is equally revealing. The majority points out that the 1981 opinion disclaimed any "general guidelines" for other situations — no fewer than five times. And Dames &amp; Moore </w:t>
      </w:r>
      <w:proofErr w:type="gramStart"/>
      <w:r>
        <w:t>actually held</w:t>
      </w:r>
      <w:proofErr w:type="gramEnd"/>
      <w:r>
        <w:t xml:space="preserve"> that "the terms of IEEPA do not authorize" the President's action (the suspension of claims against Iran), upholding those actions only because the President had independent authority to enter into executive agreements. 453 U.S. at 675. Roberts turns this against the Government: "So too here; the terms of IEEPA do not authorize tariffs." Learning Resources, 607 U.S. at </w:t>
      </w:r>
      <w:r>
        <w:rPr>
          <w:i/>
          <w:iCs/>
        </w:rPr>
        <w:t>_</w:t>
      </w:r>
      <w:r>
        <w:t xml:space="preserve"> (slip op. at 20). Dames &amp; Moore, which had been widely understood as a case about flexible executive power in foreign affairs emergencies, is thus recharacterized as a case about the limits of IEEPA — a reading that constrains the precedent for future executive power claims.</w:t>
      </w:r>
    </w:p>
    <w:p w14:paraId="1EE6C258" w14:textId="77777777" w:rsidR="00596882" w:rsidRDefault="00000000">
      <w:pPr>
        <w:spacing w:after="120" w:line="276" w:lineRule="auto"/>
      </w:pPr>
      <w:r>
        <w:t xml:space="preserve">The Youngstown framework hovers over the entire debate. Kavanaugh frames the case as Youngstown Category One: </w:t>
      </w:r>
      <w:proofErr w:type="gramStart"/>
      <w:r>
        <w:t>the</w:t>
      </w:r>
      <w:proofErr w:type="gramEnd"/>
      <w:r>
        <w:t xml:space="preserve"> President acting "pursuant to an express or implied authorization of Congress." 343 U.S. at 635 (Jackson, J., concurring). The majority effectively treats it as a case where the claimed authorization does not exist — placing the President somewhere between Category Two (acting without congressional support) and Category Three (acting against Congress's implicit reservation of the taxing power to itself). Both sides invoke Jackson: Roberts quotes Jackson's warning that "emergency powers tend to kindle emergencies," id. at 650; Kavanaugh quotes Jackson's footnote recognizing that delegation constraints should be relaxed in external affairs, id. at 636 n.2. Both sides claim Jackson. That both can do so illustrates the internal tensions within Youngstown itself — tensions that Learning Resources has exposed but not resolved.</w:t>
      </w:r>
    </w:p>
    <w:p w14:paraId="15BA5B33" w14:textId="77777777" w:rsidR="00596882" w:rsidRDefault="00000000">
      <w:pPr>
        <w:pStyle w:val="Heading1"/>
      </w:pPr>
      <w:r>
        <w:t>IX. Algonquin: The Dissent's Closest Precedent</w:t>
      </w:r>
    </w:p>
    <w:p w14:paraId="294973F8" w14:textId="77777777" w:rsidR="00596882" w:rsidRDefault="00000000">
      <w:pPr>
        <w:spacing w:after="120" w:line="276" w:lineRule="auto"/>
      </w:pPr>
      <w:r>
        <w:lastRenderedPageBreak/>
        <w:t xml:space="preserve">One additional precedent merits attention because it illustrates how precedential reasoning functions under pressure. In Federal Energy Administration v. Algonquin SNG, Inc., 426 U.S. 548 (1976), the Court unanimously held that Section 232(b) of the Trade Expansion Act — authorizing the President to "adjust the imports" of </w:t>
      </w:r>
      <w:proofErr w:type="gramStart"/>
      <w:r>
        <w:t>particular goods</w:t>
      </w:r>
      <w:proofErr w:type="gramEnd"/>
      <w:r>
        <w:t xml:space="preserve"> to protect national security — included the power to impose license fees, which are monetary exactions on imports. Justice Kavanaugh cites Algonquin thirty-four times — more than any Justice cites any case in the entire opinion. His argument is structurally simple: if "adjust the imports" includes monetary exactions, then "regulate . . . importation" surely does too.</w:t>
      </w:r>
    </w:p>
    <w:p w14:paraId="01F2ACAA" w14:textId="77777777" w:rsidR="00596882" w:rsidRDefault="00000000">
      <w:pPr>
        <w:spacing w:after="120" w:line="276" w:lineRule="auto"/>
      </w:pPr>
      <w:r>
        <w:t xml:space="preserve">The majority distinguishes Algonquin on two grounds. First, Section 232(b) contained sweeping, discretion-conferring language — "take such action . . . as he deems necessary" — that IEEPA lacks. Second, Section 232(a), which immediately precedes Section 232(b), explicitly references "duties," making it natural for Section 232(b) itself to authorize duties. IEEPA contains no such contextual marker. Learning Resources, 607 U.S. at </w:t>
      </w:r>
      <w:r>
        <w:rPr>
          <w:i/>
          <w:iCs/>
        </w:rPr>
        <w:t>_</w:t>
      </w:r>
      <w:r>
        <w:t xml:space="preserve"> (slip op. at 19).</w:t>
      </w:r>
    </w:p>
    <w:p w14:paraId="55D6B8BE" w14:textId="77777777" w:rsidR="00596882" w:rsidRDefault="00000000">
      <w:pPr>
        <w:spacing w:after="120" w:line="276" w:lineRule="auto"/>
      </w:pPr>
      <w:r>
        <w:t>Whether these distinctions are persuasive is debatable. But the methodological lesson is clear: the same word ("regulate" versus "adjust") can carry different meaning depending on the statutory context in which it appears. Textualism operates not on isolated words but on words embedded in statutory schemes — and the surrounding architecture of the scheme can determine whether a seemingly broad term bears a narrow or expansive reading. Algonquin also reveals the limits of analogical reasoning across statutes: two statutes may use comparable language yet function differently because of their distinct structures, histories, and purposes.</w:t>
      </w:r>
    </w:p>
    <w:p w14:paraId="297A39B4" w14:textId="77777777" w:rsidR="00596882" w:rsidRDefault="00000000">
      <w:pPr>
        <w:pStyle w:val="Heading1"/>
      </w:pPr>
      <w:r>
        <w:t>X. Practical Implications</w:t>
      </w:r>
    </w:p>
    <w:p w14:paraId="51046F5A" w14:textId="77777777" w:rsidR="00596882" w:rsidRDefault="00000000">
      <w:pPr>
        <w:spacing w:after="120" w:line="276" w:lineRule="auto"/>
      </w:pPr>
      <w:r>
        <w:t>Constitutional holdings generate real-world consequences, and those consequences illuminate why structural questions matter.</w:t>
      </w:r>
    </w:p>
    <w:p w14:paraId="3230BC0B" w14:textId="77777777" w:rsidR="00596882" w:rsidRDefault="00000000">
      <w:pPr>
        <w:spacing w:after="120" w:line="276" w:lineRule="auto"/>
      </w:pPr>
      <w:r>
        <w:t>As of December 2025, U.S. Customs and Border Protection had collected approximately $129 billion in duties under IEEPA from more than 301,000 importers across 34 million entries. That money was collected under a statute the Court has now held does not authorize tariffs. Over 2,000 companies filed protective refund suits with the Court of International Trade before the ruling. Those companies are positioned to recover their duties with statutory interest. Companies that did not file protective suits face a more uncertain path — entries that already liquidated may be permanently barred from refunds absent congressional or administrative intervention.</w:t>
      </w:r>
    </w:p>
    <w:p w14:paraId="12AABE80" w14:textId="77777777" w:rsidR="00596882" w:rsidRDefault="00000000">
      <w:pPr>
        <w:spacing w:after="120" w:line="276" w:lineRule="auto"/>
      </w:pPr>
      <w:r>
        <w:t xml:space="preserve">The ruling does not strip the President of all tariff authority. Tariffs imposed under Section 232 of the Trade Expansion Act — on steel, aluminum, automobiles, and certain pharmaceuticals — remain in force. So do tariffs on Chinese goods imposed </w:t>
      </w:r>
      <w:r>
        <w:lastRenderedPageBreak/>
        <w:t>under Section 301 of the Trade Act of 1974. But those statutes impose procedural prerequisites, agency investigations, and caps on duration or amount that IEEPA lacked. The President has reportedly directed the U.S. Trade Representative to initiate new Section 301 investigations, but that process takes at least nine months. The era of overnight, unlimited, unilateral tariff authority under emergency powers is over — unless Congress passes new legislation explicitly authorizing it.</w:t>
      </w:r>
    </w:p>
    <w:p w14:paraId="3B5AF96F" w14:textId="77777777" w:rsidR="00596882" w:rsidRDefault="00000000">
      <w:pPr>
        <w:spacing w:after="120" w:line="276" w:lineRule="auto"/>
      </w:pPr>
      <w:r>
        <w:t>The political dynamic is also significant. The Court's holding effectively returns the tariff power to Congress, which must decide whether to grant the President the authority he claimed. Any such legislation would need to satisfy the major questions doctrine — at least as three Justices understand it — meaning that Congress would need to speak clearly and with reasonable constraints. The opinion thus does not merely resolve a dispute; it restructures the bargaining dynamic between the branches.</w:t>
      </w:r>
    </w:p>
    <w:p w14:paraId="2C1FF55C" w14:textId="77777777" w:rsidR="00596882" w:rsidRDefault="00000000">
      <w:pPr>
        <w:pStyle w:val="Heading1"/>
      </w:pPr>
      <w:r>
        <w:t>XI. The Precedential Trajectory</w:t>
      </w:r>
    </w:p>
    <w:p w14:paraId="6114A2B0" w14:textId="77777777" w:rsidR="00596882" w:rsidRDefault="00000000">
      <w:pPr>
        <w:spacing w:after="120" w:line="276" w:lineRule="auto"/>
      </w:pPr>
      <w:r>
        <w:t>Learning Resources perturbs the trajectory of constitutional precedent in several identifiable ways.</w:t>
      </w:r>
    </w:p>
    <w:p w14:paraId="6FB212BA" w14:textId="77777777" w:rsidR="00596882" w:rsidRDefault="00000000">
      <w:pPr>
        <w:spacing w:after="120" w:line="276" w:lineRule="auto"/>
      </w:pPr>
      <w:r>
        <w:t>First, the major questions doctrine, which critics had described as an anti-administrative-state weapon deployed against progressive regulation, has now been used against a conservative president's exercise of executive power. The doctrine's ideological valence is less clear than it appeared after West Virginia and Nebraska. Whether this broadens the doctrine's legitimacy or reveals its indeterminacy depends on one's prior commitments.</w:t>
      </w:r>
    </w:p>
    <w:p w14:paraId="1D854CC7" w14:textId="77777777" w:rsidR="00596882" w:rsidRDefault="00000000">
      <w:pPr>
        <w:spacing w:after="120" w:line="276" w:lineRule="auto"/>
      </w:pPr>
      <w:r>
        <w:t>Second, the nondelegation debate has fractured. The Thomas-Gorsuch exchange reveals that the apparent five-Justice majority for reviving the nondelegation doctrine does not agree on what the revived doctrine would look like. Thomas's narrow "core legislative power" theory and Gorsuch's broad "all legislative powers" theory are incompatible in application, even if both Justices favor strengthening the doctrine in principle. This fracture may delay or prevent the reinvigoration of nondelegation that commentators have anticipated since Gundy.</w:t>
      </w:r>
    </w:p>
    <w:p w14:paraId="1DDF34A7" w14:textId="77777777" w:rsidR="00596882" w:rsidRDefault="00000000">
      <w:pPr>
        <w:spacing w:after="120" w:line="276" w:lineRule="auto"/>
      </w:pPr>
      <w:r>
        <w:t>Third, the Court has narrowed Curtiss-Wright and Dames &amp; Moore — two pillars of presidential foreign affairs power — without overruling either. Curtiss-Wright's broad dicta about inherent executive foreign affairs authority are treated as irrelevant to a case involving congressional power to tax. Dames &amp; Moore's practical flexibility is recharacterized as an acknowledgment of IEEPA's limits. Both cases survive, but their utility to future executive power claims has been diminished.</w:t>
      </w:r>
    </w:p>
    <w:p w14:paraId="16F3B3A7" w14:textId="77777777" w:rsidR="00596882" w:rsidRDefault="00000000">
      <w:pPr>
        <w:spacing w:after="120" w:line="276" w:lineRule="auto"/>
      </w:pPr>
      <w:r>
        <w:t xml:space="preserve">Fourth, the Youngstown framework remains as contested as ever. The opinion demonstrates that the same precedent can be marshaled for opposing positions depending on which passages and which footnotes are emphasized. Jackson's </w:t>
      </w:r>
      <w:r>
        <w:lastRenderedPageBreak/>
        <w:t>concurrence was designed to provide a workable framework for future cases; Learning Resources suggests its three categories may be more useful as heuristics than as determinative rules.</w:t>
      </w:r>
    </w:p>
    <w:p w14:paraId="1E3FBE00" w14:textId="77777777" w:rsidR="00596882" w:rsidRDefault="00000000">
      <w:pPr>
        <w:pStyle w:val="Heading1"/>
      </w:pPr>
      <w:r>
        <w:t>XII. Questions for Further Consideration</w:t>
      </w:r>
    </w:p>
    <w:p w14:paraId="0E68BF8C" w14:textId="77777777" w:rsidR="00596882" w:rsidRDefault="00000000">
      <w:pPr>
        <w:spacing w:after="120" w:line="276" w:lineRule="auto"/>
      </w:pPr>
      <w:r>
        <w:t>Several questions remain open after Learning Resources. What are the "metes and bounds" of the President's remaining authority to "regulate . . . importation" under IEEPA? The Court expressly declined to answer. Can the President impose import quotas? Licensing requirements? Embargoes? The opinion leaves these questions for future litigation.</w:t>
      </w:r>
    </w:p>
    <w:p w14:paraId="63892484" w14:textId="77777777" w:rsidR="00596882" w:rsidRDefault="00000000">
      <w:pPr>
        <w:spacing w:after="120" w:line="276" w:lineRule="auto"/>
      </w:pPr>
      <w:r>
        <w:t>More broadly, the case raises questions about the institutional dynamics of constitutional interpretation. Six Justices agreed that IEEPA does not authorize tariffs, but only three agreed on why the major questions doctrine was relevant to that conclusion. When a majority agrees on a result but not on a rationale, what is the precedential status of the competing rationales? Under the Marks rule, the narrowest ground that commanded a majority should control — but identifying the narrowest ground here is itself a contested interpretive exercise.</w:t>
      </w:r>
    </w:p>
    <w:p w14:paraId="1F4AC0CF" w14:textId="77777777" w:rsidR="00596882" w:rsidRDefault="00000000">
      <w:pPr>
        <w:spacing w:after="120" w:line="276" w:lineRule="auto"/>
      </w:pPr>
      <w:r>
        <w:t>Finally, Justice Gorsuch closed his concurrence with an observation worth considering: "For those who think it important for the Nation to impose more tariffs, I understand that today's decision will be disappointing. All I can offer them is that most major decisions affecting the rights and responsibilities of the American people (including the duty to pay taxes and tariffs) are funneled through the legislative process for a reason." Whether that is a satisfying answer depends on whether one views the legislative process as a safeguard against executive overreach or an obstacle to efficient governance. The Framers' answer is clear. The Court's is the same. Whether Congress's will be remains to be seen.</w:t>
      </w:r>
    </w:p>
    <w:sectPr w:rsidR="00596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3034" w14:textId="77777777" w:rsidR="00DE0752" w:rsidRDefault="00DE0752">
      <w:r>
        <w:separator/>
      </w:r>
    </w:p>
  </w:endnote>
  <w:endnote w:type="continuationSeparator" w:id="0">
    <w:p w14:paraId="49ACBB55" w14:textId="77777777" w:rsidR="00DE0752" w:rsidRDefault="00DE0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D491" w14:textId="77777777" w:rsidR="0059688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87B8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E65D8" w14:textId="77777777" w:rsidR="00DE0752" w:rsidRDefault="00DE0752">
      <w:r>
        <w:separator/>
      </w:r>
    </w:p>
  </w:footnote>
  <w:footnote w:type="continuationSeparator" w:id="0">
    <w:p w14:paraId="5227EBD6" w14:textId="77777777" w:rsidR="00DE0752" w:rsidRDefault="00DE0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481A" w14:textId="77777777" w:rsidR="00596882" w:rsidRDefault="00000000">
    <w:pPr>
      <w:jc w:val="right"/>
    </w:pPr>
    <w:r>
      <w:rPr>
        <w:i/>
        <w:iCs/>
        <w:sz w:val="18"/>
        <w:szCs w:val="18"/>
      </w:rPr>
      <w:t>Learning Resources, Inc. v. Trump — 1L Lecture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53388"/>
    <w:multiLevelType w:val="hybridMultilevel"/>
    <w:tmpl w:val="427AB4EC"/>
    <w:lvl w:ilvl="0" w:tplc="758872D6">
      <w:start w:val="1"/>
      <w:numFmt w:val="bullet"/>
      <w:lvlText w:val="●"/>
      <w:lvlJc w:val="left"/>
      <w:pPr>
        <w:ind w:left="720" w:hanging="360"/>
      </w:pPr>
    </w:lvl>
    <w:lvl w:ilvl="1" w:tplc="0B62290A">
      <w:start w:val="1"/>
      <w:numFmt w:val="bullet"/>
      <w:lvlText w:val="○"/>
      <w:lvlJc w:val="left"/>
      <w:pPr>
        <w:ind w:left="1440" w:hanging="360"/>
      </w:pPr>
    </w:lvl>
    <w:lvl w:ilvl="2" w:tplc="B3262AF0">
      <w:start w:val="1"/>
      <w:numFmt w:val="bullet"/>
      <w:lvlText w:val="■"/>
      <w:lvlJc w:val="left"/>
      <w:pPr>
        <w:ind w:left="2160" w:hanging="360"/>
      </w:pPr>
    </w:lvl>
    <w:lvl w:ilvl="3" w:tplc="C7AA3A48">
      <w:start w:val="1"/>
      <w:numFmt w:val="bullet"/>
      <w:lvlText w:val="●"/>
      <w:lvlJc w:val="left"/>
      <w:pPr>
        <w:ind w:left="2880" w:hanging="360"/>
      </w:pPr>
    </w:lvl>
    <w:lvl w:ilvl="4" w:tplc="66CE4F80">
      <w:start w:val="1"/>
      <w:numFmt w:val="bullet"/>
      <w:lvlText w:val="○"/>
      <w:lvlJc w:val="left"/>
      <w:pPr>
        <w:ind w:left="3600" w:hanging="360"/>
      </w:pPr>
    </w:lvl>
    <w:lvl w:ilvl="5" w:tplc="656432E0">
      <w:start w:val="1"/>
      <w:numFmt w:val="bullet"/>
      <w:lvlText w:val="■"/>
      <w:lvlJc w:val="left"/>
      <w:pPr>
        <w:ind w:left="4320" w:hanging="360"/>
      </w:pPr>
    </w:lvl>
    <w:lvl w:ilvl="6" w:tplc="3B881D90">
      <w:start w:val="1"/>
      <w:numFmt w:val="bullet"/>
      <w:lvlText w:val="●"/>
      <w:lvlJc w:val="left"/>
      <w:pPr>
        <w:ind w:left="5040" w:hanging="360"/>
      </w:pPr>
    </w:lvl>
    <w:lvl w:ilvl="7" w:tplc="A0DCAABA">
      <w:start w:val="1"/>
      <w:numFmt w:val="bullet"/>
      <w:lvlText w:val="●"/>
      <w:lvlJc w:val="left"/>
      <w:pPr>
        <w:ind w:left="5760" w:hanging="360"/>
      </w:pPr>
    </w:lvl>
    <w:lvl w:ilvl="8" w:tplc="2CE48600">
      <w:start w:val="1"/>
      <w:numFmt w:val="bullet"/>
      <w:lvlText w:val="●"/>
      <w:lvlJc w:val="left"/>
      <w:pPr>
        <w:ind w:left="6480" w:hanging="360"/>
      </w:pPr>
    </w:lvl>
  </w:abstractNum>
  <w:num w:numId="1" w16cid:durableId="882792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82"/>
    <w:rsid w:val="00087B80"/>
    <w:rsid w:val="00596882"/>
    <w:rsid w:val="00A50D3F"/>
    <w:rsid w:val="00DE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1C9EC"/>
  <w15:docId w15:val="{7B4DD053-504E-F249-8D69-CFC9F02D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5094</Words>
  <Characters>29189</Characters>
  <Application>Microsoft Office Word</Application>
  <DocSecurity>0</DocSecurity>
  <Lines>442</Lines>
  <Paragraphs>79</Paragraphs>
  <ScaleCrop>false</ScaleCrop>
  <Company/>
  <LinksUpToDate>false</LinksUpToDate>
  <CharactersWithSpaces>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2</cp:revision>
  <dcterms:created xsi:type="dcterms:W3CDTF">2026-02-20T16:45:00Z</dcterms:created>
  <dcterms:modified xsi:type="dcterms:W3CDTF">2026-02-20T16:45:00Z</dcterms:modified>
</cp:coreProperties>
</file>