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5B9F2" w14:textId="77777777" w:rsidR="007119DC" w:rsidRDefault="00000000">
      <w:pPr>
        <w:spacing w:after="80"/>
        <w:jc w:val="center"/>
      </w:pPr>
      <w:r>
        <w:rPr>
          <w:b/>
          <w:bCs/>
          <w:color w:val="1A1A1A"/>
          <w:sz w:val="36"/>
          <w:szCs w:val="36"/>
        </w:rPr>
        <w:t>PRACTICAL IMPLICATIONS</w:t>
      </w:r>
    </w:p>
    <w:p w14:paraId="67BB4B2F" w14:textId="77777777" w:rsidR="007119DC" w:rsidRDefault="00000000">
      <w:pPr>
        <w:spacing w:after="80"/>
        <w:jc w:val="center"/>
      </w:pPr>
      <w:r>
        <w:rPr>
          <w:i/>
          <w:iCs/>
          <w:color w:val="333333"/>
          <w:sz w:val="24"/>
          <w:szCs w:val="24"/>
        </w:rPr>
        <w:t>Learning Resources, Inc. v. Trump, 607 U.S. ___ (2026)</w:t>
      </w:r>
    </w:p>
    <w:p w14:paraId="174034DA" w14:textId="77777777" w:rsidR="007119DC" w:rsidRDefault="00000000">
      <w:pPr>
        <w:spacing w:after="80"/>
        <w:jc w:val="center"/>
      </w:pPr>
      <w:r>
        <w:rPr>
          <w:color w:val="555555"/>
        </w:rPr>
        <w:t>Supreme Court Holds IEEPA Does Not Authorize Tariffs</w:t>
      </w:r>
    </w:p>
    <w:p w14:paraId="15383C74" w14:textId="77777777" w:rsidR="007119DC" w:rsidRDefault="00000000">
      <w:pPr>
        <w:pBdr>
          <w:bottom w:val="single" w:sz="4" w:space="8" w:color="CCCCCC"/>
        </w:pBdr>
        <w:spacing w:after="400"/>
        <w:jc w:val="center"/>
      </w:pPr>
      <w:r>
        <w:rPr>
          <w:color w:val="888888"/>
          <w:sz w:val="20"/>
          <w:szCs w:val="20"/>
        </w:rPr>
        <w:t>February 20, 2026</w:t>
      </w:r>
    </w:p>
    <w:p w14:paraId="2973FCE4" w14:textId="77777777" w:rsidR="007119DC" w:rsidRDefault="00000000">
      <w:pPr>
        <w:pStyle w:val="Heading1"/>
      </w:pPr>
      <w:r>
        <w:t>The $129 Billion Refund Problem</w:t>
      </w:r>
    </w:p>
    <w:p w14:paraId="61B98CFE" w14:textId="77777777" w:rsidR="007119DC" w:rsidRDefault="00000000">
      <w:pPr>
        <w:spacing w:after="200"/>
      </w:pPr>
      <w:r>
        <w:t>The most immediate practical consequence of the ruling is financial. As of December 2025, U.S. Customs and Border Protection had collected approximately $129 billion in duties and estimated duty deposits from more than 301,000 importers across 34 million entries subject to IEEPA tariffs. That money was collected under a statute the Supreme Court has now held does not authorize tariffs. The importers who paid it are entitled to refunds.</w:t>
      </w:r>
    </w:p>
    <w:p w14:paraId="2662E822" w14:textId="77777777" w:rsidR="007119DC" w:rsidRDefault="00000000">
      <w:pPr>
        <w:spacing w:after="200"/>
      </w:pPr>
      <w:r>
        <w:t>The refund process will not be automatic. Over 2,000 companies—including Costco—filed protective refund complaints with the Court of International Trade before the ruling. In December 2025, the CIT confirmed it has the power to order reliquidation and refunds, and it stayed all pending refund cases to await the Supreme Court’s decision. Now that the decision is in hand, those cases will proceed. Companies that filed protective suits are best positioned. Those that did not may face complications: entries that already liquidated before protective action was taken could be permanently barred from refunds, except where CBP exercises its authority to reliquidate entries within 90 days of original liquidation. Refunds for plaintiffs will include statutory interest at the IRS overpayment rate. Non-plaintiff importers may not automatically receive refunds—a gap Congress or CBP may need to address.</w:t>
      </w:r>
    </w:p>
    <w:p w14:paraId="3B701D7E" w14:textId="77777777" w:rsidR="007119DC" w:rsidRDefault="00000000">
      <w:pPr>
        <w:pStyle w:val="Heading1"/>
      </w:pPr>
      <w:r>
        <w:t>What Tariffs Survive—and What Tools Remain</w:t>
      </w:r>
    </w:p>
    <w:p w14:paraId="57284D01" w14:textId="77777777" w:rsidR="007119DC" w:rsidRDefault="00000000">
      <w:pPr>
        <w:spacing w:after="200"/>
      </w:pPr>
      <w:r>
        <w:t>The ruling invalidates only tariffs imposed under IEEPA—the drug-trafficking tariffs on Canada, Mexico, and China, and the “Liberation Day” reciprocal tariffs on all trading partners. It does not touch tariffs imposed under other statutory authorities. The 25% tariffs on steel and aluminum, the 25% tariff on imported automobiles, and the 100% tariff on certain pharmaceuticals—all imposed under Section 232 of the Trade Expansion Act of 1962—remain in force. So do tariffs on Chinese goods imposed under Section 301 of the Trade Act of 1974.</w:t>
      </w:r>
    </w:p>
    <w:p w14:paraId="401EFE39" w14:textId="77777777" w:rsidR="007119DC" w:rsidRDefault="00000000">
      <w:pPr>
        <w:spacing w:after="200"/>
      </w:pPr>
      <w:r>
        <w:t xml:space="preserve">The Administration has alternative statutory tools, but all come with constraints IEEPA lacked. Section 232 requires a Commerce Department investigation before the President can act, and existing investigations already cover roughly 40% of U.S. trade. Section 301 requires the U.S. Trade Representative to investigate, hold public hearings, and issue findings—a process that typically takes at least nine months. The President has reportedly directed USTR to initiate new Section 301 investigations. Section 122 of the Trade Act of 1974 allows temporary </w:t>
      </w:r>
      <w:proofErr w:type="gramStart"/>
      <w:r>
        <w:t>surcharges, but</w:t>
      </w:r>
      <w:proofErr w:type="gramEnd"/>
      <w:r>
        <w:t xml:space="preserve"> caps them at 15% for 150 days. Section 338 of the Tariff Act of 1930 is available but has almost no precedent. As Justice Kavanaugh noted in dissent, the President can likely reimpose “most if not all” of these tariffs under other statutes—but through processes that are slower, more constrained, and subject to judicial review on terms Congress has defined.</w:t>
      </w:r>
    </w:p>
    <w:p w14:paraId="000BA8E7" w14:textId="77777777" w:rsidR="007119DC" w:rsidRDefault="00000000">
      <w:pPr>
        <w:pStyle w:val="Heading1"/>
      </w:pPr>
      <w:r>
        <w:t>Limits on Emergency Powers and Foreign Affairs</w:t>
      </w:r>
    </w:p>
    <w:p w14:paraId="5A5B5160" w14:textId="77777777" w:rsidR="007119DC" w:rsidRDefault="00000000">
      <w:pPr>
        <w:spacing w:after="200"/>
      </w:pPr>
      <w:r>
        <w:lastRenderedPageBreak/>
        <w:t>The ruling draws a constitutional line: the President cannot use a broad emergency statute to bypass Congress’s exclusive power of the purse, even in the foreign affairs context. The Court rejected the Government’s argument for a foreign-affairs exception to the major questions doctrine, holding that the Framers gave the tariff power to “Congress alone” notwithstanding the “obvious foreign affairs implications of tariffs.” The decision also rejected an emergency-powers exception, quoting Justice Jackson’s warning in Youngstown that “emergency powers tend to kindle emergencies.” With dozens of IEEPA emergencies still ongoing—including the very first, declared in 1979—the Court signaled skepticism toward open-ended emergency authorities that accumulate unchecked executive power.</w:t>
      </w:r>
    </w:p>
    <w:p w14:paraId="7C4DB733" w14:textId="77777777" w:rsidR="007119DC" w:rsidRDefault="00000000">
      <w:pPr>
        <w:pStyle w:val="Heading1"/>
      </w:pPr>
      <w:r>
        <w:t>Political Reactions and Congressional Pressure</w:t>
      </w:r>
    </w:p>
    <w:p w14:paraId="4C7A1983" w14:textId="77777777" w:rsidR="007119DC" w:rsidRDefault="00000000">
      <w:pPr>
        <w:spacing w:after="200"/>
      </w:pPr>
      <w:r>
        <w:t>President Trump responded on social media that the ruling, “if allowed to stand, would literally destroy the United States of America.” The Administration is expected to pivot quickly to alternative statutory authorities. On the legislative front, the decision places trade policy responsibility squarely back in Congress. Lawmakers who favor executive flexibility may push legislation explicitly authorizing broad tariff powers. Lawmakers who favor traditional legislative control will use the ruling to demand deliberation and oversight. Congress may also need to legislate a resolution to the refund process, particularly for the hundreds of thousands of non-plaintiff importers who paid IEEPA duties but did not file protective suits.</w:t>
      </w:r>
    </w:p>
    <w:p w14:paraId="03318558" w14:textId="77777777" w:rsidR="007119DC" w:rsidRDefault="00000000">
      <w:pPr>
        <w:pStyle w:val="Heading1"/>
      </w:pPr>
      <w:r>
        <w:t>The Houston Angle</w:t>
      </w:r>
    </w:p>
    <w:p w14:paraId="1DD530C7" w14:textId="77777777" w:rsidR="007119DC" w:rsidRDefault="00000000">
      <w:pPr>
        <w:spacing w:after="200"/>
      </w:pPr>
      <w:r>
        <w:t xml:space="preserve">Few American cities have more at stake in this ruling than Houston. The Port of Houston handles more exports by total value than any other U.S. port, and its imports—industrial equipment, electrical machinery, chemicals—drive Texas-based manufacturing. The port supports more than 1.5 million jobs across Texas and over 3 million nationwide. While imports make up 11% of the U.S. </w:t>
      </w:r>
      <w:proofErr w:type="gramStart"/>
      <w:r>
        <w:t>economy as a whole, they</w:t>
      </w:r>
      <w:proofErr w:type="gramEnd"/>
      <w:r>
        <w:t xml:space="preserve"> make up 15% of the Texas economy, making the state significantly more trade-exposed than the national average.</w:t>
      </w:r>
    </w:p>
    <w:p w14:paraId="16BCF16E" w14:textId="77777777" w:rsidR="007119DC" w:rsidRDefault="00000000">
      <w:pPr>
        <w:spacing w:after="200"/>
      </w:pPr>
      <w:r>
        <w:t>The IEEPA tariffs hit Houston hard. By late 2025, wait times at the port were growing longer as customs officials struggled with constantly changing tariff rules. Container import volumes, which had grown 5% year-to-date through August, turned negative by December. China’s retaliatory halt on purchases of U.S. liquefied natural gas—Texas is the country’s second-largest LNG exporter—was a direct blow to Houston’s energy sector. Local businesses felt the squeeze: one Houston gasket manufacturer postponed an expansion after raw material costs doubled. Approximately $7.9 billion in Texas renewable energy investments were put on hold. Dock workers, truck drivers, and warehouse workers faced the prospect of job losses as container traffic declined.</w:t>
      </w:r>
    </w:p>
    <w:p w14:paraId="6986B6BD" w14:textId="77777777" w:rsidR="007119DC" w:rsidRDefault="00000000">
      <w:pPr>
        <w:spacing w:after="200"/>
      </w:pPr>
      <w:r>
        <w:t xml:space="preserve">The ruling offers Houston-area businesses a path to relief. Importers who filed protective refund claims with the CIT stand to recover duties with interest. For those who did not, the window may be </w:t>
      </w:r>
      <w:proofErr w:type="gramStart"/>
      <w:r>
        <w:t>closing—entries</w:t>
      </w:r>
      <w:proofErr w:type="gramEnd"/>
      <w:r>
        <w:t xml:space="preserve"> that liquidated without a protective filing may be lost. Houston importers should consult trade counsel immediately to determine whether their entries can still be captured through CBP’s 90-day reliquidation window or future administrative action. More broadly, the ruling may begin to reverse the uncertainty that stalled investment and trade at the port—though the Administration’s pivot to alternative tariff authorities means the trade policy landscape remains volatile.</w:t>
      </w:r>
    </w:p>
    <w:sectPr w:rsidR="007119D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F6FA81" w14:textId="77777777" w:rsidR="00E50DD6" w:rsidRDefault="00E50DD6">
      <w:r>
        <w:separator/>
      </w:r>
    </w:p>
  </w:endnote>
  <w:endnote w:type="continuationSeparator" w:id="0">
    <w:p w14:paraId="78C6B870" w14:textId="77777777" w:rsidR="00E50DD6" w:rsidRDefault="00E50D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A6AE9" w14:textId="77777777" w:rsidR="007119DC" w:rsidRDefault="00000000">
    <w:pPr>
      <w:jc w:val="center"/>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AB262E">
      <w:rPr>
        <w:noProof/>
        <w:color w:val="999999"/>
        <w:sz w:val="18"/>
        <w:szCs w:val="18"/>
      </w:rPr>
      <w:t>1</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8233B4" w14:textId="77777777" w:rsidR="00E50DD6" w:rsidRDefault="00E50DD6">
      <w:r>
        <w:separator/>
      </w:r>
    </w:p>
  </w:footnote>
  <w:footnote w:type="continuationSeparator" w:id="0">
    <w:p w14:paraId="41F67632" w14:textId="77777777" w:rsidR="00E50DD6" w:rsidRDefault="00E50D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6253B" w14:textId="77777777" w:rsidR="007119DC" w:rsidRDefault="00000000">
    <w:pPr>
      <w:pBdr>
        <w:bottom w:val="single" w:sz="6" w:space="4" w:color="999999"/>
      </w:pBdr>
      <w:tabs>
        <w:tab w:val="right" w:pos="9360"/>
      </w:tabs>
      <w:spacing w:after="120"/>
    </w:pPr>
    <w:r>
      <w:rPr>
        <w:i/>
        <w:iCs/>
        <w:color w:val="666666"/>
        <w:sz w:val="18"/>
        <w:szCs w:val="18"/>
      </w:rPr>
      <w:t>Learning Resources, Inc. v. Trump</w:t>
    </w:r>
    <w:r>
      <w:rPr>
        <w:i/>
        <w:iCs/>
        <w:color w:val="666666"/>
        <w:sz w:val="18"/>
        <w:szCs w:val="18"/>
      </w:rPr>
      <w:tab/>
      <w:t>607 U.S. ___ (2026</w:t>
    </w:r>
    <w:proofErr w:type="gramStart"/>
    <w:r>
      <w:rPr>
        <w:i/>
        <w:iCs/>
        <w:color w:val="666666"/>
        <w:sz w:val="18"/>
        <w:szCs w:val="18"/>
      </w:rPr>
      <w:t>)  |</w:t>
    </w:r>
    <w:proofErr w:type="gramEnd"/>
    <w:r>
      <w:rPr>
        <w:i/>
        <w:iCs/>
        <w:color w:val="666666"/>
        <w:sz w:val="18"/>
        <w:szCs w:val="18"/>
      </w:rPr>
      <w:t xml:space="preserve">  Practical Implications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B773A"/>
    <w:multiLevelType w:val="hybridMultilevel"/>
    <w:tmpl w:val="61E2A7AA"/>
    <w:lvl w:ilvl="0" w:tplc="973A2EB2">
      <w:start w:val="1"/>
      <w:numFmt w:val="bullet"/>
      <w:lvlText w:val="●"/>
      <w:lvlJc w:val="left"/>
      <w:pPr>
        <w:ind w:left="720" w:hanging="360"/>
      </w:pPr>
    </w:lvl>
    <w:lvl w:ilvl="1" w:tplc="D4A8B120">
      <w:start w:val="1"/>
      <w:numFmt w:val="bullet"/>
      <w:lvlText w:val="○"/>
      <w:lvlJc w:val="left"/>
      <w:pPr>
        <w:ind w:left="1440" w:hanging="360"/>
      </w:pPr>
    </w:lvl>
    <w:lvl w:ilvl="2" w:tplc="C8F27EFA">
      <w:start w:val="1"/>
      <w:numFmt w:val="bullet"/>
      <w:lvlText w:val="■"/>
      <w:lvlJc w:val="left"/>
      <w:pPr>
        <w:ind w:left="2160" w:hanging="360"/>
      </w:pPr>
    </w:lvl>
    <w:lvl w:ilvl="3" w:tplc="B9F21A2C">
      <w:start w:val="1"/>
      <w:numFmt w:val="bullet"/>
      <w:lvlText w:val="●"/>
      <w:lvlJc w:val="left"/>
      <w:pPr>
        <w:ind w:left="2880" w:hanging="360"/>
      </w:pPr>
    </w:lvl>
    <w:lvl w:ilvl="4" w:tplc="7DC0C2BC">
      <w:start w:val="1"/>
      <w:numFmt w:val="bullet"/>
      <w:lvlText w:val="○"/>
      <w:lvlJc w:val="left"/>
      <w:pPr>
        <w:ind w:left="3600" w:hanging="360"/>
      </w:pPr>
    </w:lvl>
    <w:lvl w:ilvl="5" w:tplc="56BE3F96">
      <w:start w:val="1"/>
      <w:numFmt w:val="bullet"/>
      <w:lvlText w:val="■"/>
      <w:lvlJc w:val="left"/>
      <w:pPr>
        <w:ind w:left="4320" w:hanging="360"/>
      </w:pPr>
    </w:lvl>
    <w:lvl w:ilvl="6" w:tplc="D0AABB3E">
      <w:start w:val="1"/>
      <w:numFmt w:val="bullet"/>
      <w:lvlText w:val="●"/>
      <w:lvlJc w:val="left"/>
      <w:pPr>
        <w:ind w:left="5040" w:hanging="360"/>
      </w:pPr>
    </w:lvl>
    <w:lvl w:ilvl="7" w:tplc="EAE4BEAA">
      <w:start w:val="1"/>
      <w:numFmt w:val="bullet"/>
      <w:lvlText w:val="●"/>
      <w:lvlJc w:val="left"/>
      <w:pPr>
        <w:ind w:left="5760" w:hanging="360"/>
      </w:pPr>
    </w:lvl>
    <w:lvl w:ilvl="8" w:tplc="22CE840E">
      <w:start w:val="1"/>
      <w:numFmt w:val="bullet"/>
      <w:lvlText w:val="●"/>
      <w:lvlJc w:val="left"/>
      <w:pPr>
        <w:ind w:left="6480" w:hanging="360"/>
      </w:pPr>
    </w:lvl>
  </w:abstractNum>
  <w:num w:numId="1" w16cid:durableId="15554342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19DC"/>
    <w:rsid w:val="007119DC"/>
    <w:rsid w:val="00A50D3F"/>
    <w:rsid w:val="00AB262E"/>
    <w:rsid w:val="00E50D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1EBB864"/>
  <w15:docId w15:val="{7B4DD053-504E-F249-8D69-CFC9F02DB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1A1A"/>
      <w:sz w:val="32"/>
      <w:szCs w:val="32"/>
    </w:rPr>
  </w:style>
  <w:style w:type="paragraph" w:styleId="Heading2">
    <w:name w:val="heading 2"/>
    <w:uiPriority w:val="9"/>
    <w:semiHidden/>
    <w:unhideWhenUsed/>
    <w:qFormat/>
    <w:pPr>
      <w:spacing w:before="280" w:after="160"/>
      <w:outlineLvl w:val="1"/>
    </w:pPr>
    <w:rPr>
      <w:b/>
      <w:bCs/>
      <w:color w:val="333333"/>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996</Words>
  <Characters>5658</Characters>
  <Application>Microsoft Office Word</Application>
  <DocSecurity>0</DocSecurity>
  <Lines>80</Lines>
  <Paragraphs>18</Paragraphs>
  <ScaleCrop>false</ScaleCrop>
  <Company/>
  <LinksUpToDate>false</LinksUpToDate>
  <CharactersWithSpaces>6619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Chandler, Seth J</cp:lastModifiedBy>
  <cp:revision>2</cp:revision>
  <dcterms:created xsi:type="dcterms:W3CDTF">2026-02-20T15:54:00Z</dcterms:created>
  <dcterms:modified xsi:type="dcterms:W3CDTF">2026-02-20T15:54:00Z</dcterms:modified>
</cp:coreProperties>
</file>