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3FCC" w14:textId="77777777" w:rsidR="00FF28DF" w:rsidRDefault="00000000">
      <w:pPr>
        <w:spacing w:before="480" w:after="240"/>
        <w:jc w:val="center"/>
      </w:pPr>
      <w:r>
        <w:rPr>
          <w:b/>
          <w:bCs/>
          <w:sz w:val="32"/>
          <w:szCs w:val="32"/>
        </w:rPr>
        <w:t>WORKSHOP TRANSCRIPT: DRAFT REVIEW SESSION</w:t>
      </w:r>
    </w:p>
    <w:p w14:paraId="777D24C3" w14:textId="77777777" w:rsidR="00FF28DF" w:rsidRDefault="00000000">
      <w:pPr>
        <w:spacing w:before="360" w:after="200"/>
        <w:jc w:val="center"/>
      </w:pPr>
      <w:r>
        <w:rPr>
          <w:b/>
          <w:bCs/>
          <w:sz w:val="28"/>
          <w:szCs w:val="28"/>
        </w:rPr>
        <w:t>"Learning Resources, Inc. v. Trump: The Taxing Power, the Major Questions Doctrine, and the Paradox of a Landmark That Settles Less Than It Seems"</w:t>
      </w:r>
    </w:p>
    <w:p w14:paraId="16F851C4" w14:textId="77777777" w:rsidR="00FF28DF" w:rsidRDefault="00000000">
      <w:pPr>
        <w:spacing w:after="80"/>
      </w:pPr>
      <w:r>
        <w:rPr>
          <w:b/>
          <w:bCs/>
        </w:rPr>
        <w:t>Author:</w:t>
      </w:r>
      <w:r>
        <w:t xml:space="preserve"> Professor Seth Chandler, University of Houston Law Center</w:t>
      </w:r>
    </w:p>
    <w:p w14:paraId="4F658885" w14:textId="77777777" w:rsidR="00FF28DF" w:rsidRDefault="00000000">
      <w:pPr>
        <w:spacing w:after="80"/>
      </w:pPr>
      <w:r>
        <w:rPr>
          <w:b/>
          <w:bCs/>
        </w:rPr>
        <w:t>Workshop Participants:</w:t>
      </w:r>
    </w:p>
    <w:p w14:paraId="053338A0" w14:textId="77777777" w:rsidR="00FF28DF" w:rsidRDefault="00000000">
      <w:pPr>
        <w:spacing w:after="80"/>
        <w:ind w:left="720"/>
      </w:pPr>
      <w:r>
        <w:rPr>
          <w:b/>
          <w:bCs/>
        </w:rPr>
        <w:t>Professor Rachel Weingarten</w:t>
      </w:r>
      <w:r>
        <w:t xml:space="preserve"> (Columbia Law School) — constitutional law, progressive legal thought</w:t>
      </w:r>
    </w:p>
    <w:p w14:paraId="19101198" w14:textId="77777777" w:rsidR="00FF28DF" w:rsidRDefault="00000000">
      <w:pPr>
        <w:spacing w:after="80"/>
        <w:ind w:left="720"/>
      </w:pPr>
      <w:r>
        <w:rPr>
          <w:b/>
          <w:bCs/>
        </w:rPr>
        <w:t>Professor James Harlan</w:t>
      </w:r>
      <w:r>
        <w:t xml:space="preserve"> (University of Chicago Law School) — originalism, executive power, conservative jurisprudence</w:t>
      </w:r>
    </w:p>
    <w:p w14:paraId="187FA1EE" w14:textId="77777777" w:rsidR="00FF28DF" w:rsidRDefault="00000000">
      <w:pPr>
        <w:spacing w:after="80"/>
        <w:ind w:left="720"/>
      </w:pPr>
      <w:r>
        <w:rPr>
          <w:b/>
          <w:bCs/>
        </w:rPr>
        <w:t>Professor David Okafor</w:t>
      </w:r>
      <w:r>
        <w:t xml:space="preserve"> (NYU Law School) — administrative law, empirical legal studies, methodological rigor</w:t>
      </w:r>
    </w:p>
    <w:p w14:paraId="7373D34B" w14:textId="77777777" w:rsidR="00FF28DF" w:rsidRDefault="00000000">
      <w:pPr>
        <w:spacing w:after="80"/>
      </w:pPr>
      <w:r>
        <w:rPr>
          <w:b/>
          <w:bCs/>
        </w:rPr>
        <w:t>Moderator:</w:t>
      </w:r>
      <w:r>
        <w:t xml:space="preserve"> Professor Chandler</w:t>
      </w:r>
    </w:p>
    <w:p w14:paraId="3D7DC80D" w14:textId="77777777" w:rsidR="00FF28DF" w:rsidRDefault="00000000">
      <w:pPr>
        <w:spacing w:after="80"/>
      </w:pPr>
      <w:r>
        <w:rPr>
          <w:b/>
          <w:bCs/>
        </w:rPr>
        <w:t>Date:</w:t>
      </w:r>
      <w:r>
        <w:t xml:space="preserve"> February 2026</w:t>
      </w:r>
    </w:p>
    <w:p w14:paraId="1D707277" w14:textId="77777777" w:rsidR="00FF28DF" w:rsidRDefault="00000000">
      <w:pPr>
        <w:spacing w:after="80"/>
      </w:pPr>
      <w:r>
        <w:rPr>
          <w:b/>
          <w:bCs/>
        </w:rPr>
        <w:t>Location:</w:t>
      </w:r>
      <w:r>
        <w:t xml:space="preserve"> Faculty Workshop, University of Houston Law Center</w:t>
      </w:r>
    </w:p>
    <w:p w14:paraId="7DE40D9A" w14:textId="77777777" w:rsidR="00FF28DF" w:rsidRDefault="00000000">
      <w:pPr>
        <w:spacing w:before="200" w:after="200" w:line="360" w:lineRule="auto"/>
      </w:pPr>
      <w:r>
        <w:rPr>
          <w:b/>
          <w:bCs/>
        </w:rPr>
        <w:t xml:space="preserve">CHANDLER: </w:t>
      </w:r>
      <w:r>
        <w:t>Thank you all for coming. The draft has been circulated. I know it's long, and I know you've all had the chance to read the opinion itself, so let's get into it. Rachel, you asked to go first.</w:t>
      </w:r>
    </w:p>
    <w:p w14:paraId="30EACD00" w14:textId="77777777" w:rsidR="00FF28DF" w:rsidRDefault="00000000">
      <w:pPr>
        <w:spacing w:before="200" w:after="200" w:line="360" w:lineRule="auto"/>
      </w:pPr>
      <w:r>
        <w:rPr>
          <w:b/>
          <w:bCs/>
        </w:rPr>
        <w:t xml:space="preserve">WEINGARTEN: </w:t>
      </w:r>
      <w:r>
        <w:t>I did. Let me start with what I think genuinely works in this piece, because there is quite a lot. The central thesis — that this is a landmark that settles less than it seems — is correct, and it's important that someone says it clearly. There's been a flood of commentary treating Learning Resources as if it resolved the major questions debate, settled the nondelegation question, and permanently stripped the executive of trade authority. Your piece pushes back against all three of those narratives, and it does so persuasively. The architecture of the argument — statutory holding is durable, constitutional overlay is fractured, practical consequences are enormous — that's the right frame.</w:t>
      </w:r>
    </w:p>
    <w:p w14:paraId="3AC73CD0" w14:textId="77777777" w:rsidR="00FF28DF" w:rsidRDefault="00000000">
      <w:pPr>
        <w:spacing w:after="200" w:line="360" w:lineRule="auto"/>
      </w:pPr>
      <w:r>
        <w:t>The section on the ideological reversal in Part III-E is particularly sharp. You're right that the liberal Justices finding themselves on the same side as the major questions doctrine, or at least its functional equivalent, is a genuinely important development. And the observation that Kagan's "ordinary statutory interpretation" may be doing the same work as the doctrine she refuses to name — that's the kind of point this piece should be built around.</w:t>
      </w:r>
    </w:p>
    <w:p w14:paraId="0874B9CE" w14:textId="77777777" w:rsidR="00FF28DF" w:rsidRDefault="00000000">
      <w:pPr>
        <w:spacing w:after="200" w:line="360" w:lineRule="auto"/>
      </w:pPr>
      <w:r>
        <w:t>But I have problems. The first is structural. The piece reads like a very sophisticated case comment — it walks through the opinion section by section, summarizes the reasoning, offers intelligent analysis. What it doesn't do is situate the case within the broader literature in a way that a law review article needs to. Where is the engagement with the existing scholarship? Where is the dialogue with Cass Sunstein's work on the major questions doctrine? With Daniel Farber's critique? With Ilan Wurman's defense? You cite cases — you cite many cases — but you don't cite scholarship. A law review article is a conversation with a scholarly community, and right now you're having a conversation only with the Justices.</w:t>
      </w:r>
    </w:p>
    <w:p w14:paraId="0108B6D5" w14:textId="77777777" w:rsidR="00FF28DF" w:rsidRDefault="00000000">
      <w:pPr>
        <w:spacing w:before="200" w:after="200" w:line="360" w:lineRule="auto"/>
      </w:pPr>
      <w:r>
        <w:rPr>
          <w:b/>
          <w:bCs/>
        </w:rPr>
        <w:t xml:space="preserve">HARLAN: </w:t>
      </w:r>
      <w:r>
        <w:t>Can I jump in on that? Because I think Rachel's point connects to something more basic. Seth, this draft does not look like a law review article. I don't mean the analysis is bad — the analysis is often excellent. I mean formally. Structurally. The footnote apparatus is thin. There are citations to cases, yes, and some of them are quite good — the Algonquin treatment, the Curtiss-Wright narrowing. But a proper law review article footnote doesn't just cite a case. It cites the case, then cites three other cases that applied the same principle, then cites two law review articles discussing the principle, then adds a parenthetical that tells the reader what each source contributes. Your footnotes are doing one thing — they're citing the proposition — when they should be doing four or five things.</w:t>
      </w:r>
    </w:p>
    <w:p w14:paraId="465AB630" w14:textId="77777777" w:rsidR="00FF28DF" w:rsidRDefault="00000000">
      <w:pPr>
        <w:spacing w:after="200" w:line="360" w:lineRule="auto"/>
      </w:pPr>
      <w:r>
        <w:t>Let me give you an example. You have a footnote that cites West Virginia v. EPA for the major questions doctrine. That's fine. But a proper footnote would cite West Virginia, then Biden v. Nebraska, then NFIB v. OSHA, then Alabama Association of Realtors, then cite Mila Sohoni's article on the major questions doctrine, then cite Chad Squitieri's response, then cite the symposium issue in the Columbia Law Review, and add a parenthetical to each. That's what "see also" and "compare" signals are for. Your footnotes are bare — they look like the citations in a bench memo, not in a law review article. It makes the whole piece feel under-researched, even though I know it isn't, because I can see the depth of the analysis in the text.</w:t>
      </w:r>
    </w:p>
    <w:p w14:paraId="210C1ABE" w14:textId="77777777" w:rsidR="00FF28DF" w:rsidRDefault="00000000">
      <w:pPr>
        <w:spacing w:before="200" w:after="200" w:line="360" w:lineRule="auto"/>
      </w:pPr>
      <w:r>
        <w:rPr>
          <w:b/>
          <w:bCs/>
        </w:rPr>
        <w:t xml:space="preserve">OKAFOR: </w:t>
      </w:r>
      <w:r>
        <w:t>I want to press on that further, because James is being polite about it. The footnotes aren't just thin — they're structurally wrong for the genre. A law review footnote is a miniature essay. It does independent analytical work. It provides the reader with a map of the scholarly landscape surrounding the proposition in the text. It often contains substantive arguments that the author chose not to include in the body text but that support or qualify the main argument. When I read a law review article and the footnotes are just case citations, I think two things: first, that the author hasn't read the literature, and second, that the article hasn't been through a proper editing process. Now, I don't think either of those things is true here — the analysis in the text demonstrates deep familiarity with the doctrine. But the presentation doesn't match the substance. You need to fix this before you send it anywhere, because a law review editor will look at the footnotes first and draw conclusions about the quality of the piece before they read the text.</w:t>
      </w:r>
    </w:p>
    <w:p w14:paraId="686ABF04" w14:textId="77777777" w:rsidR="00FF28DF" w:rsidRDefault="00000000">
      <w:pPr>
        <w:spacing w:before="200" w:after="200" w:line="360" w:lineRule="auto"/>
      </w:pPr>
      <w:r>
        <w:rPr>
          <w:b/>
          <w:bCs/>
        </w:rPr>
        <w:t xml:space="preserve">CHANDLER: </w:t>
      </w:r>
      <w:r>
        <w:t>That's fair criticism, and I hear it. Let me push back slightly on the scope of the problem. My instinct was to let the text carry the analysis and use the footnotes primarily for citation support. I was conscious of the tendency in legal scholarship toward footnotes that are longer than the text they support — you all know articles where the footnotes are running a parallel argument that competes with rather than supports the body.</w:t>
      </w:r>
    </w:p>
    <w:p w14:paraId="622EEE0B" w14:textId="77777777" w:rsidR="00FF28DF" w:rsidRDefault="00000000">
      <w:pPr>
        <w:spacing w:before="200" w:after="200" w:line="360" w:lineRule="auto"/>
      </w:pPr>
      <w:r>
        <w:rPr>
          <w:b/>
          <w:bCs/>
        </w:rPr>
        <w:t xml:space="preserve">OKAFOR: </w:t>
      </w:r>
      <w:r>
        <w:t xml:space="preserve">Sure, and I don't want you to write one of those articles. But there's a middle ground. The footnotes need to do three things they're not currently doing. First, they need to cite secondary sources — law review articles, treatises, empirical studies — not just cases. Second, they need to contain "see also" and "compare" strings that show the reader you know the landscape. Third, they need to contain substantive parentheticals. When you cite Youngstown, you should include a parenthetical: "(Jackson, J., concurring) (articulating three-category framework for evaluating presidential power in relation to congressional authorization)." When you cite Curtiss-Wright, you need a parenthetical noting what the case </w:t>
      </w:r>
      <w:proofErr w:type="gramStart"/>
      <w:r>
        <w:t>actually held</w:t>
      </w:r>
      <w:proofErr w:type="gramEnd"/>
      <w:r>
        <w:t xml:space="preserve"> versus what Justice Sutherland's dicta suggested, and then you need a "but see" cite to the Lofgren article and a "see also" to Harold Koh's book. This isn't pedantry. It's the grammar of legal scholarship. An article without it reads like a draft, not a finished piece.</w:t>
      </w:r>
    </w:p>
    <w:p w14:paraId="3D6F03EC" w14:textId="77777777" w:rsidR="00FF28DF" w:rsidRDefault="00000000">
      <w:pPr>
        <w:spacing w:before="200" w:after="200" w:line="360" w:lineRule="auto"/>
      </w:pPr>
      <w:r>
        <w:rPr>
          <w:b/>
          <w:bCs/>
        </w:rPr>
        <w:t xml:space="preserve">WEINGARTEN: </w:t>
      </w:r>
      <w:r>
        <w:t>David's point is well taken, and it connects to my concern about the missing scholarly engagement. But I want to raise a substantive issue too. Your treatment of the liberal Justices — Kagan, Sotomayor, and Jackson — is analytically fair but tonally one-sided. You devote several pages to Gorsuch's critique of Kagan's inconsistency — the convergence problem, which is a clever label</w:t>
      </w:r>
      <w:proofErr w:type="gramStart"/>
      <w:r>
        <w:t>, by the way — and</w:t>
      </w:r>
      <w:proofErr w:type="gramEnd"/>
      <w:r>
        <w:t xml:space="preserve"> you present it with real force. But you give much less space to the available response. You mention it in a paragraph and call it "not trivial," which is correct, but you don't develop it.</w:t>
      </w:r>
    </w:p>
    <w:p w14:paraId="66F64C19" w14:textId="77777777" w:rsidR="00FF28DF" w:rsidRDefault="00000000">
      <w:pPr>
        <w:spacing w:after="200" w:line="360" w:lineRule="auto"/>
      </w:pPr>
      <w:r>
        <w:t>The response is not just that the statutory contexts are different. The response is that textualism, properly applied, is context-dependent in a way that the major questions doctrine's critics have always maintained. The nine-verb, eleven-object structure of IEEPA is genuinely different from the statutory language in West Virginia or Nebraska, and the constitutional uniqueness of the taxing power is genuinely different from the regulatory questions at issue in those cases. Kagan's position is not that she applies different methods depending on the policy outcome — it's that her method, consistently applied, produces different results in different statutory contexts because the statutory contexts are different. You need to steelman this argument, not just acknowledge it.</w:t>
      </w:r>
    </w:p>
    <w:p w14:paraId="11D25358" w14:textId="77777777" w:rsidR="00FF28DF" w:rsidRDefault="00000000">
      <w:pPr>
        <w:spacing w:before="200" w:after="200" w:line="360" w:lineRule="auto"/>
      </w:pPr>
      <w:r>
        <w:rPr>
          <w:b/>
          <w:bCs/>
        </w:rPr>
        <w:t xml:space="preserve">HARLAN: </w:t>
      </w:r>
      <w:r>
        <w:t xml:space="preserve">But Rachel, isn't the problem precisely that the textual differences Kagan identifies are the major questions doctrine's diagnostic criteria? Seth </w:t>
      </w:r>
      <w:proofErr w:type="gramStart"/>
      <w:r>
        <w:t>actually makes</w:t>
      </w:r>
      <w:proofErr w:type="gramEnd"/>
      <w:r>
        <w:t xml:space="preserve"> this point — it's one of the stronger passages in the draft. If what distinguishes this case is the magnitude of the constitutional stakes, the absence of historical precedent, and the implausibility of the claimed delegation — those are exactly the factors the major questions doctrine tells you to look for. Kagan is applying the doctrine without calling it that.</w:t>
      </w:r>
    </w:p>
    <w:p w14:paraId="4CD41EE6" w14:textId="77777777" w:rsidR="00FF28DF" w:rsidRDefault="00000000">
      <w:pPr>
        <w:spacing w:before="200" w:after="200" w:line="360" w:lineRule="auto"/>
      </w:pPr>
      <w:r>
        <w:rPr>
          <w:b/>
          <w:bCs/>
        </w:rPr>
        <w:t xml:space="preserve">WEINGARTEN: </w:t>
      </w:r>
      <w:r>
        <w:t xml:space="preserve">That's Gorsuch's argument, and it has rhetorical appeal. But it flattens a real methodological disagreement. There's a difference between saying "Congress probably didn't delegate this power through vague language" as a conclusion of ordinary </w:t>
      </w:r>
      <w:proofErr w:type="gramStart"/>
      <w:r>
        <w:t>interpretation, and</w:t>
      </w:r>
      <w:proofErr w:type="gramEnd"/>
      <w:r>
        <w:t xml:space="preserve"> saying "there's a special </w:t>
      </w:r>
      <w:proofErr w:type="gramStart"/>
      <w:r>
        <w:t>clear-statement</w:t>
      </w:r>
      <w:proofErr w:type="gramEnd"/>
      <w:r>
        <w:t xml:space="preserve"> rule that applies whenever the stakes are high enough." The first is an inference from context. The second is a rule that shifts the baseline. Gorsuch wants the second. Kagan says the first is sufficient. The question isn't whether they reach the same result here — it's whether they reach the same result in the next case, where the textual evidence is more ambiguous. And Seth, your article needs to engage with this more directly, because the convergence problem section is currently framed as if Gorsuch has the better of the argument, when the truth is that both sides have strong positions and the disagreement is about methodology, not just about this case.</w:t>
      </w:r>
    </w:p>
    <w:p w14:paraId="00B245C9" w14:textId="77777777" w:rsidR="00FF28DF" w:rsidRDefault="00000000">
      <w:pPr>
        <w:spacing w:before="200" w:after="200" w:line="360" w:lineRule="auto"/>
      </w:pPr>
      <w:r>
        <w:rPr>
          <w:b/>
          <w:bCs/>
        </w:rPr>
        <w:t xml:space="preserve">CHANDLER: </w:t>
      </w:r>
      <w:r>
        <w:t>Point taken. Let me turn to something else. Jim, you've been quiet on the nondelegation section. What's your view?</w:t>
      </w:r>
    </w:p>
    <w:p w14:paraId="522BD688" w14:textId="77777777" w:rsidR="00FF28DF" w:rsidRDefault="00000000">
      <w:pPr>
        <w:spacing w:before="200" w:after="200" w:line="360" w:lineRule="auto"/>
      </w:pPr>
      <w:r>
        <w:rPr>
          <w:b/>
          <w:bCs/>
        </w:rPr>
        <w:t xml:space="preserve">HARLAN: </w:t>
      </w:r>
      <w:r>
        <w:t xml:space="preserve">The nondelegation section is </w:t>
      </w:r>
      <w:proofErr w:type="gramStart"/>
      <w:r>
        <w:t>actually the</w:t>
      </w:r>
      <w:proofErr w:type="gramEnd"/>
      <w:r>
        <w:t xml:space="preserve"> part of the draft I think is most original, and it's also the part I think needs the most work. Your characterization of the Thomas-Gorsuch exchange as revealing a "fundamental incompatibility within the pro-nondelegation coalition" — that's a genuinely important observation, and I don't think it's been made clearly elsewhere. Most commentary has focused on the Thomas position or the Gorsuch position individually. Your contribution is to put them side by side and show that they can't coexist.</w:t>
      </w:r>
    </w:p>
    <w:p w14:paraId="76D2072E" w14:textId="77777777" w:rsidR="00FF28DF" w:rsidRDefault="00000000">
      <w:pPr>
        <w:spacing w:after="200" w:line="360" w:lineRule="auto"/>
      </w:pPr>
      <w:r>
        <w:t>But you need to go deeper. You describe Thomas's core legislative power theory and Gorsuch's response, and you note that they're incompatible. What you don't do is explain why Thomas arrives at his theory. Thomas has been developing this position for decades. It connects to his broader project of recovering original public meaning across multiple constitutional domains — the Commerce Clause in Lopez, the Establishment Clause in Town of Greece, the Privileges or Immunities Clause in McDonald. His nondelegation theory is part of the same originalist project, and it's rooted in a specific historical claim about the distinction between delegable and non-delegable powers at the founding. You need to engage with that historical claim on its own terms. Is Thomas right that the tariff power was understood as a former Crown prerogative? Is importing a "privilege" rather than a "right" at the founding, as he contends? There's serious historical scholarship on both sides — Julian Mortenson and Nicholas Bagley on one side, Ilan Wurman and Aaron Gordon on the other. Your draft doesn't cite any of it.</w:t>
      </w:r>
    </w:p>
    <w:p w14:paraId="726A6AF7" w14:textId="77777777" w:rsidR="00FF28DF" w:rsidRDefault="00000000">
      <w:pPr>
        <w:spacing w:before="200" w:after="200" w:line="360" w:lineRule="auto"/>
      </w:pPr>
      <w:r>
        <w:rPr>
          <w:b/>
          <w:bCs/>
        </w:rPr>
        <w:t xml:space="preserve">OKAFOR: </w:t>
      </w:r>
      <w:r>
        <w:t xml:space="preserve">And this is where the footnote problem becomes a substantive problem, not just a formal one. If your footnotes were engaging with Mortenson and Bagley's article in the Columbia Law Review — which argues that the nondelegation doctrine as Gorsuch articulates it has no founding-era basis — and with Wurman's response in the Virginia Law Review — which argues the opposite — then the reader would see that you've situated Thomas's position within the scholarly debate. Without those citations, the reader </w:t>
      </w:r>
      <w:proofErr w:type="gramStart"/>
      <w:r>
        <w:t>has to</w:t>
      </w:r>
      <w:proofErr w:type="gramEnd"/>
      <w:r>
        <w:t xml:space="preserve"> trust that your characterization of Thomas's theory is accurate and complete. And for an article that aims to assess the nondelegation fracture, that's not sufficient.</w:t>
      </w:r>
    </w:p>
    <w:p w14:paraId="77967E49" w14:textId="77777777" w:rsidR="00FF28DF" w:rsidRDefault="00000000">
      <w:pPr>
        <w:spacing w:before="200" w:after="200" w:line="360" w:lineRule="auto"/>
      </w:pPr>
      <w:r>
        <w:rPr>
          <w:b/>
          <w:bCs/>
        </w:rPr>
        <w:t xml:space="preserve">HARLAN: </w:t>
      </w:r>
      <w:r>
        <w:t xml:space="preserve">I'd add that you should address the Kavanaugh question more directly. You mention in passing that Kavanaugh was thought to be the fifth vote for nondelegation revival, and that his dissent in Learning Resources didn't reach the nondelegation question. But there's more to say. Kavanaugh's separate statement in Paul v. United States suggested he was sympathetic to a nondelegation revival. His concurrence in Gundy strongly implied it. But his dissent in Learning Resources — which argues that IEEPA's text authorizes the tariffs — is </w:t>
      </w:r>
      <w:proofErr w:type="gramStart"/>
      <w:r>
        <w:t>actually in</w:t>
      </w:r>
      <w:proofErr w:type="gramEnd"/>
      <w:r>
        <w:t xml:space="preserve"> tension with a strong nondelegation position. If "regulate . . . importation" is broad enough to authorize tariffs at rates of 145% with no durational limit and no procedural constraint, then what delegation would ever fail the intelligible </w:t>
      </w:r>
      <w:proofErr w:type="gramStart"/>
      <w:r>
        <w:t>principle</w:t>
      </w:r>
      <w:proofErr w:type="gramEnd"/>
      <w:r>
        <w:t xml:space="preserve"> test? Kavanaugh's textual argument implicitly endorses a very permissive reading of congressional delegations. You should say that explicitly.</w:t>
      </w:r>
    </w:p>
    <w:p w14:paraId="6377C0C3" w14:textId="77777777" w:rsidR="00FF28DF" w:rsidRDefault="00000000">
      <w:pPr>
        <w:spacing w:before="200" w:after="200" w:line="360" w:lineRule="auto"/>
      </w:pPr>
      <w:r>
        <w:rPr>
          <w:b/>
          <w:bCs/>
        </w:rPr>
        <w:t xml:space="preserve">CHANDLER: </w:t>
      </w:r>
      <w:r>
        <w:t>That's a good point. Let me ask about the foreign affairs section. I thought that was among the stronger parts of the draft — the argument that the narrowing of Curtiss-Wright and the recharacterization of Dames &amp; Moore may be more consequential than the major questions analysis.</w:t>
      </w:r>
    </w:p>
    <w:p w14:paraId="042AD7A1" w14:textId="77777777" w:rsidR="00FF28DF" w:rsidRDefault="00000000">
      <w:pPr>
        <w:spacing w:before="200" w:after="200" w:line="360" w:lineRule="auto"/>
      </w:pPr>
      <w:r>
        <w:rPr>
          <w:b/>
          <w:bCs/>
        </w:rPr>
        <w:t xml:space="preserve">WEINGARTEN: </w:t>
      </w:r>
      <w:r>
        <w:t>I agree that it's a strong section, and the thesis is probably right. The Curtiss-Wright narrowing is genuinely significant — there are decades of executive branch OLC opinions that rely on Curtiss-Wright's "sole organ" language for broad foreign affairs authority, and Learning Resources pulls the rug out from under them. But you need to engage with the critical literature more fully. Curtis Bradley and Jack Goldsmith have been arguing for years that Curtiss-Wright is bad law. Harold Koh's work on the war powers and foreign affairs Constitution is directly relevant. Michael Ramsey's originalist challenge to the sole organ theory should be cited. And you completely ignore the debate between the "executive power" reading of Article II — the Vesting Clause thesis that John Yoo and Saikrishna Prakash have defended — and the functional approach that the majority seems to adopt. That debate has been running for three decades, and Learning Resources takes a side in it without your article acknowledging the sides exist.</w:t>
      </w:r>
    </w:p>
    <w:p w14:paraId="7A9EE658" w14:textId="77777777" w:rsidR="00FF28DF" w:rsidRDefault="00000000">
      <w:pPr>
        <w:spacing w:before="200" w:after="200" w:line="360" w:lineRule="auto"/>
      </w:pPr>
      <w:r>
        <w:rPr>
          <w:b/>
          <w:bCs/>
        </w:rPr>
        <w:t xml:space="preserve">OKAFOR: </w:t>
      </w:r>
      <w:r>
        <w:t>I want to pivot to methodology, because I think the article has a structural gap that needs to be addressed. You spend a great deal of time on doctrinal analysis — what the opinions say, what they mean, how they relate to prior precedent. That's necessary but not sufficient. Where is the empirical dimension?</w:t>
      </w:r>
    </w:p>
    <w:p w14:paraId="3CF7BA46" w14:textId="77777777" w:rsidR="00FF28DF" w:rsidRDefault="00000000">
      <w:pPr>
        <w:spacing w:after="200" w:line="360" w:lineRule="auto"/>
      </w:pPr>
      <w:r>
        <w:t>You mention that Customs and Border Protection collected $129 billion in duties from 301,000 importers across 34 million customs entries. Where are those numbers from? Are they from the Government's own filings? From CBO? From the CIT's docket statistics? I don't see a citation. You mention that the Port of Houston processes $291 billion in annual trade. Where is that from? You mention that Texas's manufacturing sector exported over $375 billion. These are specific, verifiable claims, and they need specific, verifiable citations — not just to cases, but to government reports, economic data, and empirical studies.</w:t>
      </w:r>
    </w:p>
    <w:p w14:paraId="06B1F676" w14:textId="77777777" w:rsidR="00FF28DF" w:rsidRDefault="00000000">
      <w:pPr>
        <w:spacing w:after="200" w:line="360" w:lineRule="auto"/>
      </w:pPr>
      <w:r>
        <w:t>More importantly, the economic impact section should be more rigorous. You describe the practical consequences in broad strokes — supply chain dislocation, refund litigation, policy uncertainty. But there's been serious empirical work on the effects of the 2025 tariffs. The Peterson Institute has published detailed estimates. The Federal Reserve Bank of New York published a series on consumer price effects. The Congressional Budget Office issued its own assessment. The Census Bureau trade statistics allow you to quantify the actual shifts in trade flows. If you're going to make the argument that the practical consequences are "staggering," you need to support that with data, not just adjectives.</w:t>
      </w:r>
    </w:p>
    <w:p w14:paraId="7448B6F9" w14:textId="77777777" w:rsidR="00FF28DF" w:rsidRDefault="00000000">
      <w:pPr>
        <w:spacing w:before="200" w:after="200" w:line="360" w:lineRule="auto"/>
      </w:pPr>
      <w:r>
        <w:rPr>
          <w:b/>
          <w:bCs/>
        </w:rPr>
        <w:t xml:space="preserve">CHANDLER: </w:t>
      </w:r>
      <w:r>
        <w:t>Fair. The data section was drafted largely from the opinion itself and from my own prior analysis.</w:t>
      </w:r>
    </w:p>
    <w:p w14:paraId="24A071CF" w14:textId="77777777" w:rsidR="00FF28DF" w:rsidRDefault="00000000">
      <w:pPr>
        <w:spacing w:before="200" w:after="200" w:line="360" w:lineRule="auto"/>
      </w:pPr>
      <w:r>
        <w:rPr>
          <w:b/>
          <w:bCs/>
        </w:rPr>
        <w:t xml:space="preserve">OKAFOR: </w:t>
      </w:r>
      <w:r>
        <w:t xml:space="preserve">And that's the problem. You're treating the opinion as a self-contained universe. A law review article should bring external evidence to bear. The opinion tells you what the Justices said about the economic consequences. Your article should tell the reader whether the Justices were right — and what they left out. Did the tariffs </w:t>
      </w:r>
      <w:proofErr w:type="gramStart"/>
      <w:r>
        <w:t>actually generate</w:t>
      </w:r>
      <w:proofErr w:type="gramEnd"/>
      <w:r>
        <w:t xml:space="preserve"> $129 billion? What happened to consumer prices? What happened to retaliatory tariffs from trading partners? What happened to agricultural exports? The refund mechanics section is interesting, but it's entirely doctrinal. How many of the 301,000 importers </w:t>
      </w:r>
      <w:proofErr w:type="gramStart"/>
      <w:r>
        <w:t>actually filed</w:t>
      </w:r>
      <w:proofErr w:type="gramEnd"/>
      <w:r>
        <w:t xml:space="preserve"> protective suits? What percentage of the $129 billion is likely to be refunded? What's the expected timeline? These are questions your article raises but doesn't answer, and a serious empirical engagement would make the practical consequences section much stronger.</w:t>
      </w:r>
    </w:p>
    <w:p w14:paraId="3A3AD5B6" w14:textId="77777777" w:rsidR="00FF28DF" w:rsidRDefault="00000000">
      <w:pPr>
        <w:spacing w:before="200" w:after="200" w:line="360" w:lineRule="auto"/>
      </w:pPr>
      <w:r>
        <w:rPr>
          <w:b/>
          <w:bCs/>
        </w:rPr>
        <w:t xml:space="preserve">HARLAN: </w:t>
      </w:r>
      <w:r>
        <w:t xml:space="preserve">I want to raise a different concern, which is about the article's treatment of the dissent. You mention Kavanaugh's </w:t>
      </w:r>
      <w:proofErr w:type="gramStart"/>
      <w:r>
        <w:t>dissent</w:t>
      </w:r>
      <w:proofErr w:type="gramEnd"/>
      <w:r>
        <w:t xml:space="preserve"> but you don't give it sustained treatment. And I think that's a mistake — not because Kavanaugh is right, but because the strongest challenge to your thesis comes from his position. Kavanaugh's argument is essentially textual: "regulate . . . importation" is broad language, Congress knew how to be specific when it wanted to be (look at Section 301, look at Section 232), and the power to "regulate" imports naturally includes the power to impose conditions on importation, including monetary conditions. That's not a crazy argument. The Taranto dissent in the Federal Circuit made a version of it. Yoshida accepted a version of it. And I think your article would be stronger if it engaged more seriously with the textual case for the Government's position before explaining why the majority rejected it. Right now, the Government's argument appears in your article primarily as a foil for the majority's analysis. It deserves independent treatment.</w:t>
      </w:r>
    </w:p>
    <w:p w14:paraId="7E2573D7" w14:textId="77777777" w:rsidR="00FF28DF" w:rsidRDefault="00000000">
      <w:pPr>
        <w:spacing w:before="200" w:after="200" w:line="360" w:lineRule="auto"/>
      </w:pPr>
      <w:r>
        <w:rPr>
          <w:b/>
          <w:bCs/>
        </w:rPr>
        <w:t xml:space="preserve">WEINGARTEN: </w:t>
      </w:r>
      <w:r>
        <w:t xml:space="preserve">I'll add that the dissent also makes a historical argument that you largely ignore. Kavanaugh argues — and this is contested, but it's not frivolous — that the original understanding of "regulate commerce" included the power to impose tariffs. He cites Hamilton, he cites the tariff debates in the First Congress, he cites the history of protective tariffs. If he's right about the historical understanding, then "regulate . . . importation" has a more natural connection to tariffs than the majority acknowledges. You don't need to agree with this — I think the majority's distinction between the commerce power and the taxing power is correct — but you need to address it, because it's the strongest originalist argument against the majority's holding, and your article doesn't engage with originalism at all </w:t>
      </w:r>
      <w:proofErr w:type="gramStart"/>
      <w:r>
        <w:t>outside</w:t>
      </w:r>
      <w:proofErr w:type="gramEnd"/>
      <w:r>
        <w:t xml:space="preserve"> of the nondelegation context.</w:t>
      </w:r>
    </w:p>
    <w:p w14:paraId="7DD9FF4E" w14:textId="77777777" w:rsidR="00FF28DF" w:rsidRDefault="00000000">
      <w:pPr>
        <w:spacing w:before="200" w:after="200" w:line="360" w:lineRule="auto"/>
      </w:pPr>
      <w:r>
        <w:rPr>
          <w:b/>
          <w:bCs/>
        </w:rPr>
        <w:t xml:space="preserve">OKAFOR: </w:t>
      </w:r>
      <w:r>
        <w:t>That connects to something else I noticed. Your article doesn't have a theory. By which I mean: it has a thesis — the case settles less than it seems — and it supports that thesis with careful doctrinal analysis. But it doesn't have a theoretical framework that explains why the case settles less than it seems. Is it because of the inherent limitations of fragmented opinions? Because of Marks' inadequacy as a framework for determining holdings from fractured courts? Because the current Court is ideologically unstable on separation-of-powers questions? Because the major questions doctrine is undertheorized? Any of those would be a theoretical frame, and each would lead you to different prescriptive conclusions. Right now, the article is descriptive. It tells us what happened. It doesn't tell us why it happened the way it did — or what should happen next.</w:t>
      </w:r>
    </w:p>
    <w:p w14:paraId="2F244B73" w14:textId="77777777" w:rsidR="00FF28DF" w:rsidRDefault="00000000">
      <w:pPr>
        <w:spacing w:before="200" w:after="200" w:line="360" w:lineRule="auto"/>
      </w:pPr>
      <w:r>
        <w:rPr>
          <w:b/>
          <w:bCs/>
        </w:rPr>
        <w:t xml:space="preserve">CHANDLER: </w:t>
      </w:r>
      <w:r>
        <w:t>That's the most fundamental criticism I've heard today. You're right that the piece is primarily descriptive. My instinct was that the case is so recent and the doctrinal landscape so unsettled that prescription would be premature.</w:t>
      </w:r>
    </w:p>
    <w:p w14:paraId="1E6F34D9" w14:textId="77777777" w:rsidR="00FF28DF" w:rsidRDefault="00000000">
      <w:pPr>
        <w:spacing w:before="200" w:after="200" w:line="360" w:lineRule="auto"/>
      </w:pPr>
      <w:r>
        <w:rPr>
          <w:b/>
          <w:bCs/>
        </w:rPr>
        <w:t xml:space="preserve">OKAFOR: </w:t>
      </w:r>
      <w:r>
        <w:t>That's a defensible position, but then you should say so explicitly and explain why. If your argument is that prescriptive theorizing would be premature given the doctrinal fracture, that's itself a theoretical claim — a claim about the conditions under which legal scholarship should be descriptive versus prescriptive. And it connects to a literature on the role of case comments versus longer-form articles. A case comment can be primarily descriptive. A ten-thousand-word article in a law review needs to do more.</w:t>
      </w:r>
    </w:p>
    <w:p w14:paraId="2B4B39E8" w14:textId="77777777" w:rsidR="00FF28DF" w:rsidRDefault="00000000">
      <w:pPr>
        <w:spacing w:before="200" w:after="200" w:line="360" w:lineRule="auto"/>
      </w:pPr>
      <w:r>
        <w:rPr>
          <w:b/>
          <w:bCs/>
        </w:rPr>
        <w:t xml:space="preserve">WEINGARTEN: </w:t>
      </w:r>
      <w:r>
        <w:t>Let me raise one more substantive gap. Your article says almost nothing about the international dimension. The IEEPA tariffs didn't just affect the domestic economy — they restructured international trade relationships. The retaliatory tariffs from China, the EU, and Canada. The disruption to the WTO framework. The implications for pending trade agreements. The potential interaction with trade remedies in other countries. There is a whole body of international trade law scholarship that your article ignores. I'm not saying you need to write a full treatment of the WTO implications — that's a separate article. But you should at least acknowledge the international dimension and cite the relevant literature. Robert Howse's work on safeguards. Petros Mavroidis on trade remedies. The AJIL symposium on executive tariff authority. These are directly relevant, and their absence makes the article seem parochial — focused on the domestic doctrinal debate to the exclusion of the international legal context that is, after all, what the tariffs were supposedly about.</w:t>
      </w:r>
    </w:p>
    <w:p w14:paraId="7FF94149" w14:textId="77777777" w:rsidR="00FF28DF" w:rsidRDefault="00000000">
      <w:pPr>
        <w:spacing w:before="200" w:after="200" w:line="360" w:lineRule="auto"/>
      </w:pPr>
      <w:r>
        <w:rPr>
          <w:b/>
          <w:bCs/>
        </w:rPr>
        <w:t xml:space="preserve">HARLAN: </w:t>
      </w:r>
      <w:r>
        <w:t xml:space="preserve">I want to come back to the Marks problem, because I think your section on it is </w:t>
      </w:r>
      <w:proofErr w:type="gramStart"/>
      <w:r>
        <w:t>actually too</w:t>
      </w:r>
      <w:proofErr w:type="gramEnd"/>
      <w:r>
        <w:t xml:space="preserve"> short. The Marks issue in Learning Resources is genuinely novel and difficult, and it deserves more sustained treatment. You correctly identify the narrowest-grounds problem — three Justices would apply both the major questions doctrine and the textual analysis, three would apply only the textual analysis, so the narrowest grounds are presumably the textual analysis alone. But you don't work through the complications. What happens in the next case where the textual analysis doesn't resolve the question? What is the binding force of the plurality's rejection of exceptions if the concurring Justices didn't address the question? There's a circuit split developing on how to apply Marks to opinions where the concurrence simply doesn't reach an issue rather than affirmatively rejecting the plurality's approach. The Ninth Circuit takes a different view from the Third Circuit, and the Fifth Circuit has its own approach. You should engage with this.</w:t>
      </w:r>
    </w:p>
    <w:p w14:paraId="184A7CB7" w14:textId="77777777" w:rsidR="00FF28DF" w:rsidRDefault="00000000">
      <w:pPr>
        <w:spacing w:after="200" w:line="360" w:lineRule="auto"/>
      </w:pPr>
      <w:r>
        <w:t>And there's a deeper theoretical question that I think your article is positioned to address but doesn't. Marks was designed for cases where a fragmented majority agrees on the result but disagrees on the rationale. In Learning Resources, you have that fragmentation on the constitutional question, but you also have a unanimous-within-the-majority agreement on the statutory question. The resulting opinion is both unanimous (on the statutory holding) and deeply fragmented (on the constitutional overlay). This dual character — a clear statutory holding coexisting with an irresolvably fractured constitutional analysis — is itself an interesting phenomenon that your article identifies but doesn't theorize. Is this a new pattern? Is the Court likely to produce more opinions like this — narrow holdings with expansive but non-binding constitutional dicta? And what are the institutional consequences of that pattern for lower courts, for the executive branch, and for Congress?</w:t>
      </w:r>
    </w:p>
    <w:p w14:paraId="7C9F413C" w14:textId="77777777" w:rsidR="00FF28DF" w:rsidRDefault="00000000">
      <w:pPr>
        <w:spacing w:before="200" w:after="200" w:line="360" w:lineRule="auto"/>
      </w:pPr>
      <w:r>
        <w:rPr>
          <w:b/>
          <w:bCs/>
        </w:rPr>
        <w:t xml:space="preserve">CHANDLER: </w:t>
      </w:r>
      <w:r>
        <w:t>These are all excellent points. Let me try to summarize what I'm hearing. On the formal side: the footnotes need substantial expansion — not just more citations, but engagement with secondary literature, substantive parentheticals, proper Bluebook signal structure, the full apparatus of legal scholarship. That's a fair criticism and I accept it. The piece in its current form reads, as Jim put it, more like a bench memo than a law review article in its citation practices.</w:t>
      </w:r>
    </w:p>
    <w:p w14:paraId="049682F3" w14:textId="77777777" w:rsidR="00FF28DF" w:rsidRDefault="00000000">
      <w:pPr>
        <w:spacing w:before="200" w:after="200" w:line="360" w:lineRule="auto"/>
      </w:pPr>
      <w:r>
        <w:rPr>
          <w:b/>
          <w:bCs/>
        </w:rPr>
        <w:t xml:space="preserve">OKAFOR: </w:t>
      </w:r>
      <w:r>
        <w:t>I'd put it more bluntly. It reads like an article written by someone who has read the cases but not the law reviews. That's clearly not true of you — the analytical sophistication proves otherwise. But the footnotes don't show it. And in legal scholarship, the footnotes are the proof. You need to demonstrate your engagement with the field through the citation apparatus, not just through the quality of the textual analysis. Every major proposition in the body text should be supported by a footnote that cites the relevant cases, the leading articles, and the competing positions. That's not optional. That's what makes it a law review article rather than a very long blog post.</w:t>
      </w:r>
    </w:p>
    <w:p w14:paraId="1D2A6A30" w14:textId="77777777" w:rsidR="00FF28DF" w:rsidRDefault="00000000">
      <w:pPr>
        <w:spacing w:before="200" w:after="200" w:line="360" w:lineRule="auto"/>
      </w:pPr>
      <w:r>
        <w:rPr>
          <w:b/>
          <w:bCs/>
        </w:rPr>
        <w:t xml:space="preserve">WEINGARTEN: </w:t>
      </w:r>
      <w:r>
        <w:t>On the substantive side, I'm hearing several related concerns. First, the treatment of Kagan's position needs to be more balanced — the convergence problem section should give equal weight to both sides of the methodological debate. Second, the nondelegation section needs deeper engagement with the historical scholarship on both Thomas's theory and Gorsuch's response. Third, the foreign affairs section needs to engage with the critical literature on Curtiss-Wright and the Vesting Clause thesis. Fourth, the practical consequences section needs empirical grounding — real data, real sources, not just the numbers cited in the opinion. Fifth, the dissent needs more sustained treatment. And sixth, the article needs a theoretical framework, not just a descriptive thesis.</w:t>
      </w:r>
    </w:p>
    <w:p w14:paraId="7F3878F8" w14:textId="77777777" w:rsidR="00FF28DF" w:rsidRDefault="00000000">
      <w:pPr>
        <w:spacing w:before="200" w:after="200" w:line="360" w:lineRule="auto"/>
      </w:pPr>
      <w:r>
        <w:rPr>
          <w:b/>
          <w:bCs/>
        </w:rPr>
        <w:t xml:space="preserve">HARLAN: </w:t>
      </w:r>
      <w:r>
        <w:t>I'd add the Marks treatment and the international dimension. And I want to flag one more issue that no one has raised. Your article doesn't engage with the remedy question at all. The Court's opinion is self-executing in the sense that it declares the tariffs unauthorized, but it doesn't specify the remedy. Are the tariffs void ab initio? Voidable? What about reliance interests — businesses that made investments in reliance on the tariff regime? What about the Government's argument that suddenly removing all tariffs would cause as much economic disruption as imposing them did? The remedy question is enormously important for the practical consequences you describe, and your article treats it as if the Court's declaration that IEEPA doesn't authorize tariffs is the end of the analysis. It's not. It's the beginning of a whole separate inquiry into what happens next.</w:t>
      </w:r>
    </w:p>
    <w:p w14:paraId="3485B183" w14:textId="77777777" w:rsidR="00FF28DF" w:rsidRDefault="00000000">
      <w:pPr>
        <w:spacing w:before="200" w:after="200" w:line="360" w:lineRule="auto"/>
      </w:pPr>
      <w:r>
        <w:rPr>
          <w:b/>
          <w:bCs/>
        </w:rPr>
        <w:t xml:space="preserve">OKAFOR: </w:t>
      </w:r>
      <w:r>
        <w:t xml:space="preserve">And that connects to the compliance section, which is the weakest part of the draft. You raise the compliance problem in a few paragraphs at the end, but it deserves much more. The literature on Supreme Court compliance — from Gerald Rosenberg's work on the hollow hope to Tom Clark's empirical studies of compliance rates — is directly relevant. How do executive branch agencies </w:t>
      </w:r>
      <w:proofErr w:type="gramStart"/>
      <w:r>
        <w:t>actually respond</w:t>
      </w:r>
      <w:proofErr w:type="gramEnd"/>
      <w:r>
        <w:t xml:space="preserve"> to adverse Supreme Court rulings? What are the mechanisms of non-compliance, delay, and creative reinterpretation? The trade context is particularly interesting because Customs and Border Protection </w:t>
      </w:r>
      <w:proofErr w:type="gramStart"/>
      <w:r>
        <w:t>operates</w:t>
      </w:r>
      <w:proofErr w:type="gramEnd"/>
      <w:r>
        <w:t xml:space="preserve"> with significant operational discretion, and the distinction between IEEPA tariffs and Section 232/301 tariffs creates opportunities for reclassification and delay. This is a place where empirical legal scholarship could really contribute.</w:t>
      </w:r>
    </w:p>
    <w:p w14:paraId="07F7CC54" w14:textId="77777777" w:rsidR="00FF28DF" w:rsidRDefault="00000000">
      <w:pPr>
        <w:spacing w:before="200" w:after="200" w:line="360" w:lineRule="auto"/>
      </w:pPr>
      <w:r>
        <w:rPr>
          <w:b/>
          <w:bCs/>
        </w:rPr>
        <w:t xml:space="preserve">CHANDLER: </w:t>
      </w:r>
      <w:r>
        <w:t>All right. Let me ask each of you to identify the single most important revision. If you had to pick one thing.</w:t>
      </w:r>
    </w:p>
    <w:p w14:paraId="48666EE8" w14:textId="77777777" w:rsidR="00FF28DF" w:rsidRDefault="00000000">
      <w:pPr>
        <w:spacing w:before="200" w:after="200" w:line="360" w:lineRule="auto"/>
      </w:pPr>
      <w:r>
        <w:rPr>
          <w:b/>
          <w:bCs/>
        </w:rPr>
        <w:t xml:space="preserve">WEINGARTEN: </w:t>
      </w:r>
      <w:r>
        <w:t xml:space="preserve">The footnotes. Not because the footnotes are the most substantively important thing, but because they're the gateway. No serious law review will take this piece with the current footnote apparatus. Expand every footnote to include secondary sources, competing positions, and substantive parentheticals. Once the footnotes reflect the depth of your knowledge, the piece will present as what it </w:t>
      </w:r>
      <w:proofErr w:type="gramStart"/>
      <w:r>
        <w:t>actually is</w:t>
      </w:r>
      <w:proofErr w:type="gramEnd"/>
      <w:r>
        <w:t xml:space="preserve"> — sophisticated, original scholarship. Right </w:t>
      </w:r>
      <w:proofErr w:type="gramStart"/>
      <w:r>
        <w:t>now</w:t>
      </w:r>
      <w:proofErr w:type="gramEnd"/>
      <w:r>
        <w:t xml:space="preserve"> it presents as something considerably less than that, and it shouldn't.</w:t>
      </w:r>
    </w:p>
    <w:p w14:paraId="1CB9A38F" w14:textId="77777777" w:rsidR="00FF28DF" w:rsidRDefault="00000000">
      <w:pPr>
        <w:spacing w:before="200" w:after="200" w:line="360" w:lineRule="auto"/>
      </w:pPr>
      <w:r>
        <w:rPr>
          <w:b/>
          <w:bCs/>
        </w:rPr>
        <w:t xml:space="preserve">HARLAN: </w:t>
      </w:r>
      <w:r>
        <w:t>I'd say the theoretical framework. Add a section — or restructure the existing argument — around an explicit theoretical claim about why the major questions doctrine is evolving into a background interpretive norm even without majority endorsement. That's the most original idea in the piece, and it's buried in the assessment section rather than being the organizing principle. If you reframe the entire article around that thesis — that Learning Resources confirms the major questions doctrine's evolution from a named doctrine requiring explicit invocation to a background norm that shapes statutory interpretation regardless of whether a majority is willing to invoke it by name — you have a genuine contribution to the scholarly literature, not just a case comment.</w:t>
      </w:r>
    </w:p>
    <w:p w14:paraId="18C4604C" w14:textId="77777777" w:rsidR="00FF28DF" w:rsidRDefault="00000000">
      <w:pPr>
        <w:spacing w:before="200" w:after="200" w:line="360" w:lineRule="auto"/>
      </w:pPr>
      <w:r>
        <w:rPr>
          <w:b/>
          <w:bCs/>
        </w:rPr>
        <w:t xml:space="preserve">OKAFOR: </w:t>
      </w:r>
      <w:r>
        <w:t>Empirical grounding. Every factual claim in the practical consequences section needs a citation to a primary source — not to the opinion, but to the underlying data. And you need to add at least a paragraph, ideally two, that synthesizes the empirical literature on the economic effects of the 2025 tariffs. Without that, the practical consequences section is assertion, not analysis. And given that your thesis — the case's significance may depend more on what happens in Congress than on what the Court decided — is itself an empirical claim about political dynamics, you need to take the empirical dimension seriously throughout.</w:t>
      </w:r>
    </w:p>
    <w:p w14:paraId="40AEF1B1" w14:textId="77777777" w:rsidR="00FF28DF" w:rsidRDefault="00000000">
      <w:pPr>
        <w:spacing w:before="200" w:after="200" w:line="360" w:lineRule="auto"/>
      </w:pPr>
      <w:r>
        <w:rPr>
          <w:b/>
          <w:bCs/>
        </w:rPr>
        <w:t xml:space="preserve">CHANDLER: </w:t>
      </w:r>
      <w:r>
        <w:t>Thank you, all three of you. I have substantial revisions to make. Let me see if I can summarize the revision plan. First, overhaul the footnote apparatus completely: expand every footnote to include secondary sources, Bluebook signals, parentheticals, and engagement with the scholarly literature. Second, restructure around a clearer theoretical framework — the background norm thesis — making that the organizing principle rather than a subsidiary observation. Third, steelman the Kagan methodological position in the convergence section and give equal space to both sides. Fourth, deepen the nondelegation section with historical scholarship — Mortenson and Bagley, Wurman, the founding-era debate. Fifth, engage with the foreign affairs literature — Bradley and Goldsmith, Koh, the Vesting Clause debate. Sixth, give the dissent sustained treatment, particularly Kavanaugh's textual and historical arguments. Seventh, add empirical grounding to the practical consequences section — economic data, trade statistics, CBO reports. Eighth, expand the Marks analysis with circuit-level developments and theoretical implications. Ninth, add at least a paragraph on the international trade dimension. Tenth, expand the compliance section with the political science literature. Eleventh, add a discussion of the remedy question.</w:t>
      </w:r>
    </w:p>
    <w:p w14:paraId="127AE1FB" w14:textId="77777777" w:rsidR="00FF28DF" w:rsidRDefault="00000000">
      <w:pPr>
        <w:spacing w:before="200" w:after="200" w:line="360" w:lineRule="auto"/>
      </w:pPr>
      <w:r>
        <w:rPr>
          <w:b/>
          <w:bCs/>
        </w:rPr>
        <w:t xml:space="preserve">OKAFOR: </w:t>
      </w:r>
      <w:r>
        <w:t>That's a lot. But let me say something encouraging. The raw material here is very good. The structure is sound. The central thesis is right. The analysis is often excellent — the section on precedent migration, the convergence problem, the nondelegation fracture, the Dames &amp; Moore recharacterization. These are all real contributions. What the piece needs is the scholarly infrastructure that makes those contributions visible and credible to the readers it needs to reach. Build that infrastructure, and you have an article that will be cited.</w:t>
      </w:r>
    </w:p>
    <w:p w14:paraId="0F3C0306" w14:textId="77777777" w:rsidR="00FF28DF" w:rsidRDefault="00000000">
      <w:pPr>
        <w:spacing w:before="200" w:after="200" w:line="360" w:lineRule="auto"/>
      </w:pPr>
      <w:r>
        <w:rPr>
          <w:b/>
          <w:bCs/>
        </w:rPr>
        <w:t xml:space="preserve">WEINGARTEN: </w:t>
      </w:r>
      <w:r>
        <w:t>I agree. And I want to add one thing. The writing itself is strong — clear, precise, occasionally elegant. The "paradox of doctrinal modesty" section is beautifully done. The comparison to Youngstown's long-term legacy through Jackson's concurrence is exactly right. The closing paragraph is effective. Don't lose the voice in the revision. The tendency when you receive this much criticism is to hedge everything and clutter the prose with qualifications. Don't. Keep the confident analytical voice. Just build the evidentiary foundation under it.</w:t>
      </w:r>
    </w:p>
    <w:p w14:paraId="0C4CB06F" w14:textId="77777777" w:rsidR="00FF28DF" w:rsidRDefault="00000000">
      <w:pPr>
        <w:spacing w:before="200" w:after="200" w:line="360" w:lineRule="auto"/>
      </w:pPr>
      <w:r>
        <w:rPr>
          <w:b/>
          <w:bCs/>
        </w:rPr>
        <w:t xml:space="preserve">HARLAN: </w:t>
      </w:r>
      <w:r>
        <w:t>One more thought. Your title promises a "paradox." I think the paradox you've identified is real, but there's another one you haven't named. The paradox isn't just that a landmark settles less than it seems. It's that the settlement itself — the statutory holding — may accomplish through "ordinary" statutory interpretation exactly what the major questions doctrine was supposed to accomplish through extraordinary means. If the textual holding is sufficient, and if Kagan is right that ordinary interpretation can do the major questions doctrine's work, then the paradox is that the doctrine may be unnecessary precisely in the cases where it seems most applicable. That's the real convergence, and it's more interesting than the convergence you focus on, which is about Kagan's consistency. Think about whether that reframing strengthens the piece.</w:t>
      </w:r>
    </w:p>
    <w:p w14:paraId="75194F17" w14:textId="77777777" w:rsidR="00FF28DF" w:rsidRDefault="00000000">
      <w:pPr>
        <w:spacing w:before="200" w:after="200" w:line="360" w:lineRule="auto"/>
      </w:pPr>
      <w:r>
        <w:rPr>
          <w:b/>
          <w:bCs/>
        </w:rPr>
        <w:t xml:space="preserve">CHANDLER: </w:t>
      </w:r>
      <w:r>
        <w:t>That's a fascinating suggestion, and I think it does. The paradox of a doctrine that may be unnecessary precisely when the case for it is strongest — because the textual analysis can carry the load — is more interesting than the paradox I identified. It also connects to the broader debate about clear-statement rules versus contextual interpretation, which is the methodological heart of the dispute between Gorsuch and Kagan.</w:t>
      </w:r>
    </w:p>
    <w:p w14:paraId="66FC0B1B" w14:textId="77777777" w:rsidR="00FF28DF" w:rsidRDefault="00000000">
      <w:pPr>
        <w:spacing w:before="200" w:after="200" w:line="360" w:lineRule="auto"/>
      </w:pPr>
      <w:r>
        <w:rPr>
          <w:b/>
          <w:bCs/>
        </w:rPr>
        <w:t xml:space="preserve">OKAFOR: </w:t>
      </w:r>
      <w:r>
        <w:t>Before we break — and I know we're running over — I want to flag one more gap. You don't discuss the role of amicus briefs at all. In a case of this magnitude, the amicus filings are themselves a significant part of the story. Who filed? What arguments did they make? Did the Court adopt arguments from amicus briefs that neither party pressed? The amicus landscape in a case like this tells you something about the political economy of the litigation — who the stakeholders are, what they care about, and how they framed the issues. It's a dimension of the case that your article completely ignores, and that an empirically inclined reader would notice.</w:t>
      </w:r>
    </w:p>
    <w:p w14:paraId="6E42FE45" w14:textId="77777777" w:rsidR="00FF28DF" w:rsidRDefault="00000000">
      <w:pPr>
        <w:spacing w:before="200" w:after="200" w:line="360" w:lineRule="auto"/>
      </w:pPr>
      <w:r>
        <w:rPr>
          <w:b/>
          <w:bCs/>
        </w:rPr>
        <w:t xml:space="preserve">WEINGARTEN: </w:t>
      </w:r>
      <w:r>
        <w:t>And on the political economy point — your section on congressional dynamics is interesting but speculative. You identify three scenarios for the congressional response, which is a useful framework. But there's a fourth scenario you don't consider: that the President attempts to reimpose functionally equivalent tariffs through executive action under different statutory authorities — not just Section 301 and 232, which you mention, but through creative use of other emergency statutes, procurement rules, or regulatory mechanisms. The history of executive branch responses to adverse Supreme Court rulings on presidential power is a history of creative workarounds — from the pocket veto disputes to the war powers evasions to the signing statement phenomenon. Your article should at least acknowledge the possibility that the executive branch will seek to circumvent Learning Resources rather than accept it as a constraint.</w:t>
      </w:r>
    </w:p>
    <w:p w14:paraId="1B2199C0" w14:textId="77777777" w:rsidR="00FF28DF" w:rsidRDefault="00000000">
      <w:pPr>
        <w:spacing w:before="200" w:after="200" w:line="360" w:lineRule="auto"/>
      </w:pPr>
      <w:r>
        <w:rPr>
          <w:b/>
          <w:bCs/>
        </w:rPr>
        <w:t xml:space="preserve">CHANDLER: </w:t>
      </w:r>
      <w:r>
        <w:t>That's an excellent point and it connects to Jim's observation about the compliance literature. All right. I think we've identified enough revisions to keep me busy for several weeks. Thank you all — this has been exactly the kind of rigorous, constructive critique this draft needed.</w:t>
      </w:r>
    </w:p>
    <w:p w14:paraId="731417D0" w14:textId="77777777" w:rsidR="00FF28DF" w:rsidRDefault="00000000">
      <w:pPr>
        <w:spacing w:before="200" w:after="200" w:line="360" w:lineRule="auto"/>
      </w:pPr>
      <w:r>
        <w:rPr>
          <w:b/>
          <w:bCs/>
        </w:rPr>
        <w:t xml:space="preserve">HARLAN: </w:t>
      </w:r>
      <w:r>
        <w:t xml:space="preserve">One last thing. When you revise the footnotes, run each major citation through Midpage or a comparable citator. Verify that the cases you're citing </w:t>
      </w:r>
      <w:proofErr w:type="gramStart"/>
      <w:r>
        <w:t>actually stand</w:t>
      </w:r>
      <w:proofErr w:type="gramEnd"/>
      <w:r>
        <w:t xml:space="preserve"> for the propositions you're citing them </w:t>
      </w:r>
      <w:proofErr w:type="gramStart"/>
      <w:r>
        <w:t>for, and</w:t>
      </w:r>
      <w:proofErr w:type="gramEnd"/>
      <w:r>
        <w:t xml:space="preserve"> check the treatment — make sure nothing has been overruled or called into doubt. A single bad citation can undermine an entire article's credibility, and in a </w:t>
      </w:r>
      <w:proofErr w:type="gramStart"/>
      <w:r>
        <w:t>piece</w:t>
      </w:r>
      <w:proofErr w:type="gramEnd"/>
      <w:r>
        <w:t xml:space="preserve"> that's going to draw attention, the citation checking needs to be bulletproof.</w:t>
      </w:r>
    </w:p>
    <w:p w14:paraId="64E28830" w14:textId="77777777" w:rsidR="00FF28DF" w:rsidRDefault="00000000">
      <w:pPr>
        <w:spacing w:before="200" w:after="200" w:line="360" w:lineRule="auto"/>
      </w:pPr>
      <w:r>
        <w:rPr>
          <w:b/>
          <w:bCs/>
        </w:rPr>
        <w:t xml:space="preserve">OKAFOR: </w:t>
      </w:r>
      <w:r>
        <w:t xml:space="preserve">Agreed. And cite-check your secondary sources too. Make sure the articles you cite to are in the volumes and at the page numbers you list. Bluebook errors are the first thing a law review editor looks for, and they correlate in editors' minds with analytical sloppiness, </w:t>
      </w:r>
      <w:proofErr w:type="gramStart"/>
      <w:r>
        <w:t>whether or not</w:t>
      </w:r>
      <w:proofErr w:type="gramEnd"/>
      <w:r>
        <w:t xml:space="preserve"> that's fair.</w:t>
      </w:r>
    </w:p>
    <w:p w14:paraId="618F7C6B" w14:textId="77777777" w:rsidR="00FF28DF" w:rsidRDefault="00000000">
      <w:pPr>
        <w:spacing w:before="200" w:after="200" w:line="360" w:lineRule="auto"/>
      </w:pPr>
      <w:r>
        <w:rPr>
          <w:b/>
          <w:bCs/>
        </w:rPr>
        <w:t xml:space="preserve">CHANDLER: </w:t>
      </w:r>
      <w:r>
        <w:t>Understood. Thank you all for your time and your candor. This is going to be a substantially different — and substantially better — article when it comes back to you.</w:t>
      </w:r>
    </w:p>
    <w:p w14:paraId="58A4ECB0" w14:textId="77777777" w:rsidR="00FF28DF" w:rsidRDefault="00000000">
      <w:pPr>
        <w:spacing w:before="480"/>
        <w:jc w:val="center"/>
      </w:pPr>
      <w:r>
        <w:rPr>
          <w:i/>
          <w:iCs/>
        </w:rPr>
        <w:t>[End of transcript]</w:t>
      </w:r>
    </w:p>
    <w:sectPr w:rsidR="00FF28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8ACF9" w14:textId="77777777" w:rsidR="00D01E7D" w:rsidRDefault="00D01E7D">
      <w:r>
        <w:separator/>
      </w:r>
    </w:p>
  </w:endnote>
  <w:endnote w:type="continuationSeparator" w:id="0">
    <w:p w14:paraId="52515EF5" w14:textId="77777777" w:rsidR="00D01E7D" w:rsidRDefault="00D01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79F26" w14:textId="77777777" w:rsidR="00FF28D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814C" w14:textId="77777777" w:rsidR="00D01E7D" w:rsidRDefault="00D01E7D">
      <w:r>
        <w:separator/>
      </w:r>
    </w:p>
  </w:footnote>
  <w:footnote w:type="continuationSeparator" w:id="0">
    <w:p w14:paraId="69329D90" w14:textId="77777777" w:rsidR="00D01E7D" w:rsidRDefault="00D01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9251" w14:textId="77777777" w:rsidR="00FF28DF" w:rsidRDefault="00000000">
    <w:pPr>
      <w:jc w:val="center"/>
    </w:pPr>
    <w:r>
      <w:rPr>
        <w:i/>
        <w:iCs/>
        <w:color w:val="888888"/>
        <w:sz w:val="18"/>
        <w:szCs w:val="18"/>
      </w:rPr>
      <w:t>DRAFT REVIEW — WORKSHOP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B4FCC"/>
    <w:multiLevelType w:val="hybridMultilevel"/>
    <w:tmpl w:val="FEDE1C94"/>
    <w:lvl w:ilvl="0" w:tplc="BE2A0B84">
      <w:start w:val="1"/>
      <w:numFmt w:val="bullet"/>
      <w:lvlText w:val="●"/>
      <w:lvlJc w:val="left"/>
      <w:pPr>
        <w:ind w:left="720" w:hanging="360"/>
      </w:pPr>
    </w:lvl>
    <w:lvl w:ilvl="1" w:tplc="1B1A1A82">
      <w:start w:val="1"/>
      <w:numFmt w:val="bullet"/>
      <w:lvlText w:val="○"/>
      <w:lvlJc w:val="left"/>
      <w:pPr>
        <w:ind w:left="1440" w:hanging="360"/>
      </w:pPr>
    </w:lvl>
    <w:lvl w:ilvl="2" w:tplc="2B747DCC">
      <w:start w:val="1"/>
      <w:numFmt w:val="bullet"/>
      <w:lvlText w:val="■"/>
      <w:lvlJc w:val="left"/>
      <w:pPr>
        <w:ind w:left="2160" w:hanging="360"/>
      </w:pPr>
    </w:lvl>
    <w:lvl w:ilvl="3" w:tplc="A38EEA88">
      <w:start w:val="1"/>
      <w:numFmt w:val="bullet"/>
      <w:lvlText w:val="●"/>
      <w:lvlJc w:val="left"/>
      <w:pPr>
        <w:ind w:left="2880" w:hanging="360"/>
      </w:pPr>
    </w:lvl>
    <w:lvl w:ilvl="4" w:tplc="E500C572">
      <w:start w:val="1"/>
      <w:numFmt w:val="bullet"/>
      <w:lvlText w:val="○"/>
      <w:lvlJc w:val="left"/>
      <w:pPr>
        <w:ind w:left="3600" w:hanging="360"/>
      </w:pPr>
    </w:lvl>
    <w:lvl w:ilvl="5" w:tplc="386C0464">
      <w:start w:val="1"/>
      <w:numFmt w:val="bullet"/>
      <w:lvlText w:val="■"/>
      <w:lvlJc w:val="left"/>
      <w:pPr>
        <w:ind w:left="4320" w:hanging="360"/>
      </w:pPr>
    </w:lvl>
    <w:lvl w:ilvl="6" w:tplc="C588A412">
      <w:start w:val="1"/>
      <w:numFmt w:val="bullet"/>
      <w:lvlText w:val="●"/>
      <w:lvlJc w:val="left"/>
      <w:pPr>
        <w:ind w:left="5040" w:hanging="360"/>
      </w:pPr>
    </w:lvl>
    <w:lvl w:ilvl="7" w:tplc="E7B819BE">
      <w:start w:val="1"/>
      <w:numFmt w:val="bullet"/>
      <w:lvlText w:val="●"/>
      <w:lvlJc w:val="left"/>
      <w:pPr>
        <w:ind w:left="5760" w:hanging="360"/>
      </w:pPr>
    </w:lvl>
    <w:lvl w:ilvl="8" w:tplc="0D78109C">
      <w:start w:val="1"/>
      <w:numFmt w:val="bullet"/>
      <w:lvlText w:val="●"/>
      <w:lvlJc w:val="left"/>
      <w:pPr>
        <w:ind w:left="6480" w:hanging="360"/>
      </w:pPr>
    </w:lvl>
  </w:abstractNum>
  <w:num w:numId="1" w16cid:durableId="352654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8DF"/>
    <w:rsid w:val="0000720A"/>
    <w:rsid w:val="00223931"/>
    <w:rsid w:val="00D01E7D"/>
    <w:rsid w:val="00FF2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E5709"/>
  <w15:docId w15:val="{8C12CB02-66D0-0E49-AE15-9663C3E1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5604</Words>
  <Characters>30572</Characters>
  <Application>Microsoft Office Word</Application>
  <DocSecurity>0</DocSecurity>
  <Lines>418</Lines>
  <Paragraphs>64</Paragraphs>
  <ScaleCrop>false</ScaleCrop>
  <Company/>
  <LinksUpToDate>false</LinksUpToDate>
  <CharactersWithSpaces>36210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Chandler, Seth J</cp:lastModifiedBy>
  <cp:revision>2</cp:revision>
  <dcterms:created xsi:type="dcterms:W3CDTF">2026-02-21T17:41:00Z</dcterms:created>
  <dcterms:modified xsi:type="dcterms:W3CDTF">2026-02-21T17:41:00Z</dcterms:modified>
</cp:coreProperties>
</file>