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0CE1" w14:textId="77777777" w:rsidR="00AB6DAD" w:rsidRDefault="00000000">
      <w:pPr>
        <w:spacing w:after="120"/>
        <w:jc w:val="center"/>
      </w:pPr>
      <w:r>
        <w:rPr>
          <w:b/>
          <w:bCs/>
          <w:sz w:val="32"/>
          <w:szCs w:val="32"/>
        </w:rPr>
        <w:t>How the Justices Used Precedent</w:t>
      </w:r>
    </w:p>
    <w:p w14:paraId="3517CF75" w14:textId="77777777" w:rsidR="00AB6DAD" w:rsidRDefault="00000000">
      <w:pPr>
        <w:spacing w:after="120"/>
        <w:jc w:val="center"/>
      </w:pPr>
      <w:r>
        <w:rPr>
          <w:b/>
          <w:bCs/>
          <w:sz w:val="28"/>
          <w:szCs w:val="28"/>
        </w:rPr>
        <w:t>A Case-by-Case Analysis of Learning Resources, Inc. v. Trump, 607 U.S. ___ (2026)</w:t>
      </w:r>
    </w:p>
    <w:p w14:paraId="6D7E8C6D" w14:textId="77777777" w:rsidR="00AB6DAD" w:rsidRDefault="00000000">
      <w:pPr>
        <w:spacing w:after="240"/>
        <w:jc w:val="center"/>
      </w:pPr>
      <w:r>
        <w:t>February 20, 2026</w:t>
      </w:r>
    </w:p>
    <w:p w14:paraId="2ADE1208" w14:textId="77777777" w:rsidR="00AB6DAD" w:rsidRDefault="00000000">
      <w:pPr>
        <w:spacing w:before="120" w:after="120"/>
      </w:pPr>
      <w:r>
        <w:rPr>
          <w:b/>
          <w:bCs/>
        </w:rPr>
        <w:t>Reference Count by Case and Justice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791"/>
        <w:gridCol w:w="898"/>
        <w:gridCol w:w="923"/>
        <w:gridCol w:w="860"/>
        <w:gridCol w:w="842"/>
        <w:gridCol w:w="915"/>
        <w:gridCol w:w="902"/>
        <w:gridCol w:w="1131"/>
      </w:tblGrid>
      <w:tr w:rsidR="00AB6DAD" w14:paraId="2E93B0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24668E0E" w14:textId="77777777" w:rsidR="00AB6DAD" w:rsidRDefault="00000000">
            <w:pPr>
              <w:jc w:val="center"/>
            </w:pPr>
            <w:r>
              <w:rPr>
                <w:b/>
                <w:bCs/>
                <w:sz w:val="18"/>
                <w:szCs w:val="18"/>
              </w:rPr>
              <w:t>Case</w:t>
            </w:r>
          </w:p>
        </w:tc>
        <w:tc>
          <w:tcPr>
            <w:tcW w:w="94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0D647E10" w14:textId="77777777" w:rsidR="00AB6DAD" w:rsidRDefault="00000000">
            <w:pPr>
              <w:jc w:val="center"/>
            </w:pPr>
            <w:r>
              <w:rPr>
                <w:b/>
                <w:bCs/>
                <w:sz w:val="18"/>
                <w:szCs w:val="18"/>
              </w:rPr>
              <w:t>Total Refs</w:t>
            </w:r>
          </w:p>
        </w:tc>
        <w:tc>
          <w:tcPr>
            <w:tcW w:w="94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6344F085" w14:textId="77777777" w:rsidR="00AB6DAD" w:rsidRDefault="00000000">
            <w:pPr>
              <w:jc w:val="center"/>
            </w:pPr>
            <w:r>
              <w:rPr>
                <w:b/>
                <w:bCs/>
                <w:sz w:val="18"/>
                <w:szCs w:val="18"/>
              </w:rPr>
              <w:t>Roberts</w:t>
            </w:r>
          </w:p>
        </w:tc>
        <w:tc>
          <w:tcPr>
            <w:tcW w:w="94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66CC0DCF" w14:textId="77777777" w:rsidR="00AB6DAD" w:rsidRDefault="00000000">
            <w:pPr>
              <w:jc w:val="center"/>
            </w:pPr>
            <w:r>
              <w:rPr>
                <w:b/>
                <w:bCs/>
                <w:sz w:val="18"/>
                <w:szCs w:val="18"/>
              </w:rPr>
              <w:t>Gorsuch</w:t>
            </w:r>
          </w:p>
        </w:tc>
        <w:tc>
          <w:tcPr>
            <w:tcW w:w="94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3D3AA2D4" w14:textId="77777777" w:rsidR="00AB6DAD" w:rsidRDefault="00000000">
            <w:pPr>
              <w:jc w:val="center"/>
            </w:pPr>
            <w:r>
              <w:rPr>
                <w:b/>
                <w:bCs/>
                <w:sz w:val="18"/>
                <w:szCs w:val="18"/>
              </w:rPr>
              <w:t>Barrett</w:t>
            </w:r>
          </w:p>
        </w:tc>
        <w:tc>
          <w:tcPr>
            <w:tcW w:w="94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0D8576AF" w14:textId="77777777" w:rsidR="00AB6DAD" w:rsidRDefault="00000000">
            <w:pPr>
              <w:jc w:val="center"/>
            </w:pPr>
            <w:r>
              <w:rPr>
                <w:b/>
                <w:bCs/>
                <w:sz w:val="18"/>
                <w:szCs w:val="18"/>
              </w:rPr>
              <w:t>Kagan</w:t>
            </w:r>
          </w:p>
        </w:tc>
        <w:tc>
          <w:tcPr>
            <w:tcW w:w="94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5426DEFB" w14:textId="77777777" w:rsidR="00AB6DAD" w:rsidRDefault="00000000">
            <w:pPr>
              <w:jc w:val="center"/>
            </w:pPr>
            <w:r>
              <w:rPr>
                <w:b/>
                <w:bCs/>
                <w:sz w:val="18"/>
                <w:szCs w:val="18"/>
              </w:rPr>
              <w:t>Jackson</w:t>
            </w:r>
          </w:p>
        </w:tc>
        <w:tc>
          <w:tcPr>
            <w:tcW w:w="94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724520FE" w14:textId="77777777" w:rsidR="00AB6DAD" w:rsidRDefault="00000000">
            <w:pPr>
              <w:jc w:val="center"/>
            </w:pPr>
            <w:r>
              <w:rPr>
                <w:b/>
                <w:bCs/>
                <w:sz w:val="18"/>
                <w:szCs w:val="18"/>
              </w:rPr>
              <w:t>Thomas</w:t>
            </w:r>
          </w:p>
        </w:tc>
        <w:tc>
          <w:tcPr>
            <w:tcW w:w="940" w:type="dxa"/>
            <w:tcBorders>
              <w:top w:val="single" w:sz="1" w:space="0" w:color="CCCCCC"/>
              <w:left w:val="single" w:sz="1" w:space="0" w:color="CCCCCC"/>
              <w:bottom w:val="single" w:sz="1" w:space="0" w:color="CCCCCC"/>
              <w:right w:val="single" w:sz="1" w:space="0" w:color="CCCCCC"/>
            </w:tcBorders>
            <w:shd w:val="clear" w:color="auto" w:fill="ADD8E6"/>
            <w:tcMar>
              <w:top w:w="60" w:type="dxa"/>
              <w:left w:w="80" w:type="dxa"/>
              <w:bottom w:w="60" w:type="dxa"/>
              <w:right w:w="80" w:type="dxa"/>
            </w:tcMar>
          </w:tcPr>
          <w:p w14:paraId="610F99FF" w14:textId="77777777" w:rsidR="00AB6DAD" w:rsidRDefault="00000000">
            <w:pPr>
              <w:jc w:val="center"/>
            </w:pPr>
            <w:r>
              <w:rPr>
                <w:b/>
                <w:bCs/>
                <w:sz w:val="18"/>
                <w:szCs w:val="18"/>
              </w:rPr>
              <w:t>Kavanaugh</w:t>
            </w:r>
          </w:p>
        </w:tc>
      </w:tr>
      <w:tr w:rsidR="00AB6DAD" w14:paraId="1387E7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F4F755" w14:textId="77777777" w:rsidR="00AB6DAD" w:rsidRDefault="00000000">
            <w:pPr>
              <w:jc w:val="center"/>
            </w:pPr>
            <w:r>
              <w:rPr>
                <w:sz w:val="18"/>
                <w:szCs w:val="18"/>
              </w:rPr>
              <w:t>West Virginia v. EPA (2022)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AC16B0B" w14:textId="77777777" w:rsidR="00AB6DAD" w:rsidRDefault="00000000">
            <w:pPr>
              <w:jc w:val="center"/>
            </w:pPr>
            <w:r>
              <w:rPr>
                <w:sz w:val="18"/>
                <w:szCs w:val="18"/>
              </w:rPr>
              <w:t>57</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93465E1" w14:textId="77777777" w:rsidR="00AB6DAD" w:rsidRDefault="00000000">
            <w:pPr>
              <w:jc w:val="center"/>
            </w:pPr>
            <w:r>
              <w:rPr>
                <w:sz w:val="18"/>
                <w:szCs w:val="18"/>
              </w:rPr>
              <w:t>9</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353D42" w14:textId="77777777" w:rsidR="00AB6DAD" w:rsidRDefault="00000000">
            <w:pPr>
              <w:jc w:val="center"/>
            </w:pPr>
            <w:r>
              <w:rPr>
                <w:sz w:val="18"/>
                <w:szCs w:val="18"/>
              </w:rPr>
              <w:t>22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7BE29F" w14:textId="77777777" w:rsidR="00AB6DAD" w:rsidRDefault="00000000">
            <w:pPr>
              <w:jc w:val="center"/>
            </w:pPr>
            <w:r>
              <w:rPr>
                <w:sz w:val="18"/>
                <w:szCs w:val="18"/>
              </w:rPr>
              <w:t>6</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6B1B8D6" w14:textId="77777777" w:rsidR="00AB6DAD" w:rsidRDefault="00000000">
            <w:pPr>
              <w:jc w:val="center"/>
            </w:pPr>
            <w:r>
              <w:rPr>
                <w:sz w:val="18"/>
                <w:szCs w:val="18"/>
              </w:rPr>
              <w:t>5</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B0CEA19"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97D7A67"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DCD9989" w14:textId="77777777" w:rsidR="00AB6DAD" w:rsidRDefault="00000000">
            <w:pPr>
              <w:jc w:val="center"/>
            </w:pPr>
            <w:r>
              <w:rPr>
                <w:sz w:val="18"/>
                <w:szCs w:val="18"/>
              </w:rPr>
              <w:t>11</w:t>
            </w:r>
          </w:p>
        </w:tc>
      </w:tr>
      <w:tr w:rsidR="00AB6DAD" w14:paraId="07663E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FCDAA35" w14:textId="77777777" w:rsidR="00AB6DAD" w:rsidRDefault="00000000">
            <w:pPr>
              <w:jc w:val="center"/>
            </w:pPr>
            <w:r>
              <w:rPr>
                <w:sz w:val="18"/>
                <w:szCs w:val="18"/>
              </w:rPr>
              <w:t>Biden v. Nebraska (2023)</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0079F39" w14:textId="77777777" w:rsidR="00AB6DAD" w:rsidRDefault="00000000">
            <w:pPr>
              <w:jc w:val="center"/>
            </w:pPr>
            <w:r>
              <w:rPr>
                <w:sz w:val="18"/>
                <w:szCs w:val="18"/>
              </w:rPr>
              <w:t>53</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F744417" w14:textId="77777777" w:rsidR="00AB6DAD" w:rsidRDefault="00000000">
            <w:pPr>
              <w:jc w:val="center"/>
            </w:pPr>
            <w:r>
              <w:rPr>
                <w:sz w:val="18"/>
                <w:szCs w:val="18"/>
              </w:rPr>
              <w:t>9</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652642" w14:textId="77777777" w:rsidR="00AB6DAD" w:rsidRDefault="00000000">
            <w:pPr>
              <w:jc w:val="center"/>
            </w:pPr>
            <w:r>
              <w:rPr>
                <w:sz w:val="18"/>
                <w:szCs w:val="18"/>
              </w:rPr>
              <w:t>20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5798E36" w14:textId="77777777" w:rsidR="00AB6DAD" w:rsidRDefault="00000000">
            <w:pPr>
              <w:jc w:val="center"/>
            </w:pPr>
            <w:r>
              <w:rPr>
                <w:sz w:val="18"/>
                <w:szCs w:val="18"/>
              </w:rPr>
              <w:t>9</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519E75" w14:textId="77777777" w:rsidR="00AB6DAD" w:rsidRDefault="00000000">
            <w:pPr>
              <w:jc w:val="center"/>
            </w:pPr>
            <w:r>
              <w:rPr>
                <w:sz w:val="18"/>
                <w:szCs w:val="18"/>
              </w:rPr>
              <w:t>6</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38DD78"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995452D"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E8B7723" w14:textId="77777777" w:rsidR="00AB6DAD" w:rsidRDefault="00000000">
            <w:pPr>
              <w:jc w:val="center"/>
            </w:pPr>
            <w:r>
              <w:rPr>
                <w:sz w:val="18"/>
                <w:szCs w:val="18"/>
              </w:rPr>
              <w:t>6</w:t>
            </w:r>
          </w:p>
        </w:tc>
      </w:tr>
      <w:tr w:rsidR="00AB6DAD" w14:paraId="0C2511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788498" w14:textId="77777777" w:rsidR="00AB6DAD" w:rsidRDefault="00000000">
            <w:pPr>
              <w:jc w:val="center"/>
            </w:pPr>
            <w:r>
              <w:rPr>
                <w:sz w:val="18"/>
                <w:szCs w:val="18"/>
              </w:rPr>
              <w:t>Algonquin SNG (1976)</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283C217" w14:textId="77777777" w:rsidR="00AB6DAD" w:rsidRDefault="00000000">
            <w:pPr>
              <w:jc w:val="center"/>
            </w:pPr>
            <w:r>
              <w:rPr>
                <w:sz w:val="18"/>
                <w:szCs w:val="18"/>
              </w:rPr>
              <w:t>44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B9C465" w14:textId="77777777" w:rsidR="00AB6DAD" w:rsidRDefault="00000000">
            <w:pPr>
              <w:jc w:val="center"/>
            </w:pPr>
            <w:r>
              <w:rPr>
                <w:sz w:val="18"/>
                <w:szCs w:val="18"/>
              </w:rPr>
              <w:t>5</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8B040F1"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B826C2"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FB3A5B5"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9E90AAA"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C4AE39D"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00ADF4C" w14:textId="77777777" w:rsidR="00AB6DAD" w:rsidRDefault="00000000">
            <w:pPr>
              <w:jc w:val="center"/>
            </w:pPr>
            <w:r>
              <w:rPr>
                <w:sz w:val="18"/>
                <w:szCs w:val="18"/>
              </w:rPr>
              <w:t>34</w:t>
            </w:r>
          </w:p>
        </w:tc>
      </w:tr>
      <w:tr w:rsidR="00AB6DAD" w14:paraId="3502D9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5135EEE" w14:textId="77777777" w:rsidR="00AB6DAD" w:rsidRDefault="00000000">
            <w:pPr>
              <w:jc w:val="center"/>
            </w:pPr>
            <w:r>
              <w:rPr>
                <w:sz w:val="18"/>
                <w:szCs w:val="18"/>
              </w:rPr>
              <w:t>Dames &amp; Moore (1981)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2D770C" w14:textId="77777777" w:rsidR="00AB6DAD" w:rsidRDefault="00000000">
            <w:pPr>
              <w:jc w:val="center"/>
            </w:pPr>
            <w:r>
              <w:rPr>
                <w:sz w:val="18"/>
                <w:szCs w:val="18"/>
              </w:rPr>
              <w:t>18</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23CF61B"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BA2F1E" w14:textId="77777777" w:rsidR="00AB6DAD" w:rsidRDefault="00000000">
            <w:pPr>
              <w:jc w:val="center"/>
            </w:pPr>
            <w:r>
              <w:rPr>
                <w:sz w:val="18"/>
                <w:szCs w:val="18"/>
              </w:rPr>
              <w:t>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CAE6C6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81E22B"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3CE664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036D01D"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1DAE152" w14:textId="77777777" w:rsidR="00AB6DAD" w:rsidRDefault="00000000">
            <w:pPr>
              <w:jc w:val="center"/>
            </w:pPr>
            <w:r>
              <w:rPr>
                <w:sz w:val="18"/>
                <w:szCs w:val="18"/>
              </w:rPr>
              <w:t>11</w:t>
            </w:r>
          </w:p>
        </w:tc>
      </w:tr>
      <w:tr w:rsidR="00AB6DAD" w14:paraId="7C937B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950DF18" w14:textId="77777777" w:rsidR="00AB6DAD" w:rsidRDefault="00000000">
            <w:pPr>
              <w:jc w:val="center"/>
            </w:pPr>
            <w:r>
              <w:rPr>
                <w:sz w:val="18"/>
                <w:szCs w:val="18"/>
              </w:rPr>
              <w:t>Curtiss-Wright (1936)</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E8B6B38" w14:textId="77777777" w:rsidR="00AB6DAD" w:rsidRDefault="00000000">
            <w:pPr>
              <w:jc w:val="center"/>
            </w:pPr>
            <w:r>
              <w:rPr>
                <w:sz w:val="18"/>
                <w:szCs w:val="18"/>
              </w:rPr>
              <w:t>18</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59D127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5DA583D"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78036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B27B886"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DDEBD4D"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5111DE5" w14:textId="77777777" w:rsidR="00AB6DAD" w:rsidRDefault="00000000">
            <w:pPr>
              <w:jc w:val="center"/>
            </w:pPr>
            <w:r>
              <w:rPr>
                <w:sz w:val="18"/>
                <w:szCs w:val="18"/>
              </w:rPr>
              <w:t>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B4BBC0" w14:textId="77777777" w:rsidR="00AB6DAD" w:rsidRDefault="00000000">
            <w:pPr>
              <w:jc w:val="center"/>
            </w:pPr>
            <w:r>
              <w:rPr>
                <w:sz w:val="18"/>
                <w:szCs w:val="18"/>
              </w:rPr>
              <w:t>12</w:t>
            </w:r>
          </w:p>
        </w:tc>
      </w:tr>
      <w:tr w:rsidR="00AB6DAD" w14:paraId="1E6D48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0EC69E5" w14:textId="77777777" w:rsidR="00AB6DAD" w:rsidRDefault="00000000">
            <w:pPr>
              <w:jc w:val="center"/>
            </w:pPr>
            <w:r>
              <w:rPr>
                <w:sz w:val="18"/>
                <w:szCs w:val="18"/>
              </w:rPr>
              <w:t>Youngstown (1952)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8A744A4" w14:textId="77777777" w:rsidR="00AB6DAD" w:rsidRDefault="00000000">
            <w:pPr>
              <w:jc w:val="center"/>
            </w:pPr>
            <w:r>
              <w:rPr>
                <w:sz w:val="18"/>
                <w:szCs w:val="18"/>
              </w:rPr>
              <w:t>15</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01283C"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B716BC6"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9406CEF"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79FFD25"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FBF32A1"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506418D"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C0D89D4" w14:textId="77777777" w:rsidR="00AB6DAD" w:rsidRDefault="00000000">
            <w:pPr>
              <w:jc w:val="center"/>
            </w:pPr>
            <w:r>
              <w:rPr>
                <w:sz w:val="18"/>
                <w:szCs w:val="18"/>
              </w:rPr>
              <w:t>13</w:t>
            </w:r>
          </w:p>
        </w:tc>
      </w:tr>
      <w:tr w:rsidR="00AB6DAD" w14:paraId="218F9D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1722A35" w14:textId="77777777" w:rsidR="00AB6DAD" w:rsidRDefault="00000000">
            <w:pPr>
              <w:jc w:val="center"/>
            </w:pPr>
            <w:r>
              <w:rPr>
                <w:sz w:val="18"/>
                <w:szCs w:val="18"/>
              </w:rPr>
              <w:t>NFIB v. OSHA (2022)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3CA2D62" w14:textId="77777777" w:rsidR="00AB6DAD" w:rsidRDefault="00000000">
            <w:pPr>
              <w:jc w:val="center"/>
            </w:pPr>
            <w:r>
              <w:rPr>
                <w:sz w:val="18"/>
                <w:szCs w:val="18"/>
              </w:rPr>
              <w:t>14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3C0BA7" w14:textId="77777777" w:rsidR="00AB6DAD" w:rsidRDefault="00000000">
            <w:pPr>
              <w:jc w:val="center"/>
            </w:pPr>
            <w:r>
              <w:rPr>
                <w:sz w:val="18"/>
                <w:szCs w:val="18"/>
              </w:rPr>
              <w:t>3</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097D3AB" w14:textId="77777777" w:rsidR="00AB6DAD" w:rsidRDefault="00000000">
            <w:pPr>
              <w:jc w:val="center"/>
            </w:pPr>
            <w:r>
              <w:rPr>
                <w:sz w:val="18"/>
                <w:szCs w:val="18"/>
              </w:rPr>
              <w:t>5</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A02454"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99EA937"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6CEA92D"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13D097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A156E7" w14:textId="77777777" w:rsidR="00AB6DAD" w:rsidRDefault="00000000">
            <w:pPr>
              <w:jc w:val="center"/>
            </w:pPr>
            <w:r>
              <w:rPr>
                <w:sz w:val="18"/>
                <w:szCs w:val="18"/>
              </w:rPr>
              <w:t>3</w:t>
            </w:r>
          </w:p>
        </w:tc>
      </w:tr>
      <w:tr w:rsidR="00AB6DAD" w14:paraId="54B8E9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D9F0ECB" w14:textId="77777777" w:rsidR="00AB6DAD" w:rsidRDefault="00000000">
            <w:pPr>
              <w:jc w:val="center"/>
            </w:pPr>
            <w:r>
              <w:rPr>
                <w:sz w:val="18"/>
                <w:szCs w:val="18"/>
              </w:rPr>
              <w:t>Brown &amp; Williamson (2000)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A074B66" w14:textId="77777777" w:rsidR="00AB6DAD" w:rsidRDefault="00000000">
            <w:pPr>
              <w:jc w:val="center"/>
            </w:pPr>
            <w:r>
              <w:rPr>
                <w:sz w:val="18"/>
                <w:szCs w:val="18"/>
              </w:rPr>
              <w:t>12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4E4771A"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BB9DB43"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41D89BC" w14:textId="77777777" w:rsidR="00AB6DAD" w:rsidRDefault="00000000">
            <w:pPr>
              <w:jc w:val="center"/>
            </w:pPr>
            <w:r>
              <w:rPr>
                <w:sz w:val="18"/>
                <w:szCs w:val="18"/>
              </w:rPr>
              <w:t>5</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C39B674"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197314"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60B888"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D941366" w14:textId="77777777" w:rsidR="00AB6DAD" w:rsidRDefault="00000000">
            <w:pPr>
              <w:jc w:val="center"/>
            </w:pPr>
            <w:r>
              <w:rPr>
                <w:sz w:val="18"/>
                <w:szCs w:val="18"/>
              </w:rPr>
              <w:t>2</w:t>
            </w:r>
          </w:p>
        </w:tc>
      </w:tr>
      <w:tr w:rsidR="00AB6DAD" w14:paraId="32BC1B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DB001E" w14:textId="77777777" w:rsidR="00AB6DAD" w:rsidRDefault="00000000">
            <w:pPr>
              <w:jc w:val="center"/>
            </w:pPr>
            <w:r>
              <w:rPr>
                <w:sz w:val="18"/>
                <w:szCs w:val="18"/>
              </w:rPr>
              <w:t>Utility Air (2014)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0A0743C" w14:textId="77777777" w:rsidR="00AB6DAD" w:rsidRDefault="00000000">
            <w:pPr>
              <w:jc w:val="center"/>
            </w:pPr>
            <w:r>
              <w:rPr>
                <w:sz w:val="18"/>
                <w:szCs w:val="18"/>
              </w:rPr>
              <w:t>12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6980CDE" w14:textId="77777777" w:rsidR="00AB6DAD" w:rsidRDefault="00000000">
            <w:pPr>
              <w:jc w:val="center"/>
            </w:pPr>
            <w:r>
              <w:rPr>
                <w:sz w:val="18"/>
                <w:szCs w:val="18"/>
              </w:rPr>
              <w:t>3</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2329038"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8D37995"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3EBF650"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5522D7"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32692C2"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9D8F1AC" w14:textId="77777777" w:rsidR="00AB6DAD" w:rsidRDefault="00000000">
            <w:pPr>
              <w:jc w:val="center"/>
            </w:pPr>
            <w:r>
              <w:rPr>
                <w:sz w:val="18"/>
                <w:szCs w:val="18"/>
              </w:rPr>
              <w:t>4</w:t>
            </w:r>
          </w:p>
        </w:tc>
      </w:tr>
      <w:tr w:rsidR="00AB6DAD" w14:paraId="53622E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5691A3F" w14:textId="77777777" w:rsidR="00AB6DAD" w:rsidRDefault="00000000">
            <w:pPr>
              <w:jc w:val="center"/>
            </w:pPr>
            <w:r>
              <w:rPr>
                <w:sz w:val="18"/>
                <w:szCs w:val="18"/>
              </w:rPr>
              <w:t>Alabama Assn. (2021)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C20E69C" w14:textId="77777777" w:rsidR="00AB6DAD" w:rsidRDefault="00000000">
            <w:pPr>
              <w:jc w:val="center"/>
            </w:pPr>
            <w:r>
              <w:rPr>
                <w:sz w:val="18"/>
                <w:szCs w:val="18"/>
              </w:rPr>
              <w:t>10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53BD4F2" w14:textId="77777777" w:rsidR="00AB6DAD" w:rsidRDefault="00000000">
            <w:pPr>
              <w:jc w:val="center"/>
            </w:pPr>
            <w:r>
              <w:rPr>
                <w:sz w:val="18"/>
                <w:szCs w:val="18"/>
              </w:rPr>
              <w:t>3</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36545CC"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F335C95" w14:textId="77777777" w:rsidR="00AB6DAD" w:rsidRDefault="00000000">
            <w:pPr>
              <w:jc w:val="center"/>
            </w:pPr>
            <w:r>
              <w:rPr>
                <w:sz w:val="18"/>
                <w:szCs w:val="18"/>
              </w:rPr>
              <w:t>3</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0737FD1"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9FB5DE6"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B4E2CC0"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117A6AE" w14:textId="77777777" w:rsidR="00AB6DAD" w:rsidRDefault="00000000">
            <w:pPr>
              <w:jc w:val="center"/>
            </w:pPr>
            <w:r>
              <w:rPr>
                <w:sz w:val="18"/>
                <w:szCs w:val="18"/>
              </w:rPr>
              <w:t>2</w:t>
            </w:r>
          </w:p>
        </w:tc>
      </w:tr>
      <w:tr w:rsidR="00AB6DAD" w14:paraId="4E6DEF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9A693F" w14:textId="77777777" w:rsidR="00AB6DAD" w:rsidRDefault="00000000">
            <w:pPr>
              <w:jc w:val="center"/>
            </w:pPr>
            <w:r>
              <w:rPr>
                <w:sz w:val="18"/>
                <w:szCs w:val="18"/>
              </w:rPr>
              <w:t>Yoshida (1975)</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6C49B8F" w14:textId="77777777" w:rsidR="00AB6DAD" w:rsidRDefault="00000000">
            <w:pPr>
              <w:jc w:val="center"/>
            </w:pPr>
            <w:r>
              <w:rPr>
                <w:sz w:val="18"/>
                <w:szCs w:val="18"/>
              </w:rPr>
              <w:t>10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909896" w14:textId="77777777" w:rsidR="00AB6DAD" w:rsidRDefault="00000000">
            <w:pPr>
              <w:jc w:val="center"/>
            </w:pPr>
            <w:r>
              <w:rPr>
                <w:sz w:val="18"/>
                <w:szCs w:val="18"/>
              </w:rPr>
              <w:t>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93A91F3"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6FE00DA"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973827C"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F61C057"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41C95A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A635E2" w14:textId="77777777" w:rsidR="00AB6DAD" w:rsidRDefault="00000000">
            <w:pPr>
              <w:jc w:val="center"/>
            </w:pPr>
            <w:r>
              <w:rPr>
                <w:sz w:val="18"/>
                <w:szCs w:val="18"/>
              </w:rPr>
              <w:t>4</w:t>
            </w:r>
          </w:p>
        </w:tc>
      </w:tr>
      <w:tr w:rsidR="00AB6DAD" w14:paraId="277014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A89D784" w14:textId="77777777" w:rsidR="00AB6DAD" w:rsidRDefault="00000000">
            <w:pPr>
              <w:jc w:val="center"/>
            </w:pPr>
            <w:r>
              <w:rPr>
                <w:sz w:val="18"/>
                <w:szCs w:val="18"/>
              </w:rPr>
              <w:t>Gibbons v. Ogden (1824)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51DD0DF" w14:textId="77777777" w:rsidR="00AB6DAD" w:rsidRDefault="00000000">
            <w:pPr>
              <w:jc w:val="center"/>
            </w:pPr>
            <w:r>
              <w:rPr>
                <w:sz w:val="18"/>
                <w:szCs w:val="18"/>
              </w:rPr>
              <w:t>8</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3E2E6C3" w14:textId="77777777" w:rsidR="00AB6DAD" w:rsidRDefault="00000000">
            <w:pPr>
              <w:jc w:val="center"/>
            </w:pPr>
            <w:r>
              <w:rPr>
                <w:sz w:val="18"/>
                <w:szCs w:val="18"/>
              </w:rPr>
              <w:t>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2BB81F5"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7579E7"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D29451"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890DBF0"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852716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DD5A037" w14:textId="77777777" w:rsidR="00AB6DAD" w:rsidRDefault="00000000">
            <w:pPr>
              <w:jc w:val="center"/>
            </w:pPr>
            <w:r>
              <w:rPr>
                <w:sz w:val="18"/>
                <w:szCs w:val="18"/>
              </w:rPr>
              <w:t>1</w:t>
            </w:r>
          </w:p>
        </w:tc>
      </w:tr>
      <w:tr w:rsidR="00AB6DAD" w14:paraId="67DC97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1BC42C8" w14:textId="77777777" w:rsidR="00AB6DAD" w:rsidRDefault="00000000">
            <w:pPr>
              <w:jc w:val="center"/>
            </w:pPr>
            <w:r>
              <w:rPr>
                <w:sz w:val="18"/>
                <w:szCs w:val="18"/>
              </w:rPr>
              <w:t>Hampton (1928)</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5AB304" w14:textId="77777777" w:rsidR="00AB6DAD" w:rsidRDefault="00000000">
            <w:pPr>
              <w:jc w:val="center"/>
            </w:pPr>
            <w:r>
              <w:rPr>
                <w:sz w:val="18"/>
                <w:szCs w:val="18"/>
              </w:rPr>
              <w:t>8</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92A1C7"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C553CC4"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D08ED37"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A8131CB"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960184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6904C56"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CD5257" w14:textId="77777777" w:rsidR="00AB6DAD" w:rsidRDefault="00000000">
            <w:pPr>
              <w:jc w:val="center"/>
            </w:pPr>
            <w:r>
              <w:rPr>
                <w:sz w:val="18"/>
                <w:szCs w:val="18"/>
              </w:rPr>
              <w:t>5</w:t>
            </w:r>
          </w:p>
        </w:tc>
      </w:tr>
      <w:tr w:rsidR="00AB6DAD" w14:paraId="75E8DB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4BDC535" w14:textId="77777777" w:rsidR="00AB6DAD" w:rsidRDefault="00000000">
            <w:pPr>
              <w:jc w:val="center"/>
            </w:pPr>
            <w:r>
              <w:rPr>
                <w:sz w:val="18"/>
                <w:szCs w:val="18"/>
              </w:rPr>
              <w:t>Marshall Field (1892)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432EC3" w14:textId="77777777" w:rsidR="00AB6DAD" w:rsidRDefault="00000000">
            <w:pPr>
              <w:jc w:val="center"/>
            </w:pPr>
            <w:r>
              <w:rPr>
                <w:sz w:val="18"/>
                <w:szCs w:val="18"/>
              </w:rPr>
              <w:t>7</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F65C4A2"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E3553DD"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EDF3D65"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5432C0D"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CFDB8D4"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A86925"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3D678E6" w14:textId="77777777" w:rsidR="00AB6DAD" w:rsidRDefault="00000000">
            <w:pPr>
              <w:jc w:val="center"/>
            </w:pPr>
            <w:r>
              <w:rPr>
                <w:sz w:val="18"/>
                <w:szCs w:val="18"/>
              </w:rPr>
              <w:t>5</w:t>
            </w:r>
          </w:p>
        </w:tc>
      </w:tr>
      <w:tr w:rsidR="00AB6DAD" w14:paraId="153EF8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14650C6" w14:textId="77777777" w:rsidR="00AB6DAD" w:rsidRDefault="00000000">
            <w:pPr>
              <w:jc w:val="center"/>
            </w:pPr>
            <w:r>
              <w:rPr>
                <w:sz w:val="18"/>
                <w:szCs w:val="18"/>
              </w:rPr>
              <w:t>Consumers' Research (2025)</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195800B" w14:textId="77777777" w:rsidR="00AB6DAD" w:rsidRDefault="00000000">
            <w:pPr>
              <w:jc w:val="center"/>
            </w:pPr>
            <w:r>
              <w:rPr>
                <w:sz w:val="18"/>
                <w:szCs w:val="18"/>
              </w:rPr>
              <w:t>7</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F5DDDBE"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F10ACC2" w14:textId="77777777" w:rsidR="00AB6DAD" w:rsidRDefault="00000000">
            <w:pPr>
              <w:jc w:val="center"/>
            </w:pPr>
            <w:r>
              <w:rPr>
                <w:sz w:val="18"/>
                <w:szCs w:val="18"/>
              </w:rPr>
              <w:t>2</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C05AD4"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695460"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D6CD27"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18928B0"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5EAA169" w14:textId="77777777" w:rsidR="00AB6DAD" w:rsidRDefault="00000000">
            <w:pPr>
              <w:jc w:val="center"/>
            </w:pPr>
            <w:r>
              <w:rPr>
                <w:sz w:val="18"/>
                <w:szCs w:val="18"/>
              </w:rPr>
              <w:t>2</w:t>
            </w:r>
          </w:p>
        </w:tc>
      </w:tr>
      <w:tr w:rsidR="00AB6DAD" w14:paraId="6AB5A8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DCF7DB" w14:textId="77777777" w:rsidR="00AB6DAD" w:rsidRDefault="00000000">
            <w:pPr>
              <w:jc w:val="center"/>
            </w:pPr>
            <w:r>
              <w:rPr>
                <w:sz w:val="18"/>
                <w:szCs w:val="18"/>
              </w:rPr>
              <w:t>Gundy (2019)</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1D610A" w14:textId="77777777" w:rsidR="00AB6DAD" w:rsidRDefault="00000000">
            <w:pPr>
              <w:jc w:val="center"/>
            </w:pPr>
            <w:r>
              <w:rPr>
                <w:sz w:val="18"/>
                <w:szCs w:val="18"/>
              </w:rPr>
              <w:t>6</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D20A1FA"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7F2ADD2" w14:textId="77777777" w:rsidR="00AB6DAD" w:rsidRDefault="00000000">
            <w:pPr>
              <w:jc w:val="center"/>
            </w:pPr>
            <w:r>
              <w:rPr>
                <w:sz w:val="18"/>
                <w:szCs w:val="18"/>
              </w:rPr>
              <w:t>4</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402F509"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07F000A"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33121BA"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E7A8DA"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8456EBB" w14:textId="77777777" w:rsidR="00AB6DAD" w:rsidRDefault="00000000">
            <w:pPr>
              <w:jc w:val="center"/>
            </w:pPr>
            <w:r>
              <w:rPr>
                <w:sz w:val="18"/>
                <w:szCs w:val="18"/>
              </w:rPr>
              <w:t>1</w:t>
            </w:r>
          </w:p>
        </w:tc>
      </w:tr>
      <w:tr w:rsidR="00AB6DAD" w14:paraId="3887A6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6049D2A" w14:textId="77777777" w:rsidR="00AB6DAD" w:rsidRDefault="00000000">
            <w:pPr>
              <w:jc w:val="center"/>
            </w:pPr>
            <w:r>
              <w:rPr>
                <w:sz w:val="18"/>
                <w:szCs w:val="18"/>
              </w:rPr>
              <w:t>McCulloch (1819)</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0E4ACC"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1583538" w14:textId="77777777" w:rsidR="00AB6DAD" w:rsidRDefault="00000000">
            <w:pPr>
              <w:jc w:val="center"/>
            </w:pPr>
            <w:r>
              <w:rPr>
                <w:sz w:val="18"/>
                <w:szCs w:val="18"/>
              </w:rPr>
              <w:t>1</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FFE9FA1"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63EA7C0"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CB63670"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5531752"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FB253D8" w14:textId="77777777" w:rsidR="00AB6DAD" w:rsidRDefault="00000000">
            <w:pPr>
              <w:jc w:val="center"/>
            </w:pPr>
            <w:r>
              <w:rPr>
                <w:sz w:val="18"/>
                <w:szCs w:val="18"/>
              </w:rPr>
              <w:t>0</w:t>
            </w:r>
          </w:p>
        </w:tc>
        <w:tc>
          <w:tcPr>
            <w:tcW w:w="94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7476201" w14:textId="77777777" w:rsidR="00AB6DAD" w:rsidRDefault="00000000">
            <w:pPr>
              <w:jc w:val="center"/>
            </w:pPr>
            <w:r>
              <w:rPr>
                <w:sz w:val="18"/>
                <w:szCs w:val="18"/>
              </w:rPr>
              <w:t>0</w:t>
            </w:r>
          </w:p>
        </w:tc>
      </w:tr>
    </w:tbl>
    <w:p w14:paraId="471398F7" w14:textId="77777777" w:rsidR="00AB6DAD" w:rsidRDefault="00AB6DAD">
      <w:pPr>
        <w:spacing w:after="240"/>
      </w:pPr>
    </w:p>
    <w:p w14:paraId="55E01771" w14:textId="77777777" w:rsidR="00AB6DAD" w:rsidRDefault="00000000">
      <w:pPr>
        <w:pStyle w:val="Heading1"/>
      </w:pPr>
      <w:r>
        <w:t>Cases Specified by the User</w:t>
      </w:r>
    </w:p>
    <w:p w14:paraId="10F0307B" w14:textId="77777777" w:rsidR="00AB6DAD" w:rsidRDefault="00000000">
      <w:pPr>
        <w:pStyle w:val="Heading1"/>
      </w:pPr>
      <w:r>
        <w:t>1. McCulloch v. Maryland (1819) — 1 Reference</w:t>
      </w:r>
    </w:p>
    <w:p w14:paraId="69809DC5" w14:textId="77777777" w:rsidR="00AB6DAD" w:rsidRDefault="00000000">
      <w:pPr>
        <w:spacing w:after="240"/>
      </w:pPr>
      <w:r>
        <w:t>Roberts (majority) cites McCulloch once, in the constitutional foundation section, for the proposition that the taxing power is a "power to destroy." The citation is ornamental — it establishes the gravity of the taxing power but plays no analytical role. No other Justice engages with McCulloch.</w:t>
      </w:r>
    </w:p>
    <w:p w14:paraId="06318C86" w14:textId="77777777" w:rsidR="00AB6DAD" w:rsidRDefault="00000000">
      <w:pPr>
        <w:pStyle w:val="Heading1"/>
      </w:pPr>
      <w:r>
        <w:t>2. Gibbons v. Ogden (1824) — 8 References</w:t>
      </w:r>
    </w:p>
    <w:p w14:paraId="35E8B11E" w14:textId="77777777" w:rsidR="00AB6DAD" w:rsidRDefault="00000000">
      <w:pPr>
        <w:spacing w:after="120"/>
      </w:pPr>
      <w:r>
        <w:lastRenderedPageBreak/>
        <w:t>Roberts (majority) is the primary user, citing Gibbons four times for two propositions: (a) tariffs are "very clear[</w:t>
      </w:r>
      <w:proofErr w:type="spellStart"/>
      <w:r>
        <w:t>ly</w:t>
      </w:r>
      <w:proofErr w:type="spellEnd"/>
      <w:r>
        <w:t>] . . . a branch of the taxing power" (the key constitutional premise), and (b) the "power to regulate commerce" is "entirely distinct from the right to levy taxes" — which supports reading IEEPA's "regulate" as excluding taxation. Kagan picks up the same "entirely distinct" passage. Kavanaugh (dissent) cites Gibbons once but for the opposite purpose — noting that Chief Justice Marshall also said tariffs "can be used as a means of regulating commerce," which Kavanaugh argues shows regulate and tariff overlap.</w:t>
      </w:r>
    </w:p>
    <w:p w14:paraId="3ADFADD5" w14:textId="77777777" w:rsidR="00AB6DAD" w:rsidRDefault="00000000">
      <w:pPr>
        <w:pStyle w:val="Heading2"/>
      </w:pPr>
      <w:r>
        <w:t>Point of Contention</w:t>
      </w:r>
    </w:p>
    <w:p w14:paraId="321C875E" w14:textId="77777777" w:rsidR="00AB6DAD" w:rsidRDefault="00000000">
      <w:pPr>
        <w:spacing w:after="240"/>
      </w:pPr>
      <w:r>
        <w:t xml:space="preserve">The majority reads Gibbons as establishing a bright line between taxing and regulating. Kavanaugh reads the same case as showing the two </w:t>
      </w:r>
      <w:proofErr w:type="gramStart"/>
      <w:r>
        <w:t>overlap</w:t>
      </w:r>
      <w:proofErr w:type="gramEnd"/>
      <w:r>
        <w:t>. Both readings have textual support in Marshall's opinion, which discusses tariffs as both a tax and a commercial regulation.</w:t>
      </w:r>
    </w:p>
    <w:p w14:paraId="0B81E377" w14:textId="77777777" w:rsidR="00AB6DAD" w:rsidRDefault="00000000">
      <w:pPr>
        <w:pStyle w:val="Heading1"/>
      </w:pPr>
      <w:r>
        <w:t>3. Dames &amp; Moore v. Regan (1981) — 18 References</w:t>
      </w:r>
    </w:p>
    <w:p w14:paraId="10FFF632" w14:textId="77777777" w:rsidR="00AB6DAD" w:rsidRDefault="00000000">
      <w:pPr>
        <w:spacing w:after="120"/>
      </w:pPr>
      <w:r>
        <w:t xml:space="preserve">Roberts (majority/plurality) dismisses it in a single paragraph plus a devastating footnote. Dames &amp; Moore was "exceedingly narrow" — the Court itself emphasized its narrowness no fewer than five times. It did not address the President's power to "regulate." It did not involve tariffs. And it </w:t>
      </w:r>
      <w:proofErr w:type="gramStart"/>
      <w:r>
        <w:t>actually held</w:t>
      </w:r>
      <w:proofErr w:type="gramEnd"/>
      <w:r>
        <w:t xml:space="preserve"> that "the terms of IEEPA do not authorize" the suspension of claims — which Roberts turns against the Government: "So too here."</w:t>
      </w:r>
    </w:p>
    <w:p w14:paraId="469484DA" w14:textId="77777777" w:rsidR="00AB6DAD" w:rsidRDefault="00000000">
      <w:pPr>
        <w:spacing w:after="120"/>
      </w:pPr>
      <w:r>
        <w:t>Gorsuch (concurrence) devotes a full passage to dismantling the dissent's reliance on Dames &amp; Moore. He makes three points: (a) Dames &amp; Moore involved "overlapping powers" — the President had some independent Article II authority over executive agreements — whereas here the President concedes no inherent tariff power; (b) the decision emphatically disclaimed any "general guidelines" for other situations; (c) deriving from Dames &amp; Moore a "foreign affairs exception" to the major questions doctrine would "require us to disregard its own cautionary direction."</w:t>
      </w:r>
    </w:p>
    <w:p w14:paraId="4AB96ADF" w14:textId="77777777" w:rsidR="00AB6DAD" w:rsidRDefault="00000000">
      <w:pPr>
        <w:spacing w:after="120"/>
      </w:pPr>
      <w:r>
        <w:t xml:space="preserve">Kavanaugh (dissent) makes Dames &amp; Moore the centerpiece of his foreign-affairs argument, citing it 11 times. He emphasizes the parallels: both involved IEEPA, both involved "generally worded" statutory authority, both touched foreign </w:t>
      </w:r>
      <w:proofErr w:type="gramStart"/>
      <w:r>
        <w:t>policy</w:t>
      </w:r>
      <w:proofErr w:type="gramEnd"/>
      <w:r>
        <w:t>, and in Dames &amp; Moore the Court upheld presidential action even though "the actual statutory text did not clearly authorize the President's actions." He also argues that the Court in 1981 did not apply the major questions doctrine even though it had recently articulated the principle — suggesting the doctrine was understood not to apply in foreign affairs.</w:t>
      </w:r>
    </w:p>
    <w:p w14:paraId="4645D862" w14:textId="77777777" w:rsidR="00AB6DAD" w:rsidRDefault="00000000">
      <w:pPr>
        <w:pStyle w:val="Heading2"/>
      </w:pPr>
      <w:r>
        <w:t>Point of Contention</w:t>
      </w:r>
    </w:p>
    <w:p w14:paraId="008B0C9C" w14:textId="77777777" w:rsidR="00AB6DAD" w:rsidRDefault="00000000">
      <w:pPr>
        <w:spacing w:after="240"/>
      </w:pPr>
      <w:r>
        <w:t xml:space="preserve">The majority sees Dames &amp; Moore as a hyper-narrow precedent that </w:t>
      </w:r>
      <w:proofErr w:type="gramStart"/>
      <w:r>
        <w:t>actually hurts</w:t>
      </w:r>
      <w:proofErr w:type="gramEnd"/>
      <w:r>
        <w:t xml:space="preserve"> the Government (because it held IEEPA's text insufficient). Kavanaugh sees it as the strongest analog — a case where the Court blessed presidential action under IEEPA in a foreign-affairs emergency despite textual ambiguity. The fight is </w:t>
      </w:r>
      <w:proofErr w:type="gramStart"/>
      <w:r>
        <w:t>really about</w:t>
      </w:r>
      <w:proofErr w:type="gramEnd"/>
      <w:r>
        <w:t xml:space="preserve"> whether Dames &amp; Moore established a general principle of deference or an unrepeatable one-off.</w:t>
      </w:r>
    </w:p>
    <w:p w14:paraId="716F6A73" w14:textId="77777777" w:rsidR="00AB6DAD" w:rsidRDefault="00000000">
      <w:pPr>
        <w:pStyle w:val="Heading1"/>
      </w:pPr>
      <w:r>
        <w:lastRenderedPageBreak/>
        <w:t>4. Youngstown Sheet &amp; Tube Co. v. Sawyer (1952) — 15 References</w:t>
      </w:r>
    </w:p>
    <w:p w14:paraId="5A53BD4E" w14:textId="77777777" w:rsidR="00AB6DAD" w:rsidRDefault="00000000">
      <w:pPr>
        <w:spacing w:after="120"/>
      </w:pPr>
      <w:r>
        <w:t>Roberts (plurality) cites Youngstown twice, both times quoting Justice Jackson's concurrence: "Emergency powers tend to kindle emergencies" and emergencies "afford a ready pretext for usurpation." These are used to reject the Government's proposed emergency-powers exception to the major questions doctrine.</w:t>
      </w:r>
    </w:p>
    <w:p w14:paraId="5992448F" w14:textId="77777777" w:rsidR="00AB6DAD" w:rsidRDefault="00000000">
      <w:pPr>
        <w:spacing w:after="120"/>
      </w:pPr>
      <w:r>
        <w:t>Kavanaugh (dissent) cites Youngstown 13 times — more than any other Justice — but uses it completely differently. Kavanaugh invokes the Jackson three-category framework to argue this is a "category one" case: the President acting "pursuant to an express or implied authorization of Congress." He emphasizes that the President has not asserted inherent authority (category two or three) — only statutory authority. Kavanaugh also quotes Jackson's footnote recognizing that "the strict limitation upon congressional delegations of power to the President over internal affairs does not apply with respect to delegations of power in external affairs."</w:t>
      </w:r>
    </w:p>
    <w:p w14:paraId="5B5CF904" w14:textId="77777777" w:rsidR="00AB6DAD" w:rsidRDefault="00000000">
      <w:pPr>
        <w:pStyle w:val="Heading2"/>
      </w:pPr>
      <w:r>
        <w:t>Point of Contention</w:t>
      </w:r>
    </w:p>
    <w:p w14:paraId="18C9EAD8" w14:textId="77777777" w:rsidR="00AB6DAD" w:rsidRDefault="00000000">
      <w:pPr>
        <w:spacing w:after="240"/>
      </w:pPr>
      <w:r>
        <w:t>The majority uses Youngstown for Jackson's warnings about executive overreach. Kavanaugh uses it for Jackson's framework, which he says places this case in the most deferential category. Both claim Jackson, but for diametrically opposed purposes.</w:t>
      </w:r>
    </w:p>
    <w:p w14:paraId="15431286" w14:textId="77777777" w:rsidR="00AB6DAD" w:rsidRDefault="00000000">
      <w:pPr>
        <w:pStyle w:val="Heading1"/>
      </w:pPr>
      <w:r>
        <w:t>5. West Virginia v. EPA (2022) — 57 References (Most Cited)</w:t>
      </w:r>
    </w:p>
    <w:p w14:paraId="492A5F0B" w14:textId="77777777" w:rsidR="00AB6DAD" w:rsidRDefault="00000000">
      <w:pPr>
        <w:spacing w:after="120"/>
      </w:pPr>
      <w:r>
        <w:t>Roberts (plurality) cites it repeatedly for the formulation of the major questions doctrine: courts are "</w:t>
      </w:r>
      <w:proofErr w:type="spellStart"/>
      <w:r>
        <w:t>reluctan</w:t>
      </w:r>
      <w:proofErr w:type="spellEnd"/>
      <w:r>
        <w:t>[t] to read into ambiguous statutory text" extraordinary delegations; "separation of powers principles and a practical understanding of legislative intent" counsel skepticism; the executive must point to "clear congressional authorization."</w:t>
      </w:r>
    </w:p>
    <w:p w14:paraId="798D03F5" w14:textId="77777777" w:rsidR="00AB6DAD" w:rsidRDefault="00000000">
      <w:pPr>
        <w:spacing w:after="120"/>
      </w:pPr>
      <w:r>
        <w:t>Gorsuch (concurrence) cites West Virginia 22 times — more than anyone. He treats it as the fountainhead of the major questions doctrine and uses it to frame every element of his analysis. He also uses it to expose what he sees as inconsistency in Kagan's position — quoting her West Virginia dissent's argument that "broad" statutory language should be read expansively, which she does not do here.</w:t>
      </w:r>
    </w:p>
    <w:p w14:paraId="31DDBB7A" w14:textId="77777777" w:rsidR="00AB6DAD" w:rsidRDefault="00000000">
      <w:pPr>
        <w:spacing w:after="120"/>
      </w:pPr>
      <w:r>
        <w:t>Barrett (concurrence) cites it 6 times, mostly to distance herself from the strong-form reading, insisting the doctrine is best understood as context-driven interpretation, not a "clarity tax."</w:t>
      </w:r>
    </w:p>
    <w:p w14:paraId="226DF956" w14:textId="77777777" w:rsidR="00AB6DAD" w:rsidRDefault="00000000">
      <w:pPr>
        <w:spacing w:after="120"/>
      </w:pPr>
      <w:r>
        <w:t xml:space="preserve">Kagan (concurrence) cites it 5 times to restate her dissenting view — that ordinary statutory interpretation </w:t>
      </w:r>
      <w:proofErr w:type="gramStart"/>
      <w:r>
        <w:t>suffices</w:t>
      </w:r>
      <w:proofErr w:type="gramEnd"/>
      <w:r>
        <w:t xml:space="preserve"> and the clear-statement rule overrides legitimate delegations. She maintains her position from the West Virginia dissent but agrees the result here is correct without the doctrine.</w:t>
      </w:r>
    </w:p>
    <w:p w14:paraId="70030CB0" w14:textId="77777777" w:rsidR="00AB6DAD" w:rsidRDefault="00000000">
      <w:pPr>
        <w:spacing w:after="120"/>
      </w:pPr>
      <w:r>
        <w:t>Kavanaugh (dissent) cites it 11 times, arguing that the major questions doctrine requires a threshold showing that the executive's reading "would, under more ordinary circumstances, be upheld" — and that the Government meets that threshold here.</w:t>
      </w:r>
    </w:p>
    <w:p w14:paraId="400AC1D6" w14:textId="77777777" w:rsidR="00AB6DAD" w:rsidRDefault="00000000">
      <w:pPr>
        <w:pStyle w:val="Heading2"/>
      </w:pPr>
      <w:r>
        <w:t>Point of Contention</w:t>
      </w:r>
    </w:p>
    <w:p w14:paraId="77BAF8FE" w14:textId="77777777" w:rsidR="00AB6DAD" w:rsidRDefault="00000000">
      <w:pPr>
        <w:spacing w:after="240"/>
      </w:pPr>
      <w:r>
        <w:lastRenderedPageBreak/>
        <w:t>Everyone agrees West Virginia is the leading major questions case. Roberts/Gorsuch read it as imposing a clear-statement rule. Barrett reads it as a context principle. Kagan reads it as wrongly decided but consistent with her result here. Kavanaugh reads it as requiring a threshold inquiry the majority skips.</w:t>
      </w:r>
    </w:p>
    <w:p w14:paraId="5AEF28B3" w14:textId="77777777" w:rsidR="00AB6DAD" w:rsidRDefault="00000000">
      <w:pPr>
        <w:pStyle w:val="Heading1"/>
      </w:pPr>
      <w:r>
        <w:t>6. Biden v. Nebraska (2023) — 53 References</w:t>
      </w:r>
    </w:p>
    <w:p w14:paraId="23F9419B" w14:textId="77777777" w:rsidR="00AB6DAD" w:rsidRDefault="00000000">
      <w:pPr>
        <w:spacing w:after="120"/>
      </w:pPr>
      <w:r>
        <w:t xml:space="preserve">Roberts (plurality) cites it 9 times, including the key formulation: "a reasonable interpreter would [not] expect Congress to </w:t>
      </w:r>
      <w:proofErr w:type="gramStart"/>
      <w:r>
        <w:t>pawn[</w:t>
      </w:r>
      <w:proofErr w:type="gramEnd"/>
      <w:r>
        <w:t xml:space="preserve">] such a big-time policy </w:t>
      </w:r>
      <w:proofErr w:type="gramStart"/>
      <w:r>
        <w:t>call[</w:t>
      </w:r>
      <w:proofErr w:type="gramEnd"/>
      <w:r>
        <w:t>] off to another branch."</w:t>
      </w:r>
    </w:p>
    <w:p w14:paraId="2C56A456" w14:textId="77777777" w:rsidR="00AB6DAD" w:rsidRDefault="00000000">
      <w:pPr>
        <w:spacing w:after="120"/>
      </w:pPr>
      <w:r>
        <w:t>Gorsuch (concurrence) cites it 20 times — the heaviest user. He quotes Kagan's Nebraska dissent extensively to demonstrate inconsistency: Kagan argued that "broad," "expansive," "capacious" statutory language authorized the Secretary of Education to cancel $430 billion in student debt during an emergency. Gorsuch asks why similarly broad language in IEEPA doesn't authorize tariffs. He also engages at length with Barrett's Nebraska concurrence on whether "commonsense principles of communication" or Article I values do the work.</w:t>
      </w:r>
    </w:p>
    <w:p w14:paraId="12EB4698" w14:textId="77777777" w:rsidR="00AB6DAD" w:rsidRDefault="00000000">
      <w:pPr>
        <w:spacing w:after="120"/>
      </w:pPr>
      <w:r>
        <w:t>Barrett (concurrence) cites it 9 times, mostly her own Nebraska concurrence, defending her "commonsense" framing and pushing back on Gorsuch's characterization.</w:t>
      </w:r>
    </w:p>
    <w:p w14:paraId="66FFF668" w14:textId="77777777" w:rsidR="00AB6DAD" w:rsidRDefault="00000000">
      <w:pPr>
        <w:pStyle w:val="Heading2"/>
      </w:pPr>
      <w:r>
        <w:t>Point of Contention</w:t>
      </w:r>
    </w:p>
    <w:p w14:paraId="049CCEAC" w14:textId="77777777" w:rsidR="00AB6DAD" w:rsidRDefault="00000000">
      <w:pPr>
        <w:spacing w:after="240"/>
      </w:pPr>
      <w:r>
        <w:t>The primary fight is between Gorsuch and Kagan. Gorsuch uses Nebraska as a mirror to expose what he sees as Kagan's inconsistency. Kagan insists the statutes are different. The secondary fight is between Gorsuch and Barrett over the nature of the doctrine as applied in Nebraska.</w:t>
      </w:r>
    </w:p>
    <w:p w14:paraId="0EB15CA0" w14:textId="77777777" w:rsidR="00AB6DAD" w:rsidRDefault="00000000">
      <w:pPr>
        <w:pStyle w:val="Heading1"/>
      </w:pPr>
      <w:r>
        <w:t>7. United States v. Curtiss-Wright Export Corp. (1936) — 18 References</w:t>
      </w:r>
    </w:p>
    <w:p w14:paraId="453B2C2F" w14:textId="77777777" w:rsidR="00AB6DAD" w:rsidRDefault="00000000">
      <w:pPr>
        <w:spacing w:after="120"/>
      </w:pPr>
      <w:r>
        <w:t>Thomas (dissent) cites it 4 times as the constitutional foundation for his position that foreign affairs powers are fundamentally different from domestic legislative powers: "the strict limitation upon congressional delegations of power to the President over internal affairs does not apply with respect to delegations of power in external affairs."</w:t>
      </w:r>
    </w:p>
    <w:p w14:paraId="0A1ADA8C" w14:textId="77777777" w:rsidR="00AB6DAD" w:rsidRDefault="00000000">
      <w:pPr>
        <w:spacing w:after="120"/>
      </w:pPr>
      <w:r>
        <w:t>Kavanaugh (dissent) cites it 12 times for the same principle: "Congress may of course delegate very large grants of its power over foreign commerce to the President." He uses Curtiss-Wright to support both his nondelegation argument and his proposed foreign-affairs exception.</w:t>
      </w:r>
    </w:p>
    <w:p w14:paraId="433EEDAC" w14:textId="77777777" w:rsidR="00AB6DAD" w:rsidRDefault="00000000">
      <w:pPr>
        <w:spacing w:after="120"/>
      </w:pPr>
      <w:r>
        <w:t>Gorsuch (concurrence) cites it twice to rebut the dissent. He acknowledges Curtiss-Wright suggested different nondelegation rules for foreign affairs but argues the statute there was far more constrained than IEEPA — authorizing the President to prohibit arms sales to specific countries after a factual finding, not an open-ended grant of power.</w:t>
      </w:r>
    </w:p>
    <w:p w14:paraId="6030BDE4" w14:textId="77777777" w:rsidR="00AB6DAD" w:rsidRDefault="00000000">
      <w:pPr>
        <w:pStyle w:val="Heading2"/>
      </w:pPr>
      <w:r>
        <w:t>Point of Contention</w:t>
      </w:r>
    </w:p>
    <w:p w14:paraId="48F1CEEF" w14:textId="77777777" w:rsidR="00AB6DAD" w:rsidRDefault="00000000">
      <w:pPr>
        <w:spacing w:after="240"/>
      </w:pPr>
      <w:r>
        <w:lastRenderedPageBreak/>
        <w:t>The dissenters read Curtiss-Wright as establishing a broad principle of deference to presidential power over foreign commerce. Gorsuch reads it as a narrow holding about a carefully constrained statute. The underlying dispute is whether Curtiss-Wright's sweeping language about inherent foreign-affairs power is holding or dicta.</w:t>
      </w:r>
    </w:p>
    <w:p w14:paraId="7F9C915E" w14:textId="77777777" w:rsidR="00AB6DAD" w:rsidRDefault="00000000">
      <w:pPr>
        <w:pStyle w:val="Heading1"/>
      </w:pPr>
      <w:r>
        <w:t>8. Gundy v. United States (2019) — 6 References</w:t>
      </w:r>
    </w:p>
    <w:p w14:paraId="3481CE97" w14:textId="77777777" w:rsidR="00AB6DAD" w:rsidRDefault="00000000">
      <w:pPr>
        <w:spacing w:after="120"/>
      </w:pPr>
      <w:r>
        <w:t xml:space="preserve">Gorsuch cites it 4 times, primarily his own dissent (which argued for a stricter nondelegation test). He uses it to note that "even the intelligible </w:t>
      </w:r>
      <w:proofErr w:type="gramStart"/>
      <w:r>
        <w:t>principle</w:t>
      </w:r>
      <w:proofErr w:type="gramEnd"/>
      <w:r>
        <w:t xml:space="preserve"> test poses challenges" for the dissent's position, and that the nondelegation doctrine may apply with less force when Congress legislates in a way that implicates inherent presidential powers — but that IEEPA is not such a case.</w:t>
      </w:r>
    </w:p>
    <w:p w14:paraId="72DF520A" w14:textId="77777777" w:rsidR="00AB6DAD" w:rsidRDefault="00000000">
      <w:pPr>
        <w:spacing w:after="120"/>
      </w:pPr>
      <w:r>
        <w:t xml:space="preserve">Thomas cites it once for the same proposition about foreign affairs exceptions to nondelegation. Kavanaugh cites it once, noting that even under the relatively lax intelligible </w:t>
      </w:r>
      <w:proofErr w:type="gramStart"/>
      <w:r>
        <w:t>principle</w:t>
      </w:r>
      <w:proofErr w:type="gramEnd"/>
      <w:r>
        <w:t xml:space="preserve"> test, IEEPA's emergency requirements provide sufficient guidance.</w:t>
      </w:r>
    </w:p>
    <w:p w14:paraId="7C5B4C01" w14:textId="77777777" w:rsidR="00AB6DAD" w:rsidRDefault="00000000">
      <w:pPr>
        <w:pStyle w:val="Heading2"/>
      </w:pPr>
      <w:r>
        <w:t>Point of Contention</w:t>
      </w:r>
    </w:p>
    <w:p w14:paraId="557FC4AA" w14:textId="77777777" w:rsidR="00AB6DAD" w:rsidRDefault="00000000">
      <w:pPr>
        <w:spacing w:after="240"/>
      </w:pPr>
      <w:r>
        <w:t>Minimal direct dispute over Gundy itself; it is mainly invoked for the broader nondelegation framework that Gorsuch and Thomas each apply differently.</w:t>
      </w:r>
    </w:p>
    <w:p w14:paraId="21A882CE" w14:textId="77777777" w:rsidR="00AB6DAD" w:rsidRDefault="00000000">
      <w:r>
        <w:br w:type="page"/>
      </w:r>
    </w:p>
    <w:p w14:paraId="58AED288" w14:textId="77777777" w:rsidR="00AB6DAD" w:rsidRDefault="00000000">
      <w:pPr>
        <w:pStyle w:val="Heading1"/>
      </w:pPr>
      <w:r>
        <w:lastRenderedPageBreak/>
        <w:t>Additional Cases Cited Five or More Times</w:t>
      </w:r>
    </w:p>
    <w:p w14:paraId="45CF8000" w14:textId="77777777" w:rsidR="00AB6DAD" w:rsidRDefault="00000000">
      <w:pPr>
        <w:pStyle w:val="Heading1"/>
      </w:pPr>
      <w:r>
        <w:t>9. Federal Energy Admin. v. Algonquin SNG, Inc. (1976) — 44 References</w:t>
      </w:r>
    </w:p>
    <w:p w14:paraId="446E5C9D" w14:textId="77777777" w:rsidR="00AB6DAD" w:rsidRDefault="00000000">
      <w:pPr>
        <w:spacing w:after="120"/>
      </w:pPr>
      <w:r>
        <w:t>Kavanaugh (dissent) cites it a staggering 34 times — more than any Justice cites any case. It is the backbone of his textual argument. In Algonquin, the Court unanimously held that Section 232(b) of the Trade Expansion Act — authorizing the President to "adjust the imports" — included the power to impose license fees (monetary exactions). Kavanaugh draws a direct line: if "adjust the imports" includes tariffs, then "regulate . . . importation" does too. He recounts in detail the 1975 D.C. Circuit decision and oral argument, showing the challengers made "nearly identical arguments" to the challengers here — and lost unanimously.</w:t>
      </w:r>
    </w:p>
    <w:p w14:paraId="58E3B9FE" w14:textId="77777777" w:rsidR="00AB6DAD" w:rsidRDefault="00000000">
      <w:pPr>
        <w:spacing w:after="120"/>
      </w:pPr>
      <w:r>
        <w:t>Roberts (majority) distinguishes Algonquin on two grounds: (a) Section 232(b) contained sweeping, discretion-conferring language ("take such action . . . as he deems necessary") that IEEPA lacks; and (b) Section 232(a) explicitly referenced "duties," making it "natural" for Section 232(b) to authorize duties.</w:t>
      </w:r>
    </w:p>
    <w:p w14:paraId="33631FA3" w14:textId="77777777" w:rsidR="00AB6DAD" w:rsidRDefault="00000000">
      <w:pPr>
        <w:pStyle w:val="Heading2"/>
      </w:pPr>
      <w:r>
        <w:t>Point of Contention</w:t>
      </w:r>
    </w:p>
    <w:p w14:paraId="7CC18C4C" w14:textId="77777777" w:rsidR="00AB6DAD" w:rsidRDefault="00000000">
      <w:pPr>
        <w:spacing w:after="240"/>
      </w:pPr>
      <w:r>
        <w:t>This is the most explosive precedential dispute in the case. Kavanaugh argues Algonquin is squarely on point — a unanimous Court already held that statutory language authorizing the President to regulate imports includes tariffs. Roberts says the statutory context is entirely different.</w:t>
      </w:r>
    </w:p>
    <w:p w14:paraId="283048E1" w14:textId="77777777" w:rsidR="00AB6DAD" w:rsidRDefault="00000000">
      <w:pPr>
        <w:pStyle w:val="Heading1"/>
      </w:pPr>
      <w:r>
        <w:t>10. FDA v. Brown &amp; Williamson (2000) — 12 References</w:t>
      </w:r>
    </w:p>
    <w:p w14:paraId="5F68B096" w14:textId="77777777" w:rsidR="00AB6DAD" w:rsidRDefault="00000000">
      <w:pPr>
        <w:spacing w:after="120"/>
      </w:pPr>
      <w:r>
        <w:t>Gorsuch uses it to argue that "commonsense" interpretation cannot explain the major questions doctrine — because nicotine commonsensically fits the statutory definition of "drug," yet the Court held the FDA could not regulate tobacco.</w:t>
      </w:r>
    </w:p>
    <w:p w14:paraId="4E4B43F5" w14:textId="77777777" w:rsidR="00AB6DAD" w:rsidRDefault="00000000">
      <w:pPr>
        <w:spacing w:after="120"/>
      </w:pPr>
      <w:r>
        <w:t>Barrett cites it 5 times, engaging with Gorsuch's argument. She contends Brown &amp; Williamson can be explained by context: the broader statutory scheme made plain Congress had not authorized FDA tobacco regulation.</w:t>
      </w:r>
    </w:p>
    <w:p w14:paraId="387AE333" w14:textId="77777777" w:rsidR="00AB6DAD" w:rsidRDefault="00000000">
      <w:pPr>
        <w:spacing w:after="240"/>
      </w:pPr>
      <w:r>
        <w:t>Kavanaugh cites it twice, arguing the case supports his view that the doctrine requires a threshold finding the executive's reading is textually plausible.</w:t>
      </w:r>
    </w:p>
    <w:p w14:paraId="5D6AE328" w14:textId="77777777" w:rsidR="00AB6DAD" w:rsidRDefault="00000000">
      <w:pPr>
        <w:pStyle w:val="Heading1"/>
      </w:pPr>
      <w:r>
        <w:t>11. Alabama Assn. of Realtors v. HHS (2021) — 10 References</w:t>
      </w:r>
    </w:p>
    <w:p w14:paraId="6899683F" w14:textId="77777777" w:rsidR="00AB6DAD" w:rsidRDefault="00000000">
      <w:pPr>
        <w:spacing w:after="240"/>
      </w:pPr>
      <w:r>
        <w:t>Used by Roberts and Gorsuch as a prior major questions case where broad statutory language did not authorize an eviction moratorium. Gorsuch uses it to expose inconsistency in the liberal Justices' approach — they dissented there, reading the language broadly.</w:t>
      </w:r>
    </w:p>
    <w:p w14:paraId="6041163F" w14:textId="77777777" w:rsidR="00AB6DAD" w:rsidRDefault="00000000">
      <w:pPr>
        <w:pStyle w:val="Heading1"/>
      </w:pPr>
      <w:r>
        <w:t>12. NFIB v. OSHA (2022) — 14 References</w:t>
      </w:r>
    </w:p>
    <w:p w14:paraId="3BFF552A" w14:textId="77777777" w:rsidR="00AB6DAD" w:rsidRDefault="00000000">
      <w:pPr>
        <w:spacing w:after="240"/>
      </w:pPr>
      <w:r>
        <w:lastRenderedPageBreak/>
        <w:t>Same pattern as Alabama Assn. Gorsuch quotes the liberal Justices' dissent at length — where they read "safe and healthful working conditions" to authorize a vaccine mandate for 84 million Americans — to argue their narrow reading of IEEPA's broad language is irreconcilable with their past positions.</w:t>
      </w:r>
    </w:p>
    <w:p w14:paraId="4D7303C6" w14:textId="77777777" w:rsidR="00AB6DAD" w:rsidRDefault="00000000">
      <w:pPr>
        <w:pStyle w:val="Heading1"/>
      </w:pPr>
      <w:r>
        <w:t>13. Utility Air Regulatory Group v. EPA (2014) — 12 References</w:t>
      </w:r>
    </w:p>
    <w:p w14:paraId="5064A2C3" w14:textId="77777777" w:rsidR="00AB6DAD" w:rsidRDefault="00000000">
      <w:pPr>
        <w:spacing w:after="240"/>
      </w:pPr>
      <w:r>
        <w:t>Cited by Roberts, Gorsuch, Barrett, and Kavanaugh for the proposition that courts are reluctant to find extraordinary delegations in ambiguous text. Kavanaugh also cites it for the "colorable textual basis" threshold.</w:t>
      </w:r>
    </w:p>
    <w:p w14:paraId="3FC4F8E4" w14:textId="77777777" w:rsidR="00AB6DAD" w:rsidRDefault="00000000">
      <w:pPr>
        <w:pStyle w:val="Heading1"/>
      </w:pPr>
      <w:r>
        <w:t>14. FCC v. Consumers' Research (2025) — 7 References</w:t>
      </w:r>
    </w:p>
    <w:p w14:paraId="028D2BCF" w14:textId="77777777" w:rsidR="00AB6DAD" w:rsidRDefault="00000000">
      <w:pPr>
        <w:spacing w:after="240"/>
      </w:pPr>
      <w:r>
        <w:t>The Court's most recent nondelegation/major questions case (from the prior Term). Roberts and Gorsuch cite Kavanaugh's own concurrence — where Kavanaugh acknowledged that Congress may intend to give the President "substantial authority and flexibility" in foreign affairs — to argue that even Kavanaugh's framework doesn't support the Government here. Thomas cites the majority for the proposition that there is no "special nondelegation rule for revenue-raising legislation."</w:t>
      </w:r>
    </w:p>
    <w:p w14:paraId="7CD643AA" w14:textId="77777777" w:rsidR="00AB6DAD" w:rsidRDefault="00000000">
      <w:r>
        <w:br w:type="page"/>
      </w:r>
    </w:p>
    <w:p w14:paraId="42EEDC0D" w14:textId="77777777" w:rsidR="00AB6DAD" w:rsidRDefault="00000000">
      <w:pPr>
        <w:pStyle w:val="Heading1"/>
      </w:pPr>
      <w:r>
        <w:lastRenderedPageBreak/>
        <w:t>Summary: The Five Deepest Faultlines</w:t>
      </w:r>
    </w:p>
    <w:p w14:paraId="607CC2E6" w14:textId="77777777" w:rsidR="00AB6DAD" w:rsidRDefault="00000000">
      <w:pPr>
        <w:spacing w:after="120"/>
      </w:pPr>
      <w:r>
        <w:t>The cases that generate the most contention (as opposed to mere citation) are, in order:</w:t>
      </w:r>
    </w:p>
    <w:p w14:paraId="2D4DEC24" w14:textId="77777777" w:rsidR="00AB6DAD" w:rsidRDefault="00000000">
      <w:pPr>
        <w:pStyle w:val="Heading2"/>
      </w:pPr>
      <w:r>
        <w:t>1. Algonquin</w:t>
      </w:r>
    </w:p>
    <w:p w14:paraId="2168DADA" w14:textId="77777777" w:rsidR="00AB6DAD" w:rsidRDefault="00000000">
      <w:pPr>
        <w:spacing w:after="120"/>
      </w:pPr>
      <w:r>
        <w:t>Kavanaugh says it is dispositive; Roberts says it is distinguishable. This is the fight over whether precedent already settled the textual question.</w:t>
      </w:r>
    </w:p>
    <w:p w14:paraId="4EA09265" w14:textId="77777777" w:rsidR="00AB6DAD" w:rsidRDefault="00000000">
      <w:pPr>
        <w:pStyle w:val="Heading2"/>
      </w:pPr>
      <w:r>
        <w:t>2. Dames &amp; Moore</w:t>
      </w:r>
    </w:p>
    <w:p w14:paraId="011D0530" w14:textId="77777777" w:rsidR="00AB6DAD" w:rsidRDefault="00000000">
      <w:pPr>
        <w:spacing w:after="120"/>
      </w:pPr>
      <w:r>
        <w:t xml:space="preserve">Kavanaugh says it proves the major questions doctrine does not apply in foreign affairs; Gorsuch says it is an unrepeatable one-off that </w:t>
      </w:r>
      <w:proofErr w:type="gramStart"/>
      <w:r>
        <w:t>actually held</w:t>
      </w:r>
      <w:proofErr w:type="gramEnd"/>
      <w:r>
        <w:t xml:space="preserve"> IEEPA's text insufficient.</w:t>
      </w:r>
    </w:p>
    <w:p w14:paraId="515CA368" w14:textId="77777777" w:rsidR="00AB6DAD" w:rsidRDefault="00000000">
      <w:pPr>
        <w:pStyle w:val="Heading2"/>
      </w:pPr>
      <w:r>
        <w:t>3. West Virginia / Nebraska</w:t>
      </w:r>
    </w:p>
    <w:p w14:paraId="69F5A39F" w14:textId="77777777" w:rsidR="00AB6DAD" w:rsidRDefault="00000000">
      <w:pPr>
        <w:spacing w:after="120"/>
      </w:pPr>
      <w:r>
        <w:t>The intra-majority debate (Gorsuch vs. Barrett vs. Kagan) over what the major questions doctrine is, fought through competing readings of these two cases.</w:t>
      </w:r>
    </w:p>
    <w:p w14:paraId="0F930413" w14:textId="77777777" w:rsidR="00AB6DAD" w:rsidRDefault="00000000">
      <w:pPr>
        <w:pStyle w:val="Heading2"/>
      </w:pPr>
      <w:r>
        <w:t>4. Youngstown</w:t>
      </w:r>
    </w:p>
    <w:p w14:paraId="1610034E" w14:textId="77777777" w:rsidR="00AB6DAD" w:rsidRDefault="00000000">
      <w:pPr>
        <w:spacing w:after="120"/>
      </w:pPr>
      <w:r>
        <w:t>Roberts and Kavanaugh both claim Justice Jackson but for opposite purposes: warnings about emergency overreach vs. the deferential category-one framework.</w:t>
      </w:r>
    </w:p>
    <w:p w14:paraId="7F5B75DD" w14:textId="77777777" w:rsidR="00AB6DAD" w:rsidRDefault="00000000">
      <w:pPr>
        <w:pStyle w:val="Heading2"/>
      </w:pPr>
      <w:r>
        <w:t>5. Curtiss-Wright</w:t>
      </w:r>
    </w:p>
    <w:p w14:paraId="72C597C4" w14:textId="77777777" w:rsidR="00AB6DAD" w:rsidRDefault="00000000">
      <w:r>
        <w:t>Thomas and Kavanaugh use it to argue for broad foreign-affairs deference; Gorsuch reads it as a narrow holding on a constrained statute.</w:t>
      </w:r>
    </w:p>
    <w:sectPr w:rsidR="00AB6DA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B1F6A" w14:textId="77777777" w:rsidR="00BF14CA" w:rsidRDefault="00BF14CA">
      <w:r>
        <w:separator/>
      </w:r>
    </w:p>
  </w:endnote>
  <w:endnote w:type="continuationSeparator" w:id="0">
    <w:p w14:paraId="737732A2" w14:textId="77777777" w:rsidR="00BF14CA" w:rsidRDefault="00BF1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33B0" w14:textId="77777777" w:rsidR="00AB6DAD"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C04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AB02" w14:textId="77777777" w:rsidR="00BF14CA" w:rsidRDefault="00BF14CA">
      <w:r>
        <w:separator/>
      </w:r>
    </w:p>
  </w:footnote>
  <w:footnote w:type="continuationSeparator" w:id="0">
    <w:p w14:paraId="3F4B8791" w14:textId="77777777" w:rsidR="00BF14CA" w:rsidRDefault="00BF1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A434" w14:textId="77777777" w:rsidR="00AB6DAD" w:rsidRDefault="00000000">
    <w:pPr>
      <w:pBdr>
        <w:bottom w:val="single" w:sz="6" w:space="1" w:color="000000"/>
      </w:pBdr>
      <w:spacing w:after="240"/>
    </w:pPr>
    <w:r>
      <w:rPr>
        <w:sz w:val="20"/>
        <w:szCs w:val="20"/>
      </w:rPr>
      <w:t>Learning Resources v. Trump — Precedent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EAF"/>
    <w:multiLevelType w:val="hybridMultilevel"/>
    <w:tmpl w:val="8E7C9494"/>
    <w:lvl w:ilvl="0" w:tplc="7980C6DC">
      <w:start w:val="1"/>
      <w:numFmt w:val="bullet"/>
      <w:lvlText w:val="●"/>
      <w:lvlJc w:val="left"/>
      <w:pPr>
        <w:ind w:left="720" w:hanging="360"/>
      </w:pPr>
    </w:lvl>
    <w:lvl w:ilvl="1" w:tplc="7A603D20">
      <w:start w:val="1"/>
      <w:numFmt w:val="bullet"/>
      <w:lvlText w:val="○"/>
      <w:lvlJc w:val="left"/>
      <w:pPr>
        <w:ind w:left="1440" w:hanging="360"/>
      </w:pPr>
    </w:lvl>
    <w:lvl w:ilvl="2" w:tplc="5E14A774">
      <w:start w:val="1"/>
      <w:numFmt w:val="bullet"/>
      <w:lvlText w:val="■"/>
      <w:lvlJc w:val="left"/>
      <w:pPr>
        <w:ind w:left="2160" w:hanging="360"/>
      </w:pPr>
    </w:lvl>
    <w:lvl w:ilvl="3" w:tplc="B1405752">
      <w:start w:val="1"/>
      <w:numFmt w:val="bullet"/>
      <w:lvlText w:val="●"/>
      <w:lvlJc w:val="left"/>
      <w:pPr>
        <w:ind w:left="2880" w:hanging="360"/>
      </w:pPr>
    </w:lvl>
    <w:lvl w:ilvl="4" w:tplc="5486F6F8">
      <w:start w:val="1"/>
      <w:numFmt w:val="bullet"/>
      <w:lvlText w:val="○"/>
      <w:lvlJc w:val="left"/>
      <w:pPr>
        <w:ind w:left="3600" w:hanging="360"/>
      </w:pPr>
    </w:lvl>
    <w:lvl w:ilvl="5" w:tplc="0E149202">
      <w:start w:val="1"/>
      <w:numFmt w:val="bullet"/>
      <w:lvlText w:val="■"/>
      <w:lvlJc w:val="left"/>
      <w:pPr>
        <w:ind w:left="4320" w:hanging="360"/>
      </w:pPr>
    </w:lvl>
    <w:lvl w:ilvl="6" w:tplc="FDBCDB1A">
      <w:start w:val="1"/>
      <w:numFmt w:val="bullet"/>
      <w:lvlText w:val="●"/>
      <w:lvlJc w:val="left"/>
      <w:pPr>
        <w:ind w:left="5040" w:hanging="360"/>
      </w:pPr>
    </w:lvl>
    <w:lvl w:ilvl="7" w:tplc="045EF0F0">
      <w:start w:val="1"/>
      <w:numFmt w:val="bullet"/>
      <w:lvlText w:val="●"/>
      <w:lvlJc w:val="left"/>
      <w:pPr>
        <w:ind w:left="5760" w:hanging="360"/>
      </w:pPr>
    </w:lvl>
    <w:lvl w:ilvl="8" w:tplc="BD282E72">
      <w:start w:val="1"/>
      <w:numFmt w:val="bullet"/>
      <w:lvlText w:val="●"/>
      <w:lvlJc w:val="left"/>
      <w:pPr>
        <w:ind w:left="6480" w:hanging="360"/>
      </w:pPr>
    </w:lvl>
  </w:abstractNum>
  <w:num w:numId="1" w16cid:durableId="633173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DAD"/>
    <w:rsid w:val="005C0421"/>
    <w:rsid w:val="00A50D3F"/>
    <w:rsid w:val="00AB6DAD"/>
    <w:rsid w:val="00BF1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6C31A"/>
  <w15:docId w15:val="{7B4DD053-504E-F249-8D69-CFC9F02D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2373</Words>
  <Characters>13038</Characters>
  <Application>Microsoft Office Word</Application>
  <DocSecurity>0</DocSecurity>
  <Lines>386</Lines>
  <Paragraphs>239</Paragraphs>
  <ScaleCrop>false</ScaleCrop>
  <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Chandler, Seth J</cp:lastModifiedBy>
  <cp:revision>2</cp:revision>
  <dcterms:created xsi:type="dcterms:W3CDTF">2026-02-20T16:12:00Z</dcterms:created>
  <dcterms:modified xsi:type="dcterms:W3CDTF">2026-02-20T16:12:00Z</dcterms:modified>
</cp:coreProperties>
</file>