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NovaTech Developer API Manual</w:t>
      </w:r>
    </w:p>
    <w:p>
      <w:pPr>
        <w:pStyle w:val="Heading2"/>
      </w:pPr>
      <w:r>
        <w:t>Authentication</w:t>
      </w:r>
    </w:p>
    <w:p>
      <w:r>
        <w:br/>
        <w:t>NovaTech APIs use token-based authentication. Enterprise environments should rotate tokens every 90 days.</w:t>
        <w:br/>
        <w:br/>
        <w:t>Expired tokens return HTTP 401 responses.</w:t>
        <w:br/>
      </w:r>
    </w:p>
    <w:p>
      <w:pPr>
        <w:pStyle w:val="Heading2"/>
      </w:pPr>
      <w:r>
        <w:t>Rate Limits</w:t>
      </w:r>
    </w:p>
    <w:p>
      <w:r>
        <w:br/>
        <w:t>Default API limits:</w:t>
        <w:br/>
        <w:t>- Standard: 100 requests/minute</w:t>
        <w:br/>
        <w:t>- Professional: 500 requests/minute</w:t>
        <w:br/>
        <w:t>- Enterprise: custom allocation</w:t>
        <w:br/>
        <w:br/>
        <w:t>Burst traffic exceeding thresholds may trigger temporary throttling.</w:t>
        <w:br/>
      </w:r>
    </w:p>
    <w:p>
      <w:pPr>
        <w:pStyle w:val="Heading2"/>
      </w:pPr>
      <w:r>
        <w:t>Failure Responses</w:t>
      </w:r>
    </w:p>
    <w:p>
      <w:r>
        <w:br/>
        <w:t>HTTP 429 responses indicate rate-limit violations.</w:t>
        <w:br/>
        <w:br/>
        <w:t>Clients should implement:</w:t>
        <w:br/>
        <w:t>- retry backoff</w:t>
        <w:br/>
        <w:t>- token refresh logic</w:t>
        <w:br/>
        <w:t>- request batching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