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3F8B" w:rsidRDefault="00583F8B">
      <w:pPr>
        <w:spacing w:after="80"/>
      </w:pPr>
    </w:p>
    <w:p w:rsidR="00583F8B" w:rsidRDefault="0010202E">
      <w:pPr>
        <w:spacing w:after="80"/>
        <w:jc w:val="center"/>
      </w:pPr>
      <w:r>
        <w:rPr>
          <w:b/>
          <w:bCs/>
          <w:color w:val="1F5C8B"/>
          <w:sz w:val="38"/>
          <w:szCs w:val="38"/>
        </w:rPr>
        <w:t>Gratuity Liability Valuation</w:t>
      </w:r>
    </w:p>
    <w:p w:rsidR="00583F8B" w:rsidRDefault="0010202E">
      <w:pPr>
        <w:spacing w:after="80"/>
        <w:jc w:val="center"/>
      </w:pPr>
      <w:r>
        <w:rPr>
          <w:i/>
          <w:iCs/>
          <w:color w:val="555555"/>
        </w:rPr>
        <w:t>How much does a company actually owe its employees?</w:t>
      </w:r>
    </w:p>
    <w:p w:rsidR="00583F8B" w:rsidRDefault="0010202E">
      <w:pPr>
        <w:spacing w:after="300"/>
        <w:jc w:val="center"/>
      </w:pPr>
      <w:r>
        <w:rPr>
          <w:color w:val="666666"/>
          <w:sz w:val="21"/>
          <w:szCs w:val="21"/>
        </w:rPr>
        <w:t xml:space="preserve">Karun </w:t>
      </w:r>
      <w:proofErr w:type="spellStart"/>
      <w:proofErr w:type="gramStart"/>
      <w:r>
        <w:rPr>
          <w:color w:val="666666"/>
          <w:sz w:val="21"/>
          <w:szCs w:val="21"/>
        </w:rPr>
        <w:t>Sethi</w:t>
      </w:r>
      <w:proofErr w:type="spellEnd"/>
      <w:r>
        <w:rPr>
          <w:color w:val="666666"/>
          <w:sz w:val="21"/>
          <w:szCs w:val="21"/>
        </w:rPr>
        <w:t xml:space="preserve">  |</w:t>
      </w:r>
      <w:proofErr w:type="gramEnd"/>
      <w:r>
        <w:rPr>
          <w:color w:val="666666"/>
          <w:sz w:val="21"/>
          <w:szCs w:val="21"/>
        </w:rPr>
        <w:t xml:space="preserve">  May 2025</w:t>
      </w:r>
    </w:p>
    <w:p w:rsidR="00583F8B" w:rsidRDefault="00583F8B">
      <w:pPr>
        <w:pBdr>
          <w:bottom w:val="single" w:sz="10" w:space="1" w:color="1F5C8B"/>
        </w:pBdr>
        <w:spacing w:after="300"/>
      </w:pPr>
    </w:p>
    <w:p w:rsidR="00583F8B" w:rsidRDefault="0010202E">
      <w:pPr>
        <w:pBdr>
          <w:bottom w:val="single" w:sz="8" w:space="1" w:color="1F5C8B"/>
        </w:pBdr>
        <w:spacing w:before="280" w:after="140"/>
      </w:pPr>
      <w:r>
        <w:rPr>
          <w:b/>
          <w:bCs/>
          <w:color w:val="1F5C8B"/>
          <w:sz w:val="26"/>
          <w:szCs w:val="26"/>
        </w:rPr>
        <w:t>1.  What This Project Is About</w:t>
      </w:r>
    </w:p>
    <w:p w:rsidR="00583F8B" w:rsidRDefault="0010202E">
      <w:pPr>
        <w:spacing w:after="160"/>
      </w:pPr>
      <w:r>
        <w:rPr>
          <w:color w:val="1A1A1A"/>
        </w:rPr>
        <w:t>I built this model to understand how Indian companies calcul</w:t>
      </w:r>
      <w:r w:rsidR="004335A5">
        <w:rPr>
          <w:color w:val="1A1A1A"/>
        </w:rPr>
        <w:t>ate their gratuity obligations</w:t>
      </w:r>
      <w:r>
        <w:rPr>
          <w:color w:val="1A1A1A"/>
        </w:rPr>
        <w:t xml:space="preserve"> basically, how much money they legally owe employees when they leave or retire. Under the Payment of Gratuity Act 1972, any employee who has worked for at least 5 years is entitled to a lump sum payment when they exit. For a company with hundreds or thousands of employees, figuring out the total liability sitting on their balance sheet is not straightforward at all.</w:t>
      </w:r>
    </w:p>
    <w:p w:rsidR="00583F8B" w:rsidRDefault="0010202E">
      <w:pPr>
        <w:spacing w:after="160"/>
      </w:pPr>
      <w:r>
        <w:rPr>
          <w:color w:val="1A1A1A"/>
        </w:rPr>
        <w:t>The accounting standard that governs this in India</w:t>
      </w:r>
      <w:r w:rsidR="004335A5">
        <w:rPr>
          <w:color w:val="1A1A1A"/>
        </w:rPr>
        <w:t xml:space="preserve"> is </w:t>
      </w:r>
      <w:proofErr w:type="spellStart"/>
      <w:r w:rsidR="004335A5">
        <w:rPr>
          <w:color w:val="1A1A1A"/>
        </w:rPr>
        <w:t>Ind</w:t>
      </w:r>
      <w:proofErr w:type="spellEnd"/>
      <w:r w:rsidR="004335A5">
        <w:rPr>
          <w:color w:val="1A1A1A"/>
        </w:rPr>
        <w:t xml:space="preserve"> AS 19 - </w:t>
      </w:r>
      <w:r>
        <w:rPr>
          <w:color w:val="1A1A1A"/>
        </w:rPr>
        <w:t>Employee Benefits. Every listed company has to report its defined benefit obligation in its annual accounts, and the actuarial valuation behind that number is what this model tries to replicate. I wanted to see how the numbers actually work and what assumptions drive them the most.</w:t>
      </w:r>
    </w:p>
    <w:p w:rsidR="00583F8B" w:rsidRDefault="00583F8B">
      <w:pPr>
        <w:spacing w:after="80"/>
      </w:pPr>
    </w:p>
    <w:p w:rsidR="00583F8B" w:rsidRDefault="0010202E">
      <w:pPr>
        <w:pBdr>
          <w:bottom w:val="single" w:sz="8" w:space="1" w:color="1F5C8B"/>
        </w:pBdr>
        <w:spacing w:before="280" w:after="140"/>
      </w:pPr>
      <w:r>
        <w:rPr>
          <w:b/>
          <w:bCs/>
          <w:color w:val="1F5C8B"/>
          <w:sz w:val="26"/>
          <w:szCs w:val="26"/>
        </w:rPr>
        <w:t>2.  The Employee and Policy Setup</w:t>
      </w:r>
    </w:p>
    <w:p w:rsidR="00583F8B" w:rsidRDefault="0010202E">
      <w:pPr>
        <w:spacing w:after="160"/>
      </w:pPr>
      <w:r>
        <w:rPr>
          <w:color w:val="1A1A1A"/>
        </w:rPr>
        <w:t xml:space="preserve">To keep things manageable I modelled a single hypothetical employee rather than a whole workforce. The assumptions I used </w:t>
      </w:r>
      <w:proofErr w:type="gramStart"/>
      <w:r>
        <w:rPr>
          <w:color w:val="1A1A1A"/>
        </w:rPr>
        <w:t>are meant</w:t>
      </w:r>
      <w:proofErr w:type="gramEnd"/>
      <w:r>
        <w:rPr>
          <w:color w:val="1A1A1A"/>
        </w:rPr>
        <w:t xml:space="preserve"> to reflect a realistic mid-level IT sector employee in India:</w:t>
      </w:r>
    </w:p>
    <w:p w:rsidR="00583F8B" w:rsidRDefault="00583F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583F8B">
        <w:trPr>
          <w:tblHeader/>
        </w:trPr>
        <w:tc>
          <w:tcPr>
            <w:tcW w:w="2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Parameter</w:t>
            </w:r>
          </w:p>
        </w:tc>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Value</w:t>
            </w:r>
          </w:p>
        </w:tc>
        <w:tc>
          <w:tcPr>
            <w:tcW w:w="476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Why I chose this</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Current Age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30 years</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Typical age for a mid-level hire</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Retirement 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60 years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Standard in most Indian companies</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Current Salary</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₹6,00,000 p.a.</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Reasonable for IT sector at age 30</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Salary Growth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10% per year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Realistic for IT — salaries grow fast</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Discount Rate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7.5% per year</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proofErr w:type="spellStart"/>
            <w:r>
              <w:rPr>
                <w:sz w:val="20"/>
                <w:szCs w:val="20"/>
              </w:rPr>
              <w:t>Ind</w:t>
            </w:r>
            <w:proofErr w:type="spellEnd"/>
            <w:r>
              <w:rPr>
                <w:sz w:val="20"/>
                <w:szCs w:val="20"/>
              </w:rPr>
              <w:t xml:space="preserve"> AS 19 basis — Indian </w:t>
            </w:r>
            <w:proofErr w:type="spellStart"/>
            <w:r>
              <w:rPr>
                <w:sz w:val="20"/>
                <w:szCs w:val="20"/>
              </w:rPr>
              <w:t>govt</w:t>
            </w:r>
            <w:proofErr w:type="spellEnd"/>
            <w:r>
              <w:rPr>
                <w:sz w:val="20"/>
                <w:szCs w:val="20"/>
              </w:rPr>
              <w:t xml:space="preserve"> bond yield</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Annual Attrition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Indian IT average is around 18-22%</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Vesting Period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5 years</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Legal minimum under Gratuity Act</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Mortality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IALM 2006-08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Standard Indian assured lives table</w:t>
            </w:r>
          </w:p>
        </w:tc>
      </w:tr>
    </w:tbl>
    <w:p w:rsidR="00583F8B" w:rsidRDefault="00583F8B">
      <w:pPr>
        <w:spacing w:after="80"/>
      </w:pPr>
    </w:p>
    <w:p w:rsidR="00583F8B" w:rsidRDefault="0010202E">
      <w:pPr>
        <w:spacing w:after="160"/>
      </w:pPr>
      <w:r>
        <w:rPr>
          <w:color w:val="1A1A1A"/>
        </w:rPr>
        <w:t>The gratuity formula itself comes straight from the Act:</w:t>
      </w:r>
    </w:p>
    <w:p w:rsidR="00583F8B" w:rsidRDefault="00583F8B">
      <w:pPr>
        <w:spacing w:after="80"/>
      </w:pPr>
    </w:p>
    <w:p w:rsidR="00583F8B" w:rsidRDefault="0010202E">
      <w:pPr>
        <w:spacing w:after="160"/>
        <w:jc w:val="center"/>
      </w:pPr>
      <w:proofErr w:type="gramStart"/>
      <w:r>
        <w:rPr>
          <w:b/>
          <w:bCs/>
          <w:color w:val="1F5C8B"/>
        </w:rPr>
        <w:t>Gratuity  =</w:t>
      </w:r>
      <w:proofErr w:type="gramEnd"/>
      <w:r>
        <w:rPr>
          <w:b/>
          <w:bCs/>
          <w:color w:val="1F5C8B"/>
        </w:rPr>
        <w:t xml:space="preserve">  (Last Monthly Salary / 26)  x  15  x  Years of Service</w:t>
      </w:r>
    </w:p>
    <w:p w:rsidR="00583F8B" w:rsidRDefault="00583F8B">
      <w:pPr>
        <w:spacing w:after="80"/>
      </w:pPr>
    </w:p>
    <w:p w:rsidR="00583F8B" w:rsidRDefault="0010202E">
      <w:pPr>
        <w:spacing w:after="160"/>
      </w:pPr>
      <w:r>
        <w:rPr>
          <w:color w:val="1A1A1A"/>
        </w:rPr>
        <w:lastRenderedPageBreak/>
        <w:t xml:space="preserve">The 26 represents working days in a month and 15 is the number of days of salary per year of service. </w:t>
      </w:r>
      <w:proofErr w:type="gramStart"/>
      <w:r>
        <w:rPr>
          <w:color w:val="1A1A1A"/>
        </w:rPr>
        <w:t>It's</w:t>
      </w:r>
      <w:proofErr w:type="gramEnd"/>
      <w:r>
        <w:rPr>
          <w:color w:val="1A1A1A"/>
        </w:rPr>
        <w:t xml:space="preserve"> a straightforward formula but what makes the valuation complicated is that you're trying to estimate it for a future date using today's money.</w:t>
      </w:r>
    </w:p>
    <w:p w:rsidR="00583F8B" w:rsidRDefault="00583F8B">
      <w:pPr>
        <w:spacing w:after="80"/>
      </w:pPr>
    </w:p>
    <w:p w:rsidR="00583F8B" w:rsidRDefault="0010202E">
      <w:pPr>
        <w:pBdr>
          <w:bottom w:val="single" w:sz="8" w:space="1" w:color="1F5C8B"/>
        </w:pBdr>
        <w:spacing w:before="280" w:after="140"/>
      </w:pPr>
      <w:r>
        <w:rPr>
          <w:b/>
          <w:bCs/>
          <w:color w:val="1F5C8B"/>
          <w:sz w:val="26"/>
          <w:szCs w:val="26"/>
        </w:rPr>
        <w:t>3.  How the Model Works</w:t>
      </w:r>
    </w:p>
    <w:p w:rsidR="00583F8B" w:rsidRDefault="0010202E">
      <w:pPr>
        <w:spacing w:after="160"/>
      </w:pPr>
      <w:r>
        <w:rPr>
          <w:color w:val="1A1A1A"/>
        </w:rPr>
        <w:t>The model has four main calculation steps, each on its own sheet in Excel.</w:t>
      </w:r>
    </w:p>
    <w:p w:rsidR="00583F8B" w:rsidRDefault="00583F8B">
      <w:pPr>
        <w:spacing w:after="80"/>
      </w:pPr>
    </w:p>
    <w:p w:rsidR="00583F8B" w:rsidRDefault="0010202E">
      <w:pPr>
        <w:spacing w:before="200" w:after="100"/>
      </w:pPr>
      <w:r>
        <w:rPr>
          <w:b/>
          <w:bCs/>
          <w:color w:val="222222"/>
          <w:sz w:val="23"/>
          <w:szCs w:val="23"/>
        </w:rPr>
        <w:t>Step 1 — Mortality and Attrition</w:t>
      </w:r>
    </w:p>
    <w:p w:rsidR="00583F8B" w:rsidRDefault="0010202E">
      <w:pPr>
        <w:spacing w:after="160"/>
      </w:pPr>
      <w:r>
        <w:rPr>
          <w:color w:val="1A1A1A"/>
        </w:rPr>
        <w:t xml:space="preserve">For each year from age 30 to </w:t>
      </w:r>
      <w:proofErr w:type="gramStart"/>
      <w:r>
        <w:rPr>
          <w:color w:val="1A1A1A"/>
        </w:rPr>
        <w:t>60</w:t>
      </w:r>
      <w:proofErr w:type="gramEnd"/>
      <w:r>
        <w:rPr>
          <w:color w:val="1A1A1A"/>
        </w:rPr>
        <w:t xml:space="preserve"> I calculated the probability that the employee is still working at the company. There are tw</w:t>
      </w:r>
      <w:r w:rsidR="00AC5501">
        <w:rPr>
          <w:color w:val="1A1A1A"/>
        </w:rPr>
        <w:t xml:space="preserve">o reasons someone might leave which are </w:t>
      </w:r>
      <w:r>
        <w:rPr>
          <w:color w:val="1A1A1A"/>
        </w:rPr>
        <w:t xml:space="preserve">they either resign (attrition) or die. Both reduce the probability of still being in service. I combined these into a single column called </w:t>
      </w:r>
      <w:proofErr w:type="gramStart"/>
      <w:r>
        <w:rPr>
          <w:color w:val="1A1A1A"/>
        </w:rPr>
        <w:t>P(</w:t>
      </w:r>
      <w:proofErr w:type="gramEnd"/>
      <w:r>
        <w:rPr>
          <w:color w:val="1A1A1A"/>
        </w:rPr>
        <w:t>in service) which is a running product that compounds year by year.</w:t>
      </w:r>
    </w:p>
    <w:p w:rsidR="00583F8B" w:rsidRDefault="0010202E">
      <w:pPr>
        <w:spacing w:after="160"/>
      </w:pPr>
      <w:r>
        <w:rPr>
          <w:color w:val="1A1A1A"/>
        </w:rPr>
        <w:t>The result is pretty striking. Starting at age 30 with P = 1.0</w:t>
      </w:r>
      <w:r w:rsidR="00C20AFB">
        <w:rPr>
          <w:color w:val="1A1A1A"/>
        </w:rPr>
        <w:t xml:space="preserve"> (approx.)</w:t>
      </w:r>
      <w:r>
        <w:rPr>
          <w:color w:val="1A1A1A"/>
        </w:rPr>
        <w:t xml:space="preserve">, by age 35 only about 26% of employees are still around. By age </w:t>
      </w:r>
      <w:proofErr w:type="gramStart"/>
      <w:r>
        <w:rPr>
          <w:color w:val="1A1A1A"/>
        </w:rPr>
        <w:t>40</w:t>
      </w:r>
      <w:proofErr w:type="gramEnd"/>
      <w:r>
        <w:rPr>
          <w:color w:val="1A1A1A"/>
        </w:rPr>
        <w:t xml:space="preserve"> it's down to 8.5%. </w:t>
      </w:r>
      <w:proofErr w:type="gramStart"/>
      <w:r>
        <w:rPr>
          <w:color w:val="1A1A1A"/>
        </w:rPr>
        <w:t>And</w:t>
      </w:r>
      <w:proofErr w:type="gramEnd"/>
      <w:r>
        <w:rPr>
          <w:color w:val="1A1A1A"/>
        </w:rPr>
        <w:t xml:space="preserve"> by retirement </w:t>
      </w:r>
      <w:r w:rsidR="00C20AFB">
        <w:rPr>
          <w:color w:val="1A1A1A"/>
        </w:rPr>
        <w:t>at age 60, only 0.087% make it which is</w:t>
      </w:r>
      <w:r>
        <w:rPr>
          <w:color w:val="1A1A1A"/>
        </w:rPr>
        <w:t xml:space="preserve"> less than 1 in 1,000 employees who join at 30 will still be there at 60.</w:t>
      </w:r>
    </w:p>
    <w:p w:rsidR="00583F8B" w:rsidRDefault="00583F8B">
      <w:pPr>
        <w:spacing w:after="80"/>
      </w:pPr>
    </w:p>
    <w:p w:rsidR="00583F8B" w:rsidRDefault="0010202E">
      <w:pPr>
        <w:spacing w:before="200" w:after="100"/>
      </w:pPr>
      <w:r>
        <w:rPr>
          <w:b/>
          <w:bCs/>
          <w:color w:val="222222"/>
          <w:sz w:val="23"/>
          <w:szCs w:val="23"/>
        </w:rPr>
        <w:t>Step 2 — Salary Projection</w:t>
      </w:r>
    </w:p>
    <w:p w:rsidR="00583F8B" w:rsidRDefault="0010202E">
      <w:pPr>
        <w:spacing w:after="160"/>
      </w:pPr>
      <w:r>
        <w:rPr>
          <w:color w:val="1A1A1A"/>
        </w:rPr>
        <w:t xml:space="preserve">I projected the salary forward at 10% per year using compound growth. Starting at </w:t>
      </w:r>
      <w:proofErr w:type="spellStart"/>
      <w:r>
        <w:rPr>
          <w:color w:val="1A1A1A"/>
        </w:rPr>
        <w:t>Rs</w:t>
      </w:r>
      <w:proofErr w:type="spellEnd"/>
      <w:r>
        <w:rPr>
          <w:color w:val="1A1A1A"/>
        </w:rPr>
        <w:t xml:space="preserve"> 6 lakh, by age 60 the annual salary has grown to over Rs</w:t>
      </w:r>
      <w:r w:rsidR="00E13EF4">
        <w:rPr>
          <w:color w:val="1A1A1A"/>
        </w:rPr>
        <w:t>.</w:t>
      </w:r>
      <w:r>
        <w:rPr>
          <w:color w:val="1A1A1A"/>
        </w:rPr>
        <w:t xml:space="preserve">1 </w:t>
      </w:r>
      <w:proofErr w:type="gramStart"/>
      <w:r>
        <w:rPr>
          <w:color w:val="1A1A1A"/>
        </w:rPr>
        <w:t>crore</w:t>
      </w:r>
      <w:proofErr w:type="gramEnd"/>
      <w:r>
        <w:rPr>
          <w:color w:val="1A1A1A"/>
        </w:rPr>
        <w:t xml:space="preserve">. This matters a lot because gratuity </w:t>
      </w:r>
      <w:proofErr w:type="gramStart"/>
      <w:r>
        <w:rPr>
          <w:color w:val="1A1A1A"/>
        </w:rPr>
        <w:t>is b</w:t>
      </w:r>
      <w:r w:rsidR="000939D1">
        <w:rPr>
          <w:color w:val="1A1A1A"/>
        </w:rPr>
        <w:t>ased</w:t>
      </w:r>
      <w:proofErr w:type="gramEnd"/>
      <w:r w:rsidR="000939D1">
        <w:rPr>
          <w:color w:val="1A1A1A"/>
        </w:rPr>
        <w:t xml:space="preserve"> on the last drawn salary, </w:t>
      </w:r>
      <w:r>
        <w:rPr>
          <w:color w:val="1A1A1A"/>
        </w:rPr>
        <w:t>so the longer someone stays, the more expensive their gratuity becomes, both because their salary is higher and because they have more years of service.</w:t>
      </w:r>
    </w:p>
    <w:p w:rsidR="00583F8B" w:rsidRDefault="00583F8B">
      <w:pPr>
        <w:spacing w:after="80"/>
      </w:pPr>
    </w:p>
    <w:p w:rsidR="00583F8B" w:rsidRDefault="0010202E">
      <w:pPr>
        <w:spacing w:before="200" w:after="100"/>
      </w:pPr>
      <w:r>
        <w:rPr>
          <w:b/>
          <w:bCs/>
          <w:color w:val="222222"/>
          <w:sz w:val="23"/>
          <w:szCs w:val="23"/>
        </w:rPr>
        <w:t>Step 3 — Gratuity if Exit</w:t>
      </w:r>
    </w:p>
    <w:p w:rsidR="00583F8B" w:rsidRDefault="0010202E">
      <w:pPr>
        <w:spacing w:after="160"/>
      </w:pPr>
      <w:r>
        <w:rPr>
          <w:color w:val="1A1A1A"/>
        </w:rPr>
        <w:t>For each age from 30 to 60 I calculated what the gratuity payout would be if the employee left at exactly that age. I also a</w:t>
      </w:r>
      <w:r w:rsidR="000939D1">
        <w:rPr>
          <w:color w:val="1A1A1A"/>
        </w:rPr>
        <w:t>pplied the 5-year vesting rule (in excel using ‘If’ function),</w:t>
      </w:r>
      <w:r>
        <w:rPr>
          <w:color w:val="1A1A1A"/>
        </w:rPr>
        <w:t xml:space="preserve"> anyone leaving before completing 5 years gets nothing, so ages 30 to 33 show zero. The first year where gratuity is payable is age 34 (Year 5), where the payout works out to about </w:t>
      </w:r>
      <w:proofErr w:type="spellStart"/>
      <w:r>
        <w:rPr>
          <w:color w:val="1A1A1A"/>
        </w:rPr>
        <w:t>Rs</w:t>
      </w:r>
      <w:proofErr w:type="spellEnd"/>
      <w:r>
        <w:rPr>
          <w:color w:val="1A1A1A"/>
        </w:rPr>
        <w:t xml:space="preserve"> 2.1 lakh.</w:t>
      </w:r>
    </w:p>
    <w:p w:rsidR="00583F8B" w:rsidRDefault="00583F8B">
      <w:pPr>
        <w:spacing w:after="80"/>
      </w:pPr>
    </w:p>
    <w:p w:rsidR="00583F8B" w:rsidRDefault="0010202E">
      <w:pPr>
        <w:spacing w:before="200" w:after="100"/>
      </w:pPr>
      <w:r>
        <w:rPr>
          <w:b/>
          <w:bCs/>
          <w:color w:val="222222"/>
          <w:sz w:val="23"/>
          <w:szCs w:val="23"/>
        </w:rPr>
        <w:t>Step 4 — Present Value of Obligation</w:t>
      </w:r>
    </w:p>
    <w:p w:rsidR="00583F8B" w:rsidRDefault="0010202E">
      <w:pPr>
        <w:spacing w:after="160"/>
        <w:rPr>
          <w:color w:val="1A1A1A"/>
        </w:rPr>
      </w:pPr>
      <w:r>
        <w:rPr>
          <w:color w:val="1A1A1A"/>
        </w:rPr>
        <w:t xml:space="preserve">The final step brings everything together. For each </w:t>
      </w:r>
      <w:proofErr w:type="gramStart"/>
      <w:r>
        <w:rPr>
          <w:color w:val="1A1A1A"/>
        </w:rPr>
        <w:t>age</w:t>
      </w:r>
      <w:proofErr w:type="gramEnd"/>
      <w:r>
        <w:rPr>
          <w:color w:val="1A1A1A"/>
        </w:rPr>
        <w:t xml:space="preserve"> I multiplied the gratuity amount by the probability of still being in service, then discounted it back to today at 7.5%. Summing all of these gives the total pr</w:t>
      </w:r>
      <w:r w:rsidR="00E13EF4">
        <w:rPr>
          <w:color w:val="1A1A1A"/>
        </w:rPr>
        <w:t xml:space="preserve">esent value of the obligation and </w:t>
      </w:r>
      <w:r>
        <w:rPr>
          <w:color w:val="1A1A1A"/>
        </w:rPr>
        <w:t>the amount the company should theoretically have set aside today.</w:t>
      </w:r>
    </w:p>
    <w:p w:rsidR="003926C1" w:rsidRDefault="003926C1">
      <w:pPr>
        <w:spacing w:after="160"/>
        <w:rPr>
          <w:color w:val="1A1A1A"/>
        </w:rPr>
      </w:pPr>
    </w:p>
    <w:p w:rsidR="003926C1" w:rsidRDefault="003926C1">
      <w:pPr>
        <w:spacing w:after="160"/>
        <w:rPr>
          <w:color w:val="1A1A1A"/>
        </w:rPr>
      </w:pPr>
    </w:p>
    <w:p w:rsidR="003926C1" w:rsidRDefault="003926C1">
      <w:pPr>
        <w:spacing w:after="160"/>
      </w:pPr>
    </w:p>
    <w:p w:rsidR="00583F8B" w:rsidRDefault="00583F8B">
      <w:pPr>
        <w:spacing w:after="80"/>
      </w:pPr>
    </w:p>
    <w:p w:rsidR="00583F8B" w:rsidRDefault="0010202E">
      <w:pPr>
        <w:pBdr>
          <w:bottom w:val="single" w:sz="8" w:space="1" w:color="1F5C8B"/>
        </w:pBdr>
        <w:spacing w:before="280" w:after="140"/>
      </w:pPr>
      <w:r>
        <w:rPr>
          <w:b/>
          <w:bCs/>
          <w:color w:val="1F5C8B"/>
          <w:sz w:val="26"/>
          <w:szCs w:val="26"/>
        </w:rPr>
        <w:lastRenderedPageBreak/>
        <w:t>4.  Results</w:t>
      </w:r>
    </w:p>
    <w:p w:rsidR="00583F8B" w:rsidRDefault="00583F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583F8B">
        <w:trPr>
          <w:tblHeader/>
        </w:trPr>
        <w:tc>
          <w:tcPr>
            <w:tcW w:w="5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Item</w:t>
            </w:r>
          </w:p>
        </w:tc>
        <w:tc>
          <w:tcPr>
            <w:tcW w:w="416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Value</w:t>
            </w:r>
          </w:p>
        </w:tc>
      </w:tr>
      <w:tr w:rsidR="00583F8B">
        <w:tc>
          <w:tcPr>
            <w:tcW w:w="5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Base Case PV of Obligation</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₹4,86,902</w:t>
            </w:r>
          </w:p>
        </w:tc>
      </w:tr>
      <w:tr w:rsidR="00583F8B">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Gratuity at Retirement (Age 60)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w:t>
            </w:r>
            <w:r w:rsidR="001C00FD">
              <w:rPr>
                <w:sz w:val="20"/>
                <w:szCs w:val="20"/>
              </w:rPr>
              <w:t xml:space="preserve">1,56,03,792 </w:t>
            </w:r>
          </w:p>
        </w:tc>
      </w:tr>
      <w:tr w:rsidR="00583F8B">
        <w:tc>
          <w:tcPr>
            <w:tcW w:w="5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P(in service) at Age 60</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0.087%</w:t>
            </w:r>
          </w:p>
        </w:tc>
      </w:tr>
      <w:tr w:rsidR="00583F8B">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First Year Gratuity Vests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Age 34 — ₹2,11,168</w:t>
            </w:r>
          </w:p>
        </w:tc>
      </w:tr>
      <w:tr w:rsidR="00583F8B">
        <w:tc>
          <w:tcPr>
            <w:tcW w:w="5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Discount Rate Used</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7.5% (</w:t>
            </w:r>
            <w:proofErr w:type="spellStart"/>
            <w:r>
              <w:rPr>
                <w:sz w:val="20"/>
                <w:szCs w:val="20"/>
              </w:rPr>
              <w:t>Ind</w:t>
            </w:r>
            <w:proofErr w:type="spellEnd"/>
            <w:r>
              <w:rPr>
                <w:sz w:val="20"/>
                <w:szCs w:val="20"/>
              </w:rPr>
              <w:t xml:space="preserve"> AS 19 basis)</w:t>
            </w:r>
          </w:p>
        </w:tc>
      </w:tr>
    </w:tbl>
    <w:p w:rsidR="00583F8B" w:rsidRDefault="00583F8B">
      <w:pPr>
        <w:spacing w:after="80"/>
      </w:pPr>
    </w:p>
    <w:p w:rsidR="00583F8B" w:rsidRDefault="0010202E">
      <w:pPr>
        <w:spacing w:after="160"/>
      </w:pPr>
      <w:r>
        <w:rPr>
          <w:color w:val="1A1A1A"/>
        </w:rPr>
        <w:t xml:space="preserve">The base case obligation comes out to </w:t>
      </w:r>
      <w:proofErr w:type="spellStart"/>
      <w:r>
        <w:rPr>
          <w:color w:val="1A1A1A"/>
        </w:rPr>
        <w:t>Rs</w:t>
      </w:r>
      <w:proofErr w:type="spellEnd"/>
      <w:r>
        <w:rPr>
          <w:color w:val="1A1A1A"/>
        </w:rPr>
        <w:t xml:space="preserve"> 4</w:t>
      </w:r>
      <w:proofErr w:type="gramStart"/>
      <w:r>
        <w:rPr>
          <w:color w:val="1A1A1A"/>
        </w:rPr>
        <w:t>,86,902</w:t>
      </w:r>
      <w:proofErr w:type="gramEnd"/>
      <w:r>
        <w:rPr>
          <w:color w:val="1A1A1A"/>
        </w:rPr>
        <w:t xml:space="preserve">. At </w:t>
      </w:r>
      <w:proofErr w:type="gramStart"/>
      <w:r>
        <w:rPr>
          <w:color w:val="1A1A1A"/>
        </w:rPr>
        <w:t>first</w:t>
      </w:r>
      <w:proofErr w:type="gramEnd"/>
      <w:r>
        <w:rPr>
          <w:color w:val="1A1A1A"/>
        </w:rPr>
        <w:t xml:space="preserve"> this sounds low compared to what the act</w:t>
      </w:r>
      <w:r w:rsidR="00D22F5D">
        <w:rPr>
          <w:color w:val="1A1A1A"/>
        </w:rPr>
        <w:t>ual retirement payout would be</w:t>
      </w:r>
      <w:r>
        <w:rPr>
          <w:color w:val="1A1A1A"/>
        </w:rPr>
        <w:t xml:space="preserve"> but that's the point. The heavy discounting combined with the high attrition rate means that most of that future liability simply </w:t>
      </w:r>
      <w:proofErr w:type="gramStart"/>
      <w:r>
        <w:rPr>
          <w:color w:val="1A1A1A"/>
        </w:rPr>
        <w:t>won't</w:t>
      </w:r>
      <w:proofErr w:type="gramEnd"/>
      <w:r>
        <w:rPr>
          <w:color w:val="1A1A1A"/>
        </w:rPr>
        <w:t xml:space="preserve"> </w:t>
      </w:r>
      <w:proofErr w:type="spellStart"/>
      <w:r>
        <w:rPr>
          <w:color w:val="1A1A1A"/>
        </w:rPr>
        <w:t>materialise</w:t>
      </w:r>
      <w:proofErr w:type="spellEnd"/>
      <w:r>
        <w:rPr>
          <w:color w:val="1A1A1A"/>
        </w:rPr>
        <w:t xml:space="preserve">. The 7.5% discount rate brings future payments down significantly, and the 20% attrition means most employees </w:t>
      </w:r>
      <w:proofErr w:type="gramStart"/>
      <w:r>
        <w:rPr>
          <w:color w:val="1A1A1A"/>
        </w:rPr>
        <w:t>won't</w:t>
      </w:r>
      <w:proofErr w:type="gramEnd"/>
      <w:r>
        <w:rPr>
          <w:color w:val="1A1A1A"/>
        </w:rPr>
        <w:t xml:space="preserve"> be around long enough to claim anything meaningful.</w:t>
      </w:r>
    </w:p>
    <w:p w:rsidR="00583F8B" w:rsidRDefault="00583F8B">
      <w:pPr>
        <w:spacing w:after="80"/>
      </w:pPr>
    </w:p>
    <w:p w:rsidR="00583F8B" w:rsidRDefault="0010202E">
      <w:pPr>
        <w:pBdr>
          <w:bottom w:val="single" w:sz="8" w:space="1" w:color="1F5C8B"/>
        </w:pBdr>
        <w:spacing w:before="280" w:after="140"/>
      </w:pPr>
      <w:r>
        <w:rPr>
          <w:b/>
          <w:bCs/>
          <w:color w:val="1F5C8B"/>
          <w:sz w:val="26"/>
          <w:szCs w:val="26"/>
        </w:rPr>
        <w:t>5.  Sensitivity Analysis</w:t>
      </w:r>
    </w:p>
    <w:p w:rsidR="00583F8B" w:rsidRDefault="0010202E">
      <w:pPr>
        <w:spacing w:after="160"/>
      </w:pPr>
      <w:r>
        <w:rPr>
          <w:color w:val="1A1A1A"/>
        </w:rPr>
        <w:t xml:space="preserve">I tested how sensitive the liability </w:t>
      </w:r>
      <w:r w:rsidR="00D22F5D">
        <w:rPr>
          <w:color w:val="1A1A1A"/>
        </w:rPr>
        <w:t xml:space="preserve">is to three key assumptions of </w:t>
      </w:r>
      <w:r>
        <w:rPr>
          <w:color w:val="1A1A1A"/>
        </w:rPr>
        <w:t xml:space="preserve">discount rate, salary growth, and attrition. </w:t>
      </w:r>
      <w:r w:rsidR="00D22F5D">
        <w:rPr>
          <w:color w:val="1A1A1A"/>
        </w:rPr>
        <w:t xml:space="preserve">This is where things get </w:t>
      </w:r>
      <w:r>
        <w:rPr>
          <w:color w:val="1A1A1A"/>
        </w:rPr>
        <w:t>interesting.</w:t>
      </w:r>
    </w:p>
    <w:p w:rsidR="00583F8B" w:rsidRDefault="00583F8B">
      <w:pPr>
        <w:spacing w:after="80"/>
      </w:pPr>
    </w:p>
    <w:p w:rsidR="00583F8B" w:rsidRDefault="0010202E">
      <w:pPr>
        <w:spacing w:before="200" w:after="100"/>
      </w:pPr>
      <w:r>
        <w:rPr>
          <w:b/>
          <w:bCs/>
          <w:color w:val="222222"/>
          <w:sz w:val="23"/>
          <w:szCs w:val="23"/>
        </w:rPr>
        <w:t>Discount Rate</w:t>
      </w:r>
    </w:p>
    <w:p w:rsidR="00583F8B" w:rsidRDefault="00583F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583F8B">
        <w:trPr>
          <w:tblHeader/>
        </w:trPr>
        <w:tc>
          <w:tcPr>
            <w:tcW w:w="2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Discount Rate</w:t>
            </w:r>
          </w:p>
        </w:tc>
        <w:tc>
          <w:tcPr>
            <w:tcW w:w="33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PV of Obligation</w:t>
            </w:r>
          </w:p>
        </w:tc>
        <w:tc>
          <w:tcPr>
            <w:tcW w:w="33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vs Base Case</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5%</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₹6,45,490</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+33%</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6%</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₹5,74,852</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+18%</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7%</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₹5,14,101</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+6%</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7.5% (base)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₹4,86,902</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8%</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₹4,61,581</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-5%</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9%</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₹4,15,954</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-15%</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10%</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₹3,76,130</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-23%</w:t>
            </w:r>
          </w:p>
        </w:tc>
      </w:tr>
    </w:tbl>
    <w:p w:rsidR="00583F8B" w:rsidRDefault="00583F8B">
      <w:pPr>
        <w:spacing w:after="80"/>
      </w:pPr>
    </w:p>
    <w:p w:rsidR="00583F8B" w:rsidRDefault="0010202E">
      <w:pPr>
        <w:spacing w:after="160"/>
        <w:rPr>
          <w:color w:val="1A1A1A"/>
        </w:rPr>
      </w:pPr>
      <w:r>
        <w:rPr>
          <w:color w:val="1A1A1A"/>
        </w:rPr>
        <w:t>The liability moves by about 23% across the full range from 5% to 10%. This is meaningful but not dramatic. When interest rates rise, the present value of future payments falls because money today is worth more r</w:t>
      </w:r>
      <w:r w:rsidR="00DF1DC1">
        <w:rPr>
          <w:color w:val="1A1A1A"/>
        </w:rPr>
        <w:t xml:space="preserve">elative to money in the </w:t>
      </w:r>
      <w:proofErr w:type="gramStart"/>
      <w:r w:rsidR="00DF1DC1">
        <w:rPr>
          <w:color w:val="1A1A1A"/>
        </w:rPr>
        <w:t xml:space="preserve">future </w:t>
      </w:r>
      <w:r>
        <w:rPr>
          <w:color w:val="1A1A1A"/>
        </w:rPr>
        <w:t xml:space="preserve"> which</w:t>
      </w:r>
      <w:proofErr w:type="gramEnd"/>
      <w:r>
        <w:rPr>
          <w:color w:val="1A1A1A"/>
        </w:rPr>
        <w:t xml:space="preserve"> is why pension actuaries watch bond yields closely.</w:t>
      </w:r>
    </w:p>
    <w:p w:rsidR="00F3572A" w:rsidRDefault="00F3572A">
      <w:pPr>
        <w:spacing w:after="160"/>
      </w:pPr>
      <w:r>
        <w:rPr>
          <w:noProof/>
        </w:rPr>
        <w:lastRenderedPageBreak/>
        <w:drawing>
          <wp:inline distT="0" distB="0" distL="0" distR="0" wp14:anchorId="6454274F" wp14:editId="001985F7">
            <wp:extent cx="5905500" cy="2656840"/>
            <wp:effectExtent l="0" t="0" r="0" b="1016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583F8B" w:rsidRDefault="00583F8B">
      <w:pPr>
        <w:spacing w:after="80"/>
      </w:pPr>
    </w:p>
    <w:p w:rsidR="00583F8B" w:rsidRDefault="0010202E">
      <w:pPr>
        <w:spacing w:before="200" w:after="100"/>
      </w:pPr>
      <w:r>
        <w:rPr>
          <w:b/>
          <w:bCs/>
          <w:color w:val="222222"/>
          <w:sz w:val="23"/>
          <w:szCs w:val="23"/>
        </w:rPr>
        <w:t>Salary Growth</w:t>
      </w:r>
    </w:p>
    <w:p w:rsidR="00583F8B" w:rsidRDefault="00583F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583F8B">
        <w:trPr>
          <w:tblHeader/>
        </w:trPr>
        <w:tc>
          <w:tcPr>
            <w:tcW w:w="2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Salary Growth</w:t>
            </w:r>
          </w:p>
        </w:tc>
        <w:tc>
          <w:tcPr>
            <w:tcW w:w="33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PV of Obligation</w:t>
            </w:r>
          </w:p>
        </w:tc>
        <w:tc>
          <w:tcPr>
            <w:tcW w:w="33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vs Base Case</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6%</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₹3,35,846</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-31%</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8%</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₹4,03,074</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-17%</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10% (base)</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₹4,86,902</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12%</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₹5,92,412</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+22%</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14%</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₹7,26,495</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+49%</w:t>
            </w:r>
          </w:p>
        </w:tc>
      </w:tr>
    </w:tbl>
    <w:p w:rsidR="00583F8B" w:rsidRDefault="00583F8B">
      <w:pPr>
        <w:spacing w:after="80"/>
      </w:pPr>
    </w:p>
    <w:p w:rsidR="00583F8B" w:rsidRDefault="0010202E">
      <w:pPr>
        <w:spacing w:after="160"/>
        <w:rPr>
          <w:color w:val="1A1A1A"/>
        </w:rPr>
      </w:pPr>
      <w:r>
        <w:rPr>
          <w:color w:val="1A1A1A"/>
        </w:rPr>
        <w:t xml:space="preserve">Going from 6% to 14% salary growth more than doubles the liability from </w:t>
      </w:r>
      <w:proofErr w:type="spellStart"/>
      <w:r>
        <w:rPr>
          <w:color w:val="1A1A1A"/>
        </w:rPr>
        <w:t>Rs</w:t>
      </w:r>
      <w:proofErr w:type="spellEnd"/>
      <w:r>
        <w:rPr>
          <w:color w:val="1A1A1A"/>
        </w:rPr>
        <w:t xml:space="preserve"> 3.36 lakh to </w:t>
      </w:r>
      <w:proofErr w:type="spellStart"/>
      <w:r>
        <w:rPr>
          <w:color w:val="1A1A1A"/>
        </w:rPr>
        <w:t>Rs</w:t>
      </w:r>
      <w:proofErr w:type="spellEnd"/>
      <w:r>
        <w:rPr>
          <w:color w:val="1A1A1A"/>
        </w:rPr>
        <w:t xml:space="preserve"> 7.26 lakh. This makes sense bec</w:t>
      </w:r>
      <w:r w:rsidR="0060559C">
        <w:rPr>
          <w:color w:val="1A1A1A"/>
        </w:rPr>
        <w:t>ause gratuity is salary-linked,</w:t>
      </w:r>
      <w:r>
        <w:rPr>
          <w:color w:val="1A1A1A"/>
        </w:rPr>
        <w:t xml:space="preserve"> faster salary growth means a bigger payout at every future age. For companies operating in high-growth sectors like IT this is a real risk, especially since salary growth assumptions are notoriously hard to predict.</w:t>
      </w:r>
    </w:p>
    <w:p w:rsidR="00DF1DC1" w:rsidRDefault="00DF1DC1">
      <w:pPr>
        <w:spacing w:after="160"/>
      </w:pPr>
      <w:r>
        <w:rPr>
          <w:noProof/>
        </w:rPr>
        <w:drawing>
          <wp:inline distT="0" distB="0" distL="0" distR="0" wp14:anchorId="23ACC876" wp14:editId="1D437D7F">
            <wp:extent cx="5629275" cy="2743200"/>
            <wp:effectExtent l="0" t="0" r="952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583F8B" w:rsidRDefault="00583F8B">
      <w:pPr>
        <w:spacing w:after="80"/>
      </w:pPr>
    </w:p>
    <w:p w:rsidR="00583F8B" w:rsidRDefault="0010202E">
      <w:pPr>
        <w:spacing w:before="200" w:after="100"/>
      </w:pPr>
      <w:r>
        <w:rPr>
          <w:b/>
          <w:bCs/>
          <w:color w:val="222222"/>
          <w:sz w:val="23"/>
          <w:szCs w:val="23"/>
        </w:rPr>
        <w:t xml:space="preserve">Attrition Rate — </w:t>
      </w:r>
      <w:proofErr w:type="gramStart"/>
      <w:r>
        <w:rPr>
          <w:b/>
          <w:bCs/>
          <w:color w:val="222222"/>
          <w:sz w:val="23"/>
          <w:szCs w:val="23"/>
        </w:rPr>
        <w:t>The</w:t>
      </w:r>
      <w:proofErr w:type="gramEnd"/>
      <w:r>
        <w:rPr>
          <w:b/>
          <w:bCs/>
          <w:color w:val="222222"/>
          <w:sz w:val="23"/>
          <w:szCs w:val="23"/>
        </w:rPr>
        <w:t xml:space="preserve"> Most Important Assumption</w:t>
      </w:r>
    </w:p>
    <w:p w:rsidR="00583F8B" w:rsidRDefault="00583F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583F8B">
        <w:trPr>
          <w:tblHeader/>
        </w:trPr>
        <w:tc>
          <w:tcPr>
            <w:tcW w:w="2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Attrition Rate</w:t>
            </w:r>
          </w:p>
        </w:tc>
        <w:tc>
          <w:tcPr>
            <w:tcW w:w="33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PV of Obligation</w:t>
            </w:r>
          </w:p>
        </w:tc>
        <w:tc>
          <w:tcPr>
            <w:tcW w:w="33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rsidR="00583F8B" w:rsidRDefault="0010202E">
            <w:pPr>
              <w:jc w:val="center"/>
            </w:pPr>
            <w:r>
              <w:rPr>
                <w:b/>
                <w:bCs/>
                <w:color w:val="FFFFFF"/>
                <w:sz w:val="20"/>
                <w:szCs w:val="20"/>
              </w:rPr>
              <w:t>vs Base Case</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10%</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₹25,17,910</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+417%</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15%</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₹10,50,732</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+116%</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20% (base)</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₹4,86,902</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25%</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₹2,44,624</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3F8B" w:rsidRDefault="0010202E">
            <w:pPr>
              <w:jc w:val="center"/>
            </w:pPr>
            <w:r>
              <w:rPr>
                <w:sz w:val="20"/>
                <w:szCs w:val="20"/>
              </w:rPr>
              <w:t>-50%</w:t>
            </w:r>
          </w:p>
        </w:tc>
      </w:tr>
      <w:tr w:rsidR="00583F8B">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30%</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₹1,29,498</w:t>
            </w:r>
          </w:p>
        </w:tc>
        <w:tc>
          <w:tcPr>
            <w:tcW w:w="3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583F8B" w:rsidRDefault="0010202E">
            <w:pPr>
              <w:jc w:val="center"/>
            </w:pPr>
            <w:r>
              <w:rPr>
                <w:sz w:val="20"/>
                <w:szCs w:val="20"/>
              </w:rPr>
              <w:t>-73%</w:t>
            </w:r>
          </w:p>
        </w:tc>
      </w:tr>
    </w:tbl>
    <w:p w:rsidR="00583F8B" w:rsidRDefault="00583F8B">
      <w:pPr>
        <w:spacing w:after="80"/>
      </w:pPr>
    </w:p>
    <w:p w:rsidR="00583F8B" w:rsidRDefault="0010202E">
      <w:pPr>
        <w:spacing w:after="160"/>
      </w:pPr>
      <w:r>
        <w:rPr>
          <w:color w:val="1A1A1A"/>
        </w:rPr>
        <w:t xml:space="preserve">This </w:t>
      </w:r>
      <w:proofErr w:type="gramStart"/>
      <w:r>
        <w:rPr>
          <w:color w:val="1A1A1A"/>
        </w:rPr>
        <w:t>is the finding that</w:t>
      </w:r>
      <w:proofErr w:type="gramEnd"/>
      <w:r>
        <w:rPr>
          <w:color w:val="1A1A1A"/>
        </w:rPr>
        <w:t xml:space="preserve"> surprised me the most. Dropping attrition from 20% to 10% increa</w:t>
      </w:r>
      <w:r w:rsidR="00172390">
        <w:rPr>
          <w:color w:val="1A1A1A"/>
        </w:rPr>
        <w:t>ses the liability by over 400%</w:t>
      </w:r>
      <w:r>
        <w:rPr>
          <w:color w:val="1A1A1A"/>
        </w:rPr>
        <w:t xml:space="preserve"> from </w:t>
      </w:r>
      <w:proofErr w:type="spellStart"/>
      <w:r>
        <w:rPr>
          <w:color w:val="1A1A1A"/>
        </w:rPr>
        <w:t>Rs</w:t>
      </w:r>
      <w:proofErr w:type="spellEnd"/>
      <w:r>
        <w:rPr>
          <w:color w:val="1A1A1A"/>
        </w:rPr>
        <w:t xml:space="preserve"> 4.87 lakh to </w:t>
      </w:r>
      <w:proofErr w:type="spellStart"/>
      <w:r>
        <w:rPr>
          <w:color w:val="1A1A1A"/>
        </w:rPr>
        <w:t>Rs</w:t>
      </w:r>
      <w:proofErr w:type="spellEnd"/>
      <w:r>
        <w:rPr>
          <w:color w:val="1A1A1A"/>
        </w:rPr>
        <w:t xml:space="preserve"> 25.18 lakh. No other assumption comes anywhere close to this level of sensitivity.</w:t>
      </w:r>
    </w:p>
    <w:p w:rsidR="00583F8B" w:rsidRDefault="0010202E">
      <w:pPr>
        <w:spacing w:after="160"/>
      </w:pPr>
      <w:r>
        <w:rPr>
          <w:color w:val="1A1A1A"/>
        </w:rPr>
        <w:t>The reason is that gratuity</w:t>
      </w:r>
      <w:r w:rsidR="00172390">
        <w:rPr>
          <w:color w:val="1A1A1A"/>
        </w:rPr>
        <w:t xml:space="preserve"> is back-</w:t>
      </w:r>
      <w:proofErr w:type="gramStart"/>
      <w:r w:rsidR="00172390">
        <w:rPr>
          <w:color w:val="1A1A1A"/>
        </w:rPr>
        <w:t>loaded,</w:t>
      </w:r>
      <w:proofErr w:type="gramEnd"/>
      <w:r>
        <w:rPr>
          <w:color w:val="1A1A1A"/>
        </w:rPr>
        <w:t xml:space="preserve"> the payouts at later ages are much larger because salaries are higher and years of service are greater. When more employees stick around long enough to reach those later ages, the liability explodes. Conversely, when attrition is high, most people leave early with small payouts or none at all if they </w:t>
      </w:r>
      <w:proofErr w:type="gramStart"/>
      <w:r>
        <w:rPr>
          <w:color w:val="1A1A1A"/>
        </w:rPr>
        <w:t>haven't</w:t>
      </w:r>
      <w:proofErr w:type="gramEnd"/>
      <w:r>
        <w:rPr>
          <w:color w:val="1A1A1A"/>
        </w:rPr>
        <w:t xml:space="preserve"> crossed 5 years.</w:t>
      </w:r>
    </w:p>
    <w:p w:rsidR="00583F8B" w:rsidRDefault="0010202E">
      <w:pPr>
        <w:spacing w:after="160"/>
        <w:rPr>
          <w:color w:val="1A1A1A"/>
        </w:rPr>
      </w:pPr>
      <w:r>
        <w:rPr>
          <w:color w:val="1A1A1A"/>
        </w:rPr>
        <w:t>This explains something</w:t>
      </w:r>
      <w:r w:rsidR="00230088">
        <w:rPr>
          <w:color w:val="1A1A1A"/>
        </w:rPr>
        <w:t xml:space="preserve"> I </w:t>
      </w:r>
      <w:proofErr w:type="gramStart"/>
      <w:r w:rsidR="00230088">
        <w:rPr>
          <w:color w:val="1A1A1A"/>
        </w:rPr>
        <w:t>hadn't</w:t>
      </w:r>
      <w:proofErr w:type="gramEnd"/>
      <w:r w:rsidR="00230088">
        <w:rPr>
          <w:color w:val="1A1A1A"/>
        </w:rPr>
        <w:t xml:space="preserve"> thought about before</w:t>
      </w:r>
      <w:r>
        <w:rPr>
          <w:color w:val="1A1A1A"/>
        </w:rPr>
        <w:t xml:space="preserve"> for Indian IT companies, managing attrition isn't just an HR concern. Every percentage point reduction in attrition has a direct and material impact on the gratuity liability sitting on the balance sheet. </w:t>
      </w:r>
    </w:p>
    <w:p w:rsidR="007851BD" w:rsidRDefault="007851BD">
      <w:pPr>
        <w:spacing w:after="160"/>
        <w:rPr>
          <w:color w:val="1A1A1A"/>
        </w:rPr>
      </w:pPr>
      <w:r>
        <w:rPr>
          <w:noProof/>
        </w:rPr>
        <w:drawing>
          <wp:inline distT="0" distB="0" distL="0" distR="0" wp14:anchorId="6CE7628C" wp14:editId="5137D847">
            <wp:extent cx="5848350" cy="2733675"/>
            <wp:effectExtent l="0" t="0" r="0"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bookmarkStart w:id="0" w:name="_GoBack"/>
      <w:bookmarkEnd w:id="0"/>
    </w:p>
    <w:p w:rsidR="007851BD" w:rsidRDefault="007851BD">
      <w:pPr>
        <w:spacing w:after="160"/>
        <w:rPr>
          <w:color w:val="1A1A1A"/>
        </w:rPr>
      </w:pPr>
    </w:p>
    <w:p w:rsidR="007851BD" w:rsidRDefault="007851BD">
      <w:pPr>
        <w:spacing w:after="160"/>
        <w:rPr>
          <w:color w:val="1A1A1A"/>
        </w:rPr>
      </w:pPr>
    </w:p>
    <w:p w:rsidR="007851BD" w:rsidRDefault="007851BD">
      <w:pPr>
        <w:spacing w:after="160"/>
        <w:rPr>
          <w:color w:val="1A1A1A"/>
        </w:rPr>
      </w:pPr>
    </w:p>
    <w:p w:rsidR="003926C1" w:rsidRDefault="003926C1">
      <w:pPr>
        <w:spacing w:after="160"/>
        <w:rPr>
          <w:color w:val="1A1A1A"/>
        </w:rPr>
      </w:pPr>
    </w:p>
    <w:p w:rsidR="00583F8B" w:rsidRDefault="00583F8B">
      <w:pPr>
        <w:spacing w:after="80"/>
      </w:pPr>
    </w:p>
    <w:p w:rsidR="00583F8B" w:rsidRDefault="0010202E">
      <w:pPr>
        <w:pBdr>
          <w:bottom w:val="single" w:sz="8" w:space="1" w:color="1F5C8B"/>
        </w:pBdr>
        <w:spacing w:before="280" w:after="140"/>
      </w:pPr>
      <w:r>
        <w:rPr>
          <w:b/>
          <w:bCs/>
          <w:color w:val="1F5C8B"/>
          <w:sz w:val="26"/>
          <w:szCs w:val="26"/>
        </w:rPr>
        <w:lastRenderedPageBreak/>
        <w:t xml:space="preserve">6.  Limitations and Things </w:t>
      </w:r>
      <w:proofErr w:type="gramStart"/>
      <w:r>
        <w:rPr>
          <w:b/>
          <w:bCs/>
          <w:color w:val="1F5C8B"/>
          <w:sz w:val="26"/>
          <w:szCs w:val="26"/>
        </w:rPr>
        <w:t>I'd</w:t>
      </w:r>
      <w:proofErr w:type="gramEnd"/>
      <w:r>
        <w:rPr>
          <w:b/>
          <w:bCs/>
          <w:color w:val="1F5C8B"/>
          <w:sz w:val="26"/>
          <w:szCs w:val="26"/>
        </w:rPr>
        <w:t xml:space="preserve"> Do Differently</w:t>
      </w:r>
    </w:p>
    <w:p w:rsidR="00583F8B" w:rsidRDefault="0010202E">
      <w:pPr>
        <w:pStyle w:val="ListParagraph"/>
        <w:numPr>
          <w:ilvl w:val="0"/>
          <w:numId w:val="2"/>
        </w:numPr>
        <w:spacing w:after="100"/>
      </w:pPr>
      <w:r>
        <w:rPr>
          <w:color w:val="1A1A1A"/>
        </w:rPr>
        <w:t>I used a flat attrition rate of 20% across all ages. In reality attrition in IT is much higher in early years (years 2-4 especially) and much lower for people who have stayed 10+ years. Using an age-varying attrition table would give a more accurate picture.</w:t>
      </w:r>
    </w:p>
    <w:p w:rsidR="00583F8B" w:rsidRDefault="0010202E">
      <w:pPr>
        <w:pStyle w:val="ListParagraph"/>
        <w:numPr>
          <w:ilvl w:val="0"/>
          <w:numId w:val="2"/>
        </w:numPr>
        <w:spacing w:after="100"/>
      </w:pPr>
      <w:r>
        <w:rPr>
          <w:color w:val="1A1A1A"/>
        </w:rPr>
        <w:t xml:space="preserve">The IALM 2006-08 table is about 17 years old now. More recent Indian mortality data would be better, but </w:t>
      </w:r>
      <w:proofErr w:type="gramStart"/>
      <w:r>
        <w:rPr>
          <w:color w:val="1A1A1A"/>
        </w:rPr>
        <w:t>it's</w:t>
      </w:r>
      <w:proofErr w:type="gramEnd"/>
      <w:r>
        <w:rPr>
          <w:color w:val="1A1A1A"/>
        </w:rPr>
        <w:t xml:space="preserve"> the most current published assured lives table available.</w:t>
      </w:r>
    </w:p>
    <w:p w:rsidR="00583F8B" w:rsidRDefault="0010202E">
      <w:pPr>
        <w:pStyle w:val="ListParagraph"/>
        <w:numPr>
          <w:ilvl w:val="0"/>
          <w:numId w:val="2"/>
        </w:numPr>
        <w:spacing w:after="100"/>
      </w:pPr>
      <w:r>
        <w:rPr>
          <w:color w:val="1A1A1A"/>
        </w:rPr>
        <w:t xml:space="preserve">I </w:t>
      </w:r>
      <w:proofErr w:type="gramStart"/>
      <w:r>
        <w:rPr>
          <w:color w:val="1A1A1A"/>
        </w:rPr>
        <w:t>haven't</w:t>
      </w:r>
      <w:proofErr w:type="gramEnd"/>
      <w:r>
        <w:rPr>
          <w:color w:val="1A1A1A"/>
        </w:rPr>
        <w:t xml:space="preserve"> included salary increases from promotions separately from general inflation-linked growth. In IT, promotions can mean salary jumps of 30-40</w:t>
      </w:r>
      <w:proofErr w:type="gramStart"/>
      <w:r>
        <w:rPr>
          <w:color w:val="1A1A1A"/>
        </w:rPr>
        <w:t>% which</w:t>
      </w:r>
      <w:r w:rsidR="00386C62">
        <w:rPr>
          <w:color w:val="1A1A1A"/>
        </w:rPr>
        <w:t xml:space="preserve"> are lumpy rather than smooth</w:t>
      </w:r>
      <w:proofErr w:type="gramEnd"/>
      <w:r w:rsidR="00386C62">
        <w:rPr>
          <w:color w:val="1A1A1A"/>
        </w:rPr>
        <w:t xml:space="preserve"> and </w:t>
      </w:r>
      <w:r>
        <w:rPr>
          <w:color w:val="1A1A1A"/>
        </w:rPr>
        <w:t>this could make the liability more volatile than the model shows.</w:t>
      </w:r>
    </w:p>
    <w:p w:rsidR="00583F8B" w:rsidRPr="002067AC" w:rsidRDefault="0010202E">
      <w:pPr>
        <w:pStyle w:val="ListParagraph"/>
        <w:numPr>
          <w:ilvl w:val="0"/>
          <w:numId w:val="2"/>
        </w:numPr>
        <w:spacing w:after="100"/>
      </w:pPr>
      <w:r>
        <w:rPr>
          <w:color w:val="1A1A1A"/>
        </w:rPr>
        <w:t xml:space="preserve">The model calculates the gross obligation but </w:t>
      </w:r>
      <w:proofErr w:type="gramStart"/>
      <w:r>
        <w:rPr>
          <w:color w:val="1A1A1A"/>
        </w:rPr>
        <w:t>doesn't</w:t>
      </w:r>
      <w:proofErr w:type="gramEnd"/>
      <w:r>
        <w:rPr>
          <w:color w:val="1A1A1A"/>
        </w:rPr>
        <w:t xml:space="preserve"> model the fund assets separately. A real </w:t>
      </w:r>
      <w:proofErr w:type="spellStart"/>
      <w:r>
        <w:rPr>
          <w:color w:val="1A1A1A"/>
        </w:rPr>
        <w:t>Ind</w:t>
      </w:r>
      <w:proofErr w:type="spellEnd"/>
      <w:r>
        <w:rPr>
          <w:color w:val="1A1A1A"/>
        </w:rPr>
        <w:t xml:space="preserve"> AS 19 disclosure would show both the obligation and the plan assets, with the net deficit being what appears on the balance sheet.</w:t>
      </w:r>
    </w:p>
    <w:p w:rsidR="002067AC" w:rsidRDefault="002067AC" w:rsidP="002067AC">
      <w:pPr>
        <w:spacing w:after="100"/>
      </w:pPr>
    </w:p>
    <w:p w:rsidR="002067AC" w:rsidRDefault="002067AC" w:rsidP="002067AC">
      <w:pPr>
        <w:spacing w:after="100"/>
      </w:pPr>
    </w:p>
    <w:p w:rsidR="002067AC" w:rsidRDefault="002067AC" w:rsidP="002067AC">
      <w:pPr>
        <w:spacing w:after="100"/>
      </w:pPr>
    </w:p>
    <w:p w:rsidR="00583F8B" w:rsidRDefault="00583F8B">
      <w:pPr>
        <w:spacing w:after="80"/>
      </w:pPr>
    </w:p>
    <w:p w:rsidR="00583F8B" w:rsidRDefault="0010202E">
      <w:pPr>
        <w:pBdr>
          <w:bottom w:val="single" w:sz="8" w:space="1" w:color="1F5C8B"/>
        </w:pBdr>
        <w:spacing w:before="280" w:after="140"/>
      </w:pPr>
      <w:r>
        <w:rPr>
          <w:b/>
          <w:bCs/>
          <w:color w:val="1F5C8B"/>
          <w:sz w:val="26"/>
          <w:szCs w:val="26"/>
        </w:rPr>
        <w:t>7.  What I Took Away From This</w:t>
      </w:r>
    </w:p>
    <w:p w:rsidR="00583F8B" w:rsidRDefault="0010202E">
      <w:pPr>
        <w:spacing w:after="160"/>
      </w:pPr>
      <w:r>
        <w:rPr>
          <w:color w:val="1A1A1A"/>
        </w:rPr>
        <w:t xml:space="preserve">Going into this I expected the discount rate </w:t>
      </w:r>
      <w:r w:rsidR="00355AA0">
        <w:rPr>
          <w:color w:val="1A1A1A"/>
        </w:rPr>
        <w:t xml:space="preserve">to be the dominant assumption </w:t>
      </w:r>
      <w:proofErr w:type="gramStart"/>
      <w:r>
        <w:rPr>
          <w:color w:val="1A1A1A"/>
        </w:rPr>
        <w:t>that's</w:t>
      </w:r>
      <w:proofErr w:type="gramEnd"/>
      <w:r>
        <w:rPr>
          <w:color w:val="1A1A1A"/>
        </w:rPr>
        <w:t xml:space="preserve"> what most of the CM1 syllabus focuses on. </w:t>
      </w:r>
      <w:proofErr w:type="gramStart"/>
      <w:r>
        <w:rPr>
          <w:color w:val="1A1A1A"/>
        </w:rPr>
        <w:t>But</w:t>
      </w:r>
      <w:proofErr w:type="gramEnd"/>
      <w:r>
        <w:rPr>
          <w:color w:val="1A1A1A"/>
        </w:rPr>
        <w:t xml:space="preserve"> the attrition sensitivity completely changed that view. In a defined benefit gratuity context, the </w:t>
      </w:r>
      <w:proofErr w:type="spellStart"/>
      <w:r>
        <w:rPr>
          <w:color w:val="1A1A1A"/>
        </w:rPr>
        <w:t>behavioural</w:t>
      </w:r>
      <w:proofErr w:type="spellEnd"/>
      <w:r>
        <w:rPr>
          <w:color w:val="1A1A1A"/>
        </w:rPr>
        <w:t xml:space="preserve"> assumption about how long people stay is far more important than the financial assumptions about interest rates.</w:t>
      </w:r>
    </w:p>
    <w:p w:rsidR="00583F8B" w:rsidRDefault="0010202E">
      <w:pPr>
        <w:spacing w:after="160"/>
      </w:pPr>
      <w:r>
        <w:rPr>
          <w:color w:val="1A1A1A"/>
        </w:rPr>
        <w:t>I also found the vesting rule interesting from a liability management perspective. The 5-year cliff means companies have zero liability for the large number of employees who leave in years 1-4. If the vesting thresho</w:t>
      </w:r>
      <w:r w:rsidR="002067AC">
        <w:rPr>
          <w:color w:val="1A1A1A"/>
        </w:rPr>
        <w:t xml:space="preserve">ld were reduced to say 3 </w:t>
      </w:r>
      <w:proofErr w:type="gramStart"/>
      <w:r w:rsidR="002067AC">
        <w:rPr>
          <w:color w:val="1A1A1A"/>
        </w:rPr>
        <w:t xml:space="preserve">years </w:t>
      </w:r>
      <w:r>
        <w:rPr>
          <w:color w:val="1A1A1A"/>
        </w:rPr>
        <w:t>whi</w:t>
      </w:r>
      <w:r w:rsidR="002067AC">
        <w:rPr>
          <w:color w:val="1A1A1A"/>
        </w:rPr>
        <w:t>ch has been</w:t>
      </w:r>
      <w:proofErr w:type="gramEnd"/>
      <w:r w:rsidR="002067AC">
        <w:rPr>
          <w:color w:val="1A1A1A"/>
        </w:rPr>
        <w:t xml:space="preserve"> discussed in India</w:t>
      </w:r>
      <w:r>
        <w:rPr>
          <w:color w:val="1A1A1A"/>
        </w:rPr>
        <w:t xml:space="preserve"> the liability would increase substantially.</w:t>
      </w:r>
    </w:p>
    <w:p w:rsidR="00583F8B" w:rsidRDefault="0010202E">
      <w:pPr>
        <w:spacing w:after="160"/>
      </w:pPr>
      <w:r>
        <w:rPr>
          <w:color w:val="1A1A1A"/>
        </w:rPr>
        <w:t xml:space="preserve">The </w:t>
      </w:r>
      <w:proofErr w:type="spellStart"/>
      <w:r>
        <w:rPr>
          <w:color w:val="1A1A1A"/>
        </w:rPr>
        <w:t>Ind</w:t>
      </w:r>
      <w:proofErr w:type="spellEnd"/>
      <w:r>
        <w:rPr>
          <w:color w:val="1A1A1A"/>
        </w:rPr>
        <w:t xml:space="preserve"> AS 19 framework itself makes sense once you work through it. The present value approach forces companies to </w:t>
      </w:r>
      <w:proofErr w:type="spellStart"/>
      <w:r>
        <w:rPr>
          <w:color w:val="1A1A1A"/>
        </w:rPr>
        <w:t>recognise</w:t>
      </w:r>
      <w:proofErr w:type="spellEnd"/>
      <w:r>
        <w:rPr>
          <w:color w:val="1A1A1A"/>
        </w:rPr>
        <w:t xml:space="preserve"> future obligations today rather than paying them out as they arise, which gives a much more honest picture of what the business actually owes its people.</w:t>
      </w:r>
    </w:p>
    <w:p w:rsidR="00583F8B" w:rsidRDefault="00583F8B">
      <w:pPr>
        <w:spacing w:after="80"/>
      </w:pPr>
    </w:p>
    <w:p w:rsidR="00583F8B" w:rsidRDefault="00583F8B">
      <w:pPr>
        <w:pBdr>
          <w:top w:val="single" w:sz="6" w:space="1" w:color="1F5C8B"/>
        </w:pBdr>
        <w:spacing w:before="300" w:after="140"/>
      </w:pPr>
    </w:p>
    <w:p w:rsidR="00583F8B" w:rsidRDefault="0010202E">
      <w:pPr>
        <w:spacing w:after="160"/>
      </w:pPr>
      <w:r>
        <w:rPr>
          <w:i/>
          <w:iCs/>
          <w:color w:val="777777"/>
          <w:sz w:val="18"/>
          <w:szCs w:val="18"/>
        </w:rPr>
        <w:t xml:space="preserve">Data: IALM 2006-08 mortality table (Institute of Actuaries of India). Regulatory basis: Payment of Gratuity Act 1972 and </w:t>
      </w:r>
      <w:proofErr w:type="spellStart"/>
      <w:r>
        <w:rPr>
          <w:i/>
          <w:iCs/>
          <w:color w:val="777777"/>
          <w:sz w:val="18"/>
          <w:szCs w:val="18"/>
        </w:rPr>
        <w:t>Ind</w:t>
      </w:r>
      <w:proofErr w:type="spellEnd"/>
      <w:r>
        <w:rPr>
          <w:i/>
          <w:iCs/>
          <w:color w:val="777777"/>
          <w:sz w:val="18"/>
          <w:szCs w:val="18"/>
        </w:rPr>
        <w:t xml:space="preserve"> AS 19 — Employee Benefits. All calculations in Microsoft Excel.</w:t>
      </w:r>
    </w:p>
    <w:sectPr w:rsidR="00583F8B">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324E" w:rsidRDefault="00E6324E">
      <w:r>
        <w:separator/>
      </w:r>
    </w:p>
  </w:endnote>
  <w:endnote w:type="continuationSeparator" w:id="0">
    <w:p w:rsidR="00E6324E" w:rsidRDefault="00E63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F8B" w:rsidRDefault="0010202E">
    <w:pPr>
      <w:jc w:val="center"/>
    </w:pPr>
    <w:r>
      <w:rPr>
        <w:color w:val="888888"/>
        <w:sz w:val="18"/>
        <w:szCs w:val="18"/>
      </w:rPr>
      <w:t xml:space="preserve">Karun </w:t>
    </w:r>
    <w:proofErr w:type="spellStart"/>
    <w:proofErr w:type="gramStart"/>
    <w:r>
      <w:rPr>
        <w:color w:val="888888"/>
        <w:sz w:val="18"/>
        <w:szCs w:val="18"/>
      </w:rPr>
      <w:t>Sethi</w:t>
    </w:r>
    <w:proofErr w:type="spellEnd"/>
    <w:r>
      <w:rPr>
        <w:color w:val="888888"/>
        <w:sz w:val="18"/>
        <w:szCs w:val="18"/>
      </w:rPr>
      <w:t xml:space="preserve">  |</w:t>
    </w:r>
    <w:proofErr w:type="gramEnd"/>
    <w:r>
      <w:rPr>
        <w:color w:val="888888"/>
        <w:sz w:val="18"/>
        <w:szCs w:val="18"/>
      </w:rPr>
      <w:t xml:space="preserve">  Gratuity Liability Model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851BD">
      <w:rPr>
        <w:noProof/>
        <w:color w:val="888888"/>
        <w:sz w:val="18"/>
        <w:szCs w:val="18"/>
      </w:rPr>
      <w:t>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324E" w:rsidRDefault="00E6324E">
      <w:r>
        <w:separator/>
      </w:r>
    </w:p>
  </w:footnote>
  <w:footnote w:type="continuationSeparator" w:id="0">
    <w:p w:rsidR="00E6324E" w:rsidRDefault="00E63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8424B"/>
    <w:multiLevelType w:val="hybridMultilevel"/>
    <w:tmpl w:val="D1006F58"/>
    <w:lvl w:ilvl="0" w:tplc="EFF0914C">
      <w:start w:val="1"/>
      <w:numFmt w:val="bullet"/>
      <w:lvlText w:val="●"/>
      <w:lvlJc w:val="left"/>
      <w:pPr>
        <w:ind w:left="720" w:hanging="360"/>
      </w:pPr>
    </w:lvl>
    <w:lvl w:ilvl="1" w:tplc="84E602B6">
      <w:start w:val="1"/>
      <w:numFmt w:val="bullet"/>
      <w:lvlText w:val="○"/>
      <w:lvlJc w:val="left"/>
      <w:pPr>
        <w:ind w:left="1440" w:hanging="360"/>
      </w:pPr>
    </w:lvl>
    <w:lvl w:ilvl="2" w:tplc="49EC3F90">
      <w:start w:val="1"/>
      <w:numFmt w:val="bullet"/>
      <w:lvlText w:val="■"/>
      <w:lvlJc w:val="left"/>
      <w:pPr>
        <w:ind w:left="2160" w:hanging="360"/>
      </w:pPr>
    </w:lvl>
    <w:lvl w:ilvl="3" w:tplc="C300831E">
      <w:start w:val="1"/>
      <w:numFmt w:val="bullet"/>
      <w:lvlText w:val="●"/>
      <w:lvlJc w:val="left"/>
      <w:pPr>
        <w:ind w:left="2880" w:hanging="360"/>
      </w:pPr>
    </w:lvl>
    <w:lvl w:ilvl="4" w:tplc="79AE6F34">
      <w:start w:val="1"/>
      <w:numFmt w:val="bullet"/>
      <w:lvlText w:val="○"/>
      <w:lvlJc w:val="left"/>
      <w:pPr>
        <w:ind w:left="3600" w:hanging="360"/>
      </w:pPr>
    </w:lvl>
    <w:lvl w:ilvl="5" w:tplc="A0322A2E">
      <w:start w:val="1"/>
      <w:numFmt w:val="bullet"/>
      <w:lvlText w:val="■"/>
      <w:lvlJc w:val="left"/>
      <w:pPr>
        <w:ind w:left="4320" w:hanging="360"/>
      </w:pPr>
    </w:lvl>
    <w:lvl w:ilvl="6" w:tplc="7F160A76">
      <w:start w:val="1"/>
      <w:numFmt w:val="bullet"/>
      <w:lvlText w:val="●"/>
      <w:lvlJc w:val="left"/>
      <w:pPr>
        <w:ind w:left="5040" w:hanging="360"/>
      </w:pPr>
    </w:lvl>
    <w:lvl w:ilvl="7" w:tplc="9B6050A8">
      <w:start w:val="1"/>
      <w:numFmt w:val="bullet"/>
      <w:lvlText w:val="●"/>
      <w:lvlJc w:val="left"/>
      <w:pPr>
        <w:ind w:left="5760" w:hanging="360"/>
      </w:pPr>
    </w:lvl>
    <w:lvl w:ilvl="8" w:tplc="9FE0C3A2">
      <w:start w:val="1"/>
      <w:numFmt w:val="bullet"/>
      <w:lvlText w:val="●"/>
      <w:lvlJc w:val="left"/>
      <w:pPr>
        <w:ind w:left="6480" w:hanging="360"/>
      </w:pPr>
    </w:lvl>
  </w:abstractNum>
  <w:abstractNum w:abstractNumId="1" w15:restartNumberingAfterBreak="0">
    <w:nsid w:val="4D877A7F"/>
    <w:multiLevelType w:val="hybridMultilevel"/>
    <w:tmpl w:val="5D94656E"/>
    <w:lvl w:ilvl="0" w:tplc="97E0FFF6">
      <w:start w:val="1"/>
      <w:numFmt w:val="bullet"/>
      <w:lvlText w:val="•"/>
      <w:lvlJc w:val="left"/>
      <w:pPr>
        <w:ind w:left="720" w:hanging="360"/>
      </w:pPr>
    </w:lvl>
    <w:lvl w:ilvl="1" w:tplc="225EDA14">
      <w:numFmt w:val="decimal"/>
      <w:lvlText w:val=""/>
      <w:lvlJc w:val="left"/>
    </w:lvl>
    <w:lvl w:ilvl="2" w:tplc="BBCC00E8">
      <w:numFmt w:val="decimal"/>
      <w:lvlText w:val=""/>
      <w:lvlJc w:val="left"/>
    </w:lvl>
    <w:lvl w:ilvl="3" w:tplc="0D806042">
      <w:numFmt w:val="decimal"/>
      <w:lvlText w:val=""/>
      <w:lvlJc w:val="left"/>
    </w:lvl>
    <w:lvl w:ilvl="4" w:tplc="5844B2F4">
      <w:numFmt w:val="decimal"/>
      <w:lvlText w:val=""/>
      <w:lvlJc w:val="left"/>
    </w:lvl>
    <w:lvl w:ilvl="5" w:tplc="AEB60584">
      <w:numFmt w:val="decimal"/>
      <w:lvlText w:val=""/>
      <w:lvlJc w:val="left"/>
    </w:lvl>
    <w:lvl w:ilvl="6" w:tplc="D54EAA06">
      <w:numFmt w:val="decimal"/>
      <w:lvlText w:val=""/>
      <w:lvlJc w:val="left"/>
    </w:lvl>
    <w:lvl w:ilvl="7" w:tplc="3294BBA0">
      <w:numFmt w:val="decimal"/>
      <w:lvlText w:val=""/>
      <w:lvlJc w:val="left"/>
    </w:lvl>
    <w:lvl w:ilvl="8" w:tplc="69902BB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F8B"/>
    <w:rsid w:val="000939D1"/>
    <w:rsid w:val="0010202E"/>
    <w:rsid w:val="00172390"/>
    <w:rsid w:val="0017388F"/>
    <w:rsid w:val="001C00FD"/>
    <w:rsid w:val="002067AC"/>
    <w:rsid w:val="00215B4A"/>
    <w:rsid w:val="00230088"/>
    <w:rsid w:val="00355AA0"/>
    <w:rsid w:val="00386C62"/>
    <w:rsid w:val="003926C1"/>
    <w:rsid w:val="004335A5"/>
    <w:rsid w:val="00583F8B"/>
    <w:rsid w:val="0060559C"/>
    <w:rsid w:val="007851BD"/>
    <w:rsid w:val="00AC5501"/>
    <w:rsid w:val="00C20AFB"/>
    <w:rsid w:val="00C872F9"/>
    <w:rsid w:val="00D22F5D"/>
    <w:rsid w:val="00DF1DC1"/>
    <w:rsid w:val="00E13EF4"/>
    <w:rsid w:val="00E37B7E"/>
    <w:rsid w:val="00E6324E"/>
    <w:rsid w:val="00F35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0D8A"/>
  <w15:docId w15:val="{93172C99-D4D8-4547-8471-503CDE71A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5B4A"/>
    <w:pPr>
      <w:tabs>
        <w:tab w:val="center" w:pos="4680"/>
        <w:tab w:val="right" w:pos="9360"/>
      </w:tabs>
    </w:pPr>
  </w:style>
  <w:style w:type="character" w:customStyle="1" w:styleId="HeaderChar">
    <w:name w:val="Header Char"/>
    <w:basedOn w:val="DefaultParagraphFont"/>
    <w:link w:val="Header"/>
    <w:uiPriority w:val="99"/>
    <w:rsid w:val="00215B4A"/>
  </w:style>
  <w:style w:type="paragraph" w:styleId="Footer">
    <w:name w:val="footer"/>
    <w:basedOn w:val="Normal"/>
    <w:link w:val="FooterChar"/>
    <w:uiPriority w:val="99"/>
    <w:unhideWhenUsed/>
    <w:rsid w:val="00215B4A"/>
    <w:pPr>
      <w:tabs>
        <w:tab w:val="center" w:pos="4680"/>
        <w:tab w:val="right" w:pos="9360"/>
      </w:tabs>
    </w:pPr>
  </w:style>
  <w:style w:type="character" w:customStyle="1" w:styleId="FooterChar">
    <w:name w:val="Footer Char"/>
    <w:basedOn w:val="DefaultParagraphFont"/>
    <w:link w:val="Footer"/>
    <w:uiPriority w:val="99"/>
    <w:rsid w:val="00215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ownloads\Gratuity_Mod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ownloads\Gratuity_Mod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Downloads\Gratuity_Mod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Gratuity</a:t>
            </a:r>
            <a:r>
              <a:rPr lang="en-US" baseline="0"/>
              <a:t> Liability vs Discount Rate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SENSITIVITY!$C$2</c:f>
              <c:strCache>
                <c:ptCount val="1"/>
                <c:pt idx="0">
                  <c:v>Pv of Obligation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SENSITIVITY!$B$3:$B$9</c:f>
              <c:strCache>
                <c:ptCount val="7"/>
                <c:pt idx="0">
                  <c:v>5%</c:v>
                </c:pt>
                <c:pt idx="1">
                  <c:v>6%</c:v>
                </c:pt>
                <c:pt idx="2">
                  <c:v>7%</c:v>
                </c:pt>
                <c:pt idx="3">
                  <c:v>7.5% (base)</c:v>
                </c:pt>
                <c:pt idx="4">
                  <c:v>8%</c:v>
                </c:pt>
                <c:pt idx="5">
                  <c:v>9%</c:v>
                </c:pt>
                <c:pt idx="6">
                  <c:v>10%</c:v>
                </c:pt>
              </c:strCache>
            </c:strRef>
          </c:cat>
          <c:val>
            <c:numRef>
              <c:f>SENSITIVITY!$C$3:$C$9</c:f>
              <c:numCache>
                <c:formatCode>General</c:formatCode>
                <c:ptCount val="7"/>
                <c:pt idx="0">
                  <c:v>645490.31338807161</c:v>
                </c:pt>
                <c:pt idx="1">
                  <c:v>574852.49095755245</c:v>
                </c:pt>
                <c:pt idx="2">
                  <c:v>514100.99969129846</c:v>
                </c:pt>
                <c:pt idx="3">
                  <c:v>486902.44247352914</c:v>
                </c:pt>
                <c:pt idx="4">
                  <c:v>461581.395257973</c:v>
                </c:pt>
                <c:pt idx="5">
                  <c:v>415954.46104027523</c:v>
                </c:pt>
                <c:pt idx="6">
                  <c:v>376130.06463876303</c:v>
                </c:pt>
              </c:numCache>
            </c:numRef>
          </c:val>
          <c:smooth val="0"/>
          <c:extLst>
            <c:ext xmlns:c16="http://schemas.microsoft.com/office/drawing/2014/chart" uri="{C3380CC4-5D6E-409C-BE32-E72D297353CC}">
              <c16:uniqueId val="{00000000-B21F-48B6-AF40-44CA91B83987}"/>
            </c:ext>
          </c:extLst>
        </c:ser>
        <c:dLbls>
          <c:showLegendKey val="0"/>
          <c:showVal val="0"/>
          <c:showCatName val="0"/>
          <c:showSerName val="0"/>
          <c:showPercent val="0"/>
          <c:showBubbleSize val="0"/>
        </c:dLbls>
        <c:marker val="1"/>
        <c:smooth val="0"/>
        <c:axId val="167691200"/>
        <c:axId val="167694112"/>
        <c:extLst>
          <c:ext xmlns:c15="http://schemas.microsoft.com/office/drawing/2012/chart" uri="{02D57815-91ED-43cb-92C2-25804820EDAC}">
            <c15:filteredLineSeries>
              <c15:ser>
                <c:idx val="0"/>
                <c:order val="0"/>
                <c:tx>
                  <c:strRef>
                    <c:extLst>
                      <c:ext uri="{02D57815-91ED-43cb-92C2-25804820EDAC}">
                        <c15:formulaRef>
                          <c15:sqref>SENSITIVITY!$B$2</c15:sqref>
                        </c15:formulaRef>
                      </c:ext>
                    </c:extLst>
                    <c:strCache>
                      <c:ptCount val="1"/>
                      <c:pt idx="0">
                        <c:v> Discount 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extLst>
                      <c:ext uri="{02D57815-91ED-43cb-92C2-25804820EDAC}">
                        <c15:formulaRef>
                          <c15:sqref>SENSITIVITY!$B$3:$B$9</c15:sqref>
                        </c15:formulaRef>
                      </c:ext>
                    </c:extLst>
                    <c:strCache>
                      <c:ptCount val="7"/>
                      <c:pt idx="0">
                        <c:v>5%</c:v>
                      </c:pt>
                      <c:pt idx="1">
                        <c:v>6%</c:v>
                      </c:pt>
                      <c:pt idx="2">
                        <c:v>7%</c:v>
                      </c:pt>
                      <c:pt idx="3">
                        <c:v>7.5% (base)</c:v>
                      </c:pt>
                      <c:pt idx="4">
                        <c:v>8%</c:v>
                      </c:pt>
                      <c:pt idx="5">
                        <c:v>9%</c:v>
                      </c:pt>
                      <c:pt idx="6">
                        <c:v>10%</c:v>
                      </c:pt>
                    </c:strCache>
                  </c:strRef>
                </c:cat>
                <c:val>
                  <c:numRef>
                    <c:extLst>
                      <c:ext uri="{02D57815-91ED-43cb-92C2-25804820EDAC}">
                        <c15:formulaRef>
                          <c15:sqref>SENSITIVITY!$B$3:$B$9</c15:sqref>
                        </c15:formulaRef>
                      </c:ext>
                    </c:extLst>
                    <c:numCache>
                      <c:formatCode>0%</c:formatCode>
                      <c:ptCount val="7"/>
                      <c:pt idx="0">
                        <c:v>0.05</c:v>
                      </c:pt>
                      <c:pt idx="1">
                        <c:v>0.06</c:v>
                      </c:pt>
                      <c:pt idx="2">
                        <c:v>7.0000000000000007E-2</c:v>
                      </c:pt>
                      <c:pt idx="3" formatCode="0.00%">
                        <c:v>0</c:v>
                      </c:pt>
                      <c:pt idx="4">
                        <c:v>0.08</c:v>
                      </c:pt>
                      <c:pt idx="5">
                        <c:v>0.09</c:v>
                      </c:pt>
                      <c:pt idx="6">
                        <c:v>0.1</c:v>
                      </c:pt>
                    </c:numCache>
                  </c:numRef>
                </c:val>
                <c:smooth val="0"/>
                <c:extLst>
                  <c:ext xmlns:c16="http://schemas.microsoft.com/office/drawing/2014/chart" uri="{C3380CC4-5D6E-409C-BE32-E72D297353CC}">
                    <c16:uniqueId val="{00000001-B21F-48B6-AF40-44CA91B83987}"/>
                  </c:ext>
                </c:extLst>
              </c15:ser>
            </c15:filteredLineSeries>
          </c:ext>
        </c:extLst>
      </c:lineChart>
      <c:catAx>
        <c:axId val="167691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94112"/>
        <c:crosses val="autoZero"/>
        <c:auto val="1"/>
        <c:lblAlgn val="ctr"/>
        <c:lblOffset val="100"/>
        <c:noMultiLvlLbl val="0"/>
      </c:catAx>
      <c:valAx>
        <c:axId val="1676941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91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Gratuity</a:t>
            </a:r>
            <a:r>
              <a:rPr lang="en-US" baseline="0"/>
              <a:t> Liability vs Salary growth</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SENSITIVITY!$C$18</c:f>
              <c:strCache>
                <c:ptCount val="1"/>
                <c:pt idx="0">
                  <c:v>Pv of obligation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SENSITIVITY!$B$19:$B$23</c:f>
              <c:strCache>
                <c:ptCount val="5"/>
                <c:pt idx="0">
                  <c:v>6%</c:v>
                </c:pt>
                <c:pt idx="1">
                  <c:v>8%</c:v>
                </c:pt>
                <c:pt idx="2">
                  <c:v>10% (base)</c:v>
                </c:pt>
                <c:pt idx="3">
                  <c:v>12%</c:v>
                </c:pt>
                <c:pt idx="4">
                  <c:v>14%</c:v>
                </c:pt>
              </c:strCache>
            </c:strRef>
          </c:cat>
          <c:val>
            <c:numRef>
              <c:f>SENSITIVITY!$C$19:$C$23</c:f>
              <c:numCache>
                <c:formatCode>General</c:formatCode>
                <c:ptCount val="5"/>
                <c:pt idx="0">
                  <c:v>335845.82663596398</c:v>
                </c:pt>
                <c:pt idx="1">
                  <c:v>403074.08373098343</c:v>
                </c:pt>
                <c:pt idx="2">
                  <c:v>486902.44247352914</c:v>
                </c:pt>
                <c:pt idx="3">
                  <c:v>592411.92631326499</c:v>
                </c:pt>
                <c:pt idx="4">
                  <c:v>726495.22439757467</c:v>
                </c:pt>
              </c:numCache>
            </c:numRef>
          </c:val>
          <c:smooth val="0"/>
          <c:extLst>
            <c:ext xmlns:c16="http://schemas.microsoft.com/office/drawing/2014/chart" uri="{C3380CC4-5D6E-409C-BE32-E72D297353CC}">
              <c16:uniqueId val="{00000000-CF7B-47CD-9EC6-F175B15132A8}"/>
            </c:ext>
          </c:extLst>
        </c:ser>
        <c:dLbls>
          <c:showLegendKey val="0"/>
          <c:showVal val="0"/>
          <c:showCatName val="0"/>
          <c:showSerName val="0"/>
          <c:showPercent val="0"/>
          <c:showBubbleSize val="0"/>
        </c:dLbls>
        <c:marker val="1"/>
        <c:smooth val="0"/>
        <c:axId val="289393920"/>
        <c:axId val="289405152"/>
        <c:extLst>
          <c:ext xmlns:c15="http://schemas.microsoft.com/office/drawing/2012/chart" uri="{02D57815-91ED-43cb-92C2-25804820EDAC}">
            <c15:filteredLineSeries>
              <c15:ser>
                <c:idx val="0"/>
                <c:order val="0"/>
                <c:tx>
                  <c:strRef>
                    <c:extLst>
                      <c:ext uri="{02D57815-91ED-43cb-92C2-25804820EDAC}">
                        <c15:formulaRef>
                          <c15:sqref>SENSITIVITY!$B$18</c15:sqref>
                        </c15:formulaRef>
                      </c:ext>
                    </c:extLst>
                    <c:strCache>
                      <c:ptCount val="1"/>
                      <c:pt idx="0">
                        <c:v>Salary Growth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extLst>
                      <c:ext uri="{02D57815-91ED-43cb-92C2-25804820EDAC}">
                        <c15:formulaRef>
                          <c15:sqref>SENSITIVITY!$B$19:$B$23</c15:sqref>
                        </c15:formulaRef>
                      </c:ext>
                    </c:extLst>
                    <c:strCache>
                      <c:ptCount val="5"/>
                      <c:pt idx="0">
                        <c:v>6%</c:v>
                      </c:pt>
                      <c:pt idx="1">
                        <c:v>8%</c:v>
                      </c:pt>
                      <c:pt idx="2">
                        <c:v>10% (base)</c:v>
                      </c:pt>
                      <c:pt idx="3">
                        <c:v>12%</c:v>
                      </c:pt>
                      <c:pt idx="4">
                        <c:v>14%</c:v>
                      </c:pt>
                    </c:strCache>
                  </c:strRef>
                </c:cat>
                <c:val>
                  <c:numRef>
                    <c:extLst>
                      <c:ext uri="{02D57815-91ED-43cb-92C2-25804820EDAC}">
                        <c15:formulaRef>
                          <c15:sqref>SENSITIVITY!$B$19:$B$23</c15:sqref>
                        </c15:formulaRef>
                      </c:ext>
                    </c:extLst>
                    <c:numCache>
                      <c:formatCode>0%</c:formatCode>
                      <c:ptCount val="5"/>
                      <c:pt idx="0">
                        <c:v>0.06</c:v>
                      </c:pt>
                      <c:pt idx="1">
                        <c:v>0.08</c:v>
                      </c:pt>
                      <c:pt idx="2">
                        <c:v>0</c:v>
                      </c:pt>
                      <c:pt idx="3">
                        <c:v>0.12</c:v>
                      </c:pt>
                      <c:pt idx="4">
                        <c:v>0.14000000000000001</c:v>
                      </c:pt>
                    </c:numCache>
                  </c:numRef>
                </c:val>
                <c:smooth val="0"/>
                <c:extLst>
                  <c:ext xmlns:c16="http://schemas.microsoft.com/office/drawing/2014/chart" uri="{C3380CC4-5D6E-409C-BE32-E72D297353CC}">
                    <c16:uniqueId val="{00000001-CF7B-47CD-9EC6-F175B15132A8}"/>
                  </c:ext>
                </c:extLst>
              </c15:ser>
            </c15:filteredLineSeries>
          </c:ext>
        </c:extLst>
      </c:lineChart>
      <c:catAx>
        <c:axId val="289393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9405152"/>
        <c:crosses val="autoZero"/>
        <c:auto val="1"/>
        <c:lblAlgn val="ctr"/>
        <c:lblOffset val="100"/>
        <c:noMultiLvlLbl val="0"/>
      </c:catAx>
      <c:valAx>
        <c:axId val="289405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9393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Gratuity</a:t>
            </a:r>
            <a:r>
              <a:rPr lang="en-US" baseline="0"/>
              <a:t> Liability vs Attrition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156163704292663"/>
          <c:y val="0.17637685533210787"/>
          <c:w val="0.87455128369540125"/>
          <c:h val="0.73907834691395291"/>
        </c:manualLayout>
      </c:layout>
      <c:lineChart>
        <c:grouping val="standard"/>
        <c:varyColors val="0"/>
        <c:ser>
          <c:idx val="1"/>
          <c:order val="1"/>
          <c:tx>
            <c:strRef>
              <c:f>SENSITIVITY!$C$37</c:f>
              <c:strCache>
                <c:ptCount val="1"/>
                <c:pt idx="0">
                  <c:v>Pv of Obligation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SENSITIVITY!$B$38:$B$42</c:f>
              <c:strCache>
                <c:ptCount val="5"/>
                <c:pt idx="0">
                  <c:v>0.1</c:v>
                </c:pt>
                <c:pt idx="1">
                  <c:v>0.15</c:v>
                </c:pt>
                <c:pt idx="2">
                  <c:v>0.2 (base)</c:v>
                </c:pt>
                <c:pt idx="3">
                  <c:v>0.25</c:v>
                </c:pt>
                <c:pt idx="4">
                  <c:v>0.3</c:v>
                </c:pt>
              </c:strCache>
            </c:strRef>
          </c:cat>
          <c:val>
            <c:numRef>
              <c:f>SENSITIVITY!$C$38:$C$42</c:f>
              <c:numCache>
                <c:formatCode>General</c:formatCode>
                <c:ptCount val="5"/>
                <c:pt idx="0">
                  <c:v>2517910.3470255192</c:v>
                </c:pt>
                <c:pt idx="1">
                  <c:v>1050731.7993630595</c:v>
                </c:pt>
                <c:pt idx="2">
                  <c:v>486902.44247352914</c:v>
                </c:pt>
                <c:pt idx="3">
                  <c:v>244624.42746945465</c:v>
                </c:pt>
                <c:pt idx="4">
                  <c:v>129498.30339335326</c:v>
                </c:pt>
              </c:numCache>
            </c:numRef>
          </c:val>
          <c:smooth val="0"/>
          <c:extLst>
            <c:ext xmlns:c16="http://schemas.microsoft.com/office/drawing/2014/chart" uri="{C3380CC4-5D6E-409C-BE32-E72D297353CC}">
              <c16:uniqueId val="{00000000-1F7F-47E3-98A4-6BA62ECFA0EF}"/>
            </c:ext>
          </c:extLst>
        </c:ser>
        <c:dLbls>
          <c:showLegendKey val="0"/>
          <c:showVal val="0"/>
          <c:showCatName val="0"/>
          <c:showSerName val="0"/>
          <c:showPercent val="0"/>
          <c:showBubbleSize val="0"/>
        </c:dLbls>
        <c:marker val="1"/>
        <c:smooth val="0"/>
        <c:axId val="164906656"/>
        <c:axId val="164901248"/>
        <c:extLst>
          <c:ext xmlns:c15="http://schemas.microsoft.com/office/drawing/2012/chart" uri="{02D57815-91ED-43cb-92C2-25804820EDAC}">
            <c15:filteredLineSeries>
              <c15:ser>
                <c:idx val="0"/>
                <c:order val="0"/>
                <c:tx>
                  <c:strRef>
                    <c:extLst>
                      <c:ext uri="{02D57815-91ED-43cb-92C2-25804820EDAC}">
                        <c15:formulaRef>
                          <c15:sqref>SENSITIVITY!$B$37</c15:sqref>
                        </c15:formulaRef>
                      </c:ext>
                    </c:extLst>
                    <c:strCache>
                      <c:ptCount val="1"/>
                      <c:pt idx="0">
                        <c:v>Attrition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extLst>
                      <c:ext uri="{02D57815-91ED-43cb-92C2-25804820EDAC}">
                        <c15:formulaRef>
                          <c15:sqref>SENSITIVITY!$B$38:$B$42</c15:sqref>
                        </c15:formulaRef>
                      </c:ext>
                    </c:extLst>
                    <c:strCache>
                      <c:ptCount val="5"/>
                      <c:pt idx="0">
                        <c:v>0.1</c:v>
                      </c:pt>
                      <c:pt idx="1">
                        <c:v>0.15</c:v>
                      </c:pt>
                      <c:pt idx="2">
                        <c:v>0.2 (base)</c:v>
                      </c:pt>
                      <c:pt idx="3">
                        <c:v>0.25</c:v>
                      </c:pt>
                      <c:pt idx="4">
                        <c:v>0.3</c:v>
                      </c:pt>
                    </c:strCache>
                  </c:strRef>
                </c:cat>
                <c:val>
                  <c:numRef>
                    <c:extLst>
                      <c:ext uri="{02D57815-91ED-43cb-92C2-25804820EDAC}">
                        <c15:formulaRef>
                          <c15:sqref>SENSITIVITY!$B$38:$B$42</c15:sqref>
                        </c15:formulaRef>
                      </c:ext>
                    </c:extLst>
                    <c:numCache>
                      <c:formatCode>General</c:formatCode>
                      <c:ptCount val="5"/>
                      <c:pt idx="0">
                        <c:v>0.1</c:v>
                      </c:pt>
                      <c:pt idx="1">
                        <c:v>0.15</c:v>
                      </c:pt>
                      <c:pt idx="2">
                        <c:v>0</c:v>
                      </c:pt>
                      <c:pt idx="3">
                        <c:v>0.25</c:v>
                      </c:pt>
                      <c:pt idx="4">
                        <c:v>0.3</c:v>
                      </c:pt>
                    </c:numCache>
                  </c:numRef>
                </c:val>
                <c:smooth val="0"/>
                <c:extLst>
                  <c:ext xmlns:c16="http://schemas.microsoft.com/office/drawing/2014/chart" uri="{C3380CC4-5D6E-409C-BE32-E72D297353CC}">
                    <c16:uniqueId val="{00000001-1F7F-47E3-98A4-6BA62ECFA0EF}"/>
                  </c:ext>
                </c:extLst>
              </c15:ser>
            </c15:filteredLineSeries>
          </c:ext>
        </c:extLst>
      </c:lineChart>
      <c:catAx>
        <c:axId val="164906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901248"/>
        <c:crosses val="autoZero"/>
        <c:auto val="1"/>
        <c:lblAlgn val="ctr"/>
        <c:lblOffset val="100"/>
        <c:noMultiLvlLbl val="0"/>
      </c:catAx>
      <c:valAx>
        <c:axId val="164901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906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1366</Words>
  <Characters>7789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2026-05-25T10:22:00Z</dcterms:created>
  <dcterms:modified xsi:type="dcterms:W3CDTF">2026-05-25T14:16:00Z</dcterms:modified>
</cp:coreProperties>
</file>