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/>
          <w:b/>
          <w:i w:val="0"/>
          <w:color w:val="1F4E79"/>
          <w:sz w:val="44"/>
        </w:rPr>
        <w:t>PARTH SETHI</w:t>
      </w:r>
    </w:p>
    <w:p>
      <w:pPr>
        <w:spacing w:before="0" w:after="40" w:line="240" w:lineRule="auto"/>
        <w:jc w:val="center"/>
      </w:pPr>
      <w:r>
        <w:rPr>
          <w:rFonts w:ascii="Calibri" w:hAnsi="Calibri"/>
          <w:b w:val="0"/>
          <w:i w:val="0"/>
          <w:color w:val="444444"/>
          <w:sz w:val="24"/>
        </w:rPr>
        <w:t>Senior Software Engineer</w:t>
      </w:r>
    </w:p>
    <w:p>
      <w:pPr>
        <w:spacing w:before="0" w:after="40" w:line="240" w:lineRule="auto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Seattle, WA  |  +1 (352) 745-9455  |  sethiparth.ps@gmail.com  |  https://linkedin.com/in/parth-sethi-a24753b7  |  https://sethiparth.github.io</w:t>
      </w:r>
    </w:p>
    <w:p>
      <w:pPr>
        <w:spacing w:before="80" w:after="40" w:line="240" w:lineRule="auto"/>
        <w:pBdr>
          <w:bottom w:val="single" w:sz="6" w:space="2" w:color="1F4E79"/>
        </w:pBdr>
      </w:pPr>
      <w:r>
        <w:rPr>
          <w:rFonts w:ascii="Calibri" w:hAnsi="Calibri"/>
          <w:b/>
          <w:i w:val="0"/>
          <w:color w:val="1F4E79"/>
          <w:sz w:val="22"/>
        </w:rPr>
        <w:t>SUMMARY</w:t>
      </w:r>
    </w:p>
    <w:p>
      <w:pPr>
        <w:spacing w:before="40" w:after="20" w:line="252" w:lineRule="auto"/>
      </w:pPr>
      <w:r>
        <w:rPr>
          <w:rFonts w:ascii="Calibri" w:hAnsi="Calibri"/>
          <w:b w:val="0"/>
          <w:i w:val="0"/>
          <w:color w:val="1A1A1A"/>
          <w:sz w:val="20"/>
        </w:rPr>
        <w:t>Senior Software Engineer, 6+ years designing high-throughput, fault-tolerant distributed systems and gRPC microservices at AWS and Salesforce. Operates at lead scope - architecting platforms end to end, coordinating cross-team launches, and setting the standards other teams build against. Recent work: the rendering engine serving a $1B+ revenue channel, a 10x throughput gain, and a 99.999% monthly availability SLO.</w:t>
      </w:r>
    </w:p>
    <w:p>
      <w:pPr>
        <w:spacing w:before="80" w:after="40" w:line="240" w:lineRule="auto"/>
        <w:pBdr>
          <w:bottom w:val="single" w:sz="6" w:space="2" w:color="1F4E79"/>
        </w:pBdr>
      </w:pPr>
      <w:r>
        <w:rPr>
          <w:rFonts w:ascii="Calibri" w:hAnsi="Calibri"/>
          <w:b/>
          <w:i w:val="0"/>
          <w:color w:val="1F4E79"/>
          <w:sz w:val="22"/>
        </w:rPr>
        <w:t>PROFESSIONAL EXPERIENCE</w:t>
      </w:r>
    </w:p>
    <w:p>
      <w:pPr>
        <w:tabs>
          <w:tab w:pos="10512" w:val="right"/>
        </w:tabs>
        <w:spacing w:before="60" w:after="0" w:line="240" w:lineRule="auto"/>
      </w:pPr>
      <w:r>
        <w:rPr>
          <w:rFonts w:ascii="Calibri" w:hAnsi="Calibri"/>
          <w:b/>
          <w:i w:val="0"/>
          <w:color w:val="1A1A1A"/>
          <w:sz w:val="21"/>
        </w:rPr>
        <w:t>Salesforce</w:t>
      </w:r>
      <w:r>
        <w:rPr>
          <w:rFonts w:ascii="Calibri" w:hAnsi="Calibri"/>
          <w:b w:val="0"/>
          <w:i w:val="0"/>
          <w:color w:val="1A1A1A"/>
          <w:sz w:val="20"/>
        </w:rPr>
        <w:tab/>
      </w:r>
      <w:r>
        <w:rPr>
          <w:rFonts w:ascii="Calibri" w:hAnsi="Calibri"/>
          <w:b/>
          <w:i w:val="0"/>
          <w:color w:val="444444"/>
          <w:sz w:val="19"/>
        </w:rPr>
        <w:t>May 2022 - Present</w:t>
      </w:r>
    </w:p>
    <w:p>
      <w:pPr>
        <w:spacing w:before="0" w:after="20" w:line="240" w:lineRule="auto"/>
      </w:pPr>
      <w:r>
        <w:rPr>
          <w:rFonts w:ascii="Calibri" w:hAnsi="Calibri"/>
          <w:b w:val="0"/>
          <w:i/>
          <w:color w:val="444444"/>
          <w:sz w:val="20"/>
        </w:rPr>
        <w:t>Senior Software Engineer (SMTS), Seattle, WA</w:t>
      </w:r>
    </w:p>
    <w:p>
      <w:pPr>
        <w:spacing w:before="0" w:after="20" w:line="240" w:lineRule="auto"/>
        <w:ind w:left="317" w:hanging="187"/>
      </w:pPr>
      <w:r>
        <w:rPr>
          <w:rFonts w:ascii="Calibri" w:hAnsi="Calibri"/>
          <w:b w:val="0"/>
          <w:i w:val="0"/>
          <w:color w:val="1A1A1A"/>
          <w:sz w:val="20"/>
        </w:rPr>
        <w:t xml:space="preserve">•  </w:t>
      </w:r>
      <w:r>
        <w:rPr>
          <w:rFonts w:ascii="Calibri" w:hAnsi="Calibri"/>
          <w:b/>
          <w:i w:val="0"/>
          <w:color w:val="1A1A1A"/>
          <w:sz w:val="20"/>
        </w:rPr>
        <w:t>Architected "Sage" from scratch</w:t>
      </w:r>
      <w:r>
        <w:rPr>
          <w:rFonts w:ascii="Calibri" w:hAnsi="Calibri"/>
          <w:b w:val="0"/>
          <w:i w:val="0"/>
          <w:color w:val="1A1A1A"/>
          <w:sz w:val="20"/>
        </w:rPr>
        <w:t>, a two-step gRPC microservices rendering engine replacing the legacy E360 platform. Where the legacy library was a thin, low-level wrapper over Handlebars.js, Sage is a higher-order engine with deep, composable helpers; shipped two releases ahead of schedule.</w:t>
      </w:r>
    </w:p>
    <w:p>
      <w:pPr>
        <w:spacing w:before="0" w:after="20" w:line="240" w:lineRule="auto"/>
        <w:ind w:left="317" w:hanging="187"/>
      </w:pPr>
      <w:r>
        <w:rPr>
          <w:rFonts w:ascii="Calibri" w:hAnsi="Calibri"/>
          <w:b w:val="0"/>
          <w:i w:val="0"/>
          <w:color w:val="1A1A1A"/>
          <w:sz w:val="20"/>
        </w:rPr>
        <w:t xml:space="preserve">•  </w:t>
      </w:r>
      <w:r>
        <w:rPr>
          <w:rFonts w:ascii="Calibri" w:hAnsi="Calibri"/>
          <w:b w:val="0"/>
          <w:i w:val="0"/>
          <w:color w:val="1A1A1A"/>
          <w:sz w:val="20"/>
        </w:rPr>
        <w:t xml:space="preserve">Led a cross-org effort across </w:t>
      </w:r>
      <w:r>
        <w:rPr>
          <w:rFonts w:ascii="Calibri" w:hAnsi="Calibri"/>
          <w:b/>
          <w:i w:val="0"/>
          <w:color w:val="1A1A1A"/>
          <w:sz w:val="20"/>
        </w:rPr>
        <w:t>Q3 and Q4</w:t>
      </w:r>
      <w:r>
        <w:rPr>
          <w:rFonts w:ascii="Calibri" w:hAnsi="Calibri"/>
          <w:b w:val="0"/>
          <w:i w:val="0"/>
          <w:color w:val="1A1A1A"/>
          <w:sz w:val="20"/>
        </w:rPr>
        <w:t xml:space="preserve">, coordinating </w:t>
      </w:r>
      <w:r>
        <w:rPr>
          <w:rFonts w:ascii="Calibri" w:hAnsi="Calibri"/>
          <w:b/>
          <w:i w:val="0"/>
          <w:color w:val="1A1A1A"/>
          <w:sz w:val="20"/>
        </w:rPr>
        <w:t>4+ teams</w:t>
      </w:r>
      <w:r>
        <w:rPr>
          <w:rFonts w:ascii="Calibri" w:hAnsi="Calibri"/>
          <w:b w:val="0"/>
          <w:i w:val="0"/>
          <w:color w:val="1A1A1A"/>
          <w:sz w:val="20"/>
        </w:rPr>
        <w:t xml:space="preserve"> and their dedicated test campaigns to clear Sage for launch - surfacing and fixing issues that hardened performance under peak request rates and heavy load.</w:t>
      </w:r>
    </w:p>
    <w:p>
      <w:pPr>
        <w:spacing w:before="0" w:after="20" w:line="240" w:lineRule="auto"/>
        <w:ind w:left="317" w:hanging="187"/>
      </w:pPr>
      <w:r>
        <w:rPr>
          <w:rFonts w:ascii="Calibri" w:hAnsi="Calibri"/>
          <w:b w:val="0"/>
          <w:i w:val="0"/>
          <w:color w:val="1A1A1A"/>
          <w:sz w:val="20"/>
        </w:rPr>
        <w:t xml:space="preserve">•  </w:t>
      </w:r>
      <w:r>
        <w:rPr>
          <w:rFonts w:ascii="Calibri" w:hAnsi="Calibri"/>
          <w:b w:val="0"/>
          <w:i w:val="0"/>
          <w:color w:val="1A1A1A"/>
          <w:sz w:val="20"/>
        </w:rPr>
        <w:t xml:space="preserve">Led and orchestrated the migration of </w:t>
      </w:r>
      <w:r>
        <w:rPr>
          <w:rFonts w:ascii="Calibri" w:hAnsi="Calibri"/>
          <w:b/>
          <w:i w:val="0"/>
          <w:color w:val="1A1A1A"/>
          <w:sz w:val="20"/>
        </w:rPr>
        <w:t>100% of customers</w:t>
      </w:r>
      <w:r>
        <w:rPr>
          <w:rFonts w:ascii="Calibri" w:hAnsi="Calibri"/>
          <w:b w:val="0"/>
          <w:i w:val="0"/>
          <w:color w:val="1A1A1A"/>
          <w:sz w:val="20"/>
        </w:rPr>
        <w:t xml:space="preserve"> onto Sage with no downtime and no customer action required, reaching 100% functional parity via a custom Compatibility Testing Framework built with Product.</w:t>
      </w:r>
    </w:p>
    <w:p>
      <w:pPr>
        <w:spacing w:before="0" w:after="20" w:line="240" w:lineRule="auto"/>
        <w:ind w:left="317" w:hanging="187"/>
      </w:pPr>
      <w:r>
        <w:rPr>
          <w:rFonts w:ascii="Calibri" w:hAnsi="Calibri"/>
          <w:b w:val="0"/>
          <w:i w:val="0"/>
          <w:color w:val="1A1A1A"/>
          <w:sz w:val="20"/>
        </w:rPr>
        <w:t xml:space="preserve">•  </w:t>
      </w:r>
      <w:r>
        <w:rPr>
          <w:rFonts w:ascii="Calibri" w:hAnsi="Calibri"/>
          <w:b/>
          <w:i w:val="0"/>
          <w:color w:val="1A1A1A"/>
          <w:sz w:val="20"/>
        </w:rPr>
        <w:t>Set the reference architecture</w:t>
      </w:r>
      <w:r>
        <w:rPr>
          <w:rFonts w:ascii="Calibri" w:hAnsi="Calibri"/>
          <w:b w:val="0"/>
          <w:i w:val="0"/>
          <w:color w:val="1A1A1A"/>
          <w:sz w:val="20"/>
        </w:rPr>
        <w:t xml:space="preserve"> now shared across </w:t>
      </w:r>
      <w:r>
        <w:rPr>
          <w:rFonts w:ascii="Calibri" w:hAnsi="Calibri"/>
          <w:b/>
          <w:i w:val="0"/>
          <w:color w:val="1A1A1A"/>
          <w:sz w:val="20"/>
        </w:rPr>
        <w:t>3 channels</w:t>
      </w:r>
      <w:r>
        <w:rPr>
          <w:rFonts w:ascii="Calibri" w:hAnsi="Calibri"/>
          <w:b w:val="0"/>
          <w:i w:val="0"/>
          <w:color w:val="1A1A1A"/>
          <w:sz w:val="20"/>
        </w:rPr>
        <w:t xml:space="preserve"> (SMS, email, RCS) as one engine - driving the design reviews and standards other teams build against.</w:t>
      </w:r>
    </w:p>
    <w:p>
      <w:pPr>
        <w:spacing w:before="0" w:after="20" w:line="240" w:lineRule="auto"/>
        <w:ind w:left="317" w:hanging="187"/>
      </w:pPr>
      <w:r>
        <w:rPr>
          <w:rFonts w:ascii="Calibri" w:hAnsi="Calibri"/>
          <w:b w:val="0"/>
          <w:i w:val="0"/>
          <w:color w:val="1A1A1A"/>
          <w:sz w:val="20"/>
        </w:rPr>
        <w:t xml:space="preserve">•  </w:t>
      </w:r>
      <w:r>
        <w:rPr>
          <w:rFonts w:ascii="Calibri" w:hAnsi="Calibri"/>
          <w:b/>
          <w:i w:val="0"/>
          <w:color w:val="1A1A1A"/>
          <w:sz w:val="20"/>
        </w:rPr>
        <w:t>Built an agentic automation pipeline (Claude)</w:t>
      </w:r>
      <w:r>
        <w:rPr>
          <w:rFonts w:ascii="Calibri" w:hAnsi="Calibri"/>
          <w:b w:val="0"/>
          <w:i w:val="0"/>
          <w:color w:val="1A1A1A"/>
          <w:sz w:val="20"/>
        </w:rPr>
        <w:t xml:space="preserve"> that replaced a manual </w:t>
      </w:r>
      <w:r>
        <w:rPr>
          <w:rFonts w:ascii="Calibri" w:hAnsi="Calibri"/>
          <w:b/>
          <w:i w:val="0"/>
          <w:color w:val="1A1A1A"/>
          <w:sz w:val="20"/>
        </w:rPr>
        <w:t>~4-hour-per-org</w:t>
      </w:r>
      <w:r>
        <w:rPr>
          <w:rFonts w:ascii="Calibri" w:hAnsi="Calibri"/>
          <w:b w:val="0"/>
          <w:i w:val="0"/>
          <w:color w:val="1A1A1A"/>
          <w:sz w:val="20"/>
        </w:rPr>
        <w:t xml:space="preserve"> setup - provisioning, test sends, and health checks - reclaiming engineer-weeks each quarter.</w:t>
      </w:r>
    </w:p>
    <w:p>
      <w:pPr>
        <w:spacing w:before="0" w:after="20" w:line="240" w:lineRule="auto"/>
        <w:ind w:left="317" w:hanging="187"/>
      </w:pPr>
      <w:r>
        <w:rPr>
          <w:rFonts w:ascii="Calibri" w:hAnsi="Calibri"/>
          <w:b w:val="0"/>
          <w:i w:val="0"/>
          <w:color w:val="1A1A1A"/>
          <w:sz w:val="20"/>
        </w:rPr>
        <w:t xml:space="preserve">•  </w:t>
      </w:r>
      <w:r>
        <w:rPr>
          <w:rFonts w:ascii="Calibri" w:hAnsi="Calibri"/>
          <w:b w:val="0"/>
          <w:i w:val="0"/>
          <w:color w:val="1A1A1A"/>
          <w:sz w:val="20"/>
        </w:rPr>
        <w:t xml:space="preserve">Drove a </w:t>
      </w:r>
      <w:r>
        <w:rPr>
          <w:rFonts w:ascii="Calibri" w:hAnsi="Calibri"/>
          <w:b/>
          <w:i w:val="0"/>
          <w:color w:val="1A1A1A"/>
          <w:sz w:val="20"/>
        </w:rPr>
        <w:t>10x throughput gain</w:t>
      </w:r>
      <w:r>
        <w:rPr>
          <w:rFonts w:ascii="Calibri" w:hAnsi="Calibri"/>
          <w:b w:val="0"/>
          <w:i w:val="0"/>
          <w:color w:val="1A1A1A"/>
          <w:sz w:val="20"/>
        </w:rPr>
        <w:t>, 4M to 40M emails/hour, through DynamoDB batch tuning, Redis caching and deduplication, and quota-aware bulk sends.</w:t>
      </w:r>
    </w:p>
    <w:p>
      <w:pPr>
        <w:spacing w:before="0" w:after="20" w:line="240" w:lineRule="auto"/>
        <w:ind w:left="317" w:hanging="187"/>
      </w:pPr>
      <w:r>
        <w:rPr>
          <w:rFonts w:ascii="Calibri" w:hAnsi="Calibri"/>
          <w:b w:val="0"/>
          <w:i w:val="0"/>
          <w:color w:val="1A1A1A"/>
          <w:sz w:val="20"/>
        </w:rPr>
        <w:t xml:space="preserve">•  </w:t>
      </w:r>
      <w:r>
        <w:rPr>
          <w:rFonts w:ascii="Calibri" w:hAnsi="Calibri"/>
          <w:b/>
          <w:i w:val="0"/>
          <w:color w:val="1A1A1A"/>
          <w:sz w:val="20"/>
        </w:rPr>
        <w:t>Built a pre-deploy validation framework</w:t>
      </w:r>
      <w:r>
        <w:rPr>
          <w:rFonts w:ascii="Calibri" w:hAnsi="Calibri"/>
          <w:b w:val="0"/>
          <w:i w:val="0"/>
          <w:color w:val="1A1A1A"/>
          <w:sz w:val="20"/>
        </w:rPr>
        <w:t xml:space="preserve"> that caught regressions before rollout, sustaining a </w:t>
      </w:r>
      <w:r>
        <w:rPr>
          <w:rFonts w:ascii="Calibri" w:hAnsi="Calibri"/>
          <w:b/>
          <w:i w:val="0"/>
          <w:color w:val="1A1A1A"/>
          <w:sz w:val="20"/>
        </w:rPr>
        <w:t>99.999%</w:t>
      </w:r>
      <w:r>
        <w:rPr>
          <w:rFonts w:ascii="Calibri" w:hAnsi="Calibri"/>
          <w:b w:val="0"/>
          <w:i w:val="0"/>
          <w:color w:val="1A1A1A"/>
          <w:sz w:val="20"/>
        </w:rPr>
        <w:t xml:space="preserve"> monthly service-availability SLO; on call, cut incident response load and PagerDuty alerts by 10+/week.</w:t>
      </w:r>
    </w:p>
    <w:p>
      <w:pPr>
        <w:tabs>
          <w:tab w:pos="10512" w:val="right"/>
        </w:tabs>
        <w:spacing w:before="60" w:after="0" w:line="240" w:lineRule="auto"/>
      </w:pPr>
      <w:r>
        <w:rPr>
          <w:rFonts w:ascii="Calibri" w:hAnsi="Calibri"/>
          <w:b/>
          <w:i w:val="0"/>
          <w:color w:val="1A1A1A"/>
          <w:sz w:val="21"/>
        </w:rPr>
        <w:t>Amazon Web Services (AWS)</w:t>
      </w:r>
      <w:r>
        <w:rPr>
          <w:rFonts w:ascii="Calibri" w:hAnsi="Calibri"/>
          <w:b w:val="0"/>
          <w:i w:val="0"/>
          <w:color w:val="1A1A1A"/>
          <w:sz w:val="20"/>
        </w:rPr>
        <w:tab/>
      </w:r>
      <w:r>
        <w:rPr>
          <w:rFonts w:ascii="Calibri" w:hAnsi="Calibri"/>
          <w:b/>
          <w:i w:val="0"/>
          <w:color w:val="444444"/>
          <w:sz w:val="19"/>
        </w:rPr>
        <w:t>Oct 2019 - May 2022</w:t>
      </w:r>
    </w:p>
    <w:p>
      <w:pPr>
        <w:spacing w:before="0" w:after="20" w:line="240" w:lineRule="auto"/>
      </w:pPr>
      <w:r>
        <w:rPr>
          <w:rFonts w:ascii="Calibri" w:hAnsi="Calibri"/>
          <w:b w:val="0"/>
          <w:i/>
          <w:color w:val="444444"/>
          <w:sz w:val="20"/>
        </w:rPr>
        <w:t>Software Development Engineer, Seattle, WA</w:t>
      </w:r>
    </w:p>
    <w:p>
      <w:pPr>
        <w:spacing w:before="0" w:after="20" w:line="240" w:lineRule="auto"/>
        <w:ind w:left="317" w:hanging="187"/>
      </w:pPr>
      <w:r>
        <w:rPr>
          <w:rFonts w:ascii="Calibri" w:hAnsi="Calibri"/>
          <w:b w:val="0"/>
          <w:i w:val="0"/>
          <w:color w:val="1A1A1A"/>
          <w:sz w:val="20"/>
        </w:rPr>
        <w:t xml:space="preserve">•  </w:t>
      </w:r>
      <w:r>
        <w:rPr>
          <w:rFonts w:ascii="Calibri" w:hAnsi="Calibri"/>
          <w:b/>
          <w:i w:val="0"/>
          <w:color w:val="1A1A1A"/>
          <w:sz w:val="20"/>
        </w:rPr>
        <w:t>Rearchitected the EC2 maintenance service</w:t>
      </w:r>
      <w:r>
        <w:rPr>
          <w:rFonts w:ascii="Calibri" w:hAnsi="Calibri"/>
          <w:b w:val="0"/>
          <w:i w:val="0"/>
          <w:color w:val="1A1A1A"/>
          <w:sz w:val="20"/>
        </w:rPr>
        <w:t xml:space="preserve"> to fire "reboot" instance events across 25 public regions, protecting </w:t>
      </w:r>
      <w:r>
        <w:rPr>
          <w:rFonts w:ascii="Calibri" w:hAnsi="Calibri"/>
          <w:b/>
          <w:i w:val="0"/>
          <w:color w:val="1A1A1A"/>
          <w:sz w:val="20"/>
        </w:rPr>
        <w:t>556,000+</w:t>
      </w:r>
      <w:r>
        <w:rPr>
          <w:rFonts w:ascii="Calibri" w:hAnsi="Calibri"/>
          <w:b w:val="0"/>
          <w:i w:val="0"/>
          <w:color w:val="1A1A1A"/>
          <w:sz w:val="20"/>
        </w:rPr>
        <w:t xml:space="preserve"> customers' instance data on degraded hardware.</w:t>
      </w:r>
    </w:p>
    <w:p>
      <w:pPr>
        <w:spacing w:before="0" w:after="20" w:line="240" w:lineRule="auto"/>
        <w:ind w:left="317" w:hanging="187"/>
      </w:pPr>
      <w:r>
        <w:rPr>
          <w:rFonts w:ascii="Calibri" w:hAnsi="Calibri"/>
          <w:b w:val="0"/>
          <w:i w:val="0"/>
          <w:color w:val="1A1A1A"/>
          <w:sz w:val="20"/>
        </w:rPr>
        <w:t xml:space="preserve">•  </w:t>
      </w:r>
      <w:r>
        <w:rPr>
          <w:rFonts w:ascii="Calibri" w:hAnsi="Calibri"/>
          <w:b/>
          <w:i w:val="0"/>
          <w:color w:val="1A1A1A"/>
          <w:sz w:val="20"/>
        </w:rPr>
        <w:t>Redesigned EC2 maintenance scheduling</w:t>
      </w:r>
      <w:r>
        <w:rPr>
          <w:rFonts w:ascii="Calibri" w:hAnsi="Calibri"/>
          <w:b w:val="0"/>
          <w:i w:val="0"/>
          <w:color w:val="1A1A1A"/>
          <w:sz w:val="20"/>
        </w:rPr>
        <w:t xml:space="preserve"> with a best-fit algorithm, eliminating daily manual scripts and cutting "no time slot" errors by 100s every two weeks.</w:t>
      </w:r>
    </w:p>
    <w:p>
      <w:pPr>
        <w:spacing w:before="0" w:after="20" w:line="240" w:lineRule="auto"/>
        <w:ind w:left="317" w:hanging="187"/>
      </w:pPr>
      <w:r>
        <w:rPr>
          <w:rFonts w:ascii="Calibri" w:hAnsi="Calibri"/>
          <w:b w:val="0"/>
          <w:i w:val="0"/>
          <w:color w:val="1A1A1A"/>
          <w:sz w:val="20"/>
        </w:rPr>
        <w:t xml:space="preserve">•  </w:t>
      </w:r>
      <w:r>
        <w:rPr>
          <w:rFonts w:ascii="Calibri" w:hAnsi="Calibri"/>
          <w:b/>
          <w:i w:val="0"/>
          <w:color w:val="1A1A1A"/>
          <w:sz w:val="20"/>
        </w:rPr>
        <w:t>Automated manual maintenance escalations</w:t>
      </w:r>
      <w:r>
        <w:rPr>
          <w:rFonts w:ascii="Calibri" w:hAnsi="Calibri"/>
          <w:b w:val="0"/>
          <w:i w:val="0"/>
          <w:color w:val="1A1A1A"/>
          <w:sz w:val="20"/>
        </w:rPr>
        <w:t xml:space="preserve"> on internal EC2 fleets, removing </w:t>
      </w:r>
      <w:r>
        <w:rPr>
          <w:rFonts w:ascii="Calibri" w:hAnsi="Calibri"/>
          <w:b/>
          <w:i w:val="0"/>
          <w:color w:val="1A1A1A"/>
          <w:sz w:val="20"/>
        </w:rPr>
        <w:t>4,000 escalations/year</w:t>
      </w:r>
      <w:r>
        <w:rPr>
          <w:rFonts w:ascii="Calibri" w:hAnsi="Calibri"/>
          <w:b w:val="0"/>
          <w:i w:val="0"/>
          <w:color w:val="1A1A1A"/>
          <w:sz w:val="20"/>
        </w:rPr>
        <w:t xml:space="preserve"> and hundreds of engineer-hours.</w:t>
      </w:r>
    </w:p>
    <w:p>
      <w:pPr>
        <w:spacing w:before="0" w:after="20" w:line="240" w:lineRule="auto"/>
        <w:ind w:left="317" w:hanging="187"/>
      </w:pPr>
      <w:r>
        <w:rPr>
          <w:rFonts w:ascii="Calibri" w:hAnsi="Calibri"/>
          <w:b w:val="0"/>
          <w:i w:val="0"/>
          <w:color w:val="1A1A1A"/>
          <w:sz w:val="20"/>
        </w:rPr>
        <w:t xml:space="preserve">•  </w:t>
      </w:r>
      <w:r>
        <w:rPr>
          <w:rFonts w:ascii="Calibri" w:hAnsi="Calibri"/>
          <w:b/>
          <w:i w:val="0"/>
          <w:color w:val="1A1A1A"/>
          <w:sz w:val="20"/>
        </w:rPr>
        <w:t>Designed a customer-window scheduling algorithm</w:t>
      </w:r>
      <w:r>
        <w:rPr>
          <w:rFonts w:ascii="Calibri" w:hAnsi="Calibri"/>
          <w:b w:val="0"/>
          <w:i w:val="0"/>
          <w:color w:val="1A1A1A"/>
          <w:sz w:val="20"/>
        </w:rPr>
        <w:t xml:space="preserve"> giving 10,000+ customers control over maintenance timing, plus an EC2 KPI "pain index" to predict and reduce escalations.</w:t>
      </w:r>
    </w:p>
    <w:p>
      <w:pPr>
        <w:tabs>
          <w:tab w:pos="10512" w:val="right"/>
        </w:tabs>
        <w:spacing w:before="60" w:after="0" w:line="240" w:lineRule="auto"/>
      </w:pPr>
      <w:r>
        <w:rPr>
          <w:rFonts w:ascii="Calibri" w:hAnsi="Calibri"/>
          <w:b/>
          <w:i w:val="0"/>
          <w:color w:val="1A1A1A"/>
          <w:sz w:val="21"/>
        </w:rPr>
        <w:t>OM Partners</w:t>
      </w:r>
      <w:r>
        <w:rPr>
          <w:rFonts w:ascii="Calibri" w:hAnsi="Calibri"/>
          <w:b w:val="0"/>
          <w:i w:val="0"/>
          <w:color w:val="1A1A1A"/>
          <w:sz w:val="20"/>
        </w:rPr>
        <w:tab/>
      </w:r>
      <w:r>
        <w:rPr>
          <w:rFonts w:ascii="Calibri" w:hAnsi="Calibri"/>
          <w:b/>
          <w:i w:val="0"/>
          <w:color w:val="444444"/>
          <w:sz w:val="19"/>
        </w:rPr>
        <w:t>Feb 2019 - Oct 2019</w:t>
      </w:r>
    </w:p>
    <w:p>
      <w:pPr>
        <w:spacing w:before="0" w:after="20" w:line="240" w:lineRule="auto"/>
      </w:pPr>
      <w:r>
        <w:rPr>
          <w:rFonts w:ascii="Calibri" w:hAnsi="Calibri"/>
          <w:b w:val="0"/>
          <w:i/>
          <w:color w:val="444444"/>
          <w:sz w:val="20"/>
        </w:rPr>
        <w:t>Software Engineer, Atlanta, GA</w:t>
      </w:r>
    </w:p>
    <w:p>
      <w:pPr>
        <w:spacing w:before="0" w:after="20" w:line="240" w:lineRule="auto"/>
        <w:ind w:left="317" w:hanging="187"/>
      </w:pPr>
      <w:r>
        <w:rPr>
          <w:rFonts w:ascii="Calibri" w:hAnsi="Calibri"/>
          <w:b w:val="0"/>
          <w:i w:val="0"/>
          <w:color w:val="1A1A1A"/>
          <w:sz w:val="20"/>
        </w:rPr>
        <w:t xml:space="preserve">•  </w:t>
      </w:r>
      <w:r>
        <w:rPr>
          <w:rFonts w:ascii="Calibri" w:hAnsi="Calibri"/>
          <w:b/>
          <w:i w:val="0"/>
          <w:color w:val="1A1A1A"/>
          <w:sz w:val="20"/>
        </w:rPr>
        <w:t>Designed a task-distribution scheduling algorithm</w:t>
      </w:r>
      <w:r>
        <w:rPr>
          <w:rFonts w:ascii="Calibri" w:hAnsi="Calibri"/>
          <w:b w:val="0"/>
          <w:i w:val="0"/>
          <w:color w:val="1A1A1A"/>
          <w:sz w:val="20"/>
        </w:rPr>
        <w:t xml:space="preserve"> over time buckets from user input, optimizing work-execution rate.</w:t>
      </w:r>
    </w:p>
    <w:p>
      <w:pPr>
        <w:spacing w:before="0" w:after="20" w:line="240" w:lineRule="auto"/>
        <w:ind w:left="317" w:hanging="187"/>
      </w:pPr>
      <w:r>
        <w:rPr>
          <w:rFonts w:ascii="Calibri" w:hAnsi="Calibri"/>
          <w:b w:val="0"/>
          <w:i w:val="0"/>
          <w:color w:val="1A1A1A"/>
          <w:sz w:val="20"/>
        </w:rPr>
        <w:t xml:space="preserve">•  </w:t>
      </w:r>
      <w:r>
        <w:rPr>
          <w:rFonts w:ascii="Calibri" w:hAnsi="Calibri"/>
          <w:b w:val="0"/>
          <w:i w:val="0"/>
          <w:color w:val="1A1A1A"/>
          <w:sz w:val="20"/>
        </w:rPr>
        <w:t xml:space="preserve">Implemented optimization strategies in </w:t>
      </w:r>
      <w:r>
        <w:rPr>
          <w:rFonts w:ascii="Calibri" w:hAnsi="Calibri"/>
          <w:b/>
          <w:i w:val="0"/>
          <w:color w:val="1A1A1A"/>
          <w:sz w:val="20"/>
        </w:rPr>
        <w:t>C++17</w:t>
      </w:r>
      <w:r>
        <w:rPr>
          <w:rFonts w:ascii="Calibri" w:hAnsi="Calibri"/>
          <w:b w:val="0"/>
          <w:i w:val="0"/>
          <w:color w:val="1A1A1A"/>
          <w:sz w:val="20"/>
        </w:rPr>
        <w:t xml:space="preserve"> for "OPAL," a custom supply-chain inventory and logistics language.</w:t>
      </w:r>
    </w:p>
    <w:p>
      <w:pPr>
        <w:spacing w:before="80" w:after="40" w:line="240" w:lineRule="auto"/>
        <w:pBdr>
          <w:bottom w:val="single" w:sz="6" w:space="2" w:color="1F4E79"/>
        </w:pBdr>
      </w:pPr>
      <w:r>
        <w:rPr>
          <w:rFonts w:ascii="Calibri" w:hAnsi="Calibri"/>
          <w:b/>
          <w:i w:val="0"/>
          <w:color w:val="1F4E79"/>
          <w:sz w:val="22"/>
        </w:rPr>
        <w:t>TECHNICAL SKILLS</w:t>
      </w:r>
    </w:p>
    <w:p>
      <w:pPr>
        <w:spacing w:before="20" w:after="20" w:line="240" w:lineRule="auto"/>
      </w:pPr>
      <w:r>
        <w:rPr>
          <w:rFonts w:ascii="Calibri" w:hAnsi="Calibri"/>
          <w:b/>
          <w:i w:val="0"/>
          <w:color w:val="1A1A1A"/>
          <w:sz w:val="20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0"/>
        </w:rPr>
        <w:t>Java, C++, SQL, NoSQL (proficient); C#, Scala, Python, Ruby (familiar)</w:t>
      </w:r>
    </w:p>
    <w:p>
      <w:pPr>
        <w:spacing w:before="20" w:after="20" w:line="240" w:lineRule="auto"/>
      </w:pPr>
      <w:r>
        <w:rPr>
          <w:rFonts w:ascii="Calibri" w:hAnsi="Calibri"/>
          <w:b/>
          <w:i w:val="0"/>
          <w:color w:val="1A1A1A"/>
          <w:sz w:val="20"/>
        </w:rPr>
        <w:t xml:space="preserve">AWS: </w:t>
      </w:r>
      <w:r>
        <w:rPr>
          <w:rFonts w:ascii="Calibri" w:hAnsi="Calibri"/>
          <w:b w:val="0"/>
          <w:i w:val="0"/>
          <w:color w:val="1A1A1A"/>
          <w:sz w:val="20"/>
        </w:rPr>
        <w:t>DynamoDB, Redis, Redshift, RDS, S3, Lambda, Kinesis, QuickSight, EC2, CloudWatch, CloudFormation, IAM, KMS, SNS, SQS</w:t>
      </w:r>
    </w:p>
    <w:p>
      <w:pPr>
        <w:spacing w:before="20" w:after="20" w:line="240" w:lineRule="auto"/>
      </w:pPr>
      <w:r>
        <w:rPr>
          <w:rFonts w:ascii="Calibri" w:hAnsi="Calibri"/>
          <w:b/>
          <w:i w:val="0"/>
          <w:color w:val="1A1A1A"/>
          <w:sz w:val="20"/>
        </w:rPr>
        <w:t xml:space="preserve">Systems &amp; Tools: </w:t>
      </w:r>
      <w:r>
        <w:rPr>
          <w:rFonts w:ascii="Calibri" w:hAnsi="Calibri"/>
          <w:b w:val="0"/>
          <w:i w:val="0"/>
          <w:color w:val="1A1A1A"/>
          <w:sz w:val="20"/>
        </w:rPr>
        <w:t>gRPC, Git, CI/CD, Agile/Kanban, AI-agent orchestration (Claude, Cursor)</w:t>
      </w:r>
    </w:p>
    <w:p>
      <w:pPr>
        <w:spacing w:before="80" w:after="40" w:line="240" w:lineRule="auto"/>
        <w:pBdr>
          <w:bottom w:val="single" w:sz="6" w:space="2" w:color="1F4E79"/>
        </w:pBdr>
      </w:pPr>
      <w:r>
        <w:rPr>
          <w:rFonts w:ascii="Calibri" w:hAnsi="Calibri"/>
          <w:b/>
          <w:i w:val="0"/>
          <w:color w:val="1F4E79"/>
          <w:sz w:val="22"/>
        </w:rPr>
        <w:t>EDUCATION</w:t>
      </w:r>
    </w:p>
    <w:p>
      <w:pPr>
        <w:tabs>
          <w:tab w:pos="10512" w:val="right"/>
        </w:tabs>
        <w:spacing w:before="60" w:after="0" w:line="240" w:lineRule="auto"/>
      </w:pPr>
      <w:r>
        <w:rPr>
          <w:rFonts w:ascii="Calibri" w:hAnsi="Calibri"/>
          <w:b/>
          <w:i w:val="0"/>
          <w:color w:val="1A1A1A"/>
          <w:sz w:val="20"/>
        </w:rPr>
        <w:t>M.S. Computer Science</w:t>
      </w:r>
      <w:r>
        <w:rPr>
          <w:rFonts w:ascii="Calibri" w:hAnsi="Calibri"/>
          <w:b w:val="0"/>
          <w:i w:val="0"/>
          <w:color w:val="444444"/>
          <w:sz w:val="20"/>
        </w:rPr>
        <w:t>, University of Florida, Gainesville, FL</w:t>
      </w:r>
      <w:r>
        <w:rPr>
          <w:rFonts w:ascii="Calibri" w:hAnsi="Calibri"/>
          <w:b w:val="0"/>
          <w:i w:val="0"/>
          <w:color w:val="1A1A1A"/>
          <w:sz w:val="20"/>
        </w:rPr>
        <w:tab/>
      </w:r>
      <w:r>
        <w:rPr>
          <w:rFonts w:ascii="Calibri" w:hAnsi="Calibri"/>
          <w:b w:val="0"/>
          <w:i w:val="0"/>
          <w:color w:val="444444"/>
          <w:sz w:val="19"/>
        </w:rPr>
        <w:t>Aug 2017 - Dec 2018</w:t>
      </w:r>
    </w:p>
    <w:p>
      <w:pPr>
        <w:spacing w:before="0" w:after="20" w:line="240" w:lineRule="auto"/>
      </w:pPr>
      <w:r>
        <w:rPr>
          <w:rFonts w:ascii="Calibri" w:hAnsi="Calibri"/>
          <w:b w:val="0"/>
          <w:i w:val="0"/>
          <w:color w:val="444444"/>
          <w:sz w:val="19"/>
        </w:rPr>
        <w:t>GPA 3.56 / 4.0</w:t>
      </w:r>
    </w:p>
    <w:p>
      <w:pPr>
        <w:tabs>
          <w:tab w:pos="10512" w:val="right"/>
        </w:tabs>
        <w:spacing w:before="60" w:after="0" w:line="240" w:lineRule="auto"/>
      </w:pPr>
      <w:r>
        <w:rPr>
          <w:rFonts w:ascii="Calibri" w:hAnsi="Calibri"/>
          <w:b/>
          <w:i w:val="0"/>
          <w:color w:val="1A1A1A"/>
          <w:sz w:val="20"/>
        </w:rPr>
        <w:t>B.Tech Electronics &amp; Communication</w:t>
      </w:r>
      <w:r>
        <w:rPr>
          <w:rFonts w:ascii="Calibri" w:hAnsi="Calibri"/>
          <w:b w:val="0"/>
          <w:i w:val="0"/>
          <w:color w:val="444444"/>
          <w:sz w:val="20"/>
        </w:rPr>
        <w:t>, Jaypee University of Info. &amp; Tech., Solan, India</w:t>
      </w:r>
      <w:r>
        <w:rPr>
          <w:rFonts w:ascii="Calibri" w:hAnsi="Calibri"/>
          <w:b w:val="0"/>
          <w:i w:val="0"/>
          <w:color w:val="1A1A1A"/>
          <w:sz w:val="20"/>
        </w:rPr>
        <w:tab/>
      </w:r>
      <w:r>
        <w:rPr>
          <w:rFonts w:ascii="Calibri" w:hAnsi="Calibri"/>
          <w:b w:val="0"/>
          <w:i w:val="0"/>
          <w:color w:val="444444"/>
          <w:sz w:val="19"/>
        </w:rPr>
        <w:t>Aug 2013 - May 2017</w:t>
      </w:r>
    </w:p>
    <w:p>
      <w:pPr>
        <w:spacing w:before="0" w:after="20" w:line="240" w:lineRule="auto"/>
      </w:pPr>
      <w:r>
        <w:rPr>
          <w:rFonts w:ascii="Calibri" w:hAnsi="Calibri"/>
          <w:b w:val="0"/>
          <w:i w:val="0"/>
          <w:color w:val="444444"/>
          <w:sz w:val="19"/>
        </w:rPr>
        <w:t>GPA 9.1 / 10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