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DA2B" w14:textId="77777777" w:rsidR="0007774E" w:rsidRDefault="0007774E" w:rsidP="00904AE8">
      <w:pPr>
        <w:jc w:val="both"/>
        <w:rPr>
          <w:b/>
          <w:bCs/>
          <w:color w:val="000000" w:themeColor="text1"/>
          <w:sz w:val="48"/>
          <w:szCs w:val="48"/>
          <w:lang w:val="en-US"/>
        </w:rPr>
      </w:pPr>
    </w:p>
    <w:p w14:paraId="2ABB80E0" w14:textId="77777777" w:rsidR="0007774E" w:rsidRDefault="0007774E" w:rsidP="00904AE8">
      <w:pPr>
        <w:jc w:val="both"/>
        <w:rPr>
          <w:b/>
          <w:bCs/>
          <w:color w:val="000000" w:themeColor="text1"/>
          <w:sz w:val="48"/>
          <w:szCs w:val="48"/>
          <w:lang w:val="en-US"/>
        </w:rPr>
      </w:pPr>
    </w:p>
    <w:p w14:paraId="5857DC7D" w14:textId="77777777" w:rsidR="0007774E" w:rsidRDefault="0007774E" w:rsidP="00904AE8">
      <w:pPr>
        <w:jc w:val="both"/>
        <w:rPr>
          <w:b/>
          <w:bCs/>
          <w:color w:val="000000" w:themeColor="text1"/>
          <w:sz w:val="48"/>
          <w:szCs w:val="48"/>
          <w:lang w:val="en-US"/>
        </w:rPr>
      </w:pPr>
    </w:p>
    <w:p w14:paraId="06DE25DA" w14:textId="77777777" w:rsidR="0007774E" w:rsidRDefault="0007774E" w:rsidP="00904AE8">
      <w:pPr>
        <w:jc w:val="both"/>
        <w:rPr>
          <w:b/>
          <w:bCs/>
          <w:color w:val="000000" w:themeColor="text1"/>
          <w:sz w:val="48"/>
          <w:szCs w:val="48"/>
          <w:lang w:val="en-US"/>
        </w:rPr>
      </w:pPr>
    </w:p>
    <w:p w14:paraId="39517423" w14:textId="77777777" w:rsidR="0007774E" w:rsidRDefault="0007774E" w:rsidP="00904AE8">
      <w:pPr>
        <w:jc w:val="both"/>
        <w:rPr>
          <w:b/>
          <w:bCs/>
          <w:color w:val="000000" w:themeColor="text1"/>
          <w:sz w:val="48"/>
          <w:szCs w:val="48"/>
          <w:lang w:val="en-US"/>
        </w:rPr>
      </w:pPr>
    </w:p>
    <w:p w14:paraId="4F196E0D" w14:textId="77777777" w:rsidR="0007774E" w:rsidRDefault="0007774E" w:rsidP="00904AE8">
      <w:pPr>
        <w:jc w:val="both"/>
        <w:rPr>
          <w:b/>
          <w:bCs/>
          <w:color w:val="000000" w:themeColor="text1"/>
          <w:sz w:val="48"/>
          <w:szCs w:val="48"/>
          <w:lang w:val="en-US"/>
        </w:rPr>
      </w:pPr>
    </w:p>
    <w:p w14:paraId="76D33324" w14:textId="04E13776" w:rsidR="004228C4" w:rsidRPr="00B21348" w:rsidRDefault="007E26F0" w:rsidP="00904AE8">
      <w:pPr>
        <w:jc w:val="both"/>
        <w:rPr>
          <w:b/>
          <w:bCs/>
          <w:color w:val="000000" w:themeColor="text1"/>
          <w:sz w:val="64"/>
          <w:szCs w:val="64"/>
          <w:lang w:val="en-US"/>
        </w:rPr>
      </w:pPr>
      <w:r w:rsidRPr="00B21348">
        <w:rPr>
          <w:b/>
          <w:bCs/>
          <w:color w:val="000000" w:themeColor="text1"/>
          <w:sz w:val="64"/>
          <w:szCs w:val="64"/>
          <w:lang w:val="en-US"/>
        </w:rPr>
        <w:t>Chapter</w:t>
      </w:r>
      <w:r w:rsidR="004228C4" w:rsidRPr="00B21348">
        <w:rPr>
          <w:b/>
          <w:bCs/>
          <w:color w:val="000000" w:themeColor="text1"/>
          <w:sz w:val="64"/>
          <w:szCs w:val="64"/>
          <w:lang w:val="en-US"/>
        </w:rPr>
        <w:t xml:space="preserve"> </w:t>
      </w:r>
      <w:r w:rsidRPr="00B21348">
        <w:rPr>
          <w:b/>
          <w:bCs/>
          <w:color w:val="000000" w:themeColor="text1"/>
          <w:sz w:val="64"/>
          <w:szCs w:val="64"/>
          <w:lang w:val="en-US"/>
        </w:rPr>
        <w:t>1</w:t>
      </w:r>
    </w:p>
    <w:p w14:paraId="6613BEC5" w14:textId="6BEE0D8C" w:rsidR="008C3239" w:rsidRPr="00B21348" w:rsidRDefault="008C3239" w:rsidP="00904AE8">
      <w:pPr>
        <w:jc w:val="both"/>
        <w:rPr>
          <w:b/>
          <w:bCs/>
          <w:color w:val="2F5496" w:themeColor="accent1" w:themeShade="BF"/>
          <w:sz w:val="64"/>
          <w:szCs w:val="64"/>
          <w:lang w:val="en-US"/>
        </w:rPr>
      </w:pPr>
      <w:r w:rsidRPr="00B21348">
        <w:rPr>
          <w:b/>
          <w:bCs/>
          <w:color w:val="2F5496" w:themeColor="accent1" w:themeShade="BF"/>
          <w:sz w:val="64"/>
          <w:szCs w:val="64"/>
          <w:lang w:val="en-US"/>
        </w:rPr>
        <w:t xml:space="preserve">Evaluation of </w:t>
      </w:r>
      <w:r w:rsidRPr="00B21348">
        <w:rPr>
          <w:b/>
          <w:bCs/>
          <w:i/>
          <w:iCs/>
          <w:color w:val="2F5496" w:themeColor="accent1" w:themeShade="BF"/>
          <w:sz w:val="64"/>
          <w:szCs w:val="64"/>
          <w:lang w:val="en-US"/>
        </w:rPr>
        <w:t>C. glabrata</w:t>
      </w:r>
      <w:r w:rsidRPr="00B21348">
        <w:rPr>
          <w:b/>
          <w:bCs/>
          <w:color w:val="2F5496" w:themeColor="accent1" w:themeShade="BF"/>
          <w:sz w:val="64"/>
          <w:szCs w:val="64"/>
          <w:lang w:val="en-US"/>
        </w:rPr>
        <w:t xml:space="preserve"> growth</w:t>
      </w:r>
      <w:r w:rsidR="00D674AE">
        <w:rPr>
          <w:b/>
          <w:bCs/>
          <w:color w:val="2F5496" w:themeColor="accent1" w:themeShade="BF"/>
          <w:sz w:val="64"/>
          <w:szCs w:val="64"/>
          <w:lang w:val="en-US"/>
        </w:rPr>
        <w:t>,</w:t>
      </w:r>
      <w:r w:rsidRPr="00B21348">
        <w:rPr>
          <w:b/>
          <w:bCs/>
          <w:color w:val="2F5496" w:themeColor="accent1" w:themeShade="BF"/>
          <w:sz w:val="64"/>
          <w:szCs w:val="64"/>
          <w:lang w:val="en-US"/>
        </w:rPr>
        <w:t xml:space="preserve"> treated </w:t>
      </w:r>
      <w:r w:rsidR="00D674AE">
        <w:rPr>
          <w:b/>
          <w:bCs/>
          <w:color w:val="2F5496" w:themeColor="accent1" w:themeShade="BF"/>
          <w:sz w:val="64"/>
          <w:szCs w:val="64"/>
          <w:lang w:val="en-US"/>
        </w:rPr>
        <w:t xml:space="preserve">with </w:t>
      </w:r>
      <w:r w:rsidRPr="00B21348">
        <w:rPr>
          <w:b/>
          <w:bCs/>
          <w:color w:val="2F5496" w:themeColor="accent1" w:themeShade="BF"/>
          <w:sz w:val="64"/>
          <w:szCs w:val="64"/>
          <w:lang w:val="en-US"/>
        </w:rPr>
        <w:t>antifungal drug under different environmental conditions.</w:t>
      </w:r>
    </w:p>
    <w:p w14:paraId="717F8A91" w14:textId="7B955056" w:rsidR="00C2095E" w:rsidRDefault="00C2095E" w:rsidP="00904AE8">
      <w:pPr>
        <w:jc w:val="both"/>
        <w:rPr>
          <w:lang w:val="en-US"/>
        </w:rPr>
      </w:pPr>
    </w:p>
    <w:p w14:paraId="2A37EE93" w14:textId="3EC856A4" w:rsidR="009F7A62" w:rsidRDefault="009F7A62" w:rsidP="00904AE8">
      <w:pPr>
        <w:jc w:val="both"/>
        <w:rPr>
          <w:lang w:val="en-US"/>
        </w:rPr>
      </w:pPr>
    </w:p>
    <w:p w14:paraId="26B0B83B" w14:textId="6498836D" w:rsidR="009F7A62" w:rsidRDefault="009F7A62" w:rsidP="00904AE8">
      <w:pPr>
        <w:jc w:val="both"/>
        <w:rPr>
          <w:lang w:val="en-US"/>
        </w:rPr>
      </w:pPr>
    </w:p>
    <w:p w14:paraId="49F6DE30" w14:textId="1EB6BF5E" w:rsidR="009F7A62" w:rsidRDefault="009F7A62" w:rsidP="00904AE8">
      <w:pPr>
        <w:jc w:val="both"/>
        <w:rPr>
          <w:lang w:val="en-US"/>
        </w:rPr>
      </w:pPr>
    </w:p>
    <w:p w14:paraId="63D82A26" w14:textId="76D5EC10" w:rsidR="009F7A62" w:rsidRDefault="009F7A62" w:rsidP="00904AE8">
      <w:pPr>
        <w:jc w:val="both"/>
        <w:rPr>
          <w:lang w:val="en-US"/>
        </w:rPr>
      </w:pPr>
    </w:p>
    <w:p w14:paraId="07CE101C" w14:textId="074CC40A" w:rsidR="009F7A62" w:rsidRDefault="009F7A62" w:rsidP="00904AE8">
      <w:pPr>
        <w:jc w:val="both"/>
        <w:rPr>
          <w:lang w:val="en-US"/>
        </w:rPr>
      </w:pPr>
    </w:p>
    <w:p w14:paraId="27095A26" w14:textId="2CD42538" w:rsidR="009F7A62" w:rsidRDefault="009F7A62" w:rsidP="00904AE8">
      <w:pPr>
        <w:jc w:val="both"/>
        <w:rPr>
          <w:lang w:val="en-US"/>
        </w:rPr>
      </w:pPr>
    </w:p>
    <w:p w14:paraId="61A49EC6" w14:textId="036BEC13" w:rsidR="009F7A62" w:rsidRDefault="009F7A62" w:rsidP="00904AE8">
      <w:pPr>
        <w:jc w:val="both"/>
        <w:rPr>
          <w:lang w:val="en-US"/>
        </w:rPr>
      </w:pPr>
    </w:p>
    <w:p w14:paraId="5E4C35B8" w14:textId="2CB5C31D" w:rsidR="009F7A62" w:rsidRDefault="009F7A62" w:rsidP="00904AE8">
      <w:pPr>
        <w:jc w:val="both"/>
        <w:rPr>
          <w:lang w:val="en-US"/>
        </w:rPr>
      </w:pPr>
    </w:p>
    <w:p w14:paraId="540AFF42" w14:textId="44EF6B01" w:rsidR="009F7A62" w:rsidRDefault="009F7A62" w:rsidP="00904AE8">
      <w:pPr>
        <w:jc w:val="both"/>
        <w:rPr>
          <w:lang w:val="en-US"/>
        </w:rPr>
      </w:pPr>
    </w:p>
    <w:p w14:paraId="2FE8F203" w14:textId="16991F1B" w:rsidR="009F7A62" w:rsidRDefault="009F7A62" w:rsidP="00904AE8">
      <w:pPr>
        <w:jc w:val="both"/>
        <w:rPr>
          <w:lang w:val="en-US"/>
        </w:rPr>
      </w:pPr>
    </w:p>
    <w:p w14:paraId="0B4B0343" w14:textId="57C8DA82" w:rsidR="009F7A62" w:rsidRDefault="009F7A62" w:rsidP="00904AE8">
      <w:pPr>
        <w:jc w:val="both"/>
        <w:rPr>
          <w:lang w:val="en-US"/>
        </w:rPr>
      </w:pPr>
    </w:p>
    <w:p w14:paraId="4F739DC5" w14:textId="217861AA" w:rsidR="009F7A62" w:rsidRDefault="009F7A62" w:rsidP="00904AE8">
      <w:pPr>
        <w:jc w:val="both"/>
        <w:rPr>
          <w:lang w:val="en-US"/>
        </w:rPr>
      </w:pPr>
    </w:p>
    <w:p w14:paraId="22477B18" w14:textId="2B4A145F" w:rsidR="009F7A62" w:rsidRDefault="009F7A62" w:rsidP="00904AE8">
      <w:pPr>
        <w:jc w:val="both"/>
        <w:rPr>
          <w:lang w:val="en-US"/>
        </w:rPr>
      </w:pPr>
    </w:p>
    <w:p w14:paraId="53FC5362" w14:textId="1217AC66" w:rsidR="009F7A62" w:rsidRDefault="009F7A62" w:rsidP="00904AE8">
      <w:pPr>
        <w:jc w:val="both"/>
        <w:rPr>
          <w:lang w:val="en-US"/>
        </w:rPr>
      </w:pPr>
    </w:p>
    <w:p w14:paraId="313D77B5" w14:textId="1E262C81" w:rsidR="009F7A62" w:rsidRDefault="009F7A62" w:rsidP="00904AE8">
      <w:pPr>
        <w:jc w:val="both"/>
        <w:rPr>
          <w:lang w:val="en-US"/>
        </w:rPr>
      </w:pPr>
    </w:p>
    <w:p w14:paraId="39860ADC" w14:textId="665B6406" w:rsidR="009F7A62" w:rsidRDefault="009F7A62" w:rsidP="00904AE8">
      <w:pPr>
        <w:jc w:val="both"/>
        <w:rPr>
          <w:lang w:val="en-US"/>
        </w:rPr>
      </w:pPr>
    </w:p>
    <w:p w14:paraId="5B192CAB" w14:textId="6FD38AF0" w:rsidR="009F7A62" w:rsidRDefault="009F7A62" w:rsidP="00904AE8">
      <w:pPr>
        <w:jc w:val="both"/>
        <w:rPr>
          <w:lang w:val="en-US"/>
        </w:rPr>
      </w:pPr>
    </w:p>
    <w:p w14:paraId="21860BD4" w14:textId="2E809A8F" w:rsidR="009F7A62" w:rsidRDefault="009F7A62" w:rsidP="00904AE8">
      <w:pPr>
        <w:jc w:val="both"/>
        <w:rPr>
          <w:lang w:val="en-US"/>
        </w:rPr>
      </w:pPr>
    </w:p>
    <w:p w14:paraId="16B631EC" w14:textId="66A5F9A2" w:rsidR="009F7A62" w:rsidRDefault="009F7A62" w:rsidP="00904AE8">
      <w:pPr>
        <w:jc w:val="both"/>
        <w:rPr>
          <w:lang w:val="en-US"/>
        </w:rPr>
      </w:pPr>
    </w:p>
    <w:p w14:paraId="08669FF6" w14:textId="64134741" w:rsidR="009F7A62" w:rsidRDefault="009F7A62" w:rsidP="00904AE8">
      <w:pPr>
        <w:jc w:val="both"/>
        <w:rPr>
          <w:lang w:val="en-US"/>
        </w:rPr>
      </w:pPr>
    </w:p>
    <w:p w14:paraId="06874BC5" w14:textId="0F727E44" w:rsidR="009F7A62" w:rsidRDefault="009F7A62" w:rsidP="00904AE8">
      <w:pPr>
        <w:jc w:val="both"/>
        <w:rPr>
          <w:lang w:val="en-US"/>
        </w:rPr>
      </w:pPr>
    </w:p>
    <w:p w14:paraId="00D16D39" w14:textId="77777777" w:rsidR="009F7A62" w:rsidRDefault="009F7A62" w:rsidP="00904AE8">
      <w:pPr>
        <w:jc w:val="both"/>
        <w:rPr>
          <w:b/>
          <w:bCs/>
          <w:sz w:val="36"/>
          <w:szCs w:val="36"/>
          <w:lang w:val="en-US"/>
        </w:rPr>
      </w:pPr>
    </w:p>
    <w:p w14:paraId="3662A4EF" w14:textId="0372CBA5" w:rsidR="009F7A62" w:rsidRDefault="009F7A62" w:rsidP="00904AE8">
      <w:pPr>
        <w:jc w:val="both"/>
        <w:rPr>
          <w:b/>
          <w:bCs/>
          <w:sz w:val="36"/>
          <w:szCs w:val="36"/>
          <w:lang w:val="en-US"/>
        </w:rPr>
      </w:pPr>
      <w:r w:rsidRPr="009F7A62">
        <w:rPr>
          <w:b/>
          <w:bCs/>
          <w:sz w:val="36"/>
          <w:szCs w:val="36"/>
          <w:lang w:val="en-US"/>
        </w:rPr>
        <w:t>Introduction</w:t>
      </w:r>
    </w:p>
    <w:p w14:paraId="65FB35A2" w14:textId="46BF2D29" w:rsidR="00AB457D" w:rsidRDefault="00AB457D" w:rsidP="00904AE8">
      <w:pPr>
        <w:jc w:val="both"/>
        <w:rPr>
          <w:rFonts w:asciiTheme="majorBidi" w:hAnsiTheme="majorBidi" w:cstheme="majorBidi"/>
          <w:b/>
          <w:bCs/>
          <w:lang w:val="en-US"/>
        </w:rPr>
      </w:pPr>
    </w:p>
    <w:p w14:paraId="2174C880" w14:textId="6148AC96" w:rsidR="00835BEC" w:rsidRDefault="00835BEC" w:rsidP="007534A3">
      <w:pPr>
        <w:spacing w:line="360" w:lineRule="auto"/>
        <w:jc w:val="both"/>
        <w:rPr>
          <w:rFonts w:asciiTheme="majorBidi" w:hAnsiTheme="majorBidi" w:cstheme="majorBidi"/>
          <w:lang w:val="en-US"/>
        </w:rPr>
      </w:pPr>
      <w:r>
        <w:rPr>
          <w:rFonts w:asciiTheme="majorBidi" w:hAnsiTheme="majorBidi" w:cstheme="majorBidi"/>
          <w:lang w:val="en-US"/>
        </w:rPr>
        <w:t>Antifungal drugs mount selective pressure on the organisms, leading to survival of only those cells that acquire resistance.</w:t>
      </w:r>
      <w:r w:rsidR="008C224E">
        <w:rPr>
          <w:rFonts w:asciiTheme="majorBidi" w:hAnsiTheme="majorBidi" w:cstheme="majorBidi"/>
          <w:lang w:val="en-US"/>
        </w:rPr>
        <w:t xml:space="preserve"> However, </w:t>
      </w:r>
      <w:r>
        <w:rPr>
          <w:rFonts w:asciiTheme="majorBidi" w:hAnsiTheme="majorBidi" w:cstheme="majorBidi"/>
          <w:lang w:val="en-US"/>
        </w:rPr>
        <w:t>currently available antifungal drugs are mainly f</w:t>
      </w:r>
      <w:r w:rsidR="009173AE">
        <w:rPr>
          <w:rFonts w:asciiTheme="majorBidi" w:hAnsiTheme="majorBidi" w:cstheme="majorBidi"/>
          <w:lang w:val="en-US"/>
        </w:rPr>
        <w:t>u</w:t>
      </w:r>
      <w:r>
        <w:rPr>
          <w:rFonts w:asciiTheme="majorBidi" w:hAnsiTheme="majorBidi" w:cstheme="majorBidi"/>
          <w:lang w:val="en-US"/>
        </w:rPr>
        <w:t xml:space="preserve">ngistatic rather than fungicidal empowering the pathogenic fungal cells to quickly adapt to hostile environments by few genetic modification </w:t>
      </w:r>
      <w:r w:rsidR="00EE371D">
        <w:rPr>
          <w:rFonts w:asciiTheme="majorBidi" w:hAnsiTheme="majorBidi" w:cstheme="majorBidi"/>
          <w:lang w:val="en-US"/>
        </w:rPr>
        <w:t xml:space="preserve">and improved genome plasticity. </w:t>
      </w:r>
      <w:r w:rsidR="007534A3">
        <w:rPr>
          <w:rFonts w:asciiTheme="majorBidi" w:hAnsiTheme="majorBidi" w:cstheme="majorBidi"/>
          <w:lang w:val="en-US"/>
        </w:rPr>
        <w:t>The fungistatic nature of these drugs initiates strong directional selection</w:t>
      </w:r>
      <w:r w:rsidR="00FD6194">
        <w:rPr>
          <w:rFonts w:asciiTheme="majorBidi" w:hAnsiTheme="majorBidi" w:cstheme="majorBidi"/>
          <w:lang w:val="en-US"/>
        </w:rPr>
        <w:t xml:space="preserve"> for evolution of resistant strains</w:t>
      </w:r>
      <w:r w:rsidR="000847D4">
        <w:rPr>
          <w:rFonts w:asciiTheme="majorBidi" w:hAnsiTheme="majorBidi" w:cstheme="majorBidi"/>
          <w:lang w:val="en-US"/>
        </w:rPr>
        <w:t xml:space="preserve"> </w:t>
      </w:r>
      <w:r w:rsidR="000847D4">
        <w:rPr>
          <w:rFonts w:asciiTheme="majorBidi" w:hAnsiTheme="majorBidi" w:cstheme="majorBidi"/>
          <w:lang w:val="en-US"/>
        </w:rPr>
        <w:fldChar w:fldCharType="begin" w:fldLock="1"/>
      </w:r>
      <w:r w:rsidR="000847D4">
        <w:rPr>
          <w:rFonts w:asciiTheme="majorBidi" w:hAnsiTheme="majorBidi" w:cstheme="majorBidi"/>
          <w:lang w:val="en-US"/>
        </w:rPr>
        <w:instrText>ADDIN CSL_CITATION {"citationItems":[{"id":"ITEM-1","itemData":{"DOI":"10.15698/mic2019.03.670","ISSN":"23112638","abstract":"Infections by the pathogenic yeasts Candida albicans and Candida glabrata are among the most common fungal diseases. The success of these species as human pathogens is contingent on their ability to resist antifungal therapy and thrive within the human host. C. glabrata is especially resilient to azole antifungal treatment, while C. albicans is best known for its wide array of virulence features. The core mechanisms that underlie antifungal resistance and virulence in these pathogens has been continuously addressed, but the investigation on how such mechanisms evolve according to each environment is scarcer. This review aims to explore current knowledge on microevolution experiments to several treatment and host-associated conditions in C. albicans and C. glabrata. The analysis of adaptation strategies that evolve over time will allow to better understand the mechanisms by which Candida species are able to achieve stable phenotypes in real-life scenarios, which are the ones that should constitute the most interesting drug targets.","author":[{"dropping-particle":"","family":"Pais","given":"Pedro","non-dropping-particle":"","parse-names":false,"suffix":""},{"dropping-particle":"","family":"Galocha","given":"Mónica","non-dropping-particle":"","parse-names":false,"suffix":""},{"dropping-particle":"","family":"Viana","given":"Romeu","non-dropping-particle":"","parse-names":false,"suffix":""},{"dropping-particle":"","family":"Cavalheiro","given":"Mafalda","non-dropping-particle":"","parse-names":false,"suffix":""},{"dropping-particle":"","family":"Pereira","given":"Diana","non-dropping-particle":"","parse-names":false,"suffix":""},{"dropping-particle":"","family":"Teixeira","given":"Miguel Cacho","non-dropping-particle":"","parse-names":false,"suffix":""}],"container-title":"Microbial Cell","id":"ITEM-1","issue":"3","issued":{"date-parts":[["2019","3","1"]]},"page":"142-159","publisher":"Shared Science Publishers OG","title":"Microevolution of the pathogenic yeasts Candida albicans and Candida glabrata during antifungal therapy and host infection","type":"article","volume":"6"},"uris":["http://www.mendeley.com/documents/?uuid=661ffa5f-579d-3a6c-8034-ca742101facd"]}],"mendeley":{"formattedCitation":"(Pais et al., 2019)","plainTextFormattedCitation":"(Pais et al., 2019)"},"properties":{"noteIndex":0},"schema":"https://github.com/citation-style-language/schema/raw/master/csl-citation.json"}</w:instrText>
      </w:r>
      <w:r w:rsidR="000847D4">
        <w:rPr>
          <w:rFonts w:asciiTheme="majorBidi" w:hAnsiTheme="majorBidi" w:cstheme="majorBidi"/>
          <w:lang w:val="en-US"/>
        </w:rPr>
        <w:fldChar w:fldCharType="separate"/>
      </w:r>
      <w:r w:rsidR="000847D4" w:rsidRPr="000847D4">
        <w:rPr>
          <w:rFonts w:asciiTheme="majorBidi" w:hAnsiTheme="majorBidi" w:cstheme="majorBidi"/>
          <w:noProof/>
          <w:lang w:val="en-US"/>
        </w:rPr>
        <w:t>(Pais et al., 2019)</w:t>
      </w:r>
      <w:r w:rsidR="000847D4">
        <w:rPr>
          <w:rFonts w:asciiTheme="majorBidi" w:hAnsiTheme="majorBidi" w:cstheme="majorBidi"/>
          <w:lang w:val="en-US"/>
        </w:rPr>
        <w:fldChar w:fldCharType="end"/>
      </w:r>
      <w:r w:rsidR="007534A3">
        <w:rPr>
          <w:rFonts w:asciiTheme="majorBidi" w:hAnsiTheme="majorBidi" w:cstheme="majorBidi"/>
          <w:lang w:val="en-US"/>
        </w:rPr>
        <w:t>.</w:t>
      </w:r>
      <w:r w:rsidR="00C9344A">
        <w:rPr>
          <w:rFonts w:asciiTheme="majorBidi" w:hAnsiTheme="majorBidi" w:cstheme="majorBidi"/>
          <w:lang w:val="en-US"/>
        </w:rPr>
        <w:t xml:space="preserve"> </w:t>
      </w:r>
    </w:p>
    <w:p w14:paraId="605CF6D5" w14:textId="73D9758C" w:rsidR="006B51A6" w:rsidRDefault="002275F4" w:rsidP="005F66E8">
      <w:pPr>
        <w:spacing w:line="360" w:lineRule="auto"/>
        <w:jc w:val="both"/>
        <w:rPr>
          <w:rFonts w:asciiTheme="majorBidi" w:hAnsiTheme="majorBidi" w:cstheme="majorBidi"/>
          <w:lang w:val="en-US"/>
        </w:rPr>
      </w:pPr>
      <w:r>
        <w:rPr>
          <w:rFonts w:asciiTheme="majorBidi" w:hAnsiTheme="majorBidi" w:cstheme="majorBidi"/>
          <w:lang w:val="en-US"/>
        </w:rPr>
        <w:t>Frequent use of a</w:t>
      </w:r>
      <w:r w:rsidR="00C9344A">
        <w:rPr>
          <w:rFonts w:asciiTheme="majorBidi" w:hAnsiTheme="majorBidi" w:cstheme="majorBidi"/>
          <w:lang w:val="en-US"/>
        </w:rPr>
        <w:t xml:space="preserve">zoles </w:t>
      </w:r>
      <w:r>
        <w:rPr>
          <w:rFonts w:asciiTheme="majorBidi" w:hAnsiTheme="majorBidi" w:cstheme="majorBidi"/>
          <w:lang w:val="en-US"/>
        </w:rPr>
        <w:t xml:space="preserve">as </w:t>
      </w:r>
      <w:r w:rsidR="00C9344A">
        <w:rPr>
          <w:rFonts w:asciiTheme="majorBidi" w:hAnsiTheme="majorBidi" w:cstheme="majorBidi"/>
          <w:lang w:val="en-US"/>
        </w:rPr>
        <w:t xml:space="preserve">prophylactic </w:t>
      </w:r>
      <w:r>
        <w:rPr>
          <w:rFonts w:asciiTheme="majorBidi" w:hAnsiTheme="majorBidi" w:cstheme="majorBidi"/>
          <w:lang w:val="en-US"/>
        </w:rPr>
        <w:t>agent</w:t>
      </w:r>
      <w:r w:rsidR="00C9344A">
        <w:rPr>
          <w:rFonts w:asciiTheme="majorBidi" w:hAnsiTheme="majorBidi" w:cstheme="majorBidi"/>
          <w:lang w:val="en-US"/>
        </w:rPr>
        <w:t xml:space="preserve"> </w:t>
      </w:r>
      <w:r>
        <w:rPr>
          <w:rFonts w:asciiTheme="majorBidi" w:hAnsiTheme="majorBidi" w:cstheme="majorBidi"/>
          <w:lang w:val="en-US"/>
        </w:rPr>
        <w:t xml:space="preserve">in high-risk patients have significantly risen antifungal drug resistance in </w:t>
      </w:r>
      <w:r w:rsidRPr="002275F4">
        <w:rPr>
          <w:rFonts w:asciiTheme="majorBidi" w:hAnsiTheme="majorBidi" w:cstheme="majorBidi"/>
          <w:i/>
          <w:iCs/>
          <w:lang w:val="en-US"/>
        </w:rPr>
        <w:t>C. glabrata</w:t>
      </w:r>
      <w:r>
        <w:rPr>
          <w:rFonts w:asciiTheme="majorBidi" w:hAnsiTheme="majorBidi" w:cstheme="majorBidi"/>
          <w:lang w:val="en-US"/>
        </w:rPr>
        <w:t xml:space="preserve"> but not </w:t>
      </w:r>
      <w:r w:rsidR="00B93758">
        <w:rPr>
          <w:rFonts w:asciiTheme="majorBidi" w:hAnsiTheme="majorBidi" w:cstheme="majorBidi"/>
          <w:lang w:val="en-US"/>
        </w:rPr>
        <w:t xml:space="preserve">in </w:t>
      </w:r>
      <w:r>
        <w:rPr>
          <w:rFonts w:asciiTheme="majorBidi" w:hAnsiTheme="majorBidi" w:cstheme="majorBidi"/>
          <w:lang w:val="en-US"/>
        </w:rPr>
        <w:t>other Candida species</w:t>
      </w:r>
      <w:r w:rsidR="0057252F">
        <w:rPr>
          <w:rFonts w:asciiTheme="majorBidi" w:hAnsiTheme="majorBidi" w:cstheme="majorBidi"/>
          <w:lang w:val="en-US"/>
        </w:rPr>
        <w:t xml:space="preserve"> </w:t>
      </w:r>
      <w:r w:rsidR="0057252F">
        <w:rPr>
          <w:rFonts w:asciiTheme="majorBidi" w:hAnsiTheme="majorBidi" w:cstheme="majorBidi"/>
          <w:lang w:val="en-US"/>
        </w:rPr>
        <w:fldChar w:fldCharType="begin" w:fldLock="1"/>
      </w:r>
      <w:r w:rsidR="00ED669E">
        <w:rPr>
          <w:rFonts w:asciiTheme="majorBidi" w:hAnsiTheme="majorBidi" w:cstheme="majorBidi"/>
          <w:lang w:val="en-US"/>
        </w:rPr>
        <w:instrText>ADDIN CSL_CITATION {"citationItems":[{"id":"ITEM-1","itemData":{"DOI":"10.2147/IDR.S124918","ISSN":"1178-6973","abstract":"Antifungal resistance represents a major clinical challenge to clinicians responsible for treating invasive fungal infections due to the limited arsenal of systemically available antifungal agents. In addition current drugs may be limited by drug–drug interactions and serious adverse effects/toxicities that prevent their prolonged use or dosage escalation. Fluconazole resistance is of particular concern in non-Candida albicans species due to the increased incidence of infections caused by these species in different geographic locations worldwide and the elevated prevalence of resistance to this commonly used azole in many institutions. C. glabrata resistance to the echinocandins has also been documented to be rising in several US institutions, and a higher percentage of these isolates may also be azole resistant. Azole resistance in Aspergillus fumigatus due to clinical and environmental exposure to this class of agents has also been found worldwide, and these isolates can cause invasive infections with high mortality rates. In addition, several species of Aspergillus, and other molds, including Scedosporium and Fusarium species, have reduced susceptibility or pan-resistance to clinically available antifungals. Various investigational antifungals are currently in preclinical or clinical development, including several of them that have the potential to overcome resistance observed against the azoles and the echinocandins. These include agents that also target ergosterol and b-glucan biosynthesis, as well as compounds with novel mechanisms of action that may also overcome the limitations of currently available antifungal classes, including both resistance and adverse effects/toxicity.","author":[{"dropping-particle":"","family":"Wiederhold","given":"Nathan","non-dropping-particle":"","parse-names":false,"suffix":""}],"container-title":"Infection and Drug Resistance","id":"ITEM-1","issued":{"date-parts":[["2017","8","29"]]},"page":"249-259","publisher":"Dove Medical Press Ltd.","title":"Antifungal resistance: current trends and future strategies to combat","type":"article-journal","volume":"Volume 10"},"uris":["http://www.mendeley.com/documents/?uuid=2641556e-0f7c-375e-b985-6a2a2e338cc8"]}],"mendeley":{"formattedCitation":"(Wiederhold, 2017)","plainTextFormattedCitation":"(Wiederhold, 2017)","previouslyFormattedCitation":"(Wiederhold, 2017)"},"properties":{"noteIndex":0},"schema":"https://github.com/citation-style-language/schema/raw/master/csl-citation.json"}</w:instrText>
      </w:r>
      <w:r w:rsidR="0057252F">
        <w:rPr>
          <w:rFonts w:asciiTheme="majorBidi" w:hAnsiTheme="majorBidi" w:cstheme="majorBidi"/>
          <w:lang w:val="en-US"/>
        </w:rPr>
        <w:fldChar w:fldCharType="separate"/>
      </w:r>
      <w:r w:rsidR="0057252F" w:rsidRPr="0057252F">
        <w:rPr>
          <w:rFonts w:asciiTheme="majorBidi" w:hAnsiTheme="majorBidi" w:cstheme="majorBidi"/>
          <w:noProof/>
          <w:lang w:val="en-US"/>
        </w:rPr>
        <w:t>(Wiederhold, 2017)</w:t>
      </w:r>
      <w:r w:rsidR="0057252F">
        <w:rPr>
          <w:rFonts w:asciiTheme="majorBidi" w:hAnsiTheme="majorBidi" w:cstheme="majorBidi"/>
          <w:lang w:val="en-US"/>
        </w:rPr>
        <w:fldChar w:fldCharType="end"/>
      </w:r>
      <w:r>
        <w:rPr>
          <w:rFonts w:asciiTheme="majorBidi" w:hAnsiTheme="majorBidi" w:cstheme="majorBidi"/>
          <w:lang w:val="en-US"/>
        </w:rPr>
        <w:t>.</w:t>
      </w:r>
      <w:r w:rsidR="00336D51">
        <w:rPr>
          <w:rFonts w:asciiTheme="majorBidi" w:hAnsiTheme="majorBidi" w:cstheme="majorBidi"/>
          <w:lang w:val="en-US"/>
        </w:rPr>
        <w:t xml:space="preserve"> Gain of function mutation </w:t>
      </w:r>
      <w:r w:rsidR="000847D4">
        <w:rPr>
          <w:rFonts w:asciiTheme="majorBidi" w:hAnsiTheme="majorBidi" w:cstheme="majorBidi"/>
          <w:lang w:val="en-US"/>
        </w:rPr>
        <w:t>in</w:t>
      </w:r>
      <w:r w:rsidR="00A9673C">
        <w:rPr>
          <w:rFonts w:asciiTheme="majorBidi" w:hAnsiTheme="majorBidi" w:cstheme="majorBidi"/>
          <w:lang w:val="en-US"/>
        </w:rPr>
        <w:t xml:space="preserve"> </w:t>
      </w:r>
      <w:r w:rsidR="00336D51">
        <w:rPr>
          <w:rFonts w:asciiTheme="majorBidi" w:hAnsiTheme="majorBidi" w:cstheme="majorBidi"/>
          <w:lang w:val="en-US"/>
        </w:rPr>
        <w:t>transcription regulator PDR1</w:t>
      </w:r>
      <w:r w:rsidR="008C4164">
        <w:rPr>
          <w:rFonts w:asciiTheme="majorBidi" w:hAnsiTheme="majorBidi" w:cstheme="majorBidi"/>
          <w:lang w:val="en-US"/>
        </w:rPr>
        <w:t xml:space="preserve"> </w:t>
      </w:r>
      <w:r w:rsidR="000847D4">
        <w:rPr>
          <w:rFonts w:asciiTheme="majorBidi" w:hAnsiTheme="majorBidi" w:cstheme="majorBidi"/>
          <w:lang w:val="en-US"/>
        </w:rPr>
        <w:t>induces</w:t>
      </w:r>
      <w:r w:rsidR="00A9673C">
        <w:rPr>
          <w:rFonts w:asciiTheme="majorBidi" w:hAnsiTheme="majorBidi" w:cstheme="majorBidi"/>
          <w:lang w:val="en-US"/>
        </w:rPr>
        <w:t xml:space="preserve"> expression </w:t>
      </w:r>
      <w:r w:rsidR="000847D4">
        <w:rPr>
          <w:rFonts w:asciiTheme="majorBidi" w:hAnsiTheme="majorBidi" w:cstheme="majorBidi"/>
          <w:lang w:val="en-US"/>
        </w:rPr>
        <w:t xml:space="preserve">of </w:t>
      </w:r>
      <w:r w:rsidR="00A9673C">
        <w:rPr>
          <w:rFonts w:asciiTheme="majorBidi" w:hAnsiTheme="majorBidi" w:cstheme="majorBidi"/>
          <w:lang w:val="en-US"/>
        </w:rPr>
        <w:t xml:space="preserve">drug efflux pump </w:t>
      </w:r>
      <w:r w:rsidR="00995766">
        <w:rPr>
          <w:rFonts w:asciiTheme="majorBidi" w:hAnsiTheme="majorBidi" w:cstheme="majorBidi"/>
          <w:lang w:val="en-US"/>
        </w:rPr>
        <w:t>(</w:t>
      </w:r>
      <w:r w:rsidR="00995766" w:rsidRPr="00995766">
        <w:rPr>
          <w:rFonts w:asciiTheme="majorBidi" w:hAnsiTheme="majorBidi" w:cstheme="majorBidi"/>
          <w:lang w:val="en-US"/>
        </w:rPr>
        <w:t>Cdr1, Cdr2, Snq2 and Qdr2</w:t>
      </w:r>
      <w:r w:rsidR="00995766">
        <w:rPr>
          <w:rFonts w:asciiTheme="majorBidi" w:hAnsiTheme="majorBidi" w:cstheme="majorBidi"/>
          <w:lang w:val="en-US"/>
        </w:rPr>
        <w:t>)</w:t>
      </w:r>
      <w:r w:rsidR="000847D4">
        <w:rPr>
          <w:rFonts w:asciiTheme="majorBidi" w:hAnsiTheme="majorBidi" w:cstheme="majorBidi"/>
          <w:lang w:val="en-US"/>
        </w:rPr>
        <w:t>,</w:t>
      </w:r>
      <w:r w:rsidR="00995766">
        <w:rPr>
          <w:rFonts w:asciiTheme="majorBidi" w:hAnsiTheme="majorBidi" w:cstheme="majorBidi"/>
          <w:lang w:val="en-US"/>
        </w:rPr>
        <w:t xml:space="preserve"> </w:t>
      </w:r>
      <w:r w:rsidR="008C4164">
        <w:rPr>
          <w:rFonts w:asciiTheme="majorBidi" w:hAnsiTheme="majorBidi" w:cstheme="majorBidi"/>
          <w:lang w:val="en-US"/>
        </w:rPr>
        <w:t>confer</w:t>
      </w:r>
      <w:r w:rsidR="000847D4">
        <w:rPr>
          <w:rFonts w:asciiTheme="majorBidi" w:hAnsiTheme="majorBidi" w:cstheme="majorBidi"/>
          <w:lang w:val="en-US"/>
        </w:rPr>
        <w:t>s</w:t>
      </w:r>
      <w:r w:rsidR="008C4164">
        <w:rPr>
          <w:rFonts w:asciiTheme="majorBidi" w:hAnsiTheme="majorBidi" w:cstheme="majorBidi"/>
          <w:lang w:val="en-US"/>
        </w:rPr>
        <w:t xml:space="preserve"> antifungal drug resistance and enhance</w:t>
      </w:r>
      <w:r w:rsidR="00156153">
        <w:rPr>
          <w:rFonts w:asciiTheme="majorBidi" w:hAnsiTheme="majorBidi" w:cstheme="majorBidi"/>
          <w:lang w:val="en-US"/>
        </w:rPr>
        <w:t>s</w:t>
      </w:r>
      <w:r w:rsidR="008C4164">
        <w:rPr>
          <w:rFonts w:asciiTheme="majorBidi" w:hAnsiTheme="majorBidi" w:cstheme="majorBidi"/>
          <w:lang w:val="en-US"/>
        </w:rPr>
        <w:t xml:space="preserve"> virulence</w:t>
      </w:r>
      <w:r w:rsidR="00F9351C">
        <w:rPr>
          <w:rFonts w:asciiTheme="majorBidi" w:hAnsiTheme="majorBidi" w:cstheme="majorBidi"/>
          <w:lang w:val="en-US"/>
        </w:rPr>
        <w:t xml:space="preserve"> </w:t>
      </w:r>
      <w:r w:rsidR="000847D4">
        <w:rPr>
          <w:rFonts w:asciiTheme="majorBidi" w:hAnsiTheme="majorBidi" w:cstheme="majorBidi"/>
          <w:lang w:val="en-US"/>
        </w:rPr>
        <w:t xml:space="preserve">in </w:t>
      </w:r>
      <w:r w:rsidR="000847D4" w:rsidRPr="000847D4">
        <w:rPr>
          <w:rFonts w:asciiTheme="majorBidi" w:hAnsiTheme="majorBidi" w:cstheme="majorBidi"/>
          <w:i/>
          <w:iCs/>
          <w:lang w:val="en-US"/>
        </w:rPr>
        <w:t>C. glabrata</w:t>
      </w:r>
      <w:r w:rsidR="000847D4">
        <w:rPr>
          <w:rFonts w:asciiTheme="majorBidi" w:hAnsiTheme="majorBidi" w:cstheme="majorBidi"/>
          <w:lang w:val="en-US"/>
        </w:rPr>
        <w:t xml:space="preserve"> is a</w:t>
      </w:r>
      <w:r w:rsidR="000847D4">
        <w:rPr>
          <w:rFonts w:asciiTheme="majorBidi" w:hAnsiTheme="majorBidi" w:cstheme="majorBidi"/>
          <w:lang w:val="en-US"/>
        </w:rPr>
        <w:t xml:space="preserve"> widely discussed mechanism </w:t>
      </w:r>
      <w:r w:rsidR="00F9351C">
        <w:rPr>
          <w:rFonts w:asciiTheme="majorBidi" w:hAnsiTheme="majorBidi" w:cstheme="majorBidi"/>
          <w:lang w:val="en-US"/>
        </w:rPr>
        <w:fldChar w:fldCharType="begin" w:fldLock="1"/>
      </w:r>
      <w:r w:rsidR="005A6A58">
        <w:rPr>
          <w:rFonts w:asciiTheme="majorBidi" w:hAnsiTheme="majorBidi" w:cstheme="majorBidi"/>
          <w:lang w:val="en-US"/>
        </w:rPr>
        <w:instrText>ADDIN CSL_CITATION {"citationItems":[{"id":"ITEM-1","itemData":{"DOI":"10.1128/AAC.48.10.3773-3781.2004","ISSN":"00664804","PMID":"15388433","abstract":"Candida glabrata has emerged as a common cause of fungal infection. This yeast has intrinsically low susceptibility to azole antifungals such as fluconazole, and mutation to frank azole resistance during treatment has been documented. Potential resistance mechanisms include changes in expression or sequence of ERG11 encoding the azole target. Alternatively, resistance could result from upregulated expression off multidrug transporter genes; in C. glabrata these include CDR1 and PDH1. By RNA hybridization, 10 of 12 azole-resistant clinical isolates showed 6- to 15-fold upregulation of CDR1 compared to susceptible strains. In 4 of these 10 isolates PDH1 was similarly upregulated, and in the remainder it was upregulated three- to fivefold, while ERG11 expression was minimally changed. Laboratory mutants were selected on fluconazole-containing medium with glycerol as carbon source (to eliminate mitochondtrial mutants). Similar to the clinical isolates, six of seven laboratory mutants showed unchanged ERG11 expression but coordinate CDR1-PDH1 upregulation ranging from 2- to 20-fold. Effects of antifungal treatment on gene expression in susceptible C. glabrata strains were also studied: azole exposure induced CDR1-PDH1 expression 4- to 12-fold. These findings suggest that these transporter genes are regulated by a common mechanism. In support of this, a mutation associated with laboratory resistance was identified in the C. glabrata homolog of PDR1 which encodes a regulator of multidrug transporter genes in Saccharomyces cerevisiae. The mutation falls within a putative activation domain and was associated with PDR1 autoupregulation. Additional regulatory factors remain to be identified, as indicated by the lack of PDR1 mutation in a clinical isolate with coordinately upregulated CDR1-PDH1.","author":[{"dropping-particle":"","family":"Vermitsky","given":"John Paul","non-dropping-particle":"","parse-names":false,"suffix":""},{"dropping-particle":"","family":"Edlind","given":"Thomas D.","non-dropping-particle":"","parse-names":false,"suffix":""}],"container-title":"Antimicrobial Agents and Chemotherapy","id":"ITEM-1","issue":"10","issued":{"date-parts":[["2004","10","1"]]},"page":"3773-3781","publisher":"American Society for Microbiology Journals","title":"Azole resistance in Candida glabrata: Coordinate upregulation of multidrug transporters and evidence for a Pdr1-like transcription factor","type":"article-journal","volume":"48"},"uris":["http://www.mendeley.com/documents/?uuid=c773ee07-13f3-3c5f-b88a-d38ab13eaaaf"]},{"id":"ITEM-2","itemData":{"DOI":"10.1128/AAC.49.2.668-679.2005","ISSN":"00664804","abstract":"The increasing use of azole antifungals for the treatment of mucosal and systemic Candida glabrata infections has resulted in the selection and/or emergence of resistant strains. The main mechanisms of azole resistance include alterations in the C. glabrata ERG11 gene (CgERG11), which encodes the azole target enzyme, and upregulation of the CgCDR1 and CgCDR2 genes, which encode efflux pumps. In the present study, we evaluated these molecular mechanisms in 29 unmatched clinical isolates of C. glabrata, of which 20 isolates were resistant and 9 were susceptible dose dependent (S-DD) to fluconazole. These isolates were recovered from separate patients during a 3-year hospital survey for antifungal resistance. Four of the 20 fluconazole-resistant isolates were analyzed together with matched susceptible isolates previously taken from the same patients. Twenty other azole-susceptible clinical C. glabrata isolates were included as controls. MIC data for all the fluconazole-resistant isolates revealed extensive cross-resistance to the other azoles tested, i.e., itraconazole, ketoconazole, and voriconazole. Quantitative real-time PCR analyses showed that CgCDR1 and CgCDR2, alone or in combination, were upregulated at high levels in all but two fluconazole-resistant isolates and, to a lesser extent, in the fluconazole-S-DD isolates. In addition, slight increases in the relative level of expression of CgSNQ2 (which encodes an ATP-binding cassette [ABC] transporter and which has not yet been shown to be associated with azole resistance) were seen in some of the 29 isolates studied. Interestingly, the two fluconazole-resistant isolates expressing normal levels of CgCDR1 and CgCDR2 exhibited increased levels of expression of CgSNQ2. Conversely, sequencing of CgERG11 and analysis of its expression showed no mutation or upregulation in any C. glabrata isolate, suggesting that CgERG11 is not involved in azole resistance. When the isolates were grown in the presence of fluconazole, the profiles of expression of all genes, including CgERG11, were not changed or were only minimally changed in the resistant isolates, whereas marked increases in the levels of gene expression, particularly for CgCDR1 and CgCDR2, were observed in either the fluconazole-susceptible or the fluconazole-S-DD isolates. Finally, known ABC transporter inhibitors, such as FK506, were able to reverse the azole resistance of all the isolates. Together, these results provide evidence that the upregulatio…","author":[{"dropping-particle":"","family":"Sanguinetti","given":"Maurizio","non-dropping-particle":"","parse-names":false,"suffix":""},{"dropping-particle":"","family":"Posteraro","given":"Brunella","non-dropping-particle":"","parse-names":false,"suffix":""},{"dropping-particle":"","family":"Fiori","given":"Barbara","non-dropping-particle":"","parse-names":false,"suffix":""},{"dropping-particle":"","family":"Ranno","given":"Stefania","non-dropping-particle":"","parse-names":false,"suffix":""},{"dropping-particle":"","family":"Torelli","given":"Riccardo","non-dropping-particle":"","parse-names":false,"suffix":""},{"dropping-particle":"","family":"Fadda","given":"Giovanni","non-dropping-particle":"","parse-names":false,"suffix":""}],"container-title":"Antimicrobial Agents and Chemotherapy","id":"ITEM-2","issue":"2","issued":{"date-parts":[["2005","2","1"]]},"page":"668-679","publisher":"American Society for Microbiology Journals","title":"Mechanisms of azole resistance in clinical isolates of Candida glabrata collected during a hospital survey of antifungal resistance","type":"article","volume":"49"},"uris":["http://www.mendeley.com/documents/?uuid=18d236b0-cb55-34bf-bcb5-7001f0798083"]}],"mendeley":{"formattedCitation":"(Sanguinetti et al., 2005; Vermitsky and Edlind, 2004)","plainTextFormattedCitation":"(Sanguinetti et al., 2005; Vermitsky and Edlind, 2004)","previouslyFormattedCitation":"(Sanguinetti et al., 2005; Vermitsky and Edlind, 2004)"},"properties":{"noteIndex":0},"schema":"https://github.com/citation-style-language/schema/raw/master/csl-citation.json"}</w:instrText>
      </w:r>
      <w:r w:rsidR="00F9351C">
        <w:rPr>
          <w:rFonts w:asciiTheme="majorBidi" w:hAnsiTheme="majorBidi" w:cstheme="majorBidi"/>
          <w:lang w:val="en-US"/>
        </w:rPr>
        <w:fldChar w:fldCharType="separate"/>
      </w:r>
      <w:r w:rsidR="005A6A58" w:rsidRPr="005A6A58">
        <w:rPr>
          <w:rFonts w:asciiTheme="majorBidi" w:hAnsiTheme="majorBidi" w:cstheme="majorBidi"/>
          <w:noProof/>
          <w:lang w:val="en-US"/>
        </w:rPr>
        <w:t>(Sanguinetti et al., 2005; Vermitsky and Edlind, 2004)</w:t>
      </w:r>
      <w:r w:rsidR="00F9351C">
        <w:rPr>
          <w:rFonts w:asciiTheme="majorBidi" w:hAnsiTheme="majorBidi" w:cstheme="majorBidi"/>
          <w:lang w:val="en-US"/>
        </w:rPr>
        <w:fldChar w:fldCharType="end"/>
      </w:r>
      <w:r w:rsidR="008C4164">
        <w:rPr>
          <w:rFonts w:asciiTheme="majorBidi" w:hAnsiTheme="majorBidi" w:cstheme="majorBidi"/>
          <w:lang w:val="en-US"/>
        </w:rPr>
        <w:t xml:space="preserve">. </w:t>
      </w:r>
      <w:r w:rsidR="00320B91">
        <w:rPr>
          <w:rFonts w:asciiTheme="majorBidi" w:hAnsiTheme="majorBidi" w:cstheme="majorBidi"/>
          <w:lang w:val="en-US"/>
        </w:rPr>
        <w:t>Additionally, mitochondrial dysfunctional has been linked with drug resistance by promoting expression of PDR1</w:t>
      </w:r>
      <w:r w:rsidR="005A6A58">
        <w:rPr>
          <w:rFonts w:asciiTheme="majorBidi" w:hAnsiTheme="majorBidi" w:cstheme="majorBidi"/>
          <w:lang w:val="en-US"/>
        </w:rPr>
        <w:t xml:space="preserve"> </w:t>
      </w:r>
      <w:r w:rsidR="005A6A58">
        <w:rPr>
          <w:rFonts w:asciiTheme="majorBidi" w:hAnsiTheme="majorBidi" w:cstheme="majorBidi"/>
          <w:lang w:val="en-US"/>
        </w:rPr>
        <w:fldChar w:fldCharType="begin" w:fldLock="1"/>
      </w:r>
      <w:r w:rsidR="00F236C8">
        <w:rPr>
          <w:rFonts w:asciiTheme="majorBidi" w:hAnsiTheme="majorBidi" w:cstheme="majorBidi"/>
          <w:lang w:val="en-US"/>
        </w:rPr>
        <w:instrText>ADDIN CSL_CITATION {"citationItems":[{"id":"ITEM-1","itemData":{"DOI":"10.1099/00222615-48-7-663","ISSN":"00222615","abstract":"A commercially available disk diffusion procedure was used in a large-scale study to evaluate the susceptibility of a wide range of Candida isolates to polyenes and azoles. With almost all isolates of C. glabrata resistant colonies were present within the inhibition zones for the azole compounds fluconazole, ketoconazole and miconazole, and less frequently for isoconazole, econazole and clotrimazole. Ten randomly selected isolates were cloned by limiting dilution and the susceptibility of the resulting strains to polyenes and azoles was determined. All strains presented a similar susceptibility pattern with sensitivity to polyenes and the presence of resistant colonies for all azole compounds except tioconazole. For each strain and each antifungal agent, one of these resistant colonies was subcultured and studied for antifungal susceptibility. All these colonies showed similar properties regardless of which antifungal agent allowed their selection, with increased sensitivity to polyenes and cross-resistance to the azole compounds except tioconazole. Similar results were obtained on Shadomy's modified medium and on synthetic medium. Likewise, determination of MICs by the Etest method confirmed the resistance to fluconazole. Comparative growth studies revealed a respiratory deficiency in the mutants caused by mitochondrial DNA (mtDNA) deletions. In addition, 'petite' mutants were obtained from a wild-type strain by exposure to ethidium bromide, and these respiratory mutants were shown to be resistant to azoles. These results demonstrate the relationship between mtDNA deficiency and resistance to azoles, and provide an interesting model to study the mechanisms of action of these antifungal agents.","author":[{"dropping-particle":"","family":"Defontaine","given":"Alain","non-dropping-particle":"","parse-names":false,"suffix":""},{"dropping-particle":"","family":"Bouchara","given":"Jean Philippe","non-dropping-particle":"","parse-names":false,"suffix":""},{"dropping-particle":"","family":"Declerk","given":"Philippe","non-dropping-particle":"","parse-names":false,"suffix":""},{"dropping-particle":"","family":"Planchenault","given":"Claire","non-dropping-particle":"","parse-names":false,"suffix":""},{"dropping-particle":"","family":"Chabasse","given":"Dominique","non-dropping-particle":"","parse-names":false,"suffix":""},{"dropping-particle":"","family":"Hallet","given":"Jean Noel","non-dropping-particle":"","parse-names":false,"suffix":""}],"container-title":"Journal of Medical Microbiology","id":"ITEM-1","issue":"7","issued":{"date-parts":[["1999","7","1"]]},"page":"663-670","publisher":"Lippincott Williams and Wilkins","title":"In-vitro resistance to azoles associated with mitochondrial DNA deficiency in Candida glabrata","type":"article-journal","volume":"48"},"uris":["http://www.mendeley.com/documents/?uuid=76b7b118-ee15-30ae-ab25-1e842c9c5789"]},{"id":"ITEM-2","itemData":{"DOI":"10.1128/AAC.01271-10","ISSN":"00664804","abstract":"Mitochondrial dysfunction is one of the possible mechanisms by which azole resistance can occur in Candida glabrata. Cells with mitochondrial DNA deficiency (so-called \"petite mutants\") upregulate ATP binding cassette (ABC) transporter genes and thus display increased resistance to azoles. Isolation of such C. glabrata mutants from patients receiving antifungal therapy or prophylaxis has been rarely reported. In this study, we characterized two sequential and related C. glabrata isolates recovered from the same patient undergoing azole therapy. The first isolate (BPY40) was azole susceptible (fluconazole MIC, 4 μg/ml), and the second (BPY41) was azole resistant (fluconazole MIC, &gt;256 μg/ml). BPY41 exhibited mitochondrial dysfunction and upregulation of the ABC transporter genes C. glabrata CDR1 (CgCDR1), CgCDR2, and CgSNQ2. We next assessed whether mitochondrial dysfunction conferred a selective advantage during host infection by testing the virulence of BPY40 and BPY41 in mice. Surprisingly, even with in vitro growth deficiency compared to BPY40, BPY41 was more virulent (as judged by mortality and fungal tissue burden) than BPY40 in both systemic and vaginal murine infection models. The increased virulence of the petite mutant correlated with a drastic gain of fitness in mice compared to that of its parental isolate. To understand this unexpected feature, genome-wide changes in gene expression driven by the petite mutation were analyzed by use of microarrays during in vitro growth. Enrichment of specific biological processes (oxido-reductive metabolism and the stress response) was observed in BPY41, all of which was consistent with mitochondrial dysfunction. Finally, some genes involved in cell wall remodelling were upregulated in BPY41 compared to BPY40, which may partially explain the enhanced virulence of BPY41. In conclusion, this study shows for the first time that mitochondrial dysfunction selected in vivo under azole therapy, even if strongly affecting in vitro growth characteristics, can confer a selective advantage under host conditions, allowing the C. glabrata mutant to be more virulent than wild-type isolates. Copyright © 2011, American Society for Microbiology. All Rights Reserved.","author":[{"dropping-particle":"","family":"Ferrari","given":"Sélène","non-dropping-particle":"","parse-names":false,"suffix":""},{"dropping-particle":"","family":"Sanguinetti","given":"Maurizio","non-dropping-particle":"","parse-names":false,"suffix":""},{"dropping-particle":"","family":"Bernardis","given":"Flavia","non-dropping-particle":"De","parse-names":false,"suffix":""},{"dropping-particle":"","family":"Torelli","given":"Riccardo","non-dropping-particle":"","parse-names":false,"suffix":""},{"dropping-particle":"","family":"Posteraro","given":"Brunella","non-dropping-particle":"","parse-names":false,"suffix":""},{"dropping-particle":"","family":"Vandeputte","given":"Patrick","non-dropping-particle":"","parse-names":false,"suffix":""},{"dropping-particle":"","family":"Sanglard","given":"Dominique","non-dropping-particle":"","parse-names":false,"suffix":""}],"container-title":"Antimicrobial Agents and Chemotherapy","id":"ITEM-2","issue":"5","issued":{"date-parts":[["2011","5","1"]]},"page":"1852-1860","publisher":"American Society for Microbiology Journals","title":"Loss of mitochondrial functions associated with azole resistance in Candida glabrata results in enhanced virulence in mice","type":"article-journal","volume":"55"},"uris":["http://www.mendeley.com/documents/?uuid=adc6ad97-7915-3fa5-a499-1056fe8ace0f"]}],"mendeley":{"formattedCitation":"(Defontaine et al., 1999; Ferrari et al., 2011)","plainTextFormattedCitation":"(Defontaine et al., 1999; Ferrari et al., 2011)","previouslyFormattedCitation":"(Defontaine et al., 1999; Ferrari et al., 2011)"},"properties":{"noteIndex":0},"schema":"https://github.com/citation-style-language/schema/raw/master/csl-citation.json"}</w:instrText>
      </w:r>
      <w:r w:rsidR="005A6A58">
        <w:rPr>
          <w:rFonts w:asciiTheme="majorBidi" w:hAnsiTheme="majorBidi" w:cstheme="majorBidi"/>
          <w:lang w:val="en-US"/>
        </w:rPr>
        <w:fldChar w:fldCharType="separate"/>
      </w:r>
      <w:r w:rsidR="00ED669E" w:rsidRPr="00ED669E">
        <w:rPr>
          <w:rFonts w:asciiTheme="majorBidi" w:hAnsiTheme="majorBidi" w:cstheme="majorBidi"/>
          <w:noProof/>
          <w:lang w:val="en-US"/>
        </w:rPr>
        <w:t>(Defontaine et al., 1999; Ferrari et al., 2011)</w:t>
      </w:r>
      <w:r w:rsidR="005A6A58">
        <w:rPr>
          <w:rFonts w:asciiTheme="majorBidi" w:hAnsiTheme="majorBidi" w:cstheme="majorBidi"/>
          <w:lang w:val="en-US"/>
        </w:rPr>
        <w:fldChar w:fldCharType="end"/>
      </w:r>
      <w:r w:rsidR="00320B91">
        <w:rPr>
          <w:rFonts w:asciiTheme="majorBidi" w:hAnsiTheme="majorBidi" w:cstheme="majorBidi"/>
          <w:lang w:val="en-US"/>
        </w:rPr>
        <w:t xml:space="preserve">. </w:t>
      </w:r>
      <w:r w:rsidR="00156F31">
        <w:rPr>
          <w:rFonts w:asciiTheme="majorBidi" w:hAnsiTheme="majorBidi" w:cstheme="majorBidi"/>
          <w:lang w:val="en-US"/>
        </w:rPr>
        <w:t>Another study have highlighted role of calcium signaling in azole resistance as calcium depletion switches fluconazole from fungistatic to fungicidal</w:t>
      </w:r>
      <w:r w:rsidR="00695D8E">
        <w:rPr>
          <w:rFonts w:asciiTheme="majorBidi" w:hAnsiTheme="majorBidi" w:cstheme="majorBidi"/>
          <w:lang w:val="en-US"/>
        </w:rPr>
        <w:t xml:space="preserve"> </w:t>
      </w:r>
      <w:r w:rsidR="00695D8E">
        <w:rPr>
          <w:rFonts w:asciiTheme="majorBidi" w:hAnsiTheme="majorBidi" w:cstheme="majorBidi"/>
          <w:lang w:val="en-US"/>
        </w:rPr>
        <w:fldChar w:fldCharType="begin" w:fldLock="1"/>
      </w:r>
      <w:r w:rsidR="00F9351C">
        <w:rPr>
          <w:rFonts w:asciiTheme="majorBidi" w:hAnsiTheme="majorBidi" w:cstheme="majorBidi"/>
          <w:lang w:val="en-US"/>
        </w:rPr>
        <w:instrText>ADDIN CSL_CITATION {"citationItems":[{"id":"ITEM-1","itemData":{"DOI":"10.1128/AAC.48.5.1600-1613.2004","ISSN":"00664804","PMID":"15105111","abstract":"The pathogenic yeast Candida glabrata exhibits innate resistance to fluconazole, the most commonly used antifungal agent. By screening a library of 9,216 random insertion mutants, we identified a set of 27 genes which upon mutation, confer altered fluconazole susceptibility in C. glabrata. Homologues of three of these genes have been implicated in azole and/or drug resistance in Saccharomyces cerevisiae: two of these belong to the family of ABC transporters (PDR5 and PDR16), and one is involved in retrograde signaling from mitochondria to nucleus (RTG2). The remaining 24 genes are involved in diverse cellular functions, including ribosomal biogenesis and mitochondrial function, activation of RNA polymerase II transcription, nuclear ubiquitin ligase function, cell wall biosynthesis, and calcium homeostasis. We characterized two sets of mutants in more detail. Strains defective in a putative plasma membrane calcium channel (Cchl-Midl) were modestly more susceptible to fluconazole but showed a significant loss of viability upon prolonged fluconazole exposure, suggesting that calcium signaling is required for survival of azole stress in C. glabrata. These mutants were defective in calcium uptake in response to fluconazole exposure. The combined results suggest that, in the absence of Ca2+ signaling, fluconazole has a fungicidal rather than a fungistatic effect on C. glabrata. The second set of mutants characterized in detail were defective in mitochondrial assembly and organization, and these exhibited very high levels of fluconazole resistance. Further analysis of these mutants indicated that in C. glabrata a mechanism exists for reversible loss of mitochondrial function that does not involve loss of mitochondrial genome and that C. glabrata can switch between states of mitochondrial competence and incompetence in response to fluconazole exposure.","author":[{"dropping-particle":"","family":"Kaur","given":"Rupinder","non-dropping-particle":"","parse-names":false,"suffix":""},{"dropping-particle":"","family":"Castaño","given":"Irene","non-dropping-particle":"","parse-names":false,"suffix":""},{"dropping-particle":"","family":"Cormack","given":"Brendan P.","non-dropping-particle":"","parse-names":false,"suffix":""}],"container-title":"Antimicrobial Agents and Chemotherapy","id":"ITEM-1","issue":"5","issued":{"date-parts":[["2004","5","1"]]},"page":"1600-1613","publisher":"American Society for Microbiology Journals","title":"Functional Genomic Analysis of Fluconazole Susceptibility in the Pathogenic Yeast Candida glabrata: Roles of Calcium Signaling and Mitochondria","type":"article-journal","volume":"48"},"uris":["http://www.mendeley.com/documents/?uuid=e9367533-695d-3854-9fde-e789c40414ac"]}],"mendeley":{"formattedCitation":"(Kaur et al., 2004)","plainTextFormattedCitation":"(Kaur et al., 2004)","previouslyFormattedCitation":"(Kaur et al., 2004)"},"properties":{"noteIndex":0},"schema":"https://github.com/citation-style-language/schema/raw/master/csl-citation.json"}</w:instrText>
      </w:r>
      <w:r w:rsidR="00695D8E">
        <w:rPr>
          <w:rFonts w:asciiTheme="majorBidi" w:hAnsiTheme="majorBidi" w:cstheme="majorBidi"/>
          <w:lang w:val="en-US"/>
        </w:rPr>
        <w:fldChar w:fldCharType="separate"/>
      </w:r>
      <w:r w:rsidR="00695D8E" w:rsidRPr="00695D8E">
        <w:rPr>
          <w:rFonts w:asciiTheme="majorBidi" w:hAnsiTheme="majorBidi" w:cstheme="majorBidi"/>
          <w:noProof/>
          <w:lang w:val="en-US"/>
        </w:rPr>
        <w:t>(Kaur et al., 2004)</w:t>
      </w:r>
      <w:r w:rsidR="00695D8E">
        <w:rPr>
          <w:rFonts w:asciiTheme="majorBidi" w:hAnsiTheme="majorBidi" w:cstheme="majorBidi"/>
          <w:lang w:val="en-US"/>
        </w:rPr>
        <w:fldChar w:fldCharType="end"/>
      </w:r>
      <w:r w:rsidR="00156F31">
        <w:rPr>
          <w:rFonts w:asciiTheme="majorBidi" w:hAnsiTheme="majorBidi" w:cstheme="majorBidi"/>
          <w:lang w:val="en-US"/>
        </w:rPr>
        <w:t>.</w:t>
      </w:r>
      <w:r w:rsidR="006B51A6">
        <w:rPr>
          <w:rFonts w:asciiTheme="majorBidi" w:hAnsiTheme="majorBidi" w:cstheme="majorBidi"/>
          <w:lang w:val="en-US"/>
        </w:rPr>
        <w:t xml:space="preserve"> These and many other studies </w:t>
      </w:r>
      <w:r w:rsidR="00F236C8">
        <w:rPr>
          <w:rFonts w:asciiTheme="majorBidi" w:hAnsiTheme="majorBidi" w:cstheme="majorBidi"/>
          <w:lang w:val="en-US"/>
        </w:rPr>
        <w:fldChar w:fldCharType="begin" w:fldLock="1"/>
      </w:r>
      <w:r w:rsidR="000847D4">
        <w:rPr>
          <w:rFonts w:asciiTheme="majorBidi" w:hAnsiTheme="majorBidi" w:cstheme="majorBidi"/>
          <w:lang w:val="en-US"/>
        </w:rPr>
        <w:instrText>ADDIN CSL_CITATION {"citationItems":[{"id":"ITEM-1","itemData":{"DOI":"10.1093/femsyr/fox079","ISSN":"15671364","abstract":"The frequent emergence of azole resistance among Candida glabrata strains contributes to increase the incidence of infections caused by this species. Whole-genome sequencing of a fluconazole and voriconazole-resistant clinical isolate (FFUL887) and subsequent comparison with the genome of the susceptible strain CBS138 revealed prominent differences in several genes documented to promote azole resistance in C. glabrata. Among these was the transcriptional regulator CgPdr1. The CgPdr1 FFUL887 allele included a K274Q modification not documented in other azole-resistant strains. Transcriptomic profiling evidenced the upregulation of 92 documented targets of CgPdr1 in the FFUL887 strain, supporting the idea that the K274Q substitution originates a CgPdr1 gain-of-function mutant. The expression of CgPDR1 K274Q in the FFUL887 background sensitised the cells against high concentrations of organic acids at a low pH (4.5), but had no detectable effect in tolerance towards other environmental stressors. Comparison of the genome of FFUL887 and CBS138 also revealed prominent differences in the sequence of adhesin-encoding genes, while comparison of the transcriptome of the two strains showed a significant remodelling of the expression of genes involved in metabolism of carbohydrates, nitrogen and sulphur in the FFUL887 strain; these responses likely reflecting adaptive responses evolved by the clinical strain during colonisation of the host.","author":[{"dropping-particle":"","family":"Salazar","given":"Sara Barbosa","non-dropping-particle":"","parse-names":false,"suffix":""},{"dropping-particle":"","family":"Wang","given":"Can","non-dropping-particle":"","parse-names":false,"suffix":""},{"dropping-particle":"","family":"Münsterkötter","given":"Martin","non-dropping-particle":"","parse-names":false,"suffix":""},{"dropping-particle":"","family":"Okamoto","given":"Michiyo","non-dropping-particle":"","parse-names":false,"suffix":""},{"dropping-particle":"","family":"Takahashi-Nakaguchi","given":"Azusa","non-dropping-particle":"","parse-names":false,"suffix":""},{"dropping-particle":"","family":"Chibana","given":"Hiroji","non-dropping-particle":"","parse-names":false,"suffix":""},{"dropping-particle":"","family":"Lopes","given":"Maria Manuel","non-dropping-particle":"","parse-names":false,"suffix":""},{"dropping-particle":"","family":"Güldener","given":"Ulrich","non-dropping-particle":"","parse-names":false,"suffix":""},{"dropping-particle":"","family":"Butler","given":"Geraldine","non-dropping-particle":"","parse-names":false,"suffix":""},{"dropping-particle":"","family":"Mira","given":"Nuno Pereira","non-dropping-particle":"","parse-names":false,"suffix":""}],"container-title":"FEMS Yeast Research","id":"ITEM-1","issue":"1","issued":{"date-parts":[["2018"]]},"page":"1-11","title":"Comparative genomic and transcriptomic analyses unveil novel features of azole resistance and adaptation to the human host in Candida glabrata","type":"article-journal","volume":"18"},"uris":["http://www.mendeley.com/documents/?uuid=8717222e-86f6-42bb-8fb8-f68aa442d467"]},{"id":"ITEM-2","itemData":{"DOI":"10.1371/journal.ppat.1000268","ISSN":"15537366","abstract":"CgPdr1p is a Candida glabrata Zn(2)-Cys(6) transcription factor involved in the regulation of the ABC-transporter genes CgCDR1, CgCDR2, and CgSNQ2, which are mediators of azole resistance. Single-point mutations in CgPDR1 are known to increase the expression of at least CgCDR1 and CgCDR2 and thus to contribute to azole resistance of clinical isolates. In this study, we investigated the incidence of CgPDR1 mutations in a large collection of clinical isolates and tested their relevance, not only to azole resistance in vitro and in vivo, but also to virulence. The comparison of CgPDR1 alleles from azole-susceptible and azole-resistant matched isolates enabled the identification of 57 amino acid substitutions, each positioned in distinct CgPDR1 alleles. These substitutions, which could be grouped into three different \"hot spots,\" were gain of function (GOF) mutations since they conferred hyperactivity to CgPdr1p revealed by constitutive high expression of ABC-transporter genes. Interestingly, the major transporters involved in azole resistance (CgCDR1, CgCDR2, and CgSNQ2) were not always coordinately expressed in presence of specific CgPDR1 GOF mutations, thus suggesting that these are rather trans-acting elements (GOF in CgPDR1) than cis-acting elements (promoters) that lead to azole resistance by upregulating specific combinations of ABC-transporter genes. Moreover, C. glabrata isolates complemented with CgPDR1 hyperactive alleles were not only more virulent in mice than those with wild type alleles, but they also gained fitness in the same animal model. The presence of CgPDR1 hyperactive alleles also contributed to fluconazole treatment failure in the mouse model. In conclusion, this study shows for the first time that CgPDR1 mutations are not only responsible for in vitro/in vivo azole resistance but that they can also confer a selective advantage under host conditions. © 2009 Ferrari et al.","author":[{"dropping-particle":"","family":"Ferrari","given":"Sélène","non-dropping-particle":"","parse-names":false,"suffix":""},{"dropping-particle":"","family":"Ischer","given":"Françoise","non-dropping-particle":"","parse-names":false,"suffix":""},{"dropping-particle":"","family":"Calabrese","given":"David","non-dropping-particle":"","parse-names":false,"suffix":""},{"dropping-particle":"","family":"Posteraro","given":"Brunella","non-dropping-particle":"","parse-names":false,"suffix":""},{"dropping-particle":"","family":"Sanguinetti","given":"Maurizio","non-dropping-particle":"","parse-names":false,"suffix":""},{"dropping-particle":"","family":"Fadda","given":"Giovanni","non-dropping-particle":"","parse-names":false,"suffix":""},{"dropping-particle":"","family":"Rohde","given":"Bettina","non-dropping-particle":"","parse-names":false,"suffix":""},{"dropping-particle":"","family":"Bauser","given":"Christopher","non-dropping-particle":"","parse-names":false,"suffix":""},{"dropping-particle":"","family":"Bader","given":"Oliver","non-dropping-particle":"","parse-names":false,"suffix":""},{"dropping-particle":"","family":"Sanglard","given":"Dominique","non-dropping-particle":"","parse-names":false,"suffix":""}],"container-title":"PLoS Pathogens","id":"ITEM-2","issue":"1","issued":{"date-parts":[["2009"]]},"title":"Gain of function mutations in CgPDR1 of Candida glabrata not only mediate antifungal resistance but also enhance virulence","type":"article-journal","volume":"5"},"uris":["http://www.mendeley.com/documents/?uuid=907a2e1b-9c6f-4473-b785-e8a9ccb96c24"]}],"mendeley":{"formattedCitation":"(Ferrari et al., 2009; Salazar et al., 2018)","plainTextFormattedCitation":"(Ferrari et al., 2009; Salazar et al., 2018)","previouslyFormattedCitation":"(Ferrari et al., 2009; Salazar et al., 2018)"},"properties":{"noteIndex":0},"schema":"https://github.com/citation-style-language/schema/raw/master/csl-citation.json"}</w:instrText>
      </w:r>
      <w:r w:rsidR="00F236C8">
        <w:rPr>
          <w:rFonts w:asciiTheme="majorBidi" w:hAnsiTheme="majorBidi" w:cstheme="majorBidi"/>
          <w:lang w:val="en-US"/>
        </w:rPr>
        <w:fldChar w:fldCharType="separate"/>
      </w:r>
      <w:r w:rsidR="00F236C8" w:rsidRPr="00F236C8">
        <w:rPr>
          <w:rFonts w:asciiTheme="majorBidi" w:hAnsiTheme="majorBidi" w:cstheme="majorBidi"/>
          <w:noProof/>
          <w:lang w:val="en-US"/>
        </w:rPr>
        <w:t>(Ferrari et al., 2009; Salazar et al., 2018)</w:t>
      </w:r>
      <w:r w:rsidR="00F236C8">
        <w:rPr>
          <w:rFonts w:asciiTheme="majorBidi" w:hAnsiTheme="majorBidi" w:cstheme="majorBidi"/>
          <w:lang w:val="en-US"/>
        </w:rPr>
        <w:fldChar w:fldCharType="end"/>
      </w:r>
      <w:r w:rsidR="00F236C8">
        <w:rPr>
          <w:rFonts w:asciiTheme="majorBidi" w:hAnsiTheme="majorBidi" w:cstheme="majorBidi"/>
          <w:lang w:val="en-US"/>
        </w:rPr>
        <w:t xml:space="preserve"> </w:t>
      </w:r>
      <w:r w:rsidR="006B51A6">
        <w:rPr>
          <w:rFonts w:asciiTheme="majorBidi" w:hAnsiTheme="majorBidi" w:cstheme="majorBidi"/>
          <w:lang w:val="en-US"/>
        </w:rPr>
        <w:t>highlight core mechanism underlying antifungal resistance and virulence, however how the mechanisms evolved with respect to each environment is poorly investigated. Here we attempt to elucidate effect different environment</w:t>
      </w:r>
      <w:r w:rsidR="00B404D9">
        <w:rPr>
          <w:rFonts w:asciiTheme="majorBidi" w:hAnsiTheme="majorBidi" w:cstheme="majorBidi"/>
          <w:lang w:val="en-US"/>
        </w:rPr>
        <w:t xml:space="preserve">al condition on </w:t>
      </w:r>
      <w:r w:rsidR="00B404D9" w:rsidRPr="00B404D9">
        <w:rPr>
          <w:rFonts w:asciiTheme="majorBidi" w:hAnsiTheme="majorBidi" w:cstheme="majorBidi"/>
          <w:i/>
          <w:iCs/>
          <w:lang w:val="en-US"/>
        </w:rPr>
        <w:t>C. glabrata</w:t>
      </w:r>
      <w:r w:rsidR="00164F0B">
        <w:rPr>
          <w:rFonts w:asciiTheme="majorBidi" w:hAnsiTheme="majorBidi" w:cstheme="majorBidi"/>
          <w:i/>
          <w:iCs/>
          <w:lang w:val="en-US"/>
        </w:rPr>
        <w:t>,</w:t>
      </w:r>
      <w:r w:rsidR="00B404D9">
        <w:rPr>
          <w:rFonts w:asciiTheme="majorBidi" w:hAnsiTheme="majorBidi" w:cstheme="majorBidi"/>
          <w:lang w:val="en-US"/>
        </w:rPr>
        <w:t xml:space="preserve"> to adapt and resist antifungal drugs.</w:t>
      </w:r>
    </w:p>
    <w:p w14:paraId="4BFC0D45" w14:textId="6FCE1426" w:rsidR="002C6DAC" w:rsidRDefault="00695653" w:rsidP="00904AE8">
      <w:pPr>
        <w:jc w:val="both"/>
        <w:rPr>
          <w:rFonts w:asciiTheme="majorBidi" w:hAnsiTheme="majorBidi" w:cstheme="majorBidi"/>
          <w:b/>
          <w:bCs/>
          <w:lang w:val="en-US"/>
        </w:rPr>
      </w:pPr>
      <w:r w:rsidRPr="00447CE3">
        <w:rPr>
          <w:b/>
          <w:bCs/>
          <w:sz w:val="36"/>
          <w:szCs w:val="36"/>
          <w:lang w:val="en-US"/>
        </w:rPr>
        <w:t>Results</w:t>
      </w:r>
    </w:p>
    <w:p w14:paraId="4FE7D809" w14:textId="42D4AF4B" w:rsidR="00695653" w:rsidRDefault="00695653"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 xml:space="preserve">Oxidative stress treated </w:t>
      </w: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elevated resistance to </w:t>
      </w:r>
      <w:r w:rsidR="0029182A">
        <w:rPr>
          <w:rFonts w:asciiTheme="majorBidi" w:hAnsiTheme="majorBidi" w:cstheme="majorBidi"/>
          <w:b/>
          <w:bCs/>
          <w:lang w:val="en-US"/>
        </w:rPr>
        <w:t>fluconazole</w:t>
      </w:r>
    </w:p>
    <w:p w14:paraId="7455B77F" w14:textId="4D53ABD4" w:rsidR="00D331D5" w:rsidRDefault="00D331D5" w:rsidP="00D331D5">
      <w:pPr>
        <w:spacing w:line="360" w:lineRule="auto"/>
        <w:jc w:val="both"/>
        <w:rPr>
          <w:rFonts w:asciiTheme="majorBidi" w:hAnsiTheme="majorBidi" w:cstheme="majorBidi"/>
          <w:lang w:val="en-US"/>
        </w:rPr>
      </w:pPr>
    </w:p>
    <w:p w14:paraId="1DF3B76A" w14:textId="77777777" w:rsidR="00D331D5" w:rsidRPr="00D331D5" w:rsidRDefault="00D331D5" w:rsidP="00D331D5">
      <w:pPr>
        <w:spacing w:line="360" w:lineRule="auto"/>
        <w:jc w:val="both"/>
        <w:rPr>
          <w:rFonts w:asciiTheme="majorBidi" w:hAnsiTheme="majorBidi" w:cstheme="majorBidi"/>
          <w:lang w:val="en-US"/>
        </w:rPr>
      </w:pPr>
      <w:bookmarkStart w:id="0" w:name="_GoBack"/>
      <w:bookmarkEnd w:id="0"/>
    </w:p>
    <w:p w14:paraId="5B4F60A6" w14:textId="77777777" w:rsidR="00D331D5" w:rsidRPr="00D331D5" w:rsidRDefault="00D331D5" w:rsidP="00D331D5">
      <w:pPr>
        <w:spacing w:line="360" w:lineRule="auto"/>
        <w:jc w:val="both"/>
        <w:rPr>
          <w:rFonts w:asciiTheme="majorBidi" w:hAnsiTheme="majorBidi" w:cstheme="majorBidi"/>
          <w:lang w:val="en-US"/>
        </w:rPr>
      </w:pPr>
    </w:p>
    <w:p w14:paraId="61FF6820" w14:textId="50C6BB68" w:rsidR="00CF06ED" w:rsidRDefault="00CF06ED" w:rsidP="00904AE8">
      <w:pPr>
        <w:pStyle w:val="ListParagraph"/>
        <w:numPr>
          <w:ilvl w:val="0"/>
          <w:numId w:val="2"/>
        </w:numPr>
        <w:jc w:val="both"/>
        <w:rPr>
          <w:rFonts w:asciiTheme="majorBidi" w:hAnsiTheme="majorBidi" w:cstheme="majorBidi"/>
          <w:b/>
          <w:bCs/>
          <w:lang w:val="en-US"/>
        </w:rPr>
      </w:pP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exhibits different growth profile under different growth medium</w:t>
      </w:r>
    </w:p>
    <w:p w14:paraId="1358CD40" w14:textId="126C89F1" w:rsidR="00CF06ED" w:rsidRDefault="00E62255"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Fluconazole effect varies with glucose concentration</w:t>
      </w:r>
    </w:p>
    <w:p w14:paraId="68F48BAF" w14:textId="4EC3AEB1" w:rsidR="00E62255" w:rsidRDefault="00E62255"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Cells growing in acidic pH are more resistant to Fluconazole than alkaline</w:t>
      </w:r>
    </w:p>
    <w:p w14:paraId="4411A0A1" w14:textId="3EC243D6" w:rsidR="00E62255" w:rsidRDefault="00683A86"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Pre-exposure to Fluconazole improves resistance against higher concentration of Fluconazole</w:t>
      </w:r>
    </w:p>
    <w:p w14:paraId="3DB148E0" w14:textId="36F7D656" w:rsidR="003A7EB2" w:rsidRPr="00695653" w:rsidRDefault="003A7EB2" w:rsidP="00904AE8">
      <w:pPr>
        <w:pStyle w:val="ListParagraph"/>
        <w:numPr>
          <w:ilvl w:val="0"/>
          <w:numId w:val="2"/>
        </w:numPr>
        <w:jc w:val="both"/>
        <w:rPr>
          <w:rFonts w:asciiTheme="majorBidi" w:hAnsiTheme="majorBidi" w:cstheme="majorBidi"/>
          <w:b/>
          <w:bCs/>
          <w:lang w:val="en-US"/>
        </w:rPr>
      </w:pPr>
      <w:r>
        <w:rPr>
          <w:rFonts w:asciiTheme="majorBidi" w:hAnsiTheme="majorBidi" w:cstheme="majorBidi"/>
          <w:b/>
          <w:bCs/>
          <w:lang w:val="en-US"/>
        </w:rPr>
        <w:t>Days affect flu effect</w:t>
      </w:r>
    </w:p>
    <w:sectPr w:rsidR="003A7EB2" w:rsidRPr="00695653" w:rsidSect="00DC642A">
      <w:headerReference w:type="default" r:id="rId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8C4E6" w14:textId="77777777" w:rsidR="008F3D62" w:rsidRDefault="008F3D62" w:rsidP="009F7A62">
      <w:r>
        <w:separator/>
      </w:r>
    </w:p>
  </w:endnote>
  <w:endnote w:type="continuationSeparator" w:id="0">
    <w:p w14:paraId="4C3F9B59" w14:textId="77777777" w:rsidR="008F3D62" w:rsidRDefault="008F3D62" w:rsidP="009F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skerville SemiBold">
    <w:panose1 w:val="02020702070400020203"/>
    <w:charset w:val="00"/>
    <w:family w:val="roman"/>
    <w:pitch w:val="variable"/>
    <w:sig w:usb0="80000067" w:usb1="0200004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odoni 72 Oldstyl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15BA4" w14:textId="77777777" w:rsidR="008F3D62" w:rsidRDefault="008F3D62" w:rsidP="009F7A62">
      <w:r>
        <w:separator/>
      </w:r>
    </w:p>
  </w:footnote>
  <w:footnote w:type="continuationSeparator" w:id="0">
    <w:p w14:paraId="105AB8E9" w14:textId="77777777" w:rsidR="008F3D62" w:rsidRDefault="008F3D62" w:rsidP="009F7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C5ACF" w14:textId="7BF271B1" w:rsidR="009F7A62" w:rsidRPr="009F7A62" w:rsidRDefault="009F7A62" w:rsidP="009F7A62">
    <w:pPr>
      <w:jc w:val="center"/>
      <w:rPr>
        <w:color w:val="000000" w:themeColor="text1"/>
        <w:sz w:val="28"/>
        <w:szCs w:val="28"/>
        <w:lang w:val="en-US"/>
      </w:rPr>
    </w:pPr>
    <w:r w:rsidRPr="009F7A62">
      <w:rPr>
        <w:color w:val="000000" w:themeColor="text1"/>
        <w:sz w:val="28"/>
        <w:szCs w:val="28"/>
        <w:lang w:val="en-US"/>
      </w:rPr>
      <w:t xml:space="preserve">Evaluation of </w:t>
    </w:r>
    <w:r w:rsidRPr="009F7A62">
      <w:rPr>
        <w:i/>
        <w:iCs/>
        <w:color w:val="000000" w:themeColor="text1"/>
        <w:sz w:val="28"/>
        <w:szCs w:val="28"/>
        <w:lang w:val="en-US"/>
      </w:rPr>
      <w:t>C. glabrata</w:t>
    </w:r>
    <w:r w:rsidRPr="009F7A62">
      <w:rPr>
        <w:color w:val="000000" w:themeColor="text1"/>
        <w:sz w:val="28"/>
        <w:szCs w:val="28"/>
        <w:lang w:val="en-US"/>
      </w:rPr>
      <w:t xml:space="preserve"> growth treated antifungal drug under different environmental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7505F"/>
    <w:multiLevelType w:val="hybridMultilevel"/>
    <w:tmpl w:val="05EC6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913EC"/>
    <w:multiLevelType w:val="hybridMultilevel"/>
    <w:tmpl w:val="F2346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F0"/>
    <w:rsid w:val="0007582A"/>
    <w:rsid w:val="0007774E"/>
    <w:rsid w:val="000847D4"/>
    <w:rsid w:val="00156153"/>
    <w:rsid w:val="00156F31"/>
    <w:rsid w:val="00164F0B"/>
    <w:rsid w:val="001963B8"/>
    <w:rsid w:val="001A63CB"/>
    <w:rsid w:val="001E276D"/>
    <w:rsid w:val="002275F4"/>
    <w:rsid w:val="0028116F"/>
    <w:rsid w:val="0029182A"/>
    <w:rsid w:val="002C4C97"/>
    <w:rsid w:val="002C6DAC"/>
    <w:rsid w:val="00320B91"/>
    <w:rsid w:val="003210C4"/>
    <w:rsid w:val="00336D51"/>
    <w:rsid w:val="003A7EB2"/>
    <w:rsid w:val="004228C4"/>
    <w:rsid w:val="0044362B"/>
    <w:rsid w:val="00443FE7"/>
    <w:rsid w:val="00447CE3"/>
    <w:rsid w:val="004B2749"/>
    <w:rsid w:val="004D590A"/>
    <w:rsid w:val="004E30B2"/>
    <w:rsid w:val="00513CC3"/>
    <w:rsid w:val="005469EF"/>
    <w:rsid w:val="00552CA2"/>
    <w:rsid w:val="0057252F"/>
    <w:rsid w:val="005A6A58"/>
    <w:rsid w:val="005F66E8"/>
    <w:rsid w:val="00602BC5"/>
    <w:rsid w:val="00637423"/>
    <w:rsid w:val="00645426"/>
    <w:rsid w:val="00683A86"/>
    <w:rsid w:val="00690D74"/>
    <w:rsid w:val="00695653"/>
    <w:rsid w:val="00695D8E"/>
    <w:rsid w:val="006B51A6"/>
    <w:rsid w:val="007534A3"/>
    <w:rsid w:val="007615E9"/>
    <w:rsid w:val="007B1592"/>
    <w:rsid w:val="007E26F0"/>
    <w:rsid w:val="00835BEC"/>
    <w:rsid w:val="00863BBA"/>
    <w:rsid w:val="008C224E"/>
    <w:rsid w:val="008C3239"/>
    <w:rsid w:val="008C4164"/>
    <w:rsid w:val="008F3D62"/>
    <w:rsid w:val="0090203A"/>
    <w:rsid w:val="00904AE8"/>
    <w:rsid w:val="009173AE"/>
    <w:rsid w:val="009308D2"/>
    <w:rsid w:val="009568F1"/>
    <w:rsid w:val="00982B99"/>
    <w:rsid w:val="00987898"/>
    <w:rsid w:val="00995766"/>
    <w:rsid w:val="009A258E"/>
    <w:rsid w:val="009F7A62"/>
    <w:rsid w:val="00A317D4"/>
    <w:rsid w:val="00A47DB9"/>
    <w:rsid w:val="00A9673C"/>
    <w:rsid w:val="00AB457D"/>
    <w:rsid w:val="00B02BCF"/>
    <w:rsid w:val="00B21348"/>
    <w:rsid w:val="00B404D9"/>
    <w:rsid w:val="00B93758"/>
    <w:rsid w:val="00BB01F3"/>
    <w:rsid w:val="00BE7267"/>
    <w:rsid w:val="00C2095E"/>
    <w:rsid w:val="00C86A89"/>
    <w:rsid w:val="00C9344A"/>
    <w:rsid w:val="00CA75CD"/>
    <w:rsid w:val="00CF06ED"/>
    <w:rsid w:val="00D0493B"/>
    <w:rsid w:val="00D20D5C"/>
    <w:rsid w:val="00D2222E"/>
    <w:rsid w:val="00D331D5"/>
    <w:rsid w:val="00D674AE"/>
    <w:rsid w:val="00DC642A"/>
    <w:rsid w:val="00E62255"/>
    <w:rsid w:val="00E772B2"/>
    <w:rsid w:val="00EA1279"/>
    <w:rsid w:val="00ED669E"/>
    <w:rsid w:val="00EE371D"/>
    <w:rsid w:val="00EE4A9C"/>
    <w:rsid w:val="00EE58E1"/>
    <w:rsid w:val="00EF2CA3"/>
    <w:rsid w:val="00F236C8"/>
    <w:rsid w:val="00F24BE4"/>
    <w:rsid w:val="00F33173"/>
    <w:rsid w:val="00F54A55"/>
    <w:rsid w:val="00F9351C"/>
    <w:rsid w:val="00FD61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E3854"/>
  <w14:defaultImageDpi w14:val="32767"/>
  <w15:chartTrackingRefBased/>
  <w15:docId w15:val="{A58DC468-F898-214C-AA57-0C5F42B3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custom 4"/>
    <w:basedOn w:val="Normal"/>
    <w:next w:val="Normal"/>
    <w:link w:val="Heading1Char"/>
    <w:uiPriority w:val="9"/>
    <w:qFormat/>
    <w:rsid w:val="00863BBA"/>
    <w:pPr>
      <w:keepNext/>
      <w:keepLines/>
      <w:spacing w:before="240"/>
      <w:outlineLvl w:val="0"/>
    </w:pPr>
    <w:rPr>
      <w:rFonts w:ascii="Baskerville SemiBold" w:eastAsiaTheme="majorEastAsia" w:hAnsi="Baskerville SemiBold" w:cstheme="majorBidi"/>
      <w:b/>
      <w:i/>
      <w:color w:val="2F5496" w:themeColor="accent1" w:themeShade="BF"/>
      <w:sz w:val="32"/>
      <w:szCs w:val="32"/>
    </w:rPr>
  </w:style>
  <w:style w:type="paragraph" w:styleId="Heading3">
    <w:name w:val="heading 3"/>
    <w:basedOn w:val="Normal"/>
    <w:next w:val="Normal"/>
    <w:link w:val="Heading3Char"/>
    <w:autoRedefine/>
    <w:uiPriority w:val="9"/>
    <w:unhideWhenUsed/>
    <w:qFormat/>
    <w:rsid w:val="00863BBA"/>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BBA"/>
    <w:rPr>
      <w:rFonts w:eastAsiaTheme="majorEastAsia" w:cstheme="majorBidi"/>
      <w:color w:val="1F3763" w:themeColor="accent1" w:themeShade="7F"/>
    </w:rPr>
  </w:style>
  <w:style w:type="character" w:styleId="Strong">
    <w:name w:val="Strong"/>
    <w:basedOn w:val="DefaultParagraphFont"/>
    <w:uiPriority w:val="22"/>
    <w:qFormat/>
    <w:rsid w:val="00863BBA"/>
    <w:rPr>
      <w:rFonts w:ascii="Bodoni 72 Oldstyle" w:eastAsiaTheme="majorEastAsia" w:hAnsi="Bodoni 72 Oldstyle" w:cstheme="majorBidi"/>
      <w:b/>
      <w:i w:val="0"/>
      <w:color w:val="2F5496" w:themeColor="accent1" w:themeShade="BF"/>
      <w:sz w:val="32"/>
      <w:szCs w:val="26"/>
    </w:rPr>
  </w:style>
  <w:style w:type="character" w:customStyle="1" w:styleId="Heading1Char">
    <w:name w:val="Heading 1 Char"/>
    <w:aliases w:val="custom 4 Char"/>
    <w:basedOn w:val="DefaultParagraphFont"/>
    <w:link w:val="Heading1"/>
    <w:uiPriority w:val="9"/>
    <w:rsid w:val="00863BBA"/>
    <w:rPr>
      <w:rFonts w:ascii="Baskerville SemiBold" w:eastAsiaTheme="majorEastAsia" w:hAnsi="Baskerville SemiBold" w:cstheme="majorBidi"/>
      <w:b/>
      <w:i/>
      <w:color w:val="2F5496" w:themeColor="accent1" w:themeShade="BF"/>
      <w:sz w:val="32"/>
      <w:szCs w:val="32"/>
    </w:rPr>
  </w:style>
  <w:style w:type="character" w:styleId="BookTitle">
    <w:name w:val="Book Title"/>
    <w:aliases w:val="custom heading 4"/>
    <w:basedOn w:val="DefaultParagraphFont"/>
    <w:uiPriority w:val="33"/>
    <w:qFormat/>
    <w:rsid w:val="00602BC5"/>
    <w:rPr>
      <w:rFonts w:asciiTheme="minorHAnsi" w:eastAsia="Calibri" w:hAnsiTheme="minorHAnsi" w:cstheme="majorBidi"/>
      <w:b w:val="0"/>
      <w:bCs w:val="0"/>
      <w:i/>
      <w:iCs/>
      <w:color w:val="2F5496" w:themeColor="accent1" w:themeShade="BF"/>
      <w:spacing w:val="5"/>
      <w:lang w:val="en-GB" w:eastAsia="zh-CN"/>
    </w:rPr>
  </w:style>
  <w:style w:type="paragraph" w:styleId="Header">
    <w:name w:val="header"/>
    <w:basedOn w:val="Normal"/>
    <w:link w:val="HeaderChar"/>
    <w:uiPriority w:val="99"/>
    <w:unhideWhenUsed/>
    <w:rsid w:val="009F7A62"/>
    <w:pPr>
      <w:tabs>
        <w:tab w:val="center" w:pos="4680"/>
        <w:tab w:val="right" w:pos="9360"/>
      </w:tabs>
    </w:pPr>
  </w:style>
  <w:style w:type="character" w:customStyle="1" w:styleId="HeaderChar">
    <w:name w:val="Header Char"/>
    <w:basedOn w:val="DefaultParagraphFont"/>
    <w:link w:val="Header"/>
    <w:uiPriority w:val="99"/>
    <w:rsid w:val="009F7A62"/>
  </w:style>
  <w:style w:type="paragraph" w:styleId="Footer">
    <w:name w:val="footer"/>
    <w:basedOn w:val="Normal"/>
    <w:link w:val="FooterChar"/>
    <w:uiPriority w:val="99"/>
    <w:unhideWhenUsed/>
    <w:rsid w:val="009F7A62"/>
    <w:pPr>
      <w:tabs>
        <w:tab w:val="center" w:pos="4680"/>
        <w:tab w:val="right" w:pos="9360"/>
      </w:tabs>
    </w:pPr>
  </w:style>
  <w:style w:type="character" w:customStyle="1" w:styleId="FooterChar">
    <w:name w:val="Footer Char"/>
    <w:basedOn w:val="DefaultParagraphFont"/>
    <w:link w:val="Footer"/>
    <w:uiPriority w:val="99"/>
    <w:rsid w:val="009F7A62"/>
  </w:style>
  <w:style w:type="paragraph" w:styleId="ListParagraph">
    <w:name w:val="List Paragraph"/>
    <w:basedOn w:val="Normal"/>
    <w:uiPriority w:val="34"/>
    <w:qFormat/>
    <w:rsid w:val="00695653"/>
    <w:pPr>
      <w:ind w:left="720"/>
      <w:contextualSpacing/>
    </w:pPr>
  </w:style>
  <w:style w:type="character" w:styleId="Emphasis">
    <w:name w:val="Emphasis"/>
    <w:basedOn w:val="DefaultParagraphFont"/>
    <w:uiPriority w:val="20"/>
    <w:qFormat/>
    <w:rsid w:val="00982B99"/>
    <w:rPr>
      <w:i/>
      <w:iCs/>
    </w:rPr>
  </w:style>
  <w:style w:type="character" w:customStyle="1" w:styleId="apple-converted-space">
    <w:name w:val="apple-converted-space"/>
    <w:basedOn w:val="DefaultParagraphFont"/>
    <w:rsid w:val="00982B99"/>
  </w:style>
  <w:style w:type="paragraph" w:styleId="BalloonText">
    <w:name w:val="Balloon Text"/>
    <w:basedOn w:val="Normal"/>
    <w:link w:val="BalloonTextChar"/>
    <w:uiPriority w:val="99"/>
    <w:semiHidden/>
    <w:unhideWhenUsed/>
    <w:rsid w:val="00835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5BEC"/>
    <w:rPr>
      <w:rFonts w:ascii="Times New Roman" w:hAnsi="Times New Roman" w:cs="Times New Roman"/>
      <w:sz w:val="18"/>
      <w:szCs w:val="18"/>
    </w:rPr>
  </w:style>
  <w:style w:type="character" w:styleId="Hyperlink">
    <w:name w:val="Hyperlink"/>
    <w:basedOn w:val="DefaultParagraphFont"/>
    <w:uiPriority w:val="99"/>
    <w:semiHidden/>
    <w:unhideWhenUsed/>
    <w:rsid w:val="00C93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8585">
      <w:bodyDiv w:val="1"/>
      <w:marLeft w:val="0"/>
      <w:marRight w:val="0"/>
      <w:marTop w:val="0"/>
      <w:marBottom w:val="0"/>
      <w:divBdr>
        <w:top w:val="none" w:sz="0" w:space="0" w:color="auto"/>
        <w:left w:val="none" w:sz="0" w:space="0" w:color="auto"/>
        <w:bottom w:val="none" w:sz="0" w:space="0" w:color="auto"/>
        <w:right w:val="none" w:sz="0" w:space="0" w:color="auto"/>
      </w:divBdr>
    </w:div>
    <w:div w:id="881556225">
      <w:bodyDiv w:val="1"/>
      <w:marLeft w:val="0"/>
      <w:marRight w:val="0"/>
      <w:marTop w:val="0"/>
      <w:marBottom w:val="0"/>
      <w:divBdr>
        <w:top w:val="none" w:sz="0" w:space="0" w:color="auto"/>
        <w:left w:val="none" w:sz="0" w:space="0" w:color="auto"/>
        <w:bottom w:val="none" w:sz="0" w:space="0" w:color="auto"/>
        <w:right w:val="none" w:sz="0" w:space="0" w:color="auto"/>
      </w:divBdr>
    </w:div>
    <w:div w:id="887259049">
      <w:bodyDiv w:val="1"/>
      <w:marLeft w:val="0"/>
      <w:marRight w:val="0"/>
      <w:marTop w:val="0"/>
      <w:marBottom w:val="0"/>
      <w:divBdr>
        <w:top w:val="none" w:sz="0" w:space="0" w:color="auto"/>
        <w:left w:val="none" w:sz="0" w:space="0" w:color="auto"/>
        <w:bottom w:val="none" w:sz="0" w:space="0" w:color="auto"/>
        <w:right w:val="none" w:sz="0" w:space="0" w:color="auto"/>
      </w:divBdr>
    </w:div>
    <w:div w:id="995917183">
      <w:bodyDiv w:val="1"/>
      <w:marLeft w:val="0"/>
      <w:marRight w:val="0"/>
      <w:marTop w:val="0"/>
      <w:marBottom w:val="0"/>
      <w:divBdr>
        <w:top w:val="none" w:sz="0" w:space="0" w:color="auto"/>
        <w:left w:val="none" w:sz="0" w:space="0" w:color="auto"/>
        <w:bottom w:val="none" w:sz="0" w:space="0" w:color="auto"/>
        <w:right w:val="none" w:sz="0" w:space="0" w:color="auto"/>
      </w:divBdr>
    </w:div>
    <w:div w:id="1296645133">
      <w:bodyDiv w:val="1"/>
      <w:marLeft w:val="0"/>
      <w:marRight w:val="0"/>
      <w:marTop w:val="0"/>
      <w:marBottom w:val="0"/>
      <w:divBdr>
        <w:top w:val="none" w:sz="0" w:space="0" w:color="auto"/>
        <w:left w:val="none" w:sz="0" w:space="0" w:color="auto"/>
        <w:bottom w:val="none" w:sz="0" w:space="0" w:color="auto"/>
        <w:right w:val="none" w:sz="0" w:space="0" w:color="auto"/>
      </w:divBdr>
    </w:div>
    <w:div w:id="1314139746">
      <w:bodyDiv w:val="1"/>
      <w:marLeft w:val="0"/>
      <w:marRight w:val="0"/>
      <w:marTop w:val="0"/>
      <w:marBottom w:val="0"/>
      <w:divBdr>
        <w:top w:val="none" w:sz="0" w:space="0" w:color="auto"/>
        <w:left w:val="none" w:sz="0" w:space="0" w:color="auto"/>
        <w:bottom w:val="none" w:sz="0" w:space="0" w:color="auto"/>
        <w:right w:val="none" w:sz="0" w:space="0" w:color="auto"/>
      </w:divBdr>
    </w:div>
    <w:div w:id="1454902190">
      <w:bodyDiv w:val="1"/>
      <w:marLeft w:val="0"/>
      <w:marRight w:val="0"/>
      <w:marTop w:val="0"/>
      <w:marBottom w:val="0"/>
      <w:divBdr>
        <w:top w:val="none" w:sz="0" w:space="0" w:color="auto"/>
        <w:left w:val="none" w:sz="0" w:space="0" w:color="auto"/>
        <w:bottom w:val="none" w:sz="0" w:space="0" w:color="auto"/>
        <w:right w:val="none" w:sz="0" w:space="0" w:color="auto"/>
      </w:divBdr>
    </w:div>
    <w:div w:id="14631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48A6-2374-024E-97FD-7F3AA916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4732</Words>
  <Characters>26978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Prakashchandra Sethiya</dc:creator>
  <cp:keywords/>
  <dc:description/>
  <cp:lastModifiedBy>Pooja Prakashchandra Sethiya</cp:lastModifiedBy>
  <cp:revision>95</cp:revision>
  <dcterms:created xsi:type="dcterms:W3CDTF">2020-03-10T18:02:00Z</dcterms:created>
  <dcterms:modified xsi:type="dcterms:W3CDTF">2020-03-26T17:02:00Z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http://www.zotero.org/styles/fungal-biology</vt:lpwstr>
  </property>
  <property fmtid="{D5CDD505-2E9C-101B-9397-08002B2CF9AE}" pid="11" name="Mendeley Recent Style Name 4_1">
    <vt:lpwstr>Fungal Biology</vt:lpwstr>
  </property>
  <property fmtid="{D5CDD505-2E9C-101B-9397-08002B2CF9AE}" pid="12" name="Mendeley Recent Style Id 5_1">
    <vt:lpwstr>http://www.zotero.org/styles/fungal-genetics-and-biology</vt:lpwstr>
  </property>
  <property fmtid="{D5CDD505-2E9C-101B-9397-08002B2CF9AE}" pid="13" name="Mendeley Recent Style Name 5_1">
    <vt:lpwstr>Fungal Genetics and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21c02a77-2395-3f4b-ad39-736210994d25</vt:lpwstr>
  </property>
  <property fmtid="{D5CDD505-2E9C-101B-9397-08002B2CF9AE}" pid="24" name="Mendeley Citation Style_1">
    <vt:lpwstr>http://www.zotero.org/styles/fungal-biology</vt:lpwstr>
  </property>
</Properties>
</file>