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Paid Time Off (PTO), Holidays, and Leave Administration</w:t>
      </w:r>
    </w:p>
    <w:p>
      <w:r>
        <w:rPr>
          <w:b/>
        </w:rPr>
        <w:t>Document ID:</w:t>
      </w:r>
      <w:r>
        <w:t xml:space="preserve"> HR-POL-PTOLV-001</w:t>
      </w:r>
      <w:r>
        <w:br/>
      </w:r>
      <w:r>
        <w:rPr>
          <w:b/>
        </w:rPr>
        <w:t>Owner Department:</w:t>
      </w:r>
      <w:r>
        <w:t xml:space="preserve"> Human Resources (Total Rewards &amp; People Operations)</w:t>
      </w:r>
      <w:r>
        <w:br/>
      </w:r>
      <w:r>
        <w:rPr>
          <w:b/>
        </w:rPr>
        <w:t>Effective Date:</w:t>
      </w:r>
      <w:r>
        <w:t xml:space="preserve"> 2026-01-01</w:t>
      </w:r>
      <w:r>
        <w:br/>
      </w:r>
      <w:r>
        <w:rPr>
          <w:b/>
        </w:rPr>
        <w:t>Version:</w:t>
      </w:r>
      <w:r>
        <w:t xml:space="preserve"> 1.0</w:t>
      </w:r>
      <w:r>
        <w:br/>
      </w:r>
      <w:r>
        <w:rPr>
          <w:b/>
        </w:rPr>
        <w:t>Applies To:</w:t>
      </w:r>
      <w:r>
        <w:t xml:space="preserve"> Contoso Corporation employees (see Scope)</w:t>
      </w:r>
      <w:r>
        <w:br/>
      </w:r>
      <w:r>
        <w:rPr>
          <w:b/>
        </w:rPr>
        <w:t>Approval Authority:</w:t>
      </w:r>
      <w:r>
        <w:t xml:space="preserve"> Chief Human Resources Officer (CHRO)</w:t>
      </w:r>
      <w:r>
        <w:br/>
      </w:r>
      <w:r>
        <w:rPr>
          <w:b/>
        </w:rPr>
        <w:t>Last Reviewed:</w:t>
      </w:r>
      <w:r>
        <w:t xml:space="preserve"> 2025-12-15</w:t>
      </w:r>
      <w:r>
        <w:br/>
      </w:r>
      <w:r>
        <w:rPr>
          <w:b/>
        </w:rPr>
        <w:t>Next Review Due:</w:t>
      </w:r>
      <w:r>
        <w:t xml:space="preserve"> 2026-12-15</w:t>
      </w:r>
    </w:p>
    <w:p>
      <w:pPr>
        <w:jc w:val="center"/>
      </w:pPr>
      <w:r>
        <w:t>──────────────────────────────────────────────────</w:t>
      </w:r>
    </w:p>
    <w:p>
      <w:pPr>
        <w:pStyle w:val="Heading2"/>
      </w:pPr>
      <w:r>
        <w:t>1. Purpose and Scope</w:t>
      </w:r>
    </w:p>
    <w:p>
      <w:pPr>
        <w:pStyle w:val="Heading3"/>
      </w:pPr>
      <w:r>
        <w:t>1.1 Purpose</w:t>
      </w:r>
    </w:p>
    <w:p>
      <w:r>
        <w:t>This policy establishes Contoso Corporation’s standards for Paid Time Off (PTO) accrual, use, carryover, holiday observance, office closures, time-off request and tracking procedures, and PTO payout at separation. The intent is to ensure consistent administration, compliance with applicable laws, and operational continuity while enabling employees to take restorative time away from work.</w:t>
      </w:r>
    </w:p>
    <w:p>
      <w:pPr>
        <w:pStyle w:val="Heading3"/>
      </w:pPr>
      <w:r>
        <w:t>1.2 Scope</w:t>
      </w:r>
    </w:p>
    <w:p>
      <w:r>
        <w:t>This policy applies to:</w:t>
      </w:r>
    </w:p>
    <w:p>
      <w:pPr>
        <w:pStyle w:val="ListBullet"/>
      </w:pPr>
      <w:r>
        <w:t>Full-time employees (regularly scheduled 30+ hours/week) in the United States.</w:t>
      </w:r>
    </w:p>
    <w:p>
      <w:pPr>
        <w:pStyle w:val="ListBullet"/>
      </w:pPr>
      <w:r>
        <w:t>Part-time employees (regularly scheduled 20–29 hours/week) in the United States only as explicitly stated (e.g., holiday eligibility may differ by role and local practice).</w:t>
      </w:r>
    </w:p>
    <w:p>
      <w:pPr>
        <w:pStyle w:val="ListBullet"/>
      </w:pPr>
      <w:r>
        <w:t>Employees working in other countries are subject to local leave and holiday policies issued by the applicable regional HR team.</w:t>
      </w:r>
    </w:p>
    <w:p>
      <w:r>
        <w:t>This policy does not replace statutory leave entitlements (e.g., state or local paid sick leave, family leave) where applicable. Where conflict exists, legal requirements take precedence.</w:t>
      </w:r>
    </w:p>
    <w:p>
      <w:pPr>
        <w:jc w:val="center"/>
      </w:pPr>
      <w:r>
        <w:t>──────────────────────────────────────────────────</w:t>
      </w:r>
    </w:p>
    <w:p>
      <w:pPr>
        <w:pStyle w:val="Heading2"/>
      </w:pPr>
      <w:r>
        <w:t>2. Definitions</w:t>
      </w:r>
    </w:p>
    <w:p>
      <w:pPr>
        <w:pStyle w:val="ListBullet"/>
      </w:pPr>
      <w:r>
        <w:t>PTO (Paid Time Off): A consolidated paid leave bank that combines vacation, personal days, and sick time into a single flexible balance.</w:t>
      </w:r>
    </w:p>
    <w:p>
      <w:pPr>
        <w:pStyle w:val="ListBullet"/>
      </w:pPr>
      <w:r>
        <w:t>Accrual: The periodic earning of PTO hours based on years of service and employment status.</w:t>
      </w:r>
    </w:p>
    <w:p>
      <w:pPr>
        <w:pStyle w:val="ListBullet"/>
      </w:pPr>
      <w:r>
        <w:t>Years of Service: Completed service time used to determine PTO accrual tier, calculated from the employee’s most recent continuous hire date (adjusted for approved leaves as applicable).</w:t>
      </w:r>
    </w:p>
    <w:p>
      <w:pPr>
        <w:pStyle w:val="ListBullet"/>
      </w:pPr>
      <w:r>
        <w:t>Workday: Contoso’s system of record for time-off requests, approvals, and PTO balance tracking.</w:t>
      </w:r>
    </w:p>
    <w:p>
      <w:pPr>
        <w:pStyle w:val="ListBullet"/>
      </w:pPr>
      <w:r>
        <w:t>Floating Holiday: A paid day off provided annually that the employee may use for any purpose within the calendar year.</w:t>
      </w:r>
    </w:p>
    <w:p>
      <w:pPr>
        <w:pStyle w:val="ListBullet"/>
      </w:pPr>
      <w:r>
        <w:t>Blackout Period: A defined period during which PTO approvals are restricted due to critical business needs.</w:t>
      </w:r>
    </w:p>
    <w:p>
      <w:pPr>
        <w:jc w:val="center"/>
      </w:pPr>
      <w:r>
        <w:t>──────────────────────────────────────────────────</w:t>
      </w:r>
    </w:p>
    <w:p>
      <w:pPr>
        <w:pStyle w:val="Heading2"/>
      </w:pPr>
      <w:r>
        <w:t>3. Policy Statements (Accrual, Carryover, Use, and Payout)</w:t>
      </w:r>
    </w:p>
    <w:p>
      <w:pPr>
        <w:pStyle w:val="Heading3"/>
      </w:pPr>
      <w:r>
        <w:t>3.1 PTO Accrual Eligibility and Method</w:t>
      </w:r>
    </w:p>
    <w:p>
      <w:pPr>
        <w:pStyle w:val="ListNumber"/>
      </w:pPr>
      <w:r>
        <w:t>PTO is provided to eligible employees as a benefit of employment and is accrued based on years of service.</w:t>
      </w:r>
    </w:p>
    <w:p>
      <w:pPr>
        <w:pStyle w:val="ListNumber"/>
      </w:pPr>
      <w:r>
        <w:t>PTO accrues monthly and is tracked in hours in Workday.</w:t>
      </w:r>
    </w:p>
    <w:p>
      <w:pPr>
        <w:pStyle w:val="ListNumber"/>
      </w:pPr>
      <w:r>
        <w:t>Employees must accurately record PTO taken using the appropriate Workday time-off category.</w:t>
      </w:r>
    </w:p>
    <w:p>
      <w:pPr>
        <w:pStyle w:val="Heading4"/>
      </w:pPr>
      <w:r>
        <w:t>Table 1 — PTO Accrual Rates (Full-Time Employees)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Years of Service</w:t>
            </w:r>
          </w:p>
        </w:tc>
        <w:tc>
          <w:tcPr>
            <w:tcW w:type="dxa" w:w="2880"/>
            <w:shd w:fill="D9E2F3" w:val="clear"/>
          </w:tcPr>
          <w:p>
            <w:r>
              <w:rPr>
                <w:b/>
              </w:rPr>
              <w:t>Annual PTO Accrual</w:t>
            </w:r>
          </w:p>
        </w:tc>
        <w:tc>
          <w:tcPr>
            <w:tcW w:type="dxa" w:w="2880"/>
            <w:shd w:fill="D9E2F3" w:val="clear"/>
          </w:tcPr>
          <w:p>
            <w:r>
              <w:rPr>
                <w:b/>
              </w:rPr>
              <w:t>Monthly Accrual</w:t>
            </w:r>
          </w:p>
        </w:tc>
      </w:tr>
      <w:tr>
        <w:tc>
          <w:tcPr>
            <w:tcW w:type="dxa" w:w="2880"/>
          </w:tcPr>
          <w:p>
            <w:r>
              <w:t>0–2 years</w:t>
            </w:r>
          </w:p>
        </w:tc>
        <w:tc>
          <w:tcPr>
            <w:tcW w:type="dxa" w:w="2880"/>
          </w:tcPr>
          <w:p>
            <w:r>
              <w:t>15 days (120 hours)</w:t>
            </w:r>
          </w:p>
        </w:tc>
        <w:tc>
          <w:tcPr>
            <w:tcW w:type="dxa" w:w="2880"/>
          </w:tcPr>
          <w:p>
            <w:r>
              <w:t>10.00 hours</w:t>
            </w:r>
          </w:p>
        </w:tc>
      </w:tr>
      <w:tr>
        <w:tc>
          <w:tcPr>
            <w:tcW w:type="dxa" w:w="2880"/>
          </w:tcPr>
          <w:p>
            <w:r>
              <w:t>3–5 years</w:t>
            </w:r>
          </w:p>
        </w:tc>
        <w:tc>
          <w:tcPr>
            <w:tcW w:type="dxa" w:w="2880"/>
          </w:tcPr>
          <w:p>
            <w:r>
              <w:t>20 days (160 hours)</w:t>
            </w:r>
          </w:p>
        </w:tc>
        <w:tc>
          <w:tcPr>
            <w:tcW w:type="dxa" w:w="2880"/>
          </w:tcPr>
          <w:p>
            <w:r>
              <w:t>13.33 hours</w:t>
            </w:r>
          </w:p>
        </w:tc>
      </w:tr>
      <w:tr>
        <w:tc>
          <w:tcPr>
            <w:tcW w:type="dxa" w:w="2880"/>
          </w:tcPr>
          <w:p>
            <w:r>
              <w:t>6–10 years</w:t>
            </w:r>
          </w:p>
        </w:tc>
        <w:tc>
          <w:tcPr>
            <w:tcW w:type="dxa" w:w="2880"/>
          </w:tcPr>
          <w:p>
            <w:r>
              <w:t>25 days (200 hours)</w:t>
            </w:r>
          </w:p>
        </w:tc>
        <w:tc>
          <w:tcPr>
            <w:tcW w:type="dxa" w:w="2880"/>
          </w:tcPr>
          <w:p>
            <w:r>
              <w:t>16.67 hours</w:t>
            </w:r>
          </w:p>
        </w:tc>
      </w:tr>
      <w:tr>
        <w:tc>
          <w:tcPr>
            <w:tcW w:type="dxa" w:w="2880"/>
          </w:tcPr>
          <w:p>
            <w:r>
              <w:t>11+ years</w:t>
            </w:r>
          </w:p>
        </w:tc>
        <w:tc>
          <w:tcPr>
            <w:tcW w:type="dxa" w:w="2880"/>
          </w:tcPr>
          <w:p>
            <w:r>
              <w:t>30 days (240 hours)</w:t>
            </w:r>
          </w:p>
        </w:tc>
        <w:tc>
          <w:tcPr>
            <w:tcW w:type="dxa" w:w="2880"/>
          </w:tcPr>
          <w:p>
            <w:r>
              <w:t>20.00 hours</w:t>
            </w:r>
          </w:p>
        </w:tc>
      </w:tr>
    </w:tbl>
    <w:p>
      <w:r>
        <w:rPr>
          <w:b/>
        </w:rPr>
        <w:t>Part-time (20–29 hours/week):</w:t>
      </w:r>
      <w:r>
        <w:t xml:space="preserve"> PTO eligibility and accrual, if offered, may be prorated and communicated in an offer letter or regional addendum. Workday will reflect any eligible accrual.</w:t>
      </w:r>
    </w:p>
    <w:p>
      <w:pPr>
        <w:pStyle w:val="Heading3"/>
      </w:pPr>
      <w:r>
        <w:t>3.2 PTO Carryover and Forfeiture</w:t>
      </w:r>
    </w:p>
    <w:p>
      <w:pPr>
        <w:pStyle w:val="ListNumber"/>
      </w:pPr>
      <w:r>
        <w:t>Employees may carry over up to 5 days (40 hours) of unused PTO into the next calendar year.</w:t>
      </w:r>
    </w:p>
    <w:p>
      <w:pPr>
        <w:pStyle w:val="ListNumber"/>
      </w:pPr>
      <w:r>
        <w:t>Carried-over PTO must be used by March 31 of the following year.</w:t>
      </w:r>
    </w:p>
    <w:p>
      <w:pPr>
        <w:pStyle w:val="ListNumber"/>
      </w:pPr>
      <w:r>
        <w:t>Any PTO in excess of the carryover limit is forfeited on December 31.</w:t>
      </w:r>
    </w:p>
    <w:p>
      <w:pPr>
        <w:pStyle w:val="ListNumber"/>
      </w:pPr>
      <w:r>
        <w:t>Employees may request an exception for special circumstances by submitting a case to HR (see Section 5.5). Approval is not guaranteed and must be documented.</w:t>
      </w:r>
    </w:p>
    <w:p>
      <w:pPr>
        <w:pStyle w:val="Heading3"/>
      </w:pPr>
      <w:r>
        <w:t>3.3 PTO Use Guidelines</w:t>
      </w:r>
    </w:p>
    <w:p>
      <w:pPr>
        <w:pStyle w:val="ListNumber"/>
      </w:pPr>
      <w:r>
        <w:t>PTO may be used in hourly increments consistent with timekeeping practices and manager guidance.</w:t>
      </w:r>
    </w:p>
    <w:p>
      <w:pPr>
        <w:pStyle w:val="ListNumber"/>
      </w:pPr>
      <w:r>
        <w:t>Employees are expected to schedule time off to meet both personal needs and business commitments.</w:t>
      </w:r>
    </w:p>
    <w:p>
      <w:pPr>
        <w:pStyle w:val="ListNumber"/>
      </w:pPr>
      <w:r>
        <w:t>Managers must administer PTO consistently, avoiding favoritism and ensuring coverage plans are in place for customer and operational needs.</w:t>
      </w:r>
    </w:p>
    <w:p>
      <w:pPr>
        <w:pStyle w:val="Heading3"/>
      </w:pPr>
      <w:r>
        <w:t>3.4 Sick Time Recording (Within the PTO Bank)</w:t>
      </w:r>
    </w:p>
    <w:p>
      <w:r>
        <w:t>Although PTO is a single bank, employees experiencing illness or medical need must:</w:t>
      </w:r>
    </w:p>
    <w:p>
      <w:pPr>
        <w:pStyle w:val="ListNumber"/>
      </w:pPr>
      <w:r>
        <w:t>Notify their manager by 9:00 AM local time on the day of absence (or earlier if required by the team).</w:t>
      </w:r>
    </w:p>
    <w:p>
      <w:pPr>
        <w:pStyle w:val="ListNumber"/>
      </w:pPr>
      <w:r>
        <w:t>Record the absence in Workday using the “Sick” category.</w:t>
      </w:r>
    </w:p>
    <w:p>
      <w:pPr>
        <w:pStyle w:val="ListNumber"/>
      </w:pPr>
      <w:r>
        <w:t>Provide a doctor’s note for absences exceeding 3 consecutive days, where permitted by law and consistent with HR guidance.</w:t>
      </w:r>
    </w:p>
    <w:p>
      <w:pPr>
        <w:pStyle w:val="Heading3"/>
      </w:pPr>
      <w:r>
        <w:t>3.5 PTO Payout at Separation</w:t>
      </w:r>
    </w:p>
    <w:p>
      <w:r>
        <w:t>Contoso provides payout of accrued, unused PTO under the following rules (subject to local/state law):</w:t>
      </w:r>
    </w:p>
    <w:p>
      <w:pPr>
        <w:pStyle w:val="ListBullet"/>
      </w:pPr>
      <w:r>
        <w:t>Voluntary resignation with 2+ weeks’ notice: 100% payout of accrued PTO.</w:t>
      </w:r>
    </w:p>
    <w:p>
      <w:pPr>
        <w:pStyle w:val="ListBullet"/>
      </w:pPr>
      <w:r>
        <w:t>Voluntary resignation with &lt; 2 weeks’ notice: 50% payout of accrued PTO.</w:t>
      </w:r>
    </w:p>
    <w:p>
      <w:pPr>
        <w:pStyle w:val="ListBullet"/>
      </w:pPr>
      <w:r>
        <w:t>Involuntary termination: 100% payout of accrued PTO.</w:t>
      </w:r>
    </w:p>
    <w:p>
      <w:r>
        <w:t>PTO payout will be included in the employee’s final paycheck in accordance with payroll processing timelines and legal requirements.</w:t>
      </w:r>
    </w:p>
    <w:p>
      <w:pPr>
        <w:jc w:val="center"/>
      </w:pPr>
      <w:r>
        <w:t>──────────────────────────────────────────────────</w:t>
      </w:r>
    </w:p>
    <w:p>
      <w:pPr>
        <w:pStyle w:val="Heading2"/>
      </w:pPr>
      <w:r>
        <w:t>4. Holidays and Office Closures</w:t>
      </w:r>
    </w:p>
    <w:p>
      <w:pPr>
        <w:pStyle w:val="Heading3"/>
      </w:pPr>
      <w:r>
        <w:t>4.1 Company-Paid Holidays</w:t>
      </w:r>
    </w:p>
    <w:p>
      <w:r>
        <w:t xml:space="preserve">Contoso observes </w:t>
      </w:r>
      <w:r>
        <w:rPr>
          <w:b/>
        </w:rPr>
        <w:t>11 paid holidays</w:t>
      </w:r>
      <w:r>
        <w:t xml:space="preserve"> for U.S.-based employees.</w:t>
      </w:r>
    </w:p>
    <w:p>
      <w:pPr>
        <w:pStyle w:val="Heading4"/>
      </w:pPr>
      <w:r>
        <w:t>Table 2 — Contoso U.S. Paid Holidays</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Holiday</w:t>
            </w:r>
          </w:p>
        </w:tc>
        <w:tc>
          <w:tcPr>
            <w:tcW w:type="dxa" w:w="4320"/>
            <w:shd w:fill="D9E2F3" w:val="clear"/>
          </w:tcPr>
          <w:p>
            <w:r>
              <w:rPr>
                <w:b/>
              </w:rPr>
              <w:t>Observance</w:t>
            </w:r>
          </w:p>
        </w:tc>
      </w:tr>
      <w:tr>
        <w:tc>
          <w:tcPr>
            <w:tcW w:type="dxa" w:w="4320"/>
          </w:tcPr>
          <w:p>
            <w:r>
              <w:t>New Year’s Day</w:t>
            </w:r>
          </w:p>
        </w:tc>
        <w:tc>
          <w:tcPr>
            <w:tcW w:type="dxa" w:w="4320"/>
          </w:tcPr>
          <w:p>
            <w:r>
              <w:t>January 1</w:t>
            </w:r>
          </w:p>
        </w:tc>
      </w:tr>
      <w:tr>
        <w:tc>
          <w:tcPr>
            <w:tcW w:type="dxa" w:w="4320"/>
          </w:tcPr>
          <w:p>
            <w:r>
              <w:t>Martin Luther King Jr. Day</w:t>
            </w:r>
          </w:p>
        </w:tc>
        <w:tc>
          <w:tcPr>
            <w:tcW w:type="dxa" w:w="4320"/>
          </w:tcPr>
          <w:p>
            <w:r>
              <w:t>3rd Monday in January</w:t>
            </w:r>
          </w:p>
        </w:tc>
      </w:tr>
      <w:tr>
        <w:tc>
          <w:tcPr>
            <w:tcW w:type="dxa" w:w="4320"/>
          </w:tcPr>
          <w:p>
            <w:r>
              <w:t>Presidents’ Day</w:t>
            </w:r>
          </w:p>
        </w:tc>
        <w:tc>
          <w:tcPr>
            <w:tcW w:type="dxa" w:w="4320"/>
          </w:tcPr>
          <w:p>
            <w:r>
              <w:t>3rd Monday in February</w:t>
            </w:r>
          </w:p>
        </w:tc>
      </w:tr>
      <w:tr>
        <w:tc>
          <w:tcPr>
            <w:tcW w:type="dxa" w:w="4320"/>
          </w:tcPr>
          <w:p>
            <w:r>
              <w:t>Memorial Day</w:t>
            </w:r>
          </w:p>
        </w:tc>
        <w:tc>
          <w:tcPr>
            <w:tcW w:type="dxa" w:w="4320"/>
          </w:tcPr>
          <w:p>
            <w:r>
              <w:t>Last Monday in May</w:t>
            </w:r>
          </w:p>
        </w:tc>
      </w:tr>
      <w:tr>
        <w:tc>
          <w:tcPr>
            <w:tcW w:type="dxa" w:w="4320"/>
          </w:tcPr>
          <w:p>
            <w:r>
              <w:t>Independence Day</w:t>
            </w:r>
          </w:p>
        </w:tc>
        <w:tc>
          <w:tcPr>
            <w:tcW w:type="dxa" w:w="4320"/>
          </w:tcPr>
          <w:p>
            <w:r>
              <w:t>July 4</w:t>
            </w:r>
          </w:p>
        </w:tc>
      </w:tr>
      <w:tr>
        <w:tc>
          <w:tcPr>
            <w:tcW w:type="dxa" w:w="4320"/>
          </w:tcPr>
          <w:p>
            <w:r>
              <w:t>Labor Day</w:t>
            </w:r>
          </w:p>
        </w:tc>
        <w:tc>
          <w:tcPr>
            <w:tcW w:type="dxa" w:w="4320"/>
          </w:tcPr>
          <w:p>
            <w:r>
              <w:t>1st Monday in September</w:t>
            </w:r>
          </w:p>
        </w:tc>
      </w:tr>
      <w:tr>
        <w:tc>
          <w:tcPr>
            <w:tcW w:type="dxa" w:w="4320"/>
          </w:tcPr>
          <w:p>
            <w:r>
              <w:t>Thanksgiving Day</w:t>
            </w:r>
          </w:p>
        </w:tc>
        <w:tc>
          <w:tcPr>
            <w:tcW w:type="dxa" w:w="4320"/>
          </w:tcPr>
          <w:p>
            <w:r>
              <w:t>4th Thursday in November</w:t>
            </w:r>
          </w:p>
        </w:tc>
      </w:tr>
      <w:tr>
        <w:tc>
          <w:tcPr>
            <w:tcW w:type="dxa" w:w="4320"/>
          </w:tcPr>
          <w:p>
            <w:r>
              <w:t>Day After Thanksgiving</w:t>
            </w:r>
          </w:p>
        </w:tc>
        <w:tc>
          <w:tcPr>
            <w:tcW w:type="dxa" w:w="4320"/>
          </w:tcPr>
          <w:p>
            <w:r>
              <w:t>4th Friday in November</w:t>
            </w:r>
          </w:p>
        </w:tc>
      </w:tr>
      <w:tr>
        <w:tc>
          <w:tcPr>
            <w:tcW w:type="dxa" w:w="4320"/>
          </w:tcPr>
          <w:p>
            <w:r>
              <w:t>Christmas Eve</w:t>
            </w:r>
          </w:p>
        </w:tc>
        <w:tc>
          <w:tcPr>
            <w:tcW w:type="dxa" w:w="4320"/>
          </w:tcPr>
          <w:p>
            <w:r>
              <w:t>December 24</w:t>
            </w:r>
          </w:p>
        </w:tc>
      </w:tr>
      <w:tr>
        <w:tc>
          <w:tcPr>
            <w:tcW w:type="dxa" w:w="4320"/>
          </w:tcPr>
          <w:p>
            <w:r>
              <w:t>Christmas Day</w:t>
            </w:r>
          </w:p>
        </w:tc>
        <w:tc>
          <w:tcPr>
            <w:tcW w:type="dxa" w:w="4320"/>
          </w:tcPr>
          <w:p>
            <w:r>
              <w:t>December 25</w:t>
            </w:r>
          </w:p>
        </w:tc>
      </w:tr>
      <w:tr>
        <w:tc>
          <w:tcPr>
            <w:tcW w:type="dxa" w:w="4320"/>
          </w:tcPr>
          <w:p>
            <w:r>
              <w:t>Personal Floating Holiday</w:t>
            </w:r>
          </w:p>
        </w:tc>
        <w:tc>
          <w:tcPr>
            <w:tcW w:type="dxa" w:w="4320"/>
          </w:tcPr>
          <w:p>
            <w:r>
              <w:t>Employee choice (see 4.2)</w:t>
            </w:r>
          </w:p>
        </w:tc>
      </w:tr>
    </w:tbl>
    <w:p>
      <w:pPr>
        <w:pStyle w:val="Heading3"/>
      </w:pPr>
      <w:r>
        <w:t>4.2 Floating Holiday Rules</w:t>
      </w:r>
    </w:p>
    <w:p>
      <w:pPr>
        <w:pStyle w:val="ListNumber"/>
      </w:pPr>
      <w:r>
        <w:t>Each eligible employee receives 1 floating holiday per calendar year.</w:t>
      </w:r>
    </w:p>
    <w:p>
      <w:pPr>
        <w:pStyle w:val="ListNumber"/>
      </w:pPr>
      <w:r>
        <w:t>The floating holiday must be used within the calendar year and does not carry over.</w:t>
      </w:r>
    </w:p>
    <w:p>
      <w:pPr>
        <w:pStyle w:val="ListNumber"/>
      </w:pPr>
      <w:r>
        <w:t>The floating holiday is requested and tracked in Workday in the same manner as PTO.</w:t>
      </w:r>
    </w:p>
    <w:p>
      <w:pPr>
        <w:pStyle w:val="ListNumber"/>
      </w:pPr>
      <w:r>
        <w:t>The floating holiday may be used for religious observances, birthdays, cultural events, or any personal reason, subject to team coverage needs.</w:t>
      </w:r>
    </w:p>
    <w:p>
      <w:pPr>
        <w:pStyle w:val="Heading3"/>
      </w:pPr>
      <w:r>
        <w:t>4.3 Office Closures and Holiday Coverage</w:t>
      </w:r>
    </w:p>
    <w:p>
      <w:pPr>
        <w:pStyle w:val="ListNumber"/>
      </w:pPr>
      <w:r>
        <w:t>Some functions may require staffing on holidays (e.g., customer support, critical operations). Managers will communicate required coverage in advance.</w:t>
      </w:r>
    </w:p>
    <w:p>
      <w:pPr>
        <w:pStyle w:val="ListNumber"/>
      </w:pPr>
      <w:r>
        <w:t>Where business needs require holiday work, compensation and alternative time off will be handled in accordance with applicable wage-and-hour laws and department practices, and must be pre-approved by the manager and HR where required.</w:t>
      </w:r>
    </w:p>
    <w:p>
      <w:pPr>
        <w:jc w:val="center"/>
      </w:pPr>
      <w:r>
        <w:t>──────────────────────────────────────────────────</w:t>
      </w:r>
    </w:p>
    <w:p>
      <w:pPr>
        <w:pStyle w:val="Heading2"/>
      </w:pPr>
      <w:r>
        <w:t>5. Procedures (Requesting, Approvals, Tracking, and Exceptions)</w:t>
      </w:r>
    </w:p>
    <w:p>
      <w:pPr>
        <w:pStyle w:val="Heading3"/>
      </w:pPr>
      <w:r>
        <w:t>5.1 Requesting Planned PTO (Standard Procedure)</w:t>
      </w:r>
    </w:p>
    <w:p>
      <w:pPr>
        <w:pStyle w:val="ListNumber"/>
      </w:pPr>
      <w:r>
        <w:t>Submit PTO requests through Workday at least 2 weeks in advance for planned time off.</w:t>
      </w:r>
    </w:p>
    <w:p>
      <w:pPr>
        <w:pStyle w:val="ListNumber"/>
      </w:pPr>
      <w:r>
        <w:t>Include the correct dates/times and select the appropriate category (PTO, Sick, Floating Holiday).</w:t>
      </w:r>
    </w:p>
    <w:p>
      <w:pPr>
        <w:pStyle w:val="ListNumber"/>
      </w:pPr>
      <w:r>
        <w:t>Ensure coverage planning is addressed (handoffs, delegations, customer communications) as required by your team.</w:t>
      </w:r>
    </w:p>
    <w:p>
      <w:pPr>
        <w:pStyle w:val="Heading3"/>
      </w:pPr>
      <w:r>
        <w:t>5.2 Approval and Notification Rules</w:t>
      </w:r>
    </w:p>
    <w:p>
      <w:pPr>
        <w:pStyle w:val="ListBullet"/>
      </w:pPr>
      <w:r>
        <w:t>3+ consecutive days: Manager approval is required in Workday before the PTO is taken.</w:t>
      </w:r>
    </w:p>
    <w:p>
      <w:pPr>
        <w:pStyle w:val="ListBullet"/>
      </w:pPr>
      <w:r>
        <w:t>Less than 3 days: Manager notification is required; formal approval is not required unless your department has stricter requirements.</w:t>
      </w:r>
    </w:p>
    <w:p>
      <w:pPr>
        <w:pStyle w:val="ListBullet"/>
      </w:pPr>
      <w:r>
        <w:t>Managers may deny or request adjustments to PTO dates based on business needs; employees should collaborate to identify alternative dates.</w:t>
      </w:r>
    </w:p>
    <w:p>
      <w:pPr>
        <w:pStyle w:val="Heading3"/>
      </w:pPr>
      <w:r>
        <w:t>5.3 Same-Day Reporting for Emergency or Unplanned Absence</w:t>
      </w:r>
    </w:p>
    <w:p>
      <w:pPr>
        <w:pStyle w:val="ListNumber"/>
      </w:pPr>
      <w:r>
        <w:t>Report emergency/sick time same-day in Workday when feasible.</w:t>
      </w:r>
    </w:p>
    <w:p>
      <w:pPr>
        <w:pStyle w:val="ListNumber"/>
      </w:pPr>
      <w:r>
        <w:t>Notify your manager as early as possible and no later than 9:00 AM local time unless impracticable due to emergency circumstances.</w:t>
      </w:r>
    </w:p>
    <w:p>
      <w:pPr>
        <w:pStyle w:val="Heading3"/>
      </w:pPr>
      <w:r>
        <w:t>5.4 Blackout Periods (Restricted PTO Approval)</w:t>
      </w:r>
    </w:p>
    <w:p>
      <w:r>
        <w:t>Due to critical business activities, PTO approvals may be restricted during the following blackout periods:</w:t>
      </w:r>
    </w:p>
    <w:p>
      <w:pPr>
        <w:pStyle w:val="Heading4"/>
      </w:pPr>
      <w:r>
        <w:t>Table 3 — Blackout Periods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Area</w:t>
            </w:r>
          </w:p>
        </w:tc>
        <w:tc>
          <w:tcPr>
            <w:tcW w:type="dxa" w:w="2880"/>
            <w:shd w:fill="D9E2F3" w:val="clear"/>
          </w:tcPr>
          <w:p>
            <w:r>
              <w:rPr>
                <w:b/>
              </w:rPr>
              <w:t>Blackout Period</w:t>
            </w:r>
          </w:p>
        </w:tc>
        <w:tc>
          <w:tcPr>
            <w:tcW w:type="dxa" w:w="2880"/>
            <w:shd w:fill="D9E2F3" w:val="clear"/>
          </w:tcPr>
          <w:p>
            <w:r>
              <w:rPr>
                <w:b/>
              </w:rPr>
              <w:t>Notes</w:t>
            </w:r>
          </w:p>
        </w:tc>
      </w:tr>
      <w:tr>
        <w:tc>
          <w:tcPr>
            <w:tcW w:type="dxa" w:w="2880"/>
          </w:tcPr>
          <w:p>
            <w:r>
              <w:t>Finance</w:t>
            </w:r>
          </w:p>
        </w:tc>
        <w:tc>
          <w:tcPr>
            <w:tcW w:type="dxa" w:w="2880"/>
          </w:tcPr>
          <w:p>
            <w:r>
              <w:t>December 26–31</w:t>
            </w:r>
          </w:p>
        </w:tc>
        <w:tc>
          <w:tcPr>
            <w:tcW w:type="dxa" w:w="2880"/>
          </w:tcPr>
          <w:p>
            <w:r>
              <w:t>Year-end close</w:t>
            </w:r>
          </w:p>
        </w:tc>
      </w:tr>
      <w:tr>
        <w:tc>
          <w:tcPr>
            <w:tcW w:type="dxa" w:w="2880"/>
          </w:tcPr>
          <w:p>
            <w:r>
              <w:t>Engineering</w:t>
            </w:r>
          </w:p>
        </w:tc>
        <w:tc>
          <w:tcPr>
            <w:tcW w:type="dxa" w:w="2880"/>
          </w:tcPr>
          <w:p>
            <w:r>
              <w:t>As announced</w:t>
            </w:r>
          </w:p>
        </w:tc>
        <w:tc>
          <w:tcPr>
            <w:tcW w:type="dxa" w:w="2880"/>
          </w:tcPr>
          <w:p>
            <w:r>
              <w:t>Product launches (dates communicated by leadership)</w:t>
            </w:r>
          </w:p>
        </w:tc>
      </w:tr>
      <w:tr>
        <w:tc>
          <w:tcPr>
            <w:tcW w:type="dxa" w:w="2880"/>
          </w:tcPr>
          <w:p>
            <w:r>
              <w:t>Sales</w:t>
            </w:r>
          </w:p>
        </w:tc>
        <w:tc>
          <w:tcPr>
            <w:tcW w:type="dxa" w:w="2880"/>
          </w:tcPr>
          <w:p>
            <w:r>
              <w:t>Last 5 business days of each quarter</w:t>
            </w:r>
          </w:p>
        </w:tc>
        <w:tc>
          <w:tcPr>
            <w:tcW w:type="dxa" w:w="2880"/>
          </w:tcPr>
          <w:p>
            <w:r>
              <w:t>Quarter-end commitments</w:t>
            </w:r>
          </w:p>
        </w:tc>
      </w:tr>
    </w:tbl>
    <w:p>
      <w:r>
        <w:t>Employees may still submit requests during blackout periods; approvals are granted only for exceptional circumstances and require manager justification.</w:t>
      </w:r>
    </w:p>
    <w:p>
      <w:pPr>
        <w:pStyle w:val="Heading3"/>
      </w:pPr>
      <w:r>
        <w:t>5.5 Exceptions, Disputes, and Support</w:t>
      </w:r>
    </w:p>
    <w:p>
      <w:pPr>
        <w:pStyle w:val="ListBullet"/>
      </w:pPr>
      <w:r>
        <w:t>Carryover exception requests: Submit an HR case via the HR Helpdesk; include rationale and supporting context (project needs, extended leave, etc.).</w:t>
      </w:r>
    </w:p>
    <w:p>
      <w:pPr>
        <w:pStyle w:val="ListBullet"/>
      </w:pPr>
      <w:r>
        <w:t>Disputes: If an employee believes PTO has been administered inconsistently, they should first discuss with their manager, then escalate to HR Business Partner if unresolved.</w:t>
      </w:r>
    </w:p>
    <w:p>
      <w:pPr>
        <w:pStyle w:val="ListBullet"/>
      </w:pPr>
      <w:r>
        <w:t>System corrections: Errors in Workday balances must be reported promptly to HR for audit and correction.</w:t>
      </w:r>
    </w:p>
    <w:p>
      <w:r>
        <w:rPr>
          <w:b/>
        </w:rPr>
        <w:t>HR Helpdesk:</w:t>
      </w:r>
      <w:r>
        <w:t xml:space="preserve"> hr-help@contoso.com | 1-800-555-0123</w:t>
      </w:r>
    </w:p>
    <w:p>
      <w:pPr>
        <w:jc w:val="center"/>
      </w:pPr>
      <w:r>
        <w:t>──────────────────────────────────────────────────</w:t>
      </w:r>
    </w:p>
    <w:p>
      <w:pPr>
        <w:pStyle w:val="Heading3"/>
      </w:pPr>
      <w:r>
        <w:t>References / Related Documents</w:t>
      </w:r>
    </w:p>
    <w:p>
      <w:pPr>
        <w:pStyle w:val="ListBullet"/>
      </w:pPr>
      <w:r>
        <w:t>Contoso Corporation – Employee Benefits Overview (Total Rewards)</w:t>
      </w:r>
    </w:p>
    <w:p>
      <w:pPr>
        <w:pStyle w:val="ListBullet"/>
      </w:pPr>
      <w:r>
        <w:t>Timekeeping and Pay Practices Standard (HR/Payroll)</w:t>
      </w:r>
    </w:p>
    <w:p>
      <w:pPr>
        <w:pStyle w:val="ListBullet"/>
      </w:pPr>
      <w:r>
        <w:t>Local Statutory Leave Addenda (country/state specific,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