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Policy: Paid Time Off (PTO), Holidays, and Flexible Work Scheduling</w:t>
      </w:r>
    </w:p>
    <w:p>
      <w:r>
        <w:rPr>
          <w:b/>
        </w:rPr>
        <w:t>Policy Owner:</w:t>
      </w:r>
      <w:r>
        <w:t xml:space="preserve"> Human Resources (Total Rewards)</w:t>
      </w:r>
      <w:r>
        <w:br/>
      </w:r>
      <w:r>
        <w:rPr>
          <w:b/>
        </w:rPr>
        <w:t>Applies To:</w:t>
      </w:r>
      <w:r>
        <w:t xml:space="preserve"> Contoso Corporation employees (see Scope)</w:t>
      </w:r>
      <w:r>
        <w:br/>
      </w:r>
      <w:r>
        <w:rPr>
          <w:b/>
        </w:rPr>
        <w:t>Effective Date:</w:t>
      </w:r>
      <w:r>
        <w:t xml:space="preserve"> 2026-02-01</w:t>
      </w:r>
      <w:r>
        <w:br/>
      </w:r>
      <w:r>
        <w:rPr>
          <w:b/>
        </w:rPr>
        <w:t>Version:</w:t>
      </w:r>
      <w:r>
        <w:t xml:space="preserve"> 2.0</w:t>
      </w:r>
      <w:r>
        <w:br/>
      </w:r>
      <w:r>
        <w:rPr>
          <w:b/>
        </w:rPr>
        <w:t>Approved By:</w:t>
      </w:r>
      <w:r>
        <w:t xml:space="preserve"> CHRO (Dr. Aisha Patel)</w:t>
      </w:r>
      <w:r>
        <w:br/>
      </w:r>
      <w:r>
        <w:rPr>
          <w:b/>
        </w:rPr>
        <w:t>Last Reviewed:</w:t>
      </w:r>
      <w:r>
        <w:t xml:space="preserve"> 2026-01-10</w:t>
      </w:r>
      <w:r>
        <w:br/>
      </w:r>
      <w:r>
        <w:rPr>
          <w:b/>
        </w:rPr>
        <w:t>Next Review Due:</w:t>
      </w:r>
      <w:r>
        <w:t xml:space="preserve"> 2027-01-10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and Scope</w:t>
      </w:r>
    </w:p>
    <w:p>
      <w:pPr>
        <w:pStyle w:val="Heading3"/>
      </w:pPr>
      <w:r>
        <w:t>1.1 Purpose</w:t>
      </w:r>
    </w:p>
    <w:p>
      <w:r>
        <w:t>This policy establishes Contoso Corporation’s requirements and procedures for:</w:t>
      </w:r>
    </w:p>
    <w:p>
      <w:pPr>
        <w:pStyle w:val="ListBullet"/>
      </w:pPr>
      <w:r>
        <w:t>Paid Time Off (PTO) accrual, use, carryover, and payout</w:t>
      </w:r>
    </w:p>
    <w:p>
      <w:pPr>
        <w:pStyle w:val="ListBullet"/>
      </w:pPr>
      <w:r>
        <w:t>Company holidays and office closures</w:t>
      </w:r>
    </w:p>
    <w:p>
      <w:pPr>
        <w:pStyle w:val="ListBullet"/>
      </w:pPr>
      <w:r>
        <w:t>Requesting, approving, recording, and tracking time away from work</w:t>
      </w:r>
    </w:p>
    <w:p>
      <w:pPr>
        <w:pStyle w:val="ListBullet"/>
      </w:pPr>
      <w:r>
        <w:t>Remote work and flexible scheduling expectations as they relate to time off tracking and availability</w:t>
      </w:r>
    </w:p>
    <w:p>
      <w:pPr>
        <w:pStyle w:val="Heading3"/>
      </w:pPr>
      <w:r>
        <w:t>1.2 Scope</w:t>
      </w:r>
    </w:p>
    <w:p>
      <w:r>
        <w:t>This policy applies to all U.S.-based employees of Contoso Corporation unless otherwise required by local law or a country-specific addendum.</w:t>
      </w:r>
    </w:p>
    <w:p>
      <w:pPr>
        <w:pStyle w:val="ListBullet"/>
      </w:pPr>
      <w:r>
        <w:t>Full-time employees (30+ hours/week): Eligible for PTO and paid holidays as described in this policy.</w:t>
      </w:r>
    </w:p>
    <w:p>
      <w:pPr>
        <w:pStyle w:val="ListBullet"/>
      </w:pPr>
      <w:r>
        <w:t>Part-time employees (20–29 hours/week): May be eligible for limited time-off benefits; HR will confirm eligibility and proration in writing.</w:t>
      </w:r>
    </w:p>
    <w:p>
      <w:pPr>
        <w:pStyle w:val="ListBullet"/>
      </w:pPr>
      <w:r>
        <w:t>Temporary/contract workers: Not eligible unless contract terms explicitly provide otherwise.</w:t>
      </w:r>
    </w:p>
    <w:p>
      <w:r>
        <w:t>Where state or local laws provide more generous leave rights, Contoso will comply with applicable law.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Definitions</w:t>
      </w:r>
    </w:p>
    <w:p>
      <w:pPr>
        <w:pStyle w:val="ListBullet"/>
      </w:pPr>
      <w:r>
        <w:t>PTO (Paid Time Off): A combined bank of paid leave used for vacation, personal time, and sick time.</w:t>
      </w:r>
    </w:p>
    <w:p>
      <w:pPr>
        <w:pStyle w:val="ListBullet"/>
      </w:pPr>
      <w:r>
        <w:t>Accrual: The periodic earning of PTO hours based on length of service.</w:t>
      </w:r>
    </w:p>
    <w:p>
      <w:pPr>
        <w:pStyle w:val="ListBullet"/>
      </w:pPr>
      <w:r>
        <w:t>Workday: Contoso’s system of record for time off requests, approvals, and balances.</w:t>
      </w:r>
    </w:p>
    <w:p>
      <w:pPr>
        <w:pStyle w:val="ListBullet"/>
      </w:pPr>
      <w:r>
        <w:t>Floating Holiday: One paid day per calendar year that an employee may use at their discretion; it does not carry over.</w:t>
      </w:r>
    </w:p>
    <w:p>
      <w:pPr>
        <w:pStyle w:val="ListBullet"/>
      </w:pPr>
      <w:r>
        <w:t>Blackout Period: A time frame in which PTO approvals may be restricted due to business-critical needs.</w:t>
      </w:r>
    </w:p>
    <w:p>
      <w:pPr>
        <w:pStyle w:val="ListBullet"/>
      </w:pPr>
      <w:r>
        <w:t>Exempt / Non-Exempt: Classification under wage-and-hour rules; affects time reporting practices but does not change PTO accrual tiers unless stated by HR.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Policy Statements (PTO Accrual, Use, Carryover, and Payout)</w:t>
      </w:r>
    </w:p>
    <w:p>
      <w:pPr>
        <w:pStyle w:val="Heading3"/>
      </w:pPr>
      <w:r>
        <w:t>3.1 PTO Accrual Rates</w:t>
      </w:r>
    </w:p>
    <w:p>
      <w:r>
        <w:t>Eligible employees accrue PTO monthly based on years of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Years of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Annual PTO Accrual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Monthly Accrual</w:t>
            </w:r>
          </w:p>
        </w:tc>
      </w:tr>
      <w:tr>
        <w:tc>
          <w:tcPr>
            <w:tcW w:type="dxa" w:w="2880"/>
          </w:tcPr>
          <w:p>
            <w:r>
              <w:t>0–2 years</w:t>
            </w:r>
          </w:p>
        </w:tc>
        <w:tc>
          <w:tcPr>
            <w:tcW w:type="dxa" w:w="2880"/>
          </w:tcPr>
          <w:p>
            <w:r>
              <w:t>15 days (120 hours)</w:t>
            </w:r>
          </w:p>
        </w:tc>
        <w:tc>
          <w:tcPr>
            <w:tcW w:type="dxa" w:w="2880"/>
          </w:tcPr>
          <w:p>
            <w:r>
              <w:t>10.00 hours</w:t>
            </w:r>
          </w:p>
        </w:tc>
      </w:tr>
      <w:tr>
        <w:tc>
          <w:tcPr>
            <w:tcW w:type="dxa" w:w="2880"/>
          </w:tcPr>
          <w:p>
            <w:r>
              <w:t>3–5 years</w:t>
            </w:r>
          </w:p>
        </w:tc>
        <w:tc>
          <w:tcPr>
            <w:tcW w:type="dxa" w:w="2880"/>
          </w:tcPr>
          <w:p>
            <w:r>
              <w:t>20 days (160 hours)</w:t>
            </w:r>
          </w:p>
        </w:tc>
        <w:tc>
          <w:tcPr>
            <w:tcW w:type="dxa" w:w="2880"/>
          </w:tcPr>
          <w:p>
            <w:r>
              <w:t>13.33 hours</w:t>
            </w:r>
          </w:p>
        </w:tc>
      </w:tr>
      <w:tr>
        <w:tc>
          <w:tcPr>
            <w:tcW w:type="dxa" w:w="2880"/>
          </w:tcPr>
          <w:p>
            <w:r>
              <w:t>6–10 years</w:t>
            </w:r>
          </w:p>
        </w:tc>
        <w:tc>
          <w:tcPr>
            <w:tcW w:type="dxa" w:w="2880"/>
          </w:tcPr>
          <w:p>
            <w:r>
              <w:t>25 days (200 hours)</w:t>
            </w:r>
          </w:p>
        </w:tc>
        <w:tc>
          <w:tcPr>
            <w:tcW w:type="dxa" w:w="2880"/>
          </w:tcPr>
          <w:p>
            <w:r>
              <w:t>16.67 hours</w:t>
            </w:r>
          </w:p>
        </w:tc>
      </w:tr>
      <w:tr>
        <w:tc>
          <w:tcPr>
            <w:tcW w:type="dxa" w:w="2880"/>
          </w:tcPr>
          <w:p>
            <w:r>
              <w:t>11+ years</w:t>
            </w:r>
          </w:p>
        </w:tc>
        <w:tc>
          <w:tcPr>
            <w:tcW w:type="dxa" w:w="2880"/>
          </w:tcPr>
          <w:p>
            <w:r>
              <w:t>30 days (240 hours)</w:t>
            </w:r>
          </w:p>
        </w:tc>
        <w:tc>
          <w:tcPr>
            <w:tcW w:type="dxa" w:w="2880"/>
          </w:tcPr>
          <w:p>
            <w:r>
              <w:t>20.00 hours</w:t>
            </w:r>
          </w:p>
        </w:tc>
      </w:tr>
    </w:tbl>
    <w:p>
      <w:r>
        <w:rPr>
          <w:b/>
        </w:rPr>
        <w:t>Accrual timing:</w:t>
      </w:r>
      <w:r>
        <w:t xml:space="preserve"> PTO accrues monthly and is reflected in Workday. Accruals may be prorated for partial months of eligibility or unpaid leave, as applicable.</w:t>
      </w:r>
    </w:p>
    <w:p>
      <w:pPr>
        <w:pStyle w:val="Heading3"/>
      </w:pPr>
      <w:r>
        <w:t>3.2 PTO Use Requirements</w:t>
      </w:r>
    </w:p>
    <w:p>
      <w:pPr>
        <w:pStyle w:val="ListBullet"/>
      </w:pPr>
      <w:r>
        <w:t>PTO may be used in hourly increments unless a role, location, or system configuration requires different increments.</w:t>
      </w:r>
    </w:p>
    <w:p>
      <w:pPr>
        <w:pStyle w:val="ListBullet"/>
      </w:pPr>
      <w:r>
        <w:t>Employees are expected to schedule planned PTO in a manner that supports business coverage and team commitments.</w:t>
      </w:r>
    </w:p>
    <w:p>
      <w:pPr>
        <w:pStyle w:val="ListBullet"/>
      </w:pPr>
      <w:r>
        <w:t>PTO should not be used in lieu of required leaves of absence that must be administered separately (e.g., statutory leave) when HR determines a leave process is required.</w:t>
      </w:r>
    </w:p>
    <w:p>
      <w:pPr>
        <w:pStyle w:val="Heading3"/>
      </w:pPr>
      <w:r>
        <w:t>3.3 Sick Time Use (Within PTO Bank)</w:t>
      </w:r>
    </w:p>
    <w:p>
      <w:r>
        <w:t>When using PTO for illness or medical appointments, employees must:</w:t>
      </w:r>
    </w:p>
    <w:p>
      <w:pPr>
        <w:pStyle w:val="ListBullet"/>
      </w:pPr>
      <w:r>
        <w:t>Notify their manager by 9:00 AM local time on the day of absence (or earlier if feasible)</w:t>
      </w:r>
    </w:p>
    <w:p>
      <w:pPr>
        <w:pStyle w:val="ListBullet"/>
      </w:pPr>
      <w:r>
        <w:t>Record time in Workday under the “Sick” category</w:t>
      </w:r>
    </w:p>
    <w:p>
      <w:pPr>
        <w:pStyle w:val="ListBullet"/>
      </w:pPr>
      <w:r>
        <w:t>Provide a doctor’s note for absences exceeding 3 consecutive days, when requested by HR or as permitted by law</w:t>
      </w:r>
    </w:p>
    <w:p>
      <w:pPr>
        <w:pStyle w:val="Heading3"/>
      </w:pPr>
      <w:r>
        <w:t>3.4 PTO Carryover and Forfeiture</w:t>
      </w:r>
    </w:p>
    <w:p>
      <w:pPr>
        <w:pStyle w:val="ListBullet"/>
      </w:pPr>
      <w:r>
        <w:t>Employees may carry over up to 5 days (40 hours) of unused PTO into the next calendar year.</w:t>
      </w:r>
    </w:p>
    <w:p>
      <w:pPr>
        <w:pStyle w:val="ListBullet"/>
      </w:pPr>
      <w:r>
        <w:t>Carryover PTO must be used by March 31 of the following year.</w:t>
      </w:r>
    </w:p>
    <w:p>
      <w:pPr>
        <w:pStyle w:val="ListBullet"/>
      </w:pPr>
      <w:r>
        <w:t>PTO above the carryover cap will be forfeited on December 31.</w:t>
      </w:r>
    </w:p>
    <w:p>
      <w:pPr>
        <w:pStyle w:val="ListBullet"/>
      </w:pPr>
      <w:r>
        <w:t>Exceptions require HR approval in writing and are granted only for special circumstances (e.g., extended project demands, protected leave constraints, or documented emergencies).</w:t>
      </w:r>
    </w:p>
    <w:p>
      <w:pPr>
        <w:pStyle w:val="Heading3"/>
      </w:pPr>
      <w:r>
        <w:t>3.5 PTO Blackout Periods</w:t>
      </w:r>
    </w:p>
    <w:p>
      <w:r>
        <w:t>PTO may be restricted during the following periods due to operational needs: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Function/Team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Blackout Period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Finance</w:t>
            </w:r>
          </w:p>
        </w:tc>
        <w:tc>
          <w:tcPr>
            <w:tcW w:type="dxa" w:w="2880"/>
          </w:tcPr>
          <w:p>
            <w:r>
              <w:t>Dec 26–Dec 31</w:t>
            </w:r>
          </w:p>
        </w:tc>
        <w:tc>
          <w:tcPr>
            <w:tcW w:type="dxa" w:w="2880"/>
          </w:tcPr>
          <w:p>
            <w:r>
              <w:t>Year-end close coverage required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>
              <w:t>Last 5 business days of each quarter</w:t>
            </w:r>
          </w:p>
        </w:tc>
        <w:tc>
          <w:tcPr>
            <w:tcW w:type="dxa" w:w="2880"/>
          </w:tcPr>
          <w:p>
            <w:r>
              <w:t>Quarter-end commitments</w:t>
            </w:r>
          </w:p>
        </w:tc>
      </w:tr>
      <w:tr>
        <w:tc>
          <w:tcPr>
            <w:tcW w:type="dxa" w:w="2880"/>
          </w:tcPr>
          <w:p>
            <w:r>
              <w:t>Engineering</w:t>
            </w:r>
          </w:p>
        </w:tc>
        <w:tc>
          <w:tcPr>
            <w:tcW w:type="dxa" w:w="2880"/>
          </w:tcPr>
          <w:p>
            <w:r>
              <w:t>As announced</w:t>
            </w:r>
          </w:p>
        </w:tc>
        <w:tc>
          <w:tcPr>
            <w:tcW w:type="dxa" w:w="2880"/>
          </w:tcPr>
          <w:p>
            <w:r>
              <w:t>Product launch windows communicated by leadership</w:t>
            </w:r>
          </w:p>
        </w:tc>
      </w:tr>
    </w:tbl>
    <w:p>
      <w:r>
        <w:t>Managers may approve exceptions based on business risk, staffing coverage, and project milestones.</w:t>
      </w:r>
    </w:p>
    <w:p>
      <w:pPr>
        <w:pStyle w:val="Heading3"/>
      </w:pPr>
      <w:r>
        <w:t>3.6 PTO Payout Upon Separation</w:t>
      </w:r>
    </w:p>
    <w:p>
      <w:r>
        <w:t>PTO payout is processed in the final paycheck, subject to applicable law and payroll timelines.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Separation Type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Notice Given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PTO Payout</w:t>
            </w:r>
          </w:p>
        </w:tc>
      </w:tr>
      <w:tr>
        <w:tc>
          <w:tcPr>
            <w:tcW w:type="dxa" w:w="2880"/>
          </w:tcPr>
          <w:p>
            <w:r>
              <w:t>Voluntary resignation</w:t>
            </w:r>
          </w:p>
        </w:tc>
        <w:tc>
          <w:tcPr>
            <w:tcW w:type="dxa" w:w="2880"/>
          </w:tcPr>
          <w:p>
            <w:r>
              <w:t>2+ weeks notice</w:t>
            </w:r>
          </w:p>
        </w:tc>
        <w:tc>
          <w:tcPr>
            <w:tcW w:type="dxa" w:w="2880"/>
          </w:tcPr>
          <w:p>
            <w:r>
              <w:t>100% of accrued PTO</w:t>
            </w:r>
          </w:p>
        </w:tc>
      </w:tr>
      <w:tr>
        <w:tc>
          <w:tcPr>
            <w:tcW w:type="dxa" w:w="2880"/>
          </w:tcPr>
          <w:p>
            <w:r>
              <w:t>Voluntary resignation</w:t>
            </w:r>
          </w:p>
        </w:tc>
        <w:tc>
          <w:tcPr>
            <w:tcW w:type="dxa" w:w="2880"/>
          </w:tcPr>
          <w:p>
            <w:r>
              <w:t>&lt; 2 weeks notice</w:t>
            </w:r>
          </w:p>
        </w:tc>
        <w:tc>
          <w:tcPr>
            <w:tcW w:type="dxa" w:w="2880"/>
          </w:tcPr>
          <w:p>
            <w:r>
              <w:t>50% of accrued PTO</w:t>
            </w:r>
          </w:p>
        </w:tc>
      </w:tr>
      <w:tr>
        <w:tc>
          <w:tcPr>
            <w:tcW w:type="dxa" w:w="2880"/>
          </w:tcPr>
          <w:p>
            <w:r>
              <w:t>Involuntary termination</w:t>
            </w:r>
          </w:p>
        </w:tc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100% of accrued PTO</w:t>
            </w:r>
          </w:p>
        </w:tc>
      </w:tr>
    </w:tbl>
    <w:p>
      <w:r>
        <w:t>“Accrued PTO” means earned and unused PTO reflected in Workday as of the separation date, adjusted for any required reconciliations.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Company Holidays and Office Closures</w:t>
      </w:r>
    </w:p>
    <w:p>
      <w:pPr>
        <w:pStyle w:val="Heading3"/>
      </w:pPr>
      <w:r>
        <w:t>4.1 Paid Company Holidays</w:t>
      </w:r>
    </w:p>
    <w:p>
      <w:r>
        <w:t xml:space="preserve">Contoso observes </w:t>
      </w:r>
      <w:r>
        <w:rPr>
          <w:b/>
        </w:rPr>
        <w:t>11 paid holidays</w:t>
      </w:r>
      <w:r>
        <w:t xml:space="preserve"> each calendar year: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</w:rPr>
              <w:t>Holiday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</w:rPr>
              <w:t>Observance</w:t>
            </w:r>
          </w:p>
        </w:tc>
      </w:tr>
      <w:tr>
        <w:tc>
          <w:tcPr>
            <w:tcW w:type="dxa" w:w="4320"/>
          </w:tcPr>
          <w:p>
            <w:r>
              <w:t>New Year’s Day</w:t>
            </w:r>
          </w:p>
        </w:tc>
        <w:tc>
          <w:tcPr>
            <w:tcW w:type="dxa" w:w="4320"/>
          </w:tcPr>
          <w:p>
            <w:r>
              <w:t>January 1</w:t>
            </w:r>
          </w:p>
        </w:tc>
      </w:tr>
      <w:tr>
        <w:tc>
          <w:tcPr>
            <w:tcW w:type="dxa" w:w="4320"/>
          </w:tcPr>
          <w:p>
            <w:r>
              <w:t>Martin Luther King Jr. Day</w:t>
            </w:r>
          </w:p>
        </w:tc>
        <w:tc>
          <w:tcPr>
            <w:tcW w:type="dxa" w:w="4320"/>
          </w:tcPr>
          <w:p>
            <w:r>
              <w:t>3rd Monday in January</w:t>
            </w:r>
          </w:p>
        </w:tc>
      </w:tr>
      <w:tr>
        <w:tc>
          <w:tcPr>
            <w:tcW w:type="dxa" w:w="4320"/>
          </w:tcPr>
          <w:p>
            <w:r>
              <w:t>Presidents’ Day</w:t>
            </w:r>
          </w:p>
        </w:tc>
        <w:tc>
          <w:tcPr>
            <w:tcW w:type="dxa" w:w="4320"/>
          </w:tcPr>
          <w:p>
            <w:r>
              <w:t>3rd Monday in February</w:t>
            </w:r>
          </w:p>
        </w:tc>
      </w:tr>
      <w:tr>
        <w:tc>
          <w:tcPr>
            <w:tcW w:type="dxa" w:w="4320"/>
          </w:tcPr>
          <w:p>
            <w:r>
              <w:t>Memorial Day</w:t>
            </w:r>
          </w:p>
        </w:tc>
        <w:tc>
          <w:tcPr>
            <w:tcW w:type="dxa" w:w="4320"/>
          </w:tcPr>
          <w:p>
            <w:r>
              <w:t>Last Monday in May</w:t>
            </w:r>
          </w:p>
        </w:tc>
      </w:tr>
      <w:tr>
        <w:tc>
          <w:tcPr>
            <w:tcW w:type="dxa" w:w="4320"/>
          </w:tcPr>
          <w:p>
            <w:r>
              <w:t>Independence Day</w:t>
            </w:r>
          </w:p>
        </w:tc>
        <w:tc>
          <w:tcPr>
            <w:tcW w:type="dxa" w:w="4320"/>
          </w:tcPr>
          <w:p>
            <w:r>
              <w:t>July 4</w:t>
            </w:r>
          </w:p>
        </w:tc>
      </w:tr>
      <w:tr>
        <w:tc>
          <w:tcPr>
            <w:tcW w:type="dxa" w:w="4320"/>
          </w:tcPr>
          <w:p>
            <w:r>
              <w:t>Labor Day</w:t>
            </w:r>
          </w:p>
        </w:tc>
        <w:tc>
          <w:tcPr>
            <w:tcW w:type="dxa" w:w="4320"/>
          </w:tcPr>
          <w:p>
            <w:r>
              <w:t>1st Monday in September</w:t>
            </w:r>
          </w:p>
        </w:tc>
      </w:tr>
      <w:tr>
        <w:tc>
          <w:tcPr>
            <w:tcW w:type="dxa" w:w="4320"/>
          </w:tcPr>
          <w:p>
            <w:r>
              <w:t>Thanksgiving Day</w:t>
            </w:r>
          </w:p>
        </w:tc>
        <w:tc>
          <w:tcPr>
            <w:tcW w:type="dxa" w:w="4320"/>
          </w:tcPr>
          <w:p>
            <w:r>
              <w:t>4th Thursday in November</w:t>
            </w:r>
          </w:p>
        </w:tc>
      </w:tr>
      <w:tr>
        <w:tc>
          <w:tcPr>
            <w:tcW w:type="dxa" w:w="4320"/>
          </w:tcPr>
          <w:p>
            <w:r>
              <w:t>Day After Thanksgiving</w:t>
            </w:r>
          </w:p>
        </w:tc>
        <w:tc>
          <w:tcPr>
            <w:tcW w:type="dxa" w:w="4320"/>
          </w:tcPr>
          <w:p>
            <w:r>
              <w:t>4th Friday in November</w:t>
            </w:r>
          </w:p>
        </w:tc>
      </w:tr>
      <w:tr>
        <w:tc>
          <w:tcPr>
            <w:tcW w:type="dxa" w:w="4320"/>
          </w:tcPr>
          <w:p>
            <w:r>
              <w:t>Christmas Eve</w:t>
            </w:r>
          </w:p>
        </w:tc>
        <w:tc>
          <w:tcPr>
            <w:tcW w:type="dxa" w:w="4320"/>
          </w:tcPr>
          <w:p>
            <w:r>
              <w:t>December 24</w:t>
            </w:r>
          </w:p>
        </w:tc>
      </w:tr>
      <w:tr>
        <w:tc>
          <w:tcPr>
            <w:tcW w:type="dxa" w:w="4320"/>
          </w:tcPr>
          <w:p>
            <w:r>
              <w:t>Christmas Day</w:t>
            </w:r>
          </w:p>
        </w:tc>
        <w:tc>
          <w:tcPr>
            <w:tcW w:type="dxa" w:w="4320"/>
          </w:tcPr>
          <w:p>
            <w:r>
              <w:t>December 25</w:t>
            </w:r>
          </w:p>
        </w:tc>
      </w:tr>
      <w:tr>
        <w:tc>
          <w:tcPr>
            <w:tcW w:type="dxa" w:w="4320"/>
          </w:tcPr>
          <w:p>
            <w:r>
              <w:t>Personal Floating Holiday</w:t>
            </w:r>
          </w:p>
        </w:tc>
        <w:tc>
          <w:tcPr>
            <w:tcW w:type="dxa" w:w="4320"/>
          </w:tcPr>
          <w:p>
            <w:r>
              <w:t>Employee choice (see 4.2)</w:t>
            </w:r>
          </w:p>
        </w:tc>
      </w:tr>
    </w:tbl>
    <w:p>
      <w:r>
        <w:t>If a holiday falls on a weekend, the company will communicate the observed day via the annual HR holiday calendar.</w:t>
      </w:r>
    </w:p>
    <w:p>
      <w:pPr>
        <w:pStyle w:val="Heading3"/>
      </w:pPr>
      <w:r>
        <w:t>4.2 Floating Holiday</w:t>
      </w:r>
    </w:p>
    <w:p>
      <w:pPr>
        <w:pStyle w:val="ListBullet"/>
      </w:pPr>
      <w:r>
        <w:t>Employees receive 1 floating holiday per calendar year.</w:t>
      </w:r>
    </w:p>
    <w:p>
      <w:pPr>
        <w:pStyle w:val="ListBullet"/>
      </w:pPr>
      <w:r>
        <w:t>The floating holiday must be used within the same calendar year and does not carry over.</w:t>
      </w:r>
    </w:p>
    <w:p>
      <w:pPr>
        <w:pStyle w:val="ListBullet"/>
      </w:pPr>
      <w:r>
        <w:t>Requests must be submitted in Workday like PTO and are subject to coverage needs.</w:t>
      </w:r>
    </w:p>
    <w:p>
      <w:pPr>
        <w:pStyle w:val="Heading3"/>
      </w:pPr>
      <w:r>
        <w:t>4.3 Office Closures and Essential Coverage</w:t>
      </w:r>
    </w:p>
    <w:p>
      <w:r>
        <w:t>During announced office closures, most employees will not be expected to work. However:</w:t>
      </w:r>
    </w:p>
    <w:p>
      <w:pPr>
        <w:pStyle w:val="ListBullet"/>
      </w:pPr>
      <w:r>
        <w:t>Essential roles (e.g., customer support, certain IT operations) may require coverage.</w:t>
      </w:r>
    </w:p>
    <w:p>
      <w:pPr>
        <w:pStyle w:val="ListBullet"/>
      </w:pPr>
      <w:r>
        <w:t>Managers are responsible for scheduling coverage equitably and in compliance with wage-and-hour rules.</w:t>
      </w:r>
    </w:p>
    <w:p>
      <w:pPr>
        <w:pStyle w:val="ListBullet"/>
      </w:pPr>
      <w:r>
        <w:t>Employees required to work on a company holiday should follow manager instructions and local HR guidance for time reporting.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Procedures (Requesting, Tracking, Remote Work, and Flexible Scheduling)</w:t>
      </w:r>
    </w:p>
    <w:p>
      <w:pPr>
        <w:pStyle w:val="Heading3"/>
      </w:pPr>
      <w:r>
        <w:t>5.1 Requesting Time Off in Workday</w:t>
      </w:r>
    </w:p>
    <w:p>
      <w:r>
        <w:rPr>
          <w:b/>
        </w:rPr>
        <w:t>Planned PTO (vacation/personal):</w:t>
      </w:r>
    </w:p>
    <w:p>
      <w:pPr>
        <w:pStyle w:val="ListNumber"/>
      </w:pPr>
      <w:r>
        <w:t>Submit request in Workday at least 2 weeks in advance.</w:t>
      </w:r>
    </w:p>
    <w:p>
      <w:pPr>
        <w:pStyle w:val="ListNumber"/>
      </w:pPr>
      <w:r>
        <w:t>Requests for 3+ consecutive days require manager approval in Workday.</w:t>
      </w:r>
    </w:p>
    <w:p>
      <w:pPr>
        <w:pStyle w:val="ListNumber"/>
      </w:pPr>
      <w:r>
        <w:t>Requests for less than 3 days require manager notification; managers may still deny requests if coverage is not available.</w:t>
      </w:r>
    </w:p>
    <w:p>
      <w:r>
        <w:rPr>
          <w:b/>
        </w:rPr>
        <w:t>Emergency or same-day sick time:</w:t>
      </w:r>
    </w:p>
    <w:p>
      <w:pPr>
        <w:pStyle w:val="ListNumber"/>
      </w:pPr>
      <w:r>
        <w:t>Notify your manager as early as possible (no later than 9:00 AM local time).</w:t>
      </w:r>
    </w:p>
    <w:p>
      <w:pPr>
        <w:pStyle w:val="ListNumber"/>
      </w:pPr>
      <w:r>
        <w:t>Enter the absence in Workday under “Sick” as soon as practicable.</w:t>
      </w:r>
    </w:p>
    <w:p>
      <w:pPr>
        <w:pStyle w:val="Heading3"/>
      </w:pPr>
      <w:r>
        <w:t>5.2 Tracking Time Off and Correcting Errors</w:t>
      </w:r>
    </w:p>
    <w:p>
      <w:pPr>
        <w:pStyle w:val="ListBullet"/>
      </w:pPr>
      <w:r>
        <w:t>Workday is Contoso’s official record for PTO balances, holiday schedules, and absence categories.</w:t>
      </w:r>
    </w:p>
    <w:p>
      <w:pPr>
        <w:pStyle w:val="ListBullet"/>
      </w:pPr>
      <w:r>
        <w:t>Employees must review balances regularly and report discrepancies within 30 days to HR Helpdesk.</w:t>
      </w:r>
    </w:p>
    <w:p>
      <w:pPr>
        <w:pStyle w:val="ListBullet"/>
      </w:pPr>
      <w:r>
        <w:t>Managers must approve or deny pending requests promptly (generally within 3 business days) to support employee planning and payroll accuracy.</w:t>
      </w:r>
    </w:p>
    <w:p>
      <w:pPr>
        <w:pStyle w:val="Heading3"/>
      </w:pPr>
      <w:r>
        <w:t>5.3 Remote Work and Flexible Schedules (Time-Off Coordination)</w:t>
      </w:r>
    </w:p>
    <w:p>
      <w:r>
        <w:t>Remote work and flexible schedules do not eliminate the requirement to request and record time off. Employees must:</w:t>
      </w:r>
    </w:p>
    <w:p>
      <w:pPr>
        <w:pStyle w:val="ListBullet"/>
      </w:pPr>
      <w:r>
        <w:t>Record PTO in Workday for time away during their scheduled working hours.</w:t>
      </w:r>
    </w:p>
    <w:p>
      <w:pPr>
        <w:pStyle w:val="ListBullet"/>
      </w:pPr>
      <w:r>
        <w:t>Maintain calendar accuracy (e.g., Outlook) to support team coordination across time zones.</w:t>
      </w:r>
    </w:p>
    <w:p>
      <w:pPr>
        <w:pStyle w:val="ListBullet"/>
      </w:pPr>
      <w:r>
        <w:t>Ensure coverage for customer meetings, on-call rotations, and critical deliverables.</w:t>
      </w:r>
    </w:p>
    <w:p>
      <w:r>
        <w:t>Managers may approve flexible schedules (e.g., adjusted start/end times or compressed weeks) when they:</w:t>
      </w:r>
    </w:p>
    <w:p>
      <w:pPr>
        <w:pStyle w:val="ListBullet"/>
      </w:pPr>
      <w:r>
        <w:t>Meet business needs and role requirements</w:t>
      </w:r>
    </w:p>
    <w:p>
      <w:pPr>
        <w:pStyle w:val="ListBullet"/>
      </w:pPr>
      <w:r>
        <w:t>Preserve collaboration expectations for the team</w:t>
      </w:r>
    </w:p>
    <w:p>
      <w:pPr>
        <w:pStyle w:val="ListBullet"/>
      </w:pPr>
      <w:r>
        <w:t>Comply with local wage-and-hour and break requirements</w:t>
      </w:r>
    </w:p>
    <w:p>
      <w:pPr>
        <w:pStyle w:val="ListBullet"/>
      </w:pPr>
      <w:r>
        <w:t>Are documented in writing (email or Workday arrangement note), including core hours and response-time expectations</w:t>
      </w:r>
    </w:p>
    <w:p>
      <w:r>
        <w:rPr>
          <w:b/>
        </w:rPr>
        <w:t>Note:</w:t>
      </w:r>
      <w:r>
        <w:t xml:space="preserve"> Flexible schedules are not a substitute for PTO. If an employee is not working during their agreed scheduled hours, PTO (or an approved leave type) must be recorded.</w:t>
      </w:r>
    </w:p>
    <w:p>
      <w:pPr>
        <w:pStyle w:val="Heading3"/>
      </w:pPr>
      <w:r>
        <w:t>5.4 Escalation and Exceptions</w:t>
      </w:r>
    </w:p>
    <w:p>
      <w:pPr>
        <w:pStyle w:val="ListBullet"/>
      </w:pPr>
      <w:r>
        <w:t>Disputes regarding PTO denial should first be discussed with the manager.</w:t>
      </w:r>
    </w:p>
    <w:p>
      <w:pPr>
        <w:pStyle w:val="ListBullet"/>
      </w:pPr>
      <w:r>
        <w:t>If unresolved, escalate to HR Business Partner or HR Helpdesk for review.</w:t>
      </w:r>
    </w:p>
    <w:p>
      <w:pPr>
        <w:pStyle w:val="ListBullet"/>
      </w:pPr>
      <w:r>
        <w:t>Exceptions to carryover limits, blackout periods, or documentation requirements require HR approval in writing.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References and Related Resources</w:t>
      </w:r>
    </w:p>
    <w:p>
      <w:pPr>
        <w:pStyle w:val="ListBullet"/>
      </w:pPr>
      <w:r>
        <w:t>Workday Time Off Module (internal)</w:t>
      </w:r>
    </w:p>
    <w:p>
      <w:pPr>
        <w:pStyle w:val="ListBullet"/>
      </w:pPr>
      <w:r>
        <w:t>Benefits &amp; HR Contacts: HR Helpdesk: &lt;hr-help@contoso.com&gt; | 1-800-555-0123</w:t>
      </w:r>
    </w:p>
    <w:p>
      <w:pPr>
        <w:pStyle w:val="ListBullet"/>
      </w:pPr>
      <w:r>
        <w:t>Benefits Portal: benefits.contoso.com (for general benefits information)</w:t>
      </w:r>
    </w:p>
    <w:p>
      <w:r>
        <w:rPr>
          <w:i/>
        </w:rPr>
        <w:t>This policy is intended to provide clear guidance and does not create a contract of employment. Contoso reserves the right to modify or terminate this policy at any time, subject to applicable law.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