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Critical Fuel Supplier Performance Monitoring, Reporting &amp; Corrective Action</w:t>
      </w:r>
    </w:p>
    <w:p>
      <w:r>
        <w:rPr>
          <w:b/>
        </w:rPr>
        <w:t>Effective Date:</w:t>
      </w:r>
      <w:r>
        <w:t xml:space="preserve"> 2026-02-01</w:t>
      </w:r>
      <w:r>
        <w:br/>
      </w:r>
      <w:r>
        <w:rPr>
          <w:b/>
        </w:rPr>
        <w:t>Version:</w:t>
      </w:r>
      <w:r>
        <w:t xml:space="preserve"> 1.0</w:t>
      </w:r>
      <w:r>
        <w:br/>
      </w:r>
      <w:r>
        <w:rPr>
          <w:b/>
        </w:rPr>
        <w:t>Owner (Department):</w:t>
      </w:r>
      <w:r>
        <w:t xml:space="preserve"> Procurement &amp; Supply Chain (P&amp;SC)</w:t>
      </w:r>
      <w:r>
        <w:br/>
      </w:r>
      <w:r>
        <w:rPr>
          <w:b/>
        </w:rPr>
        <w:t>Approval Authority:</w:t>
      </w:r>
      <w:r>
        <w:t xml:space="preserve"> Chief Procurement Officer (CPO)</w:t>
      </w:r>
      <w:r>
        <w:br/>
      </w:r>
      <w:r>
        <w:rPr>
          <w:b/>
        </w:rPr>
        <w:t>Applies To:</w:t>
      </w:r>
      <w:r>
        <w:t xml:space="preserve"> Procurement, Supply Chain Operations, Fuel Logistics, Sustainability/ESG Office, Risk &amp; Compliance, Finance, Internal Audit</w:t>
      </w:r>
      <w:r>
        <w:br/>
      </w:r>
      <w:r>
        <w:rPr>
          <w:b/>
        </w:rPr>
        <w:t>Document Classification:</w:t>
      </w:r>
      <w:r>
        <w:t xml:space="preserve"> Internal</w:t>
      </w:r>
    </w:p>
    <w:p>
      <w:pPr>
        <w:jc w:val="center"/>
      </w:pPr>
      <w:r>
        <w:t>──────────────────────────────────────────────────</w:t>
      </w:r>
    </w:p>
    <w:p>
      <w:pPr>
        <w:pStyle w:val="Heading2"/>
      </w:pPr>
      <w:r>
        <w:t>1. Purpose &amp; Scope</w:t>
      </w:r>
    </w:p>
    <w:p>
      <w:pPr>
        <w:pStyle w:val="Heading3"/>
      </w:pPr>
      <w:r>
        <w:t>1.1 Purpose</w:t>
      </w:r>
    </w:p>
    <w:p>
      <w:r>
        <w:t xml:space="preserve">This Policy establishes mandatory requirements for </w:t>
      </w:r>
      <w:r>
        <w:rPr>
          <w:b/>
        </w:rPr>
        <w:t>ongoing performance monitoring, ESG reporting, and corrective action management</w:t>
      </w:r>
      <w:r>
        <w:t xml:space="preserve"> for suppliers providing </w:t>
      </w:r>
      <w:r>
        <w:rPr>
          <w:b/>
        </w:rPr>
        <w:t>critical fuels</w:t>
      </w:r>
      <w:r>
        <w:t xml:space="preserve"> (including jet fuel) to support business continuity. The intent is to ensure suppliers continuously meet contractual, operational, and ESG expectations and that emerging risks (e.g., supply interruptions, ESG degradation, regulatory non-compliance) are detected early and remediated promptly.</w:t>
      </w:r>
    </w:p>
    <w:p>
      <w:pPr>
        <w:pStyle w:val="Heading3"/>
      </w:pPr>
      <w:r>
        <w:t>1.2 Scope</w:t>
      </w:r>
    </w:p>
    <w:p>
      <w:r>
        <w:t>This Policy applies to:</w:t>
      </w:r>
    </w:p>
    <w:p>
      <w:pPr>
        <w:pStyle w:val="ListBullet"/>
      </w:pPr>
      <w:r>
        <w:t>All contracted suppliers that deliver, store, or broker critical fuels supporting operations where disruption could impact safety, regulatory compliance, or continuity.</w:t>
      </w:r>
    </w:p>
    <w:p>
      <w:pPr>
        <w:pStyle w:val="ListBullet"/>
      </w:pPr>
      <w:r>
        <w:t>All supplier lifecycle phases post-award: onboarding, steady-state operations, disruption response periods (e.g., 30-day disruption window), and renewal/exit.</w:t>
      </w:r>
    </w:p>
    <w:p>
      <w:r>
        <w:t xml:space="preserve">This Policy does </w:t>
      </w:r>
      <w:r>
        <w:rPr>
          <w:b/>
        </w:rPr>
        <w:t>not</w:t>
      </w:r>
      <w:r>
        <w:t xml:space="preserve"> replace supplier selection or sanctions-screening policies; it governs </w:t>
      </w:r>
      <w:r>
        <w:rPr>
          <w:b/>
        </w:rPr>
        <w:t>post-contract performance management</w:t>
      </w:r>
      <w:r>
        <w:t>.</w:t>
      </w:r>
    </w:p>
    <w:p>
      <w:pPr>
        <w:jc w:val="center"/>
      </w:pPr>
      <w:r>
        <w:t>──────────────────────────────────────────────────</w:t>
      </w:r>
    </w:p>
    <w:p>
      <w:pPr>
        <w:pStyle w:val="Heading2"/>
      </w:pPr>
      <w:r>
        <w:t>2. Definitions</w:t>
      </w:r>
    </w:p>
    <w:p>
      <w:pPr>
        <w:pStyle w:val="ListBullet"/>
      </w:pPr>
      <w:r>
        <w:t>Critical Fuels: Fuels designated by the organization as essential to operations (e.g., jet fuel) where supply disruption materially impacts service continuity.</w:t>
      </w:r>
    </w:p>
    <w:p>
      <w:pPr>
        <w:pStyle w:val="ListBullet"/>
      </w:pPr>
      <w:r>
        <w:t>KPI (Key Performance Indicator): Quantitative measure used to evaluate supplier performance (e.g., on-time delivery, quality conformance).</w:t>
      </w:r>
    </w:p>
    <w:p>
      <w:pPr>
        <w:pStyle w:val="ListBullet"/>
      </w:pPr>
      <w:r>
        <w:t>ESG Rating/Score: Third-party or internal ESG assessment used to evaluate environmental, social, and governance performance.</w:t>
      </w:r>
    </w:p>
    <w:p>
      <w:pPr>
        <w:pStyle w:val="ListBullet"/>
      </w:pPr>
      <w:r>
        <w:t>SLA (Service Level Agreement): Contracted service performance commitments and associated remedies.</w:t>
      </w:r>
    </w:p>
    <w:p>
      <w:pPr>
        <w:pStyle w:val="ListBullet"/>
      </w:pPr>
      <w:r>
        <w:t>Nonconformance: Failure to meet contractual, regulatory, safety, quality, or ESG requirements.</w:t>
      </w:r>
    </w:p>
    <w:p>
      <w:pPr>
        <w:pStyle w:val="ListBullet"/>
      </w:pPr>
      <w:r>
        <w:t>CAPA (Corrective and Preventive Action): Documented process to correct a nonconformance and prevent recurrence.</w:t>
      </w:r>
    </w:p>
    <w:p>
      <w:pPr>
        <w:pStyle w:val="ListBullet"/>
      </w:pPr>
      <w:r>
        <w:t>Material Incident: Event with significant impact including (a) missed delivery impacting continuity, (b) safety or environmental spill, (c) confirmed forced labor indicator in supply chain, (d) regulatory notice or penalty, (e) sanctions status change.</w:t>
      </w:r>
    </w:p>
    <w:p>
      <w:pPr>
        <w:jc w:val="center"/>
      </w:pPr>
      <w:r>
        <w:t>──────────────────────────────────────────────────</w:t>
      </w:r>
    </w:p>
    <w:p>
      <w:pPr>
        <w:pStyle w:val="Heading2"/>
      </w:pPr>
      <w:r>
        <w:t>3. Policy Requirements (Monitoring &amp; Reporting Standards)</w:t>
      </w:r>
    </w:p>
    <w:p>
      <w:pPr>
        <w:pStyle w:val="Heading3"/>
      </w:pPr>
      <w:r>
        <w:t>3.1 Minimum Monitoring Cadence</w:t>
      </w:r>
    </w:p>
    <w:p>
      <w:r>
        <w:t xml:space="preserve">P&amp;SC shall implement a risk-based monitoring model with </w:t>
      </w:r>
      <w:r>
        <w:rPr>
          <w:b/>
        </w:rPr>
        <w:t>minimum</w:t>
      </w:r>
      <w:r>
        <w:t xml:space="preserve"> cadence as follows:</w:t>
      </w:r>
    </w:p>
    <w:p>
      <w:pPr>
        <w:pStyle w:val="ListBullet"/>
      </w:pPr>
      <w:r>
        <w:t>Operational KPIs: Monthly review (or weekly during disruption periods).</w:t>
      </w:r>
    </w:p>
    <w:p>
      <w:pPr>
        <w:pStyle w:val="ListBullet"/>
      </w:pPr>
      <w:r>
        <w:t>Quality &amp; Safety Metrics: Monthly, with immediate escalation for material incidents.</w:t>
      </w:r>
    </w:p>
    <w:p>
      <w:pPr>
        <w:pStyle w:val="ListBullet"/>
      </w:pPr>
      <w:r>
        <w:t>ESG Indicators &amp; Assurance: Quarterly, with annual independent verification where contractually required.</w:t>
      </w:r>
    </w:p>
    <w:p>
      <w:pPr>
        <w:pStyle w:val="ListBullet"/>
      </w:pPr>
      <w:r>
        <w:t>Financial/Continuity Signals: Quarterly (credit risk, capacity, lead time variability), and ad hoc upon market shocks.</w:t>
      </w:r>
    </w:p>
    <w:p>
      <w:pPr>
        <w:pStyle w:val="Heading3"/>
      </w:pPr>
      <w:r>
        <w:t>3.2 Standard KPI Framework (Mandatory)</w:t>
      </w:r>
    </w:p>
    <w:p>
      <w:r>
        <w:t>Each critical fuel supplier contract shall include measurable KPIs, targets, and remedies aligned to the framework in Table 1. Business units may add stricter requirements based on site risk.</w:t>
      </w:r>
    </w:p>
    <w:p>
      <w:r>
        <w:rPr>
          <w:b/>
        </w:rPr>
        <w:t>Table 1 — Standard Performance KPIs (Critical Fuel Suppliers)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val="clear"/>
          </w:tcPr>
          <w:p>
            <w:r>
              <w:rPr>
                <w:b/>
              </w:rPr>
              <w:t>KPI Category</w:t>
            </w:r>
          </w:p>
        </w:tc>
        <w:tc>
          <w:tcPr>
            <w:tcW w:type="dxa" w:w="1728"/>
            <w:shd w:fill="D9E2F3" w:val="clear"/>
          </w:tcPr>
          <w:p>
            <w:r>
              <w:rPr>
                <w:b/>
              </w:rPr>
              <w:t>KPI (Minimum Set)</w:t>
            </w:r>
          </w:p>
        </w:tc>
        <w:tc>
          <w:tcPr>
            <w:tcW w:type="dxa" w:w="1728"/>
            <w:shd w:fill="D9E2F3" w:val="clear"/>
          </w:tcPr>
          <w:p>
            <w:r>
              <w:rPr>
                <w:b/>
              </w:rPr>
              <w:t>Target / Threshold</w:t>
            </w:r>
          </w:p>
        </w:tc>
        <w:tc>
          <w:tcPr>
            <w:tcW w:type="dxa" w:w="1728"/>
            <w:shd w:fill="D9E2F3" w:val="clear"/>
          </w:tcPr>
          <w:p>
            <w:r>
              <w:rPr>
                <w:b/>
              </w:rPr>
              <w:t>Evidence Source</w:t>
            </w:r>
          </w:p>
        </w:tc>
        <w:tc>
          <w:tcPr>
            <w:tcW w:type="dxa" w:w="1728"/>
            <w:shd w:fill="D9E2F3" w:val="clear"/>
          </w:tcPr>
          <w:p>
            <w:r>
              <w:rPr>
                <w:b/>
              </w:rPr>
              <w:t>Owner</w:t>
            </w:r>
          </w:p>
        </w:tc>
      </w:tr>
      <w:tr>
        <w:tc>
          <w:tcPr>
            <w:tcW w:type="dxa" w:w="1728"/>
          </w:tcPr>
          <w:p>
            <w:r>
              <w:t>Delivery</w:t>
            </w:r>
          </w:p>
        </w:tc>
        <w:tc>
          <w:tcPr>
            <w:tcW w:type="dxa" w:w="1728"/>
          </w:tcPr>
          <w:p>
            <w:r>
              <w:t>On-time delivery rate</w:t>
            </w:r>
          </w:p>
        </w:tc>
        <w:tc>
          <w:tcPr>
            <w:tcW w:type="dxa" w:w="1728"/>
          </w:tcPr>
          <w:p>
            <w:r>
              <w:t>≥ 95% monthly</w:t>
            </w:r>
          </w:p>
        </w:tc>
        <w:tc>
          <w:tcPr>
            <w:tcW w:type="dxa" w:w="1728"/>
          </w:tcPr>
          <w:p>
            <w:r>
              <w:t>Bills of lading, delivery timestamps</w:t>
            </w:r>
          </w:p>
        </w:tc>
        <w:tc>
          <w:tcPr>
            <w:tcW w:type="dxa" w:w="1728"/>
          </w:tcPr>
          <w:p>
            <w:r>
              <w:t>Supply Chain Ops</w:t>
            </w:r>
          </w:p>
        </w:tc>
      </w:tr>
      <w:tr>
        <w:tc>
          <w:tcPr>
            <w:tcW w:type="dxa" w:w="1728"/>
          </w:tcPr>
          <w:p>
            <w:r>
              <w:t>Delivery</w:t>
            </w:r>
          </w:p>
        </w:tc>
        <w:tc>
          <w:tcPr>
            <w:tcW w:type="dxa" w:w="1728"/>
          </w:tcPr>
          <w:p>
            <w:r>
              <w:t>Quantity accuracy</w:t>
            </w:r>
          </w:p>
        </w:tc>
        <w:tc>
          <w:tcPr>
            <w:tcW w:type="dxa" w:w="1728"/>
          </w:tcPr>
          <w:p>
            <w:r>
              <w:t>± 0.5% per delivery</w:t>
            </w:r>
          </w:p>
        </w:tc>
        <w:tc>
          <w:tcPr>
            <w:tcW w:type="dxa" w:w="1728"/>
          </w:tcPr>
          <w:p>
            <w:r>
              <w:t>Terminal meter reports</w:t>
            </w:r>
          </w:p>
        </w:tc>
        <w:tc>
          <w:tcPr>
            <w:tcW w:type="dxa" w:w="1728"/>
          </w:tcPr>
          <w:p>
            <w:r>
              <w:t>Supply Chain Ops</w:t>
            </w:r>
          </w:p>
        </w:tc>
      </w:tr>
      <w:tr>
        <w:tc>
          <w:tcPr>
            <w:tcW w:type="dxa" w:w="1728"/>
          </w:tcPr>
          <w:p>
            <w:r>
              <w:t>Continuity</w:t>
            </w:r>
          </w:p>
        </w:tc>
        <w:tc>
          <w:tcPr>
            <w:tcW w:type="dxa" w:w="1728"/>
          </w:tcPr>
          <w:p>
            <w:r>
              <w:t>Confirmed annual capacity vs. contracted</w:t>
            </w:r>
          </w:p>
        </w:tc>
        <w:tc>
          <w:tcPr>
            <w:tcW w:type="dxa" w:w="1728"/>
          </w:tcPr>
          <w:p>
            <w:r>
              <w:t>≥ 100%</w:t>
            </w:r>
          </w:p>
        </w:tc>
        <w:tc>
          <w:tcPr>
            <w:tcW w:type="dxa" w:w="1728"/>
          </w:tcPr>
          <w:p>
            <w:r>
              <w:t>Supplier capacity attestations; utilization</w:t>
            </w:r>
          </w:p>
        </w:tc>
        <w:tc>
          <w:tcPr>
            <w:tcW w:type="dxa" w:w="1728"/>
          </w:tcPr>
          <w:p>
            <w:r>
              <w:t>P&amp;SC</w:t>
            </w:r>
          </w:p>
        </w:tc>
      </w:tr>
      <w:tr>
        <w:tc>
          <w:tcPr>
            <w:tcW w:type="dxa" w:w="1728"/>
          </w:tcPr>
          <w:p>
            <w:r>
              <w:t>Quality</w:t>
            </w:r>
          </w:p>
        </w:tc>
        <w:tc>
          <w:tcPr>
            <w:tcW w:type="dxa" w:w="1728"/>
          </w:tcPr>
          <w:p>
            <w:r>
              <w:t>Spec compliance (e.g., ASTM/DEF STAN as applicable)</w:t>
            </w:r>
          </w:p>
        </w:tc>
        <w:tc>
          <w:tcPr>
            <w:tcW w:type="dxa" w:w="1728"/>
          </w:tcPr>
          <w:p>
            <w:r>
              <w:t>100% pass</w:t>
            </w:r>
          </w:p>
        </w:tc>
        <w:tc>
          <w:tcPr>
            <w:tcW w:type="dxa" w:w="1728"/>
          </w:tcPr>
          <w:p>
            <w:r>
              <w:t>COAs, lab results</w:t>
            </w:r>
          </w:p>
        </w:tc>
        <w:tc>
          <w:tcPr>
            <w:tcW w:type="dxa" w:w="1728"/>
          </w:tcPr>
          <w:p>
            <w:r>
              <w:t>QA / Fuel Logistics</w:t>
            </w:r>
          </w:p>
        </w:tc>
      </w:tr>
      <w:tr>
        <w:tc>
          <w:tcPr>
            <w:tcW w:type="dxa" w:w="1728"/>
          </w:tcPr>
          <w:p>
            <w:r>
              <w:t>HSE</w:t>
            </w:r>
          </w:p>
        </w:tc>
        <w:tc>
          <w:tcPr>
            <w:tcW w:type="dxa" w:w="1728"/>
          </w:tcPr>
          <w:p>
            <w:r>
              <w:t>Reportable spills/releases</w:t>
            </w:r>
          </w:p>
        </w:tc>
        <w:tc>
          <w:tcPr>
            <w:tcW w:type="dxa" w:w="1728"/>
          </w:tcPr>
          <w:p>
            <w:r>
              <w:t>0 material; immediate reporting</w:t>
            </w:r>
          </w:p>
        </w:tc>
        <w:tc>
          <w:tcPr>
            <w:tcW w:type="dxa" w:w="1728"/>
          </w:tcPr>
          <w:p>
            <w:r>
              <w:t>Incident reports</w:t>
            </w:r>
          </w:p>
        </w:tc>
        <w:tc>
          <w:tcPr>
            <w:tcW w:type="dxa" w:w="1728"/>
          </w:tcPr>
          <w:p>
            <w:r>
              <w:t>HSE</w:t>
            </w:r>
          </w:p>
        </w:tc>
      </w:tr>
      <w:tr>
        <w:tc>
          <w:tcPr>
            <w:tcW w:type="dxa" w:w="1728"/>
          </w:tcPr>
          <w:p>
            <w:r>
              <w:t>ESG</w:t>
            </w:r>
          </w:p>
        </w:tc>
        <w:tc>
          <w:tcPr>
            <w:tcW w:type="dxa" w:w="1728"/>
          </w:tcPr>
          <w:p>
            <w:r>
              <w:t>ESG rating/score maintained</w:t>
            </w:r>
          </w:p>
        </w:tc>
        <w:tc>
          <w:tcPr>
            <w:tcW w:type="dxa" w:w="1728"/>
          </w:tcPr>
          <w:p>
            <w:r>
              <w:t>At/above contract baseline</w:t>
            </w:r>
          </w:p>
        </w:tc>
        <w:tc>
          <w:tcPr>
            <w:tcW w:type="dxa" w:w="1728"/>
          </w:tcPr>
          <w:p>
            <w:r>
              <w:t>ESG provider report</w:t>
            </w:r>
          </w:p>
        </w:tc>
        <w:tc>
          <w:tcPr>
            <w:tcW w:type="dxa" w:w="1728"/>
          </w:tcPr>
          <w:p>
            <w:r>
              <w:t>ESG Office</w:t>
            </w:r>
          </w:p>
        </w:tc>
      </w:tr>
      <w:tr>
        <w:tc>
          <w:tcPr>
            <w:tcW w:type="dxa" w:w="1728"/>
          </w:tcPr>
          <w:p>
            <w:r>
              <w:t>Compliance</w:t>
            </w:r>
          </w:p>
        </w:tc>
        <w:tc>
          <w:tcPr>
            <w:tcW w:type="dxa" w:w="1728"/>
          </w:tcPr>
          <w:p>
            <w:r>
              <w:t>Regulatory notices/violations</w:t>
            </w:r>
          </w:p>
        </w:tc>
        <w:tc>
          <w:tcPr>
            <w:tcW w:type="dxa" w:w="1728"/>
          </w:tcPr>
          <w:p>
            <w:r>
              <w:t>0 unresolved</w:t>
            </w:r>
          </w:p>
        </w:tc>
        <w:tc>
          <w:tcPr>
            <w:tcW w:type="dxa" w:w="1728"/>
          </w:tcPr>
          <w:p>
            <w:r>
              <w:t>Notices; audit outcomes</w:t>
            </w:r>
          </w:p>
        </w:tc>
        <w:tc>
          <w:tcPr>
            <w:tcW w:type="dxa" w:w="1728"/>
          </w:tcPr>
          <w:p>
            <w:r>
              <w:t>Risk &amp; Compliance</w:t>
            </w:r>
          </w:p>
        </w:tc>
      </w:tr>
      <w:tr>
        <w:tc>
          <w:tcPr>
            <w:tcW w:type="dxa" w:w="1728"/>
          </w:tcPr>
          <w:p>
            <w:r>
              <w:t>Responsiveness</w:t>
            </w:r>
          </w:p>
        </w:tc>
        <w:tc>
          <w:tcPr>
            <w:tcW w:type="dxa" w:w="1728"/>
          </w:tcPr>
          <w:p>
            <w:r>
              <w:t>Critical issue response time</w:t>
            </w:r>
          </w:p>
        </w:tc>
        <w:tc>
          <w:tcPr>
            <w:tcW w:type="dxa" w:w="1728"/>
          </w:tcPr>
          <w:p>
            <w:r>
              <w:t>≤ 4 business hours</w:t>
            </w:r>
          </w:p>
        </w:tc>
        <w:tc>
          <w:tcPr>
            <w:tcW w:type="dxa" w:w="1728"/>
          </w:tcPr>
          <w:p>
            <w:r>
              <w:t>Ticket logs; emails</w:t>
            </w:r>
          </w:p>
        </w:tc>
        <w:tc>
          <w:tcPr>
            <w:tcW w:type="dxa" w:w="1728"/>
          </w:tcPr>
          <w:p>
            <w:r>
              <w:t>Supplier Manager</w:t>
            </w:r>
          </w:p>
        </w:tc>
      </w:tr>
    </w:tbl>
    <w:p>
      <w:pPr>
        <w:pStyle w:val="Heading3"/>
      </w:pPr>
      <w:r>
        <w:t>3.3 ESG Performance Maintenance</w:t>
      </w:r>
    </w:p>
    <w:p>
      <w:r>
        <w:t>Suppliers shall maintain ESG performance consistent with contractual commitments, including:</w:t>
      </w:r>
    </w:p>
    <w:p>
      <w:pPr>
        <w:pStyle w:val="ListBullet"/>
      </w:pPr>
      <w:r>
        <w:t>Maintaining an ESG rating at or above the contract baseline and promptly notifying the organization of rating changes.</w:t>
      </w:r>
    </w:p>
    <w:p>
      <w:pPr>
        <w:pStyle w:val="ListBullet"/>
      </w:pPr>
      <w:r>
        <w:t>Providing quarterly ESG data relevant to fuel supply (e.g., emissions reporting methodology for transport legs, labor and human-rights controls, governance attestations).</w:t>
      </w:r>
    </w:p>
    <w:p>
      <w:pPr>
        <w:pStyle w:val="ListBullet"/>
      </w:pPr>
      <w:r>
        <w:t>Cooperating with audits and providing traceability documentation upon request.</w:t>
      </w:r>
    </w:p>
    <w:p>
      <w:pPr>
        <w:pStyle w:val="Heading3"/>
      </w:pPr>
      <w:r>
        <w:t>3.4 Continuity Readiness During Disruption Periods</w:t>
      </w:r>
    </w:p>
    <w:p>
      <w:r>
        <w:t>During declared disruption periods (e.g., a 30-day continuity event), suppliers must:</w:t>
      </w:r>
    </w:p>
    <w:p>
      <w:pPr>
        <w:pStyle w:val="ListBullet"/>
      </w:pPr>
      <w:r>
        <w:t>Confirm available volume and logistics plan within 24 hours of notice.</w:t>
      </w:r>
    </w:p>
    <w:p>
      <w:pPr>
        <w:pStyle w:val="ListBullet"/>
      </w:pPr>
      <w:r>
        <w:t>Provide daily delivery status updates and exception reporting.</w:t>
      </w:r>
    </w:p>
    <w:p>
      <w:pPr>
        <w:pStyle w:val="ListBullet"/>
      </w:pPr>
      <w:r>
        <w:t>Prioritize safety and regulatory compliance; no deviation from quality standards without written approval by QA and Risk &amp; Compliance.</w:t>
      </w:r>
    </w:p>
    <w:p>
      <w:pPr>
        <w:pStyle w:val="Heading3"/>
      </w:pPr>
      <w:r>
        <w:t>3.5 Recordkeeping</w:t>
      </w:r>
    </w:p>
    <w:p>
      <w:r>
        <w:t xml:space="preserve">All performance records (KPI reports, ESG submissions, incidents, CAPAs, and audit results) shall be retained for </w:t>
      </w:r>
      <w:r>
        <w:rPr>
          <w:b/>
        </w:rPr>
        <w:t>7 years</w:t>
      </w:r>
      <w:r>
        <w:t xml:space="preserve"> or longer if required by law or contract.</w:t>
      </w:r>
    </w:p>
    <w:p>
      <w:pPr>
        <w:jc w:val="center"/>
      </w:pPr>
      <w:r>
        <w:t>──────────────────────────────────────────────────</w:t>
      </w:r>
    </w:p>
    <w:p>
      <w:pPr>
        <w:pStyle w:val="Heading2"/>
      </w:pPr>
      <w:r>
        <w:t>4. Procedures (Roles, Reviews, Escalation &amp; Corrective Action)</w:t>
      </w:r>
    </w:p>
    <w:p>
      <w:pPr>
        <w:pStyle w:val="Heading3"/>
      </w:pPr>
      <w:r>
        <w:t>4.1 Roles &amp; Responsibilities</w:t>
      </w:r>
    </w:p>
    <w:p>
      <w:pPr>
        <w:pStyle w:val="ListBullet"/>
      </w:pPr>
      <w:r>
        <w:t>Supplier Manager (P&amp;SC): Primary accountable owner of scorecards, reviews, escalation, and CAPA tracking.</w:t>
      </w:r>
    </w:p>
    <w:p>
      <w:pPr>
        <w:pStyle w:val="ListBullet"/>
      </w:pPr>
      <w:r>
        <w:t>Supply Chain Operations: Validates delivery performance and continuity metrics; coordinates logistics.</w:t>
      </w:r>
    </w:p>
    <w:p>
      <w:pPr>
        <w:pStyle w:val="ListBullet"/>
      </w:pPr>
      <w:r>
        <w:t>Quality Assurance (QA) / Fuel Logistics: Verifies fuel specification compliance and manages quality holds.</w:t>
      </w:r>
    </w:p>
    <w:p>
      <w:pPr>
        <w:pStyle w:val="ListBullet"/>
      </w:pPr>
      <w:r>
        <w:t>HSE: Oversees safety/environment incident management and regulatory reporting coordination.</w:t>
      </w:r>
    </w:p>
    <w:p>
      <w:pPr>
        <w:pStyle w:val="ListBullet"/>
      </w:pPr>
      <w:r>
        <w:t>ESG Office: Reviews ESG data, rating movements, and sustainability commitments.</w:t>
      </w:r>
    </w:p>
    <w:p>
      <w:pPr>
        <w:pStyle w:val="ListBullet"/>
      </w:pPr>
      <w:r>
        <w:t>Risk &amp; Compliance: Oversees compliance issues, audit coordination, and regulatory engagement.</w:t>
      </w:r>
    </w:p>
    <w:p>
      <w:pPr>
        <w:pStyle w:val="ListBullet"/>
      </w:pPr>
      <w:r>
        <w:t>Finance: Reviews payment holds/credits tied to SLA failures and validates penalties/credits.</w:t>
      </w:r>
    </w:p>
    <w:p>
      <w:pPr>
        <w:pStyle w:val="Heading3"/>
      </w:pPr>
      <w:r>
        <w:t>4.2 Supplier Scorecard Process</w:t>
      </w:r>
    </w:p>
    <w:p>
      <w:pPr>
        <w:pStyle w:val="ListNumber"/>
      </w:pPr>
      <w:r>
        <w:t>Data Collection (Monthly): Supplier Manager consolidates KPI evidence from systems of record.</w:t>
      </w:r>
    </w:p>
    <w:p>
      <w:pPr>
        <w:pStyle w:val="ListNumber"/>
      </w:pPr>
      <w:r>
        <w:t>Scorecard Issuance: Scorecard distributed to supplier within 10 business days after month-end.</w:t>
      </w:r>
    </w:p>
    <w:p>
      <w:pPr>
        <w:pStyle w:val="ListNumber"/>
      </w:pPr>
      <w:r>
        <w:t>Review Meeting: Held monthly (or weekly during disruptions) to address exceptions and risks.</w:t>
      </w:r>
    </w:p>
    <w:p>
      <w:pPr>
        <w:pStyle w:val="ListNumber"/>
      </w:pPr>
      <w:r>
        <w:t>Quarterly Business Review (QBR): Includes ESG trends, continuity readiness, and improvement roadmap.</w:t>
      </w:r>
    </w:p>
    <w:p>
      <w:pPr>
        <w:pStyle w:val="Heading3"/>
      </w:pPr>
      <w:r>
        <w:t>4.3 Incident Reporting &amp; Immediate Escalation</w:t>
      </w:r>
    </w:p>
    <w:p>
      <w:r>
        <w:t xml:space="preserve">Suppliers must notify the organization </w:t>
      </w:r>
      <w:r>
        <w:rPr>
          <w:b/>
        </w:rPr>
        <w:t>immediately</w:t>
      </w:r>
      <w:r>
        <w:t xml:space="preserve"> (and no later than 2 hours) for material incidents impacting safety, continuity, or compliance. Internally, the Supplier Manager must escalate within </w:t>
      </w:r>
      <w:r>
        <w:rPr>
          <w:b/>
        </w:rPr>
        <w:t>4 hours</w:t>
      </w:r>
      <w:r>
        <w:t xml:space="preserve"> to Risk &amp; Compliance and relevant operational stakeholders.</w:t>
      </w:r>
    </w:p>
    <w:p>
      <w:r>
        <w:rPr>
          <w:b/>
        </w:rPr>
        <w:t>Table 2 — Escalation Levels &amp; Response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val="clear"/>
          </w:tcPr>
          <w:p>
            <w:r>
              <w:rPr>
                <w:b/>
              </w:rPr>
              <w:t>Level</w:t>
            </w:r>
          </w:p>
        </w:tc>
        <w:tc>
          <w:tcPr>
            <w:tcW w:type="dxa" w:w="2160"/>
            <w:shd w:fill="D9E2F3" w:val="clear"/>
          </w:tcPr>
          <w:p>
            <w:r>
              <w:rPr>
                <w:b/>
              </w:rPr>
              <w:t>Trigger Examples</w:t>
            </w:r>
          </w:p>
        </w:tc>
        <w:tc>
          <w:tcPr>
            <w:tcW w:type="dxa" w:w="2160"/>
            <w:shd w:fill="D9E2F3" w:val="clear"/>
          </w:tcPr>
          <w:p>
            <w:r>
              <w:rPr>
                <w:b/>
              </w:rPr>
              <w:t>Internal Response Time</w:t>
            </w:r>
          </w:p>
        </w:tc>
        <w:tc>
          <w:tcPr>
            <w:tcW w:type="dxa" w:w="2160"/>
            <w:shd w:fill="D9E2F3" w:val="clear"/>
          </w:tcPr>
          <w:p>
            <w:r>
              <w:rPr>
                <w:b/>
              </w:rPr>
              <w:t>Required Actions</w:t>
            </w:r>
          </w:p>
        </w:tc>
      </w:tr>
      <w:tr>
        <w:tc>
          <w:tcPr>
            <w:tcW w:type="dxa" w:w="2160"/>
          </w:tcPr>
          <w:p>
            <w:r>
              <w:t>1 (Informational)</w:t>
            </w:r>
          </w:p>
        </w:tc>
        <w:tc>
          <w:tcPr>
            <w:tcW w:type="dxa" w:w="2160"/>
          </w:tcPr>
          <w:p>
            <w:r>
              <w:t>Minor KPI variance, no continuity impact</w:t>
            </w:r>
          </w:p>
        </w:tc>
        <w:tc>
          <w:tcPr>
            <w:tcW w:type="dxa" w:w="2160"/>
          </w:tcPr>
          <w:p>
            <w:r>
              <w:t>5 business days</w:t>
            </w:r>
          </w:p>
        </w:tc>
        <w:tc>
          <w:tcPr>
            <w:tcW w:type="dxa" w:w="2160"/>
          </w:tcPr>
          <w:p>
            <w:r>
              <w:t>Monitor; note in scorecard</w:t>
            </w:r>
          </w:p>
        </w:tc>
      </w:tr>
      <w:tr>
        <w:tc>
          <w:tcPr>
            <w:tcW w:type="dxa" w:w="2160"/>
          </w:tcPr>
          <w:p>
            <w:r>
              <w:t>2 (Elevated)</w:t>
            </w:r>
          </w:p>
        </w:tc>
        <w:tc>
          <w:tcPr>
            <w:tcW w:type="dxa" w:w="2160"/>
          </w:tcPr>
          <w:p>
            <w:r>
              <w:t>KPI target missed ≥2 months; minor quality deviation</w:t>
            </w:r>
          </w:p>
        </w:tc>
        <w:tc>
          <w:tcPr>
            <w:tcW w:type="dxa" w:w="2160"/>
          </w:tcPr>
          <w:p>
            <w:r>
              <w:t>2 business days</w:t>
            </w:r>
          </w:p>
        </w:tc>
        <w:tc>
          <w:tcPr>
            <w:tcW w:type="dxa" w:w="2160"/>
          </w:tcPr>
          <w:p>
            <w:r>
              <w:t>Supplier action plan; increased cadence</w:t>
            </w:r>
          </w:p>
        </w:tc>
      </w:tr>
      <w:tr>
        <w:tc>
          <w:tcPr>
            <w:tcW w:type="dxa" w:w="2160"/>
          </w:tcPr>
          <w:p>
            <w:r>
              <w:t>3 (Critical)</w:t>
            </w:r>
          </w:p>
        </w:tc>
        <w:tc>
          <w:tcPr>
            <w:tcW w:type="dxa" w:w="2160"/>
          </w:tcPr>
          <w:p>
            <w:r>
              <w:t>Missed delivery affecting operations; repeated quality issues</w:t>
            </w:r>
          </w:p>
        </w:tc>
        <w:tc>
          <w:tcPr>
            <w:tcW w:type="dxa" w:w="2160"/>
          </w:tcPr>
          <w:p>
            <w:r>
              <w:t>1 business day</w:t>
            </w:r>
          </w:p>
        </w:tc>
        <w:tc>
          <w:tcPr>
            <w:tcW w:type="dxa" w:w="2160"/>
          </w:tcPr>
          <w:p>
            <w:r>
              <w:t>Formal CAPA; executive review; contingency activation</w:t>
            </w:r>
          </w:p>
        </w:tc>
      </w:tr>
      <w:tr>
        <w:tc>
          <w:tcPr>
            <w:tcW w:type="dxa" w:w="2160"/>
          </w:tcPr>
          <w:p>
            <w:r>
              <w:t>4 (Severe)</w:t>
            </w:r>
          </w:p>
        </w:tc>
        <w:tc>
          <w:tcPr>
            <w:tcW w:type="dxa" w:w="2160"/>
          </w:tcPr>
          <w:p>
            <w:r>
              <w:t>Material spill; regulatory notice; confirmed unethical labor indicator</w:t>
            </w:r>
          </w:p>
        </w:tc>
        <w:tc>
          <w:tcPr>
            <w:tcW w:type="dxa" w:w="2160"/>
          </w:tcPr>
          <w:p>
            <w:r>
              <w:t>4 hours</w:t>
            </w:r>
          </w:p>
        </w:tc>
        <w:tc>
          <w:tcPr>
            <w:tcW w:type="dxa" w:w="2160"/>
          </w:tcPr>
          <w:p>
            <w:r>
              <w:t>Incident command; potential suspension; legal/compliance review</w:t>
            </w:r>
          </w:p>
        </w:tc>
      </w:tr>
    </w:tbl>
    <w:p>
      <w:pPr>
        <w:pStyle w:val="Heading3"/>
      </w:pPr>
      <w:r>
        <w:t>4.4 CAPA (Corrective and Preventive Action) Requirements</w:t>
      </w:r>
    </w:p>
    <w:p>
      <w:r>
        <w:t>A CAPA is mandatory when:</w:t>
      </w:r>
    </w:p>
    <w:p>
      <w:pPr>
        <w:pStyle w:val="ListBullet"/>
      </w:pPr>
      <w:r>
        <w:t>A Level 3 or Level 4 event occurs, or</w:t>
      </w:r>
    </w:p>
    <w:p>
      <w:pPr>
        <w:pStyle w:val="ListBullet"/>
      </w:pPr>
      <w:r>
        <w:t>Any KPI in Table 1 falls below threshold for two consecutive months, or</w:t>
      </w:r>
    </w:p>
    <w:p>
      <w:pPr>
        <w:pStyle w:val="ListBullet"/>
      </w:pPr>
      <w:r>
        <w:t>ESG rating/score falls below contract baseline.</w:t>
      </w:r>
    </w:p>
    <w:p>
      <w:r>
        <w:t>CAPA must include:</w:t>
      </w:r>
    </w:p>
    <w:p>
      <w:pPr>
        <w:pStyle w:val="ListBullet"/>
      </w:pPr>
      <w:r>
        <w:t>Root cause analysis (e.g., 5 Whys, fishbone)</w:t>
      </w:r>
    </w:p>
    <w:p>
      <w:pPr>
        <w:pStyle w:val="ListBullet"/>
      </w:pPr>
      <w:r>
        <w:t>Corrective actions with owners and due dates</w:t>
      </w:r>
    </w:p>
    <w:p>
      <w:pPr>
        <w:pStyle w:val="ListBullet"/>
      </w:pPr>
      <w:r>
        <w:t>Preventive actions (process controls, training, system changes)</w:t>
      </w:r>
    </w:p>
    <w:p>
      <w:pPr>
        <w:pStyle w:val="ListBullet"/>
      </w:pPr>
      <w:r>
        <w:t>Effectiveness verification within 60–90 days (or sooner if critical)</w:t>
      </w:r>
    </w:p>
    <w:p>
      <w:pPr>
        <w:pStyle w:val="ListBullet"/>
      </w:pPr>
      <w:r>
        <w:t>Documentation in the supplier performance repository</w:t>
      </w:r>
    </w:p>
    <w:p>
      <w:pPr>
        <w:pStyle w:val="Heading3"/>
      </w:pPr>
      <w:r>
        <w:t>4.5 Remedies, Contract Controls, and Supplier Status</w:t>
      </w:r>
    </w:p>
    <w:p>
      <w:r>
        <w:t>Based on performance outcomes, the organization may apply contractual remedies including service credits, expedited shipping at supplier cost, increased inspection, or suspension of volumes. Supplier status shall be maintained as one of:</w:t>
      </w:r>
    </w:p>
    <w:p>
      <w:pPr>
        <w:pStyle w:val="ListBullet"/>
      </w:pPr>
      <w:r>
        <w:t>Approved: Meeting requirements; routine monitoring.</w:t>
      </w:r>
    </w:p>
    <w:p>
      <w:pPr>
        <w:pStyle w:val="ListBullet"/>
      </w:pPr>
      <w:r>
        <w:t>Conditional: Temporary restrictions; enhanced oversight.</w:t>
      </w:r>
    </w:p>
    <w:p>
      <w:pPr>
        <w:pStyle w:val="ListBullet"/>
      </w:pPr>
      <w:r>
        <w:t>Probation: Time-bound remediation required; contingency volumes activated.</w:t>
      </w:r>
    </w:p>
    <w:p>
      <w:pPr>
        <w:pStyle w:val="ListBullet"/>
      </w:pPr>
      <w:r>
        <w:t>Suspended/Exit: No new orders; termination/transition per contract.</w:t>
      </w:r>
    </w:p>
    <w:p>
      <w:pPr>
        <w:pStyle w:val="Heading3"/>
      </w:pPr>
      <w:r>
        <w:t>4.6 Example Monitoring Configuration for Qualified Alternate Suppliers (Reference)</w:t>
      </w:r>
    </w:p>
    <w:p>
      <w:r>
        <w:t>Where alternate suppliers are used to protect continuity, the Supplier Manager shall ensure scorecards include capacity confirmation and disruption-readiness checks.</w:t>
      </w:r>
    </w:p>
    <w:p>
      <w:r>
        <w:rPr>
          <w:b/>
        </w:rPr>
        <w:t>Table 3 — Reference Supplier Monitoring Parameters (Illustrative)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val="clear"/>
          </w:tcPr>
          <w:p>
            <w:r>
              <w:rPr>
                <w:b/>
              </w:rPr>
              <w:t>Supplier (Reference)</w:t>
            </w:r>
          </w:p>
        </w:tc>
        <w:tc>
          <w:tcPr>
            <w:tcW w:type="dxa" w:w="1728"/>
            <w:shd w:fill="D9E2F3" w:val="clear"/>
          </w:tcPr>
          <w:p>
            <w:r>
              <w:rPr>
                <w:b/>
              </w:rPr>
              <w:t>Region</w:t>
            </w:r>
          </w:p>
        </w:tc>
        <w:tc>
          <w:tcPr>
            <w:tcW w:type="dxa" w:w="1728"/>
            <w:shd w:fill="D9E2F3" w:val="clear"/>
          </w:tcPr>
          <w:p>
            <w:r>
              <w:rPr>
                <w:b/>
              </w:rPr>
              <w:t>Annual Supply Capacity (MT)</w:t>
            </w:r>
          </w:p>
        </w:tc>
        <w:tc>
          <w:tcPr>
            <w:tcW w:type="dxa" w:w="1728"/>
            <w:shd w:fill="D9E2F3" w:val="clear"/>
          </w:tcPr>
          <w:p>
            <w:r>
              <w:rPr>
                <w:b/>
              </w:rPr>
              <w:t>ESG Rating (Score)</w:t>
            </w:r>
          </w:p>
        </w:tc>
        <w:tc>
          <w:tcPr>
            <w:tcW w:type="dxa" w:w="1728"/>
            <w:shd w:fill="D9E2F3" w:val="clear"/>
          </w:tcPr>
          <w:p>
            <w:r>
              <w:rPr>
                <w:b/>
              </w:rPr>
              <w:t>Monitoring Cadence (Minimum)</w:t>
            </w:r>
          </w:p>
        </w:tc>
      </w:tr>
      <w:tr>
        <w:tc>
          <w:tcPr>
            <w:tcW w:type="dxa" w:w="1728"/>
          </w:tcPr>
          <w:p>
            <w:r>
              <w:t>Meridian Fuel Systems</w:t>
            </w:r>
          </w:p>
        </w:tc>
        <w:tc>
          <w:tcPr>
            <w:tcW w:type="dxa" w:w="1728"/>
          </w:tcPr>
          <w:p>
            <w:r>
              <w:t>Europe</w:t>
            </w:r>
          </w:p>
        </w:tc>
        <w:tc>
          <w:tcPr>
            <w:tcW w:type="dxa" w:w="1728"/>
          </w:tcPr>
          <w:p>
            <w:r>
              <w:t>88,000</w:t>
            </w:r>
          </w:p>
        </w:tc>
        <w:tc>
          <w:tcPr>
            <w:tcW w:type="dxa" w:w="1728"/>
          </w:tcPr>
          <w:p>
            <w:r>
              <w:t>A (88)</w:t>
            </w:r>
          </w:p>
        </w:tc>
        <w:tc>
          <w:tcPr>
            <w:tcW w:type="dxa" w:w="1728"/>
          </w:tcPr>
          <w:p>
            <w:r>
              <w:t>Monthly KPIs; Quarterly ESG; Weekly during disruption</w:t>
            </w:r>
          </w:p>
        </w:tc>
      </w:tr>
      <w:tr>
        <w:tc>
          <w:tcPr>
            <w:tcW w:type="dxa" w:w="1728"/>
          </w:tcPr>
          <w:p>
            <w:r>
              <w:t>Eastern Frontier Energy</w:t>
            </w:r>
          </w:p>
        </w:tc>
        <w:tc>
          <w:tcPr>
            <w:tcW w:type="dxa" w:w="1728"/>
          </w:tcPr>
          <w:p>
            <w:r>
              <w:t>Eastern Europe</w:t>
            </w:r>
          </w:p>
        </w:tc>
        <w:tc>
          <w:tcPr>
            <w:tcW w:type="dxa" w:w="1728"/>
          </w:tcPr>
          <w:p>
            <w:r>
              <w:t>82,000</w:t>
            </w:r>
          </w:p>
        </w:tc>
        <w:tc>
          <w:tcPr>
            <w:tcW w:type="dxa" w:w="1728"/>
          </w:tcPr>
          <w:p>
            <w:r>
              <w:t>A (82)</w:t>
            </w:r>
          </w:p>
        </w:tc>
        <w:tc>
          <w:tcPr>
            <w:tcW w:type="dxa" w:w="1728"/>
          </w:tcPr>
          <w:p>
            <w:r>
              <w:t>Monthly KPIs; Quarterly ESG; Weekly during disruption</w:t>
            </w:r>
          </w:p>
        </w:tc>
      </w:tr>
      <w:tr>
        <w:tc>
          <w:tcPr>
            <w:tcW w:type="dxa" w:w="1728"/>
          </w:tcPr>
          <w:p>
            <w:r>
              <w:t>GlobalSource Energy</w:t>
            </w:r>
          </w:p>
        </w:tc>
        <w:tc>
          <w:tcPr>
            <w:tcW w:type="dxa" w:w="1728"/>
          </w:tcPr>
          <w:p>
            <w:r>
              <w:t>Middle East</w:t>
            </w:r>
          </w:p>
        </w:tc>
        <w:tc>
          <w:tcPr>
            <w:tcW w:type="dxa" w:w="1728"/>
          </w:tcPr>
          <w:p>
            <w:r>
              <w:t>95,000</w:t>
            </w:r>
          </w:p>
        </w:tc>
        <w:tc>
          <w:tcPr>
            <w:tcW w:type="dxa" w:w="1728"/>
          </w:tcPr>
          <w:p>
            <w:r>
              <w:t>B (75)</w:t>
            </w:r>
          </w:p>
        </w:tc>
        <w:tc>
          <w:tcPr>
            <w:tcW w:type="dxa" w:w="1728"/>
          </w:tcPr>
          <w:p>
            <w:r>
              <w:t>Monthly KPIs; Quarterly ESG with enhanced review; Weekly during disruption</w:t>
            </w:r>
          </w:p>
        </w:tc>
      </w:tr>
    </w:tbl>
    <w:p>
      <w:r>
        <w:rPr>
          <w:i/>
        </w:rPr>
        <w:t>Note: The above is provided as an operational reference for configuring monitoring plans; contracts must specify binding requirements.</w:t>
      </w:r>
    </w:p>
    <w:p>
      <w:pPr>
        <w:jc w:val="center"/>
      </w:pPr>
      <w:r>
        <w:t>──────────────────────────────────────────────────</w:t>
      </w:r>
    </w:p>
    <w:p>
      <w:pPr>
        <w:pStyle w:val="Heading2"/>
      </w:pPr>
      <w:r>
        <w:t>5. Training, Audit, Exceptions &amp; Related Documents</w:t>
      </w:r>
    </w:p>
    <w:p>
      <w:pPr>
        <w:pStyle w:val="Heading3"/>
      </w:pPr>
      <w:r>
        <w:t>5.1 Training Requirements</w:t>
      </w:r>
    </w:p>
    <w:p>
      <w:pPr>
        <w:pStyle w:val="ListBullet"/>
      </w:pPr>
      <w:r>
        <w:t>Supplier Managers, Logistics, QA, HSE, and ESG reviewers must complete annual training covering: scorecard methodology, incident escalation, CAPA governance, and ESG data validation.</w:t>
      </w:r>
    </w:p>
    <w:p>
      <w:pPr>
        <w:pStyle w:val="ListBullet"/>
      </w:pPr>
      <w:r>
        <w:t>New personnel must complete training within 30 days of assignment to critical fuel supplier oversight.</w:t>
      </w:r>
    </w:p>
    <w:p>
      <w:pPr>
        <w:pStyle w:val="Heading3"/>
      </w:pPr>
      <w:r>
        <w:t>5.2 Audit and Assurance</w:t>
      </w:r>
    </w:p>
    <w:p>
      <w:pPr>
        <w:pStyle w:val="ListBullet"/>
      </w:pPr>
      <w:r>
        <w:t>Internal Audit may perform risk-based reviews of supplier monitoring controls, evidence quality, and CAPA closure integrity.</w:t>
      </w:r>
    </w:p>
    <w:p>
      <w:pPr>
        <w:pStyle w:val="ListBullet"/>
      </w:pPr>
      <w:r>
        <w:t>Suppliers must cooperate with audits, including provision of records supporting KPI performance and ESG disclosures.</w:t>
      </w:r>
    </w:p>
    <w:p>
      <w:pPr>
        <w:pStyle w:val="Heading3"/>
      </w:pPr>
      <w:r>
        <w:t>5.3 Exceptions</w:t>
      </w:r>
    </w:p>
    <w:p>
      <w:r>
        <w:t xml:space="preserve">Exceptions to monitoring cadence, KPI targets, or CAPA timelines require written approval by the </w:t>
      </w:r>
      <w:r>
        <w:rPr>
          <w:b/>
        </w:rPr>
        <w:t>CPO</w:t>
      </w:r>
      <w:r>
        <w:t xml:space="preserve"> and </w:t>
      </w:r>
      <w:r>
        <w:rPr>
          <w:b/>
        </w:rPr>
        <w:t>Head of Risk &amp; Compliance</w:t>
      </w:r>
      <w:r>
        <w:t>, documented with rationale, compensating controls, and expiration date.</w:t>
      </w:r>
    </w:p>
    <w:p>
      <w:pPr>
        <w:pStyle w:val="Heading3"/>
      </w:pPr>
      <w:r>
        <w:t>5.4 Related Documents (References)</w:t>
      </w:r>
    </w:p>
    <w:p>
      <w:pPr>
        <w:pStyle w:val="ListBullet"/>
      </w:pPr>
      <w:r>
        <w:t>Supplier Code of Conduct</w:t>
      </w:r>
    </w:p>
    <w:p>
      <w:pPr>
        <w:pStyle w:val="ListBullet"/>
      </w:pPr>
      <w:r>
        <w:t>HSE Incident Management Standard</w:t>
      </w:r>
    </w:p>
    <w:p>
      <w:pPr>
        <w:pStyle w:val="ListBullet"/>
      </w:pPr>
      <w:r>
        <w:t>Contract Management Standard (SLA &amp; Remedies)</w:t>
      </w:r>
    </w:p>
    <w:p>
      <w:pPr>
        <w:pStyle w:val="ListBullet"/>
      </w:pPr>
      <w:r>
        <w:t>Enterprise Risk Management Framework</w:t>
      </w:r>
    </w:p>
    <w:p>
      <w:pPr>
        <w:pStyle w:val="ListBullet"/>
      </w:pPr>
      <w:r>
        <w:t>ESG Reporting and Assurance Standard</w:t>
      </w:r>
    </w:p>
    <w:p>
      <w:pPr>
        <w:pStyle w:val="ListBullet"/>
      </w:pPr>
      <w:r>
        <w:t>Business Continuity &amp; Crisis Response Playbook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