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A1DB7" w14:textId="77777777" w:rsidR="008A38AA" w:rsidRDefault="00000000">
      <w:pPr>
        <w:pStyle w:val="Heading1"/>
      </w:pPr>
      <w:r>
        <w:t>Policy: ESG-Based Supplier Selection &amp; Supply Continuity for Critical Fuels</w:t>
      </w:r>
    </w:p>
    <w:p w14:paraId="4AD2D2EA" w14:textId="77777777" w:rsidR="008A38AA" w:rsidRDefault="00000000">
      <w:r>
        <w:rPr>
          <w:b/>
        </w:rPr>
        <w:t>Document Owner:</w:t>
      </w:r>
      <w:r>
        <w:t xml:space="preserve"> Procurement &amp; Supply Chain (PSC)</w:t>
      </w:r>
      <w:r>
        <w:br/>
      </w:r>
      <w:r>
        <w:rPr>
          <w:b/>
        </w:rPr>
        <w:t>Applies To:</w:t>
      </w:r>
      <w:r>
        <w:t xml:space="preserve"> All business units, subsidiaries, and employees involved in sourcing, contracting, logistics, and supplier management</w:t>
      </w:r>
      <w:r>
        <w:br/>
      </w:r>
      <w:r>
        <w:rPr>
          <w:b/>
        </w:rPr>
        <w:t>Effective Date:</w:t>
      </w:r>
      <w:r>
        <w:t xml:space="preserve"> 2026-02-01</w:t>
      </w:r>
      <w:r>
        <w:br/>
      </w:r>
      <w:r>
        <w:rPr>
          <w:b/>
        </w:rPr>
        <w:t>Version:</w:t>
      </w:r>
      <w:r>
        <w:t xml:space="preserve"> 1.0</w:t>
      </w:r>
      <w:r>
        <w:br/>
      </w:r>
      <w:r>
        <w:rPr>
          <w:b/>
        </w:rPr>
        <w:t>Approval Authority:</w:t>
      </w:r>
      <w:r>
        <w:t xml:space="preserve"> Chief Procurement Officer (CPO) and ESG Compliance Committee Chair</w:t>
      </w:r>
      <w:r>
        <w:br/>
      </w:r>
      <w:r>
        <w:rPr>
          <w:b/>
        </w:rPr>
        <w:t>Review Cycle:</w:t>
      </w:r>
      <w:r>
        <w:t xml:space="preserve"> Annual, or upon material regulatory/market change</w:t>
      </w:r>
    </w:p>
    <w:p w14:paraId="14F24842" w14:textId="77777777" w:rsidR="008A38AA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2DCAB903" w14:textId="77777777" w:rsidR="008A38AA" w:rsidRDefault="00000000">
      <w:pPr>
        <w:pStyle w:val="Heading2"/>
      </w:pPr>
      <w:r>
        <w:t>1. Purpose and Scope</w:t>
      </w:r>
    </w:p>
    <w:p w14:paraId="552861EF" w14:textId="77777777" w:rsidR="008A38AA" w:rsidRDefault="00000000">
      <w:pPr>
        <w:pStyle w:val="Heading3"/>
      </w:pPr>
      <w:r>
        <w:t>1.1 Purpose</w:t>
      </w:r>
    </w:p>
    <w:p w14:paraId="0941F05C" w14:textId="77777777" w:rsidR="008A38AA" w:rsidRDefault="00000000">
      <w:r>
        <w:t xml:space="preserve">This Policy establishes mandatory requirements and procedures for selecting, approving, and managing suppliers of </w:t>
      </w:r>
      <w:r>
        <w:rPr>
          <w:b/>
        </w:rPr>
        <w:t>critical fuels</w:t>
      </w:r>
      <w:r>
        <w:t xml:space="preserve"> (including jet fuel and related delivery services) based on </w:t>
      </w:r>
      <w:r>
        <w:rPr>
          <w:b/>
        </w:rPr>
        <w:t>ESG criteria</w:t>
      </w:r>
      <w:r>
        <w:t xml:space="preserve"> and </w:t>
      </w:r>
      <w:r>
        <w:rPr>
          <w:b/>
        </w:rPr>
        <w:t>supply continuity</w:t>
      </w:r>
      <w:r>
        <w:t xml:space="preserve"> needs. It ensures sourcing decisions support sustainability commitments, meet applicable legal and regulatory obligations, and maintain operational resilience during disruptions.</w:t>
      </w:r>
    </w:p>
    <w:p w14:paraId="41AEA76E" w14:textId="77777777" w:rsidR="008A38AA" w:rsidRDefault="00000000">
      <w:pPr>
        <w:pStyle w:val="Heading3"/>
      </w:pPr>
      <w:r>
        <w:t>1.2 Scope</w:t>
      </w:r>
    </w:p>
    <w:p w14:paraId="6459EEAA" w14:textId="77777777" w:rsidR="008A38AA" w:rsidRDefault="00000000">
      <w:r>
        <w:t>This Policy applies to:</w:t>
      </w:r>
    </w:p>
    <w:p w14:paraId="6925E970" w14:textId="77777777" w:rsidR="008A38AA" w:rsidRDefault="00000000">
      <w:pPr>
        <w:pStyle w:val="ListBullet"/>
      </w:pPr>
      <w:r>
        <w:t>Supplier identification, evaluation, selection, onboarding, and contracting for critical fuels.</w:t>
      </w:r>
    </w:p>
    <w:p w14:paraId="6E796D4A" w14:textId="77777777" w:rsidR="008A38AA" w:rsidRDefault="00000000">
      <w:pPr>
        <w:pStyle w:val="ListBullet"/>
      </w:pPr>
      <w:r>
        <w:t>Continuity planning for anticipated or unanticipated supply disruptions, including short-notice sourcing substitutions.</w:t>
      </w:r>
    </w:p>
    <w:p w14:paraId="43629689" w14:textId="77777777" w:rsidR="008A38AA" w:rsidRDefault="00000000">
      <w:pPr>
        <w:pStyle w:val="ListBullet"/>
      </w:pPr>
      <w:r>
        <w:t>Ongoing monitoring of supplier ESG performance, sanctions status, and delivery capacity.</w:t>
      </w:r>
    </w:p>
    <w:p w14:paraId="3835D9EA" w14:textId="77777777" w:rsidR="008A38AA" w:rsidRDefault="00000000">
      <w:r>
        <w:t xml:space="preserve">This Policy does </w:t>
      </w:r>
      <w:r>
        <w:rPr>
          <w:b/>
        </w:rPr>
        <w:t>not</w:t>
      </w:r>
      <w:r>
        <w:t xml:space="preserve"> endorse specific suppliers; it defines the internal rules and evaluation method for any candidate supplier.</w:t>
      </w:r>
    </w:p>
    <w:p w14:paraId="04F5BF2D" w14:textId="77777777" w:rsidR="008A38AA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62B3DAAA" w14:textId="77777777" w:rsidR="008A38AA" w:rsidRDefault="00000000">
      <w:pPr>
        <w:pStyle w:val="Heading2"/>
      </w:pPr>
      <w:r>
        <w:t>2. Definitions</w:t>
      </w:r>
    </w:p>
    <w:p w14:paraId="28D8AA3D" w14:textId="77777777" w:rsidR="008A38AA" w:rsidRDefault="00000000">
      <w:pPr>
        <w:pStyle w:val="ListBullet"/>
      </w:pPr>
      <w:r>
        <w:t>Critical Fuels: Fuels whose interruption would materially impact operations (e.g., jet fuel), including associated transport and delivery services.</w:t>
      </w:r>
    </w:p>
    <w:p w14:paraId="1B07B104" w14:textId="77777777" w:rsidR="008A38AA" w:rsidRDefault="00000000">
      <w:pPr>
        <w:pStyle w:val="ListBullet"/>
      </w:pPr>
      <w:r>
        <w:t>ESG Rating / ESG Score: A third-party or internally validated composite assessment of Environmental, Social, and Governance performance.</w:t>
      </w:r>
    </w:p>
    <w:p w14:paraId="111EAB8A" w14:textId="77777777" w:rsidR="008A38AA" w:rsidRDefault="00000000">
      <w:pPr>
        <w:pStyle w:val="ListBullet"/>
      </w:pPr>
      <w:r>
        <w:lastRenderedPageBreak/>
        <w:t>Sanctioned: Subject to applicable trade, financial, or export restrictions (including but not limited to government sanctions lists) that prohibit or materially limit business dealings.</w:t>
      </w:r>
    </w:p>
    <w:p w14:paraId="60A792BD" w14:textId="77777777" w:rsidR="008A38AA" w:rsidRDefault="00000000">
      <w:pPr>
        <w:pStyle w:val="ListBullet"/>
      </w:pPr>
      <w:r>
        <w:t>Supply Continuity: Ability to meet agreed volumes, quality, and delivery schedules during disruptions, including a defined emergency period (e.g., 30 days).</w:t>
      </w:r>
    </w:p>
    <w:p w14:paraId="17B5530D" w14:textId="77777777" w:rsidR="008A38AA" w:rsidRDefault="00000000">
      <w:pPr>
        <w:pStyle w:val="ListBullet"/>
      </w:pPr>
      <w:r>
        <w:t>Alternate Supplier: A pre-qualified supplier available to replace or supplement a primary supplier under disruption conditions.</w:t>
      </w:r>
    </w:p>
    <w:p w14:paraId="223FCCE7" w14:textId="77777777" w:rsidR="008A38AA" w:rsidRDefault="00000000">
      <w:pPr>
        <w:pStyle w:val="ListBullet"/>
      </w:pPr>
      <w:r>
        <w:t>Disruption Period: A time-bound interval in which primary supply is impaired (e.g., 30-day disruption).</w:t>
      </w:r>
    </w:p>
    <w:p w14:paraId="04A46FB8" w14:textId="77777777" w:rsidR="008A38AA" w:rsidRDefault="00000000">
      <w:pPr>
        <w:pStyle w:val="ListBullet"/>
      </w:pPr>
      <w:r>
        <w:t>MT: Metric ton.</w:t>
      </w:r>
    </w:p>
    <w:p w14:paraId="335EA95B" w14:textId="77777777" w:rsidR="008A38AA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5193D4C9" w14:textId="77777777" w:rsidR="008A38AA" w:rsidRDefault="00000000">
      <w:pPr>
        <w:pStyle w:val="Heading2"/>
      </w:pPr>
      <w:r>
        <w:t>3. Policy Requirements (Mandatory)</w:t>
      </w:r>
    </w:p>
    <w:p w14:paraId="2F56FCDC" w14:textId="77777777" w:rsidR="008A38AA" w:rsidRDefault="00000000">
      <w:pPr>
        <w:pStyle w:val="Heading3"/>
      </w:pPr>
      <w:r>
        <w:t>3.1 ESG Eligibility Thresholds</w:t>
      </w:r>
    </w:p>
    <w:p w14:paraId="372F5598" w14:textId="77777777" w:rsidR="008A38AA" w:rsidRDefault="00000000">
      <w:r>
        <w:t xml:space="preserve">All critical fuel suppliers and alternates must meet </w:t>
      </w:r>
      <w:r>
        <w:rPr>
          <w:b/>
        </w:rPr>
        <w:t>minimum ESG eligibility</w:t>
      </w:r>
      <w:r>
        <w:t xml:space="preserve"> as follows:</w:t>
      </w:r>
    </w:p>
    <w:p w14:paraId="2DF3819C" w14:textId="77777777" w:rsidR="008A38AA" w:rsidRDefault="00000000">
      <w:pPr>
        <w:pStyle w:val="ListNumber"/>
      </w:pPr>
      <w:r>
        <w:t>Minimum ESG Rating: Rating of B or better, or an internally approved equivalent.</w:t>
      </w:r>
    </w:p>
    <w:p w14:paraId="71C00BE5" w14:textId="77777777" w:rsidR="008A38AA" w:rsidRDefault="00000000">
      <w:pPr>
        <w:pStyle w:val="ListNumber"/>
      </w:pPr>
      <w:r>
        <w:t>Minimum ESG Score: ≥ 75 (on a 0–100 scale) unless an exception is approved under Section 5.</w:t>
      </w:r>
    </w:p>
    <w:p w14:paraId="6F95424E" w14:textId="77777777" w:rsidR="008A38AA" w:rsidRDefault="00000000">
      <w:pPr>
        <w:pStyle w:val="ListNumber"/>
      </w:pPr>
      <w:r>
        <w:t>No Material ESG Red Flags: Including substantiated severe environmental violations, forced labor indicators, systemic corruption findings, or repeated safety incidents without corrective action evidence.</w:t>
      </w:r>
    </w:p>
    <w:p w14:paraId="4C1D9CC0" w14:textId="77777777" w:rsidR="008A38AA" w:rsidRDefault="00000000">
      <w:pPr>
        <w:pStyle w:val="Heading3"/>
      </w:pPr>
      <w:r>
        <w:t>3.2 Sanctions and Legal Compliance</w:t>
      </w:r>
    </w:p>
    <w:p w14:paraId="271359AD" w14:textId="77777777" w:rsidR="008A38AA" w:rsidRDefault="00000000" w:rsidP="00CC22FF">
      <w:pPr>
        <w:pStyle w:val="ListNumber"/>
        <w:numPr>
          <w:ilvl w:val="0"/>
          <w:numId w:val="10"/>
        </w:numPr>
      </w:pPr>
      <w:r>
        <w:t>Suppliers must be screened prior to selection and at least quarterly thereafter against applicable sanctions and restricted party lists.</w:t>
      </w:r>
    </w:p>
    <w:p w14:paraId="2C641937" w14:textId="77777777" w:rsidR="008A38AA" w:rsidRDefault="00000000">
      <w:pPr>
        <w:pStyle w:val="ListNumber"/>
      </w:pPr>
      <w:r>
        <w:t>Any supplier determined to be Sanctioned is ineligible unless Legal grants a written determination that engagement is lawful and controls are adequate (rare and time-limited).</w:t>
      </w:r>
    </w:p>
    <w:p w14:paraId="172824E1" w14:textId="77777777" w:rsidR="008A38AA" w:rsidRDefault="00000000">
      <w:pPr>
        <w:pStyle w:val="ListNumber"/>
      </w:pPr>
      <w:r>
        <w:t>Contracts must include representations and warranties related to sanctions compliance, anti-bribery, and applicable trade controls.</w:t>
      </w:r>
    </w:p>
    <w:p w14:paraId="7A1B93AB" w14:textId="77777777" w:rsidR="008A38AA" w:rsidRDefault="00000000">
      <w:pPr>
        <w:pStyle w:val="Heading3"/>
      </w:pPr>
      <w:r>
        <w:t>3.3 Supply Continuity Requirements for Critical Fuels</w:t>
      </w:r>
    </w:p>
    <w:p w14:paraId="0EFCEF5A" w14:textId="77777777" w:rsidR="008A38AA" w:rsidRDefault="00000000" w:rsidP="00CC22FF">
      <w:pPr>
        <w:pStyle w:val="ListNumber"/>
        <w:numPr>
          <w:ilvl w:val="0"/>
          <w:numId w:val="11"/>
        </w:numPr>
      </w:pPr>
      <w:r>
        <w:t>Suppliers must demonstrate capacity to meet the required continuity volumes for the defined disruption period (default: 30 days) without compromising safety or quality.</w:t>
      </w:r>
    </w:p>
    <w:p w14:paraId="1876F649" w14:textId="77777777" w:rsidR="008A38AA" w:rsidRDefault="00000000">
      <w:pPr>
        <w:pStyle w:val="ListNumber"/>
      </w:pPr>
      <w:r>
        <w:t xml:space="preserve">Suppliers must provide evidence </w:t>
      </w:r>
      <w:proofErr w:type="gramStart"/>
      <w:r>
        <w:t>of:Annual</w:t>
      </w:r>
      <w:proofErr w:type="gramEnd"/>
      <w:r>
        <w:t xml:space="preserve"> supply capacity and allocated capacity </w:t>
      </w:r>
      <w:proofErr w:type="gramStart"/>
      <w:r>
        <w:t>commitments.Logistics</w:t>
      </w:r>
      <w:proofErr w:type="gramEnd"/>
      <w:r>
        <w:t xml:space="preserve"> resilience (redundant routes, storage options, contingency carriers</w:t>
      </w:r>
      <w:proofErr w:type="gramStart"/>
      <w:r>
        <w:t>).Quality</w:t>
      </w:r>
      <w:proofErr w:type="gramEnd"/>
      <w:r>
        <w:t xml:space="preserve"> assurance controls and incident management procedures.</w:t>
      </w:r>
    </w:p>
    <w:p w14:paraId="26D316E7" w14:textId="77777777" w:rsidR="008A38AA" w:rsidRDefault="00000000">
      <w:pPr>
        <w:pStyle w:val="ListNumber"/>
      </w:pPr>
      <w:r>
        <w:t>At least two alternate suppliers must be maintained for each critical fuel category where feasible.</w:t>
      </w:r>
    </w:p>
    <w:p w14:paraId="0B22613B" w14:textId="77777777" w:rsidR="008A38AA" w:rsidRDefault="00000000">
      <w:pPr>
        <w:pStyle w:val="Heading3"/>
      </w:pPr>
      <w:r>
        <w:lastRenderedPageBreak/>
        <w:t>3.4 Selection Must Balance ESG and Continuity</w:t>
      </w:r>
    </w:p>
    <w:p w14:paraId="40F8C895" w14:textId="77777777" w:rsidR="008A38AA" w:rsidRDefault="00000000">
      <w:r>
        <w:t>Selection decisions must apply the scoring method in Section 4 and must not rely on price alone. Where total cost differs materially, Procurement must document a rationale that includes ESG, continuity, legal risk, and operational impact.</w:t>
      </w:r>
    </w:p>
    <w:p w14:paraId="2333E628" w14:textId="77777777" w:rsidR="008A38AA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191140D5" w14:textId="77777777" w:rsidR="008A38AA" w:rsidRDefault="00000000">
      <w:pPr>
        <w:pStyle w:val="Heading2"/>
      </w:pPr>
      <w:r>
        <w:t>4. Procedures and Evaluation Method</w:t>
      </w:r>
    </w:p>
    <w:p w14:paraId="45F0FCFA" w14:textId="77777777" w:rsidR="008A38AA" w:rsidRDefault="00000000">
      <w:pPr>
        <w:pStyle w:val="Heading3"/>
      </w:pPr>
      <w:r>
        <w:t>4.1 Pre-Qualification Workflow (Required Steps)</w:t>
      </w:r>
    </w:p>
    <w:p w14:paraId="4925D53E" w14:textId="77777777" w:rsidR="008A38AA" w:rsidRDefault="00000000" w:rsidP="00CC22FF">
      <w:pPr>
        <w:pStyle w:val="ListNumber"/>
        <w:numPr>
          <w:ilvl w:val="0"/>
          <w:numId w:val="12"/>
        </w:numPr>
      </w:pPr>
      <w:r>
        <w:t>Initiation: Requesting business unit submits demand forecast (annual MT), disruption-period requirement (MT), and delivery constraints.</w:t>
      </w:r>
    </w:p>
    <w:p w14:paraId="4B727DDF" w14:textId="77777777" w:rsidR="008A38AA" w:rsidRDefault="00000000">
      <w:pPr>
        <w:pStyle w:val="ListNumber"/>
      </w:pPr>
      <w:r>
        <w:t>Data Collection: PSC obtains ESG rating/score, sanctions screening results, capacity statements, and delivery network details.</w:t>
      </w:r>
    </w:p>
    <w:p w14:paraId="02539F65" w14:textId="77777777" w:rsidR="008A38AA" w:rsidRDefault="00000000">
      <w:pPr>
        <w:pStyle w:val="ListNumber"/>
      </w:pPr>
      <w:r>
        <w:t>Risk Review: ESG Compliance reviews ESG inputs; Legal reviews sanctions/trade compliance; Operational Risk reviews continuity evidence.</w:t>
      </w:r>
    </w:p>
    <w:p w14:paraId="5D168ED3" w14:textId="77777777" w:rsidR="008A38AA" w:rsidRDefault="00000000">
      <w:pPr>
        <w:pStyle w:val="ListNumber"/>
      </w:pPr>
      <w:r>
        <w:t>Scoring &amp; Recommendation: PSC applies the scoring rubric (Table 1) and documents recommendations.</w:t>
      </w:r>
    </w:p>
    <w:p w14:paraId="45722A24" w14:textId="77777777" w:rsidR="008A38AA" w:rsidRDefault="00000000">
      <w:pPr>
        <w:pStyle w:val="ListNumber"/>
      </w:pPr>
      <w:r>
        <w:t>Approval: CPO (or delegate) approves supplier onboarding; ESG Committee co-approves for any supplier at the ESG minimum threshold (rating B / score 75–79).</w:t>
      </w:r>
    </w:p>
    <w:p w14:paraId="47C790BA" w14:textId="77777777" w:rsidR="008A38AA" w:rsidRDefault="00000000">
      <w:pPr>
        <w:pStyle w:val="ListNumber"/>
      </w:pPr>
      <w:r>
        <w:t>Contracting: Contract terms must include ESG and continuity clauses per Section 4.4.</w:t>
      </w:r>
    </w:p>
    <w:p w14:paraId="4E080DC1" w14:textId="77777777" w:rsidR="008A38AA" w:rsidRDefault="00000000">
      <w:pPr>
        <w:pStyle w:val="ListNumber"/>
      </w:pPr>
      <w:r>
        <w:t>Onboarding: Supplier is added to the approved vendor list with monitoring cadence.</w:t>
      </w:r>
    </w:p>
    <w:p w14:paraId="26048B51" w14:textId="77777777" w:rsidR="008A38AA" w:rsidRDefault="00000000">
      <w:pPr>
        <w:pStyle w:val="Heading3"/>
      </w:pPr>
      <w:r>
        <w:t>4.2 Supplier Evaluation Scoring Rubric</w:t>
      </w:r>
    </w:p>
    <w:p w14:paraId="176172FA" w14:textId="77777777" w:rsidR="008A38AA" w:rsidRDefault="00000000">
      <w:r>
        <w:t>Suppliers must be scored using the following weighted criteria:</w:t>
      </w:r>
    </w:p>
    <w:p w14:paraId="10849E6A" w14:textId="77777777" w:rsidR="008A38AA" w:rsidRDefault="00000000">
      <w:r>
        <w:rPr>
          <w:b/>
        </w:rPr>
        <w:t>Table 1 — Supplier Selection Scoring Rubric (Critical Fuels)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38AA" w14:paraId="4A99379B" w14:textId="77777777">
        <w:tc>
          <w:tcPr>
            <w:tcW w:w="2160" w:type="dxa"/>
            <w:shd w:val="clear" w:color="auto" w:fill="D9E2F3"/>
          </w:tcPr>
          <w:p w14:paraId="4ABE07D2" w14:textId="77777777" w:rsidR="008A38AA" w:rsidRDefault="00000000">
            <w:r>
              <w:rPr>
                <w:b/>
              </w:rPr>
              <w:t>Criterion</w:t>
            </w:r>
          </w:p>
        </w:tc>
        <w:tc>
          <w:tcPr>
            <w:tcW w:w="2160" w:type="dxa"/>
            <w:shd w:val="clear" w:color="auto" w:fill="D9E2F3"/>
          </w:tcPr>
          <w:p w14:paraId="773EEFC8" w14:textId="77777777" w:rsidR="008A38AA" w:rsidRDefault="00000000">
            <w:r>
              <w:rPr>
                <w:b/>
              </w:rPr>
              <w:t>Weight</w:t>
            </w:r>
          </w:p>
        </w:tc>
        <w:tc>
          <w:tcPr>
            <w:tcW w:w="2160" w:type="dxa"/>
            <w:shd w:val="clear" w:color="auto" w:fill="D9E2F3"/>
          </w:tcPr>
          <w:p w14:paraId="4481CC75" w14:textId="77777777" w:rsidR="008A38AA" w:rsidRDefault="00000000">
            <w:r>
              <w:rPr>
                <w:b/>
              </w:rPr>
              <w:t>Minimum Requirement</w:t>
            </w:r>
          </w:p>
        </w:tc>
        <w:tc>
          <w:tcPr>
            <w:tcW w:w="2160" w:type="dxa"/>
            <w:shd w:val="clear" w:color="auto" w:fill="D9E2F3"/>
          </w:tcPr>
          <w:p w14:paraId="428D87A2" w14:textId="77777777" w:rsidR="008A38AA" w:rsidRDefault="00000000">
            <w:r>
              <w:rPr>
                <w:b/>
              </w:rPr>
              <w:t>Evidence Examples</w:t>
            </w:r>
          </w:p>
        </w:tc>
      </w:tr>
      <w:tr w:rsidR="008A38AA" w14:paraId="0410F1FF" w14:textId="77777777">
        <w:tc>
          <w:tcPr>
            <w:tcW w:w="2160" w:type="dxa"/>
          </w:tcPr>
          <w:p w14:paraId="72F70268" w14:textId="77777777" w:rsidR="008A38AA" w:rsidRDefault="00000000">
            <w:r>
              <w:t>ESG Performance (rating &amp; score)</w:t>
            </w:r>
          </w:p>
        </w:tc>
        <w:tc>
          <w:tcPr>
            <w:tcW w:w="2160" w:type="dxa"/>
          </w:tcPr>
          <w:p w14:paraId="09244C77" w14:textId="77777777" w:rsidR="008A38AA" w:rsidRDefault="00000000">
            <w:r>
              <w:t>35%</w:t>
            </w:r>
          </w:p>
        </w:tc>
        <w:tc>
          <w:tcPr>
            <w:tcW w:w="2160" w:type="dxa"/>
          </w:tcPr>
          <w:p w14:paraId="50962E4C" w14:textId="77777777" w:rsidR="008A38AA" w:rsidRDefault="00000000">
            <w:r>
              <w:t>Rating ≥ B and Score ≥ 75</w:t>
            </w:r>
          </w:p>
        </w:tc>
        <w:tc>
          <w:tcPr>
            <w:tcW w:w="2160" w:type="dxa"/>
          </w:tcPr>
          <w:p w14:paraId="2C7AF4E0" w14:textId="77777777" w:rsidR="008A38AA" w:rsidRDefault="00000000">
            <w:r>
              <w:t>ESG reports, third-party rating summary, corrective action plans</w:t>
            </w:r>
          </w:p>
        </w:tc>
      </w:tr>
      <w:tr w:rsidR="008A38AA" w14:paraId="2AEB816A" w14:textId="77777777">
        <w:tc>
          <w:tcPr>
            <w:tcW w:w="2160" w:type="dxa"/>
          </w:tcPr>
          <w:p w14:paraId="19207518" w14:textId="77777777" w:rsidR="008A38AA" w:rsidRDefault="00000000">
            <w:r>
              <w:t>Sanctions/Legal Compliance</w:t>
            </w:r>
          </w:p>
        </w:tc>
        <w:tc>
          <w:tcPr>
            <w:tcW w:w="2160" w:type="dxa"/>
          </w:tcPr>
          <w:p w14:paraId="0D38C8B4" w14:textId="77777777" w:rsidR="008A38AA" w:rsidRDefault="00000000">
            <w:r>
              <w:t>25%</w:t>
            </w:r>
          </w:p>
        </w:tc>
        <w:tc>
          <w:tcPr>
            <w:tcW w:w="2160" w:type="dxa"/>
          </w:tcPr>
          <w:p w14:paraId="56785098" w14:textId="77777777" w:rsidR="008A38AA" w:rsidRDefault="00000000">
            <w:r>
              <w:t>Must be “Not Sanctioned” (or Legal-approved exception)</w:t>
            </w:r>
          </w:p>
        </w:tc>
        <w:tc>
          <w:tcPr>
            <w:tcW w:w="2160" w:type="dxa"/>
          </w:tcPr>
          <w:p w14:paraId="60B8C1B1" w14:textId="77777777" w:rsidR="008A38AA" w:rsidRDefault="00000000">
            <w:r>
              <w:t>Screening results, compliance attestations</w:t>
            </w:r>
          </w:p>
        </w:tc>
      </w:tr>
      <w:tr w:rsidR="008A38AA" w14:paraId="5A822500" w14:textId="77777777">
        <w:tc>
          <w:tcPr>
            <w:tcW w:w="2160" w:type="dxa"/>
          </w:tcPr>
          <w:p w14:paraId="27D07861" w14:textId="77777777" w:rsidR="008A38AA" w:rsidRDefault="00000000">
            <w:r>
              <w:t>Supply Continuity Capacity</w:t>
            </w:r>
          </w:p>
        </w:tc>
        <w:tc>
          <w:tcPr>
            <w:tcW w:w="2160" w:type="dxa"/>
          </w:tcPr>
          <w:p w14:paraId="03A6F5E9" w14:textId="77777777" w:rsidR="008A38AA" w:rsidRDefault="00000000">
            <w:r>
              <w:t>25%</w:t>
            </w:r>
          </w:p>
        </w:tc>
        <w:tc>
          <w:tcPr>
            <w:tcW w:w="2160" w:type="dxa"/>
          </w:tcPr>
          <w:p w14:paraId="3734A8DD" w14:textId="77777777" w:rsidR="008A38AA" w:rsidRDefault="00000000">
            <w:r>
              <w:t>Can meet disruption-period volume and delivery constraints</w:t>
            </w:r>
          </w:p>
        </w:tc>
        <w:tc>
          <w:tcPr>
            <w:tcW w:w="2160" w:type="dxa"/>
          </w:tcPr>
          <w:p w14:paraId="7A3EE91E" w14:textId="77777777" w:rsidR="008A38AA" w:rsidRDefault="00000000">
            <w:r>
              <w:t>Capacity letter, logistics plan, storage/access proof</w:t>
            </w:r>
          </w:p>
        </w:tc>
      </w:tr>
      <w:tr w:rsidR="008A38AA" w14:paraId="49727352" w14:textId="77777777">
        <w:tc>
          <w:tcPr>
            <w:tcW w:w="2160" w:type="dxa"/>
          </w:tcPr>
          <w:p w14:paraId="4DD249A4" w14:textId="77777777" w:rsidR="008A38AA" w:rsidRDefault="00000000">
            <w:r>
              <w:t>Operational Quality &amp; HSE</w:t>
            </w:r>
          </w:p>
        </w:tc>
        <w:tc>
          <w:tcPr>
            <w:tcW w:w="2160" w:type="dxa"/>
          </w:tcPr>
          <w:p w14:paraId="175FEDD9" w14:textId="77777777" w:rsidR="008A38AA" w:rsidRDefault="00000000">
            <w:r>
              <w:t>10%</w:t>
            </w:r>
          </w:p>
        </w:tc>
        <w:tc>
          <w:tcPr>
            <w:tcW w:w="2160" w:type="dxa"/>
          </w:tcPr>
          <w:p w14:paraId="56346C6E" w14:textId="77777777" w:rsidR="008A38AA" w:rsidRDefault="00000000">
            <w:r>
              <w:t>Meets applicable fuel quality specs and safety standards</w:t>
            </w:r>
          </w:p>
        </w:tc>
        <w:tc>
          <w:tcPr>
            <w:tcW w:w="2160" w:type="dxa"/>
          </w:tcPr>
          <w:p w14:paraId="3430A68E" w14:textId="77777777" w:rsidR="008A38AA" w:rsidRDefault="00000000">
            <w:r>
              <w:t>QA procedures, certifications, incident logs</w:t>
            </w:r>
          </w:p>
        </w:tc>
      </w:tr>
      <w:tr w:rsidR="008A38AA" w14:paraId="03FCC00E" w14:textId="77777777">
        <w:tc>
          <w:tcPr>
            <w:tcW w:w="2160" w:type="dxa"/>
          </w:tcPr>
          <w:p w14:paraId="46BEF38B" w14:textId="77777777" w:rsidR="008A38AA" w:rsidRDefault="00000000">
            <w:r>
              <w:t xml:space="preserve">Transparency &amp; </w:t>
            </w:r>
            <w:r>
              <w:lastRenderedPageBreak/>
              <w:t>Reporting Readiness</w:t>
            </w:r>
          </w:p>
        </w:tc>
        <w:tc>
          <w:tcPr>
            <w:tcW w:w="2160" w:type="dxa"/>
          </w:tcPr>
          <w:p w14:paraId="269204C6" w14:textId="77777777" w:rsidR="008A38AA" w:rsidRDefault="00000000">
            <w:r>
              <w:lastRenderedPageBreak/>
              <w:t>5%</w:t>
            </w:r>
          </w:p>
        </w:tc>
        <w:tc>
          <w:tcPr>
            <w:tcW w:w="2160" w:type="dxa"/>
          </w:tcPr>
          <w:p w14:paraId="4ACDDB46" w14:textId="77777777" w:rsidR="008A38AA" w:rsidRDefault="00000000">
            <w:r>
              <w:t xml:space="preserve">Ability to report </w:t>
            </w:r>
            <w:r>
              <w:lastRenderedPageBreak/>
              <w:t>KPIs monthly/quarterly</w:t>
            </w:r>
          </w:p>
        </w:tc>
        <w:tc>
          <w:tcPr>
            <w:tcW w:w="2160" w:type="dxa"/>
          </w:tcPr>
          <w:p w14:paraId="5661E0DF" w14:textId="77777777" w:rsidR="008A38AA" w:rsidRDefault="00000000">
            <w:r>
              <w:lastRenderedPageBreak/>
              <w:t xml:space="preserve">KPI templates, audit </w:t>
            </w:r>
            <w:r>
              <w:lastRenderedPageBreak/>
              <w:t>cooperation commitments</w:t>
            </w:r>
          </w:p>
        </w:tc>
      </w:tr>
    </w:tbl>
    <w:p w14:paraId="126081ED" w14:textId="77777777" w:rsidR="008A38AA" w:rsidRDefault="00000000">
      <w:r>
        <w:rPr>
          <w:b/>
        </w:rPr>
        <w:lastRenderedPageBreak/>
        <w:t>Passing Standard:</w:t>
      </w:r>
      <w:r>
        <w:t xml:space="preserve"> Overall score ≥ 80/100 and no failures of minimum requirements.</w:t>
      </w:r>
    </w:p>
    <w:p w14:paraId="1B65145A" w14:textId="77777777" w:rsidR="008A38AA" w:rsidRDefault="00000000">
      <w:pPr>
        <w:pStyle w:val="Heading3"/>
      </w:pPr>
      <w:r>
        <w:t>4.3 Example Data Inputs for Alternate Suppliers (Illustrative)</w:t>
      </w:r>
    </w:p>
    <w:p w14:paraId="0FCA7D77" w14:textId="77777777" w:rsidR="008A38AA" w:rsidRDefault="00000000">
      <w:r>
        <w:t>The following table illustrates typical data elements that must be captured for candidate alternates during a disruption planning exercise.</w:t>
      </w:r>
    </w:p>
    <w:p w14:paraId="663BFD9E" w14:textId="77777777" w:rsidR="008A38AA" w:rsidRDefault="00000000">
      <w:r>
        <w:rPr>
          <w:b/>
        </w:rPr>
        <w:t>Table 2 — Example Candidate Alternate Supplier Data (Illustrative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A38AA" w14:paraId="1CFD0B7C" w14:textId="77777777">
        <w:tc>
          <w:tcPr>
            <w:tcW w:w="1728" w:type="dxa"/>
            <w:shd w:val="clear" w:color="auto" w:fill="D9E2F3"/>
          </w:tcPr>
          <w:p w14:paraId="267D89DD" w14:textId="77777777" w:rsidR="008A38AA" w:rsidRDefault="00000000">
            <w:r>
              <w:rPr>
                <w:b/>
              </w:rPr>
              <w:t>Supplier (Region)</w:t>
            </w:r>
          </w:p>
        </w:tc>
        <w:tc>
          <w:tcPr>
            <w:tcW w:w="1728" w:type="dxa"/>
            <w:shd w:val="clear" w:color="auto" w:fill="D9E2F3"/>
          </w:tcPr>
          <w:p w14:paraId="391EB99A" w14:textId="77777777" w:rsidR="008A38AA" w:rsidRDefault="00000000">
            <w:r>
              <w:rPr>
                <w:b/>
              </w:rPr>
              <w:t>ESG Rating (Score)</w:t>
            </w:r>
          </w:p>
        </w:tc>
        <w:tc>
          <w:tcPr>
            <w:tcW w:w="1728" w:type="dxa"/>
            <w:shd w:val="clear" w:color="auto" w:fill="D9E2F3"/>
          </w:tcPr>
          <w:p w14:paraId="6AC32C5F" w14:textId="77777777" w:rsidR="008A38AA" w:rsidRDefault="00000000">
            <w:r>
              <w:rPr>
                <w:b/>
              </w:rPr>
              <w:t>Sanctioned</w:t>
            </w:r>
          </w:p>
        </w:tc>
        <w:tc>
          <w:tcPr>
            <w:tcW w:w="1728" w:type="dxa"/>
            <w:shd w:val="clear" w:color="auto" w:fill="D9E2F3"/>
          </w:tcPr>
          <w:p w14:paraId="5C8A3A23" w14:textId="77777777" w:rsidR="008A38AA" w:rsidRDefault="00000000">
            <w:r>
              <w:rPr>
                <w:b/>
              </w:rPr>
              <w:t>Annual Capacity (MT)</w:t>
            </w:r>
          </w:p>
        </w:tc>
        <w:tc>
          <w:tcPr>
            <w:tcW w:w="1728" w:type="dxa"/>
            <w:shd w:val="clear" w:color="auto" w:fill="D9E2F3"/>
          </w:tcPr>
          <w:p w14:paraId="3DE533B2" w14:textId="77777777" w:rsidR="008A38AA" w:rsidRDefault="00000000">
            <w:r>
              <w:rPr>
                <w:b/>
              </w:rPr>
              <w:t>Continuity Fit for 30-Day Disruption</w:t>
            </w:r>
          </w:p>
        </w:tc>
      </w:tr>
      <w:tr w:rsidR="008A38AA" w14:paraId="7056E5BF" w14:textId="77777777">
        <w:tc>
          <w:tcPr>
            <w:tcW w:w="1728" w:type="dxa"/>
          </w:tcPr>
          <w:p w14:paraId="32AE4307" w14:textId="77777777" w:rsidR="008A38AA" w:rsidRDefault="00000000">
            <w:r>
              <w:t>Meridian Fuel Systems (Europe)</w:t>
            </w:r>
          </w:p>
        </w:tc>
        <w:tc>
          <w:tcPr>
            <w:tcW w:w="1728" w:type="dxa"/>
          </w:tcPr>
          <w:p w14:paraId="624E391C" w14:textId="77777777" w:rsidR="008A38AA" w:rsidRDefault="00000000">
            <w:r>
              <w:t>A (88)</w:t>
            </w:r>
          </w:p>
        </w:tc>
        <w:tc>
          <w:tcPr>
            <w:tcW w:w="1728" w:type="dxa"/>
          </w:tcPr>
          <w:p w14:paraId="6DF1D1A4" w14:textId="77777777" w:rsidR="008A38AA" w:rsidRDefault="00000000">
            <w:r>
              <w:t>No</w:t>
            </w:r>
          </w:p>
        </w:tc>
        <w:tc>
          <w:tcPr>
            <w:tcW w:w="1728" w:type="dxa"/>
          </w:tcPr>
          <w:p w14:paraId="7104850C" w14:textId="77777777" w:rsidR="008A38AA" w:rsidRDefault="00000000">
            <w:r>
              <w:t>88,000</w:t>
            </w:r>
          </w:p>
        </w:tc>
        <w:tc>
          <w:tcPr>
            <w:tcW w:w="1728" w:type="dxa"/>
          </w:tcPr>
          <w:p w14:paraId="557122F5" w14:textId="77777777" w:rsidR="008A38AA" w:rsidRDefault="00000000">
            <w:r>
              <w:t>Meets continuity requirement when allocated volumes are confirmed</w:t>
            </w:r>
          </w:p>
        </w:tc>
      </w:tr>
      <w:tr w:rsidR="008A38AA" w14:paraId="41161B93" w14:textId="77777777">
        <w:tc>
          <w:tcPr>
            <w:tcW w:w="1728" w:type="dxa"/>
          </w:tcPr>
          <w:p w14:paraId="50B8BAEF" w14:textId="77777777" w:rsidR="008A38AA" w:rsidRDefault="00000000">
            <w:r>
              <w:t>Eastern Frontier Energy (Eastern Europe)</w:t>
            </w:r>
          </w:p>
        </w:tc>
        <w:tc>
          <w:tcPr>
            <w:tcW w:w="1728" w:type="dxa"/>
          </w:tcPr>
          <w:p w14:paraId="59E8480D" w14:textId="77777777" w:rsidR="008A38AA" w:rsidRDefault="00000000">
            <w:r>
              <w:t>A (82)</w:t>
            </w:r>
          </w:p>
        </w:tc>
        <w:tc>
          <w:tcPr>
            <w:tcW w:w="1728" w:type="dxa"/>
          </w:tcPr>
          <w:p w14:paraId="3F2103C6" w14:textId="77777777" w:rsidR="008A38AA" w:rsidRDefault="00000000">
            <w:r>
              <w:t>No</w:t>
            </w:r>
          </w:p>
        </w:tc>
        <w:tc>
          <w:tcPr>
            <w:tcW w:w="1728" w:type="dxa"/>
          </w:tcPr>
          <w:p w14:paraId="709A8FBB" w14:textId="77777777" w:rsidR="008A38AA" w:rsidRDefault="00000000">
            <w:r>
              <w:t>82,000</w:t>
            </w:r>
          </w:p>
        </w:tc>
        <w:tc>
          <w:tcPr>
            <w:tcW w:w="1728" w:type="dxa"/>
          </w:tcPr>
          <w:p w14:paraId="7488D9BD" w14:textId="77777777" w:rsidR="008A38AA" w:rsidRDefault="00000000">
            <w:r>
              <w:t>Meets continuity requirement with validated delivery schedule</w:t>
            </w:r>
          </w:p>
        </w:tc>
      </w:tr>
      <w:tr w:rsidR="008A38AA" w14:paraId="484CA667" w14:textId="77777777">
        <w:tc>
          <w:tcPr>
            <w:tcW w:w="1728" w:type="dxa"/>
          </w:tcPr>
          <w:p w14:paraId="082CB03F" w14:textId="77777777" w:rsidR="008A38AA" w:rsidRDefault="00000000">
            <w:r>
              <w:t>GlobalSource Energy (Middle East)</w:t>
            </w:r>
          </w:p>
        </w:tc>
        <w:tc>
          <w:tcPr>
            <w:tcW w:w="1728" w:type="dxa"/>
          </w:tcPr>
          <w:p w14:paraId="35720C32" w14:textId="77777777" w:rsidR="008A38AA" w:rsidRDefault="00000000">
            <w:r>
              <w:t>B (75)</w:t>
            </w:r>
          </w:p>
        </w:tc>
        <w:tc>
          <w:tcPr>
            <w:tcW w:w="1728" w:type="dxa"/>
          </w:tcPr>
          <w:p w14:paraId="734AB38D" w14:textId="77777777" w:rsidR="008A38AA" w:rsidRDefault="00000000">
            <w:r>
              <w:t>No</w:t>
            </w:r>
          </w:p>
        </w:tc>
        <w:tc>
          <w:tcPr>
            <w:tcW w:w="1728" w:type="dxa"/>
          </w:tcPr>
          <w:p w14:paraId="13D71CD0" w14:textId="77777777" w:rsidR="008A38AA" w:rsidRDefault="00000000">
            <w:r>
              <w:t>95,000</w:t>
            </w:r>
          </w:p>
        </w:tc>
        <w:tc>
          <w:tcPr>
            <w:tcW w:w="1728" w:type="dxa"/>
          </w:tcPr>
          <w:p w14:paraId="3E792351" w14:textId="77777777" w:rsidR="008A38AA" w:rsidRDefault="00000000">
            <w:r>
              <w:t>Meets minimum ESG threshold; requires enhanced monitoring</w:t>
            </w:r>
          </w:p>
        </w:tc>
      </w:tr>
    </w:tbl>
    <w:p w14:paraId="3F989E4D" w14:textId="77777777" w:rsidR="008A38AA" w:rsidRDefault="00000000">
      <w:r>
        <w:rPr>
          <w:i/>
        </w:rPr>
        <w:t>Note: “Continuity Fit” must be confirmed with allocated capacity and logistics documentation for the specific disruption scenario.</w:t>
      </w:r>
    </w:p>
    <w:p w14:paraId="5CFDC47E" w14:textId="77777777" w:rsidR="008A38AA" w:rsidRDefault="00000000">
      <w:pPr>
        <w:pStyle w:val="Heading3"/>
      </w:pPr>
      <w:r>
        <w:t>4.4 Mandatory Contract Clauses (Critical Fuels)</w:t>
      </w:r>
    </w:p>
    <w:p w14:paraId="0E67EB6B" w14:textId="77777777" w:rsidR="008A38AA" w:rsidRDefault="00000000">
      <w:r>
        <w:t>Contracts and framework agreements must include, at minimum:</w:t>
      </w:r>
    </w:p>
    <w:p w14:paraId="43BF32F3" w14:textId="77777777" w:rsidR="008A38AA" w:rsidRDefault="00000000" w:rsidP="00CC22FF">
      <w:pPr>
        <w:pStyle w:val="ListNumber"/>
        <w:numPr>
          <w:ilvl w:val="0"/>
          <w:numId w:val="13"/>
        </w:numPr>
      </w:pPr>
      <w:r>
        <w:t>ESG Commitments: Maintain ESG rating/score above minimums; notify within 10 business days of material ESG controversies.</w:t>
      </w:r>
    </w:p>
    <w:p w14:paraId="19126E45" w14:textId="77777777" w:rsidR="008A38AA" w:rsidRDefault="00000000">
      <w:pPr>
        <w:pStyle w:val="ListNumber"/>
      </w:pPr>
      <w:r>
        <w:t>Audit Rights: Right to audit ESG data, labor standards, safety practices, and relevant subcontractors with reasonable notice.</w:t>
      </w:r>
    </w:p>
    <w:p w14:paraId="731D064F" w14:textId="77777777" w:rsidR="008A38AA" w:rsidRDefault="00000000">
      <w:pPr>
        <w:pStyle w:val="ListNumber"/>
      </w:pPr>
      <w:r>
        <w:t>Continuity Obligations: Defined disruption-period volume commitments, priority allocation terms, and escalation paths.</w:t>
      </w:r>
    </w:p>
    <w:p w14:paraId="3B87FC36" w14:textId="77777777" w:rsidR="008A38AA" w:rsidRDefault="00000000">
      <w:pPr>
        <w:pStyle w:val="ListNumber"/>
      </w:pPr>
      <w:r>
        <w:t>Reporting: Monthly delivery performance reporting; quarterly ESG KPI reporting; incident reporting within 24 hours.</w:t>
      </w:r>
    </w:p>
    <w:p w14:paraId="6AE372AA" w14:textId="77777777" w:rsidR="008A38AA" w:rsidRDefault="00000000">
      <w:pPr>
        <w:pStyle w:val="ListNumber"/>
      </w:pPr>
      <w:r>
        <w:t>Termination/Remediation: Right to suspend or terminate for sanctions hits, material misrepresentation, repeated quality failures, or persistent ESG nonconformance.</w:t>
      </w:r>
    </w:p>
    <w:p w14:paraId="32B2D5CD" w14:textId="77777777" w:rsidR="008A38AA" w:rsidRDefault="00000000">
      <w:pPr>
        <w:jc w:val="center"/>
      </w:pPr>
      <w:r>
        <w:lastRenderedPageBreak/>
        <w:t>──────────────────────────────────────────────────</w:t>
      </w:r>
    </w:p>
    <w:p w14:paraId="11C0DEA2" w14:textId="77777777" w:rsidR="008A38AA" w:rsidRDefault="00000000">
      <w:pPr>
        <w:pStyle w:val="Heading2"/>
      </w:pPr>
      <w:r>
        <w:t>5. Monitoring, Exceptions, and Enforcement</w:t>
      </w:r>
    </w:p>
    <w:p w14:paraId="2F29B96E" w14:textId="77777777" w:rsidR="008A38AA" w:rsidRDefault="00000000">
      <w:pPr>
        <w:pStyle w:val="Heading3"/>
      </w:pPr>
      <w:r>
        <w:t>5.1 Ongoing Monitoring</w:t>
      </w:r>
    </w:p>
    <w:p w14:paraId="6EBB7CDC" w14:textId="77777777" w:rsidR="008A38AA" w:rsidRDefault="00000000" w:rsidP="00CC22FF">
      <w:pPr>
        <w:pStyle w:val="ListNumber"/>
        <w:numPr>
          <w:ilvl w:val="0"/>
          <w:numId w:val="14"/>
        </w:numPr>
      </w:pPr>
      <w:r>
        <w:t>Quarterly: Sanctions screening and compliance re-attestation.</w:t>
      </w:r>
    </w:p>
    <w:p w14:paraId="29B20433" w14:textId="77777777" w:rsidR="008A38AA" w:rsidRDefault="00000000">
      <w:pPr>
        <w:pStyle w:val="ListNumber"/>
      </w:pPr>
      <w:r>
        <w:t>Quarterly: ESG score/</w:t>
      </w:r>
      <w:proofErr w:type="gramStart"/>
      <w:r>
        <w:t>rating</w:t>
      </w:r>
      <w:proofErr w:type="gramEnd"/>
      <w:r>
        <w:t xml:space="preserve"> check; review of major ESG events and controversies.</w:t>
      </w:r>
    </w:p>
    <w:p w14:paraId="2D57F12B" w14:textId="77777777" w:rsidR="008A38AA" w:rsidRDefault="00000000">
      <w:pPr>
        <w:pStyle w:val="ListNumber"/>
      </w:pPr>
      <w:r>
        <w:t>Monthly: Delivery KPIs (on-time-in-full, quantity variance, quality incidents).</w:t>
      </w:r>
    </w:p>
    <w:p w14:paraId="21CBD3E4" w14:textId="77777777" w:rsidR="008A38AA" w:rsidRDefault="00000000">
      <w:pPr>
        <w:pStyle w:val="ListNumber"/>
      </w:pPr>
      <w:r>
        <w:t>Annual: Supplier performance review and continuity test (tabletop exercise or documented stress test).</w:t>
      </w:r>
    </w:p>
    <w:p w14:paraId="238CA06E" w14:textId="77777777" w:rsidR="008A38AA" w:rsidRDefault="00000000">
      <w:pPr>
        <w:pStyle w:val="Heading3"/>
      </w:pPr>
      <w:r>
        <w:t>5.2 Key Performance Indicators (KPIs)</w:t>
      </w:r>
    </w:p>
    <w:p w14:paraId="64F36431" w14:textId="77777777" w:rsidR="008A38AA" w:rsidRDefault="00000000">
      <w:r>
        <w:t>At minimum, PSC must track:</w:t>
      </w:r>
    </w:p>
    <w:p w14:paraId="68578989" w14:textId="77777777" w:rsidR="008A38AA" w:rsidRDefault="00000000">
      <w:pPr>
        <w:pStyle w:val="ListBullet"/>
      </w:pPr>
      <w:r>
        <w:t>OTIF Delivery (%).</w:t>
      </w:r>
    </w:p>
    <w:p w14:paraId="01442F87" w14:textId="77777777" w:rsidR="008A38AA" w:rsidRDefault="00000000">
      <w:pPr>
        <w:pStyle w:val="ListBullet"/>
      </w:pPr>
      <w:r>
        <w:t>Quality Nonconformances (#) and severity.</w:t>
      </w:r>
    </w:p>
    <w:p w14:paraId="2FE010F5" w14:textId="77777777" w:rsidR="008A38AA" w:rsidRDefault="00000000">
      <w:pPr>
        <w:pStyle w:val="ListBullet"/>
      </w:pPr>
      <w:r>
        <w:t>Reportable HSE incidents (#) related to delivery.</w:t>
      </w:r>
    </w:p>
    <w:p w14:paraId="41F74259" w14:textId="77777777" w:rsidR="008A38AA" w:rsidRDefault="00000000">
      <w:pPr>
        <w:pStyle w:val="ListBullet"/>
      </w:pPr>
      <w:r>
        <w:t>ESG rating/score trend (quarterly).</w:t>
      </w:r>
    </w:p>
    <w:p w14:paraId="45B93047" w14:textId="77777777" w:rsidR="008A38AA" w:rsidRDefault="00000000">
      <w:pPr>
        <w:pStyle w:val="ListBullet"/>
      </w:pPr>
      <w:r>
        <w:t>Continuity Readiness: Confirmed allocated capacity for disruption period (yes/no) and date last validated.</w:t>
      </w:r>
    </w:p>
    <w:p w14:paraId="6C7DF127" w14:textId="77777777" w:rsidR="008A38AA" w:rsidRDefault="00000000">
      <w:pPr>
        <w:pStyle w:val="Heading3"/>
      </w:pPr>
      <w:r>
        <w:t>5.3 Exceptions Process</w:t>
      </w:r>
    </w:p>
    <w:p w14:paraId="36994B72" w14:textId="77777777" w:rsidR="008A38AA" w:rsidRDefault="00000000">
      <w:r>
        <w:t>Exceptions are permitted only when required to prevent material operational harm and must be time-bound.</w:t>
      </w:r>
    </w:p>
    <w:p w14:paraId="31F02C02" w14:textId="77777777" w:rsidR="008A38AA" w:rsidRDefault="00000000">
      <w:pPr>
        <w:pStyle w:val="ListBullet"/>
      </w:pPr>
      <w:r>
        <w:t>Requestor: Business unit lead with PSC sponsor.</w:t>
      </w:r>
    </w:p>
    <w:p w14:paraId="65D5092A" w14:textId="77777777" w:rsidR="008A38AA" w:rsidRDefault="00000000">
      <w:pPr>
        <w:pStyle w:val="ListBullet"/>
      </w:pPr>
      <w:r>
        <w:t>Approvals Required: CPO + ESG Compliance Committee + Legal (if sanctions/trade risk).</w:t>
      </w:r>
    </w:p>
    <w:p w14:paraId="38CD7231" w14:textId="77777777" w:rsidR="008A38AA" w:rsidRDefault="00000000">
      <w:pPr>
        <w:pStyle w:val="ListBullet"/>
      </w:pPr>
      <w:r>
        <w:t>Documentation: Rationale, alternative options assessed, compensating controls, and an exit plan back to compliant sourcing.</w:t>
      </w:r>
    </w:p>
    <w:p w14:paraId="3CA284CA" w14:textId="77777777" w:rsidR="008A38AA" w:rsidRDefault="00000000">
      <w:pPr>
        <w:pStyle w:val="ListBullet"/>
      </w:pPr>
      <w:r>
        <w:t>Maximum Duration: 90 days unless renewed by the same approval authorities.</w:t>
      </w:r>
    </w:p>
    <w:p w14:paraId="41CCFBB2" w14:textId="77777777" w:rsidR="008A38AA" w:rsidRDefault="00000000">
      <w:pPr>
        <w:pStyle w:val="Heading3"/>
      </w:pPr>
      <w:r>
        <w:t>5.4 Enforcement</w:t>
      </w:r>
    </w:p>
    <w:p w14:paraId="6FE0ABFC" w14:textId="77777777" w:rsidR="008A38AA" w:rsidRDefault="00000000">
      <w:r>
        <w:t>Noncompliance with this Policy may result in:</w:t>
      </w:r>
    </w:p>
    <w:p w14:paraId="1932D7F6" w14:textId="77777777" w:rsidR="008A38AA" w:rsidRDefault="00000000">
      <w:pPr>
        <w:pStyle w:val="ListBullet"/>
      </w:pPr>
      <w:r>
        <w:t>Supplier disqualification or suspension.</w:t>
      </w:r>
    </w:p>
    <w:p w14:paraId="4E93C41E" w14:textId="77777777" w:rsidR="008A38AA" w:rsidRDefault="00000000">
      <w:pPr>
        <w:pStyle w:val="ListBullet"/>
      </w:pPr>
      <w:r>
        <w:t>Contractual remedies, including termination.</w:t>
      </w:r>
    </w:p>
    <w:p w14:paraId="15D7A53E" w14:textId="77777777" w:rsidR="008A38AA" w:rsidRDefault="00000000">
      <w:pPr>
        <w:pStyle w:val="ListBullet"/>
      </w:pPr>
      <w:r>
        <w:t>Internal corrective action for employees, up to and including disciplinary measures, consistent with HR policies.</w:t>
      </w:r>
    </w:p>
    <w:p w14:paraId="0CEAF60C" w14:textId="77777777" w:rsidR="008A38AA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2CEDD884" w14:textId="77777777" w:rsidR="008A38AA" w:rsidRDefault="00000000">
      <w:pPr>
        <w:pStyle w:val="Heading2"/>
      </w:pPr>
      <w:r>
        <w:t>References / Related Policies</w:t>
      </w:r>
    </w:p>
    <w:p w14:paraId="3B981599" w14:textId="77777777" w:rsidR="008A38AA" w:rsidRDefault="00000000">
      <w:pPr>
        <w:pStyle w:val="ListBullet"/>
      </w:pPr>
      <w:r>
        <w:t>Third-Party Risk Management Standard (TRM-STD-001)</w:t>
      </w:r>
    </w:p>
    <w:p w14:paraId="548159A9" w14:textId="77777777" w:rsidR="008A38AA" w:rsidRDefault="00000000">
      <w:pPr>
        <w:pStyle w:val="ListBullet"/>
      </w:pPr>
      <w:r>
        <w:t>Supplier Code of Conduct (SCOC-200)</w:t>
      </w:r>
    </w:p>
    <w:p w14:paraId="01598263" w14:textId="77777777" w:rsidR="008A38AA" w:rsidRDefault="00000000">
      <w:pPr>
        <w:pStyle w:val="ListBullet"/>
      </w:pPr>
      <w:r>
        <w:t>Sanctions and Trade Compliance Policy (LEG-POL-115)</w:t>
      </w:r>
    </w:p>
    <w:p w14:paraId="61EBC935" w14:textId="77777777" w:rsidR="008A38AA" w:rsidRDefault="00000000">
      <w:pPr>
        <w:pStyle w:val="ListBullet"/>
      </w:pPr>
      <w:r>
        <w:lastRenderedPageBreak/>
        <w:t>Business Continuity Management Framework (BCM-FWK-010)</w:t>
      </w:r>
    </w:p>
    <w:p w14:paraId="2D92EDC4" w14:textId="77777777" w:rsidR="008A38AA" w:rsidRDefault="00000000">
      <w:pPr>
        <w:pStyle w:val="ListBullet"/>
      </w:pPr>
      <w:r>
        <w:t>Anti-Bribery and Corruption Policy (ETH-POL-005)</w:t>
      </w:r>
    </w:p>
    <w:sectPr w:rsidR="008A38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729999">
    <w:abstractNumId w:val="8"/>
  </w:num>
  <w:num w:numId="2" w16cid:durableId="406420049">
    <w:abstractNumId w:val="6"/>
  </w:num>
  <w:num w:numId="3" w16cid:durableId="1837112413">
    <w:abstractNumId w:val="5"/>
  </w:num>
  <w:num w:numId="4" w16cid:durableId="1702054604">
    <w:abstractNumId w:val="4"/>
  </w:num>
  <w:num w:numId="5" w16cid:durableId="1094285766">
    <w:abstractNumId w:val="7"/>
  </w:num>
  <w:num w:numId="6" w16cid:durableId="566649237">
    <w:abstractNumId w:val="3"/>
  </w:num>
  <w:num w:numId="7" w16cid:durableId="144587536">
    <w:abstractNumId w:val="2"/>
  </w:num>
  <w:num w:numId="8" w16cid:durableId="1354649508">
    <w:abstractNumId w:val="1"/>
  </w:num>
  <w:num w:numId="9" w16cid:durableId="559513455">
    <w:abstractNumId w:val="0"/>
  </w:num>
  <w:num w:numId="10" w16cid:durableId="736364876">
    <w:abstractNumId w:val="7"/>
    <w:lvlOverride w:ilvl="0">
      <w:startOverride w:val="1"/>
    </w:lvlOverride>
  </w:num>
  <w:num w:numId="11" w16cid:durableId="1278566610">
    <w:abstractNumId w:val="7"/>
    <w:lvlOverride w:ilvl="0">
      <w:startOverride w:val="1"/>
    </w:lvlOverride>
  </w:num>
  <w:num w:numId="12" w16cid:durableId="1117796155">
    <w:abstractNumId w:val="7"/>
    <w:lvlOverride w:ilvl="0">
      <w:startOverride w:val="1"/>
    </w:lvlOverride>
  </w:num>
  <w:num w:numId="13" w16cid:durableId="920599132">
    <w:abstractNumId w:val="7"/>
    <w:lvlOverride w:ilvl="0">
      <w:startOverride w:val="1"/>
    </w:lvlOverride>
  </w:num>
  <w:num w:numId="14" w16cid:durableId="14976455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B00"/>
    <w:rsid w:val="0029639D"/>
    <w:rsid w:val="00326F90"/>
    <w:rsid w:val="008A38AA"/>
    <w:rsid w:val="00AA1D8D"/>
    <w:rsid w:val="00B47730"/>
    <w:rsid w:val="00CB0664"/>
    <w:rsid w:val="00CC22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58AF2D"/>
  <w14:defaultImageDpi w14:val="300"/>
  <w15:docId w15:val="{A1474A08-3541-43CF-917C-D8B0F5F1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1217</Words>
  <Characters>8376</Characters>
  <Application>Microsoft Office Word</Application>
  <DocSecurity>0</DocSecurity>
  <Lines>246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Seth Juarez</cp:lastModifiedBy>
  <cp:revision>2</cp:revision>
  <dcterms:created xsi:type="dcterms:W3CDTF">2013-12-23T23:15:00Z</dcterms:created>
  <dcterms:modified xsi:type="dcterms:W3CDTF">2026-01-16T00:32:00Z</dcterms:modified>
  <cp:category/>
</cp:coreProperties>
</file>