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13" w:rsidRPr="00847DE2" w:rsidRDefault="00E47640" w:rsidP="0052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555A2" wp14:editId="7132E451">
                <wp:simplePos x="0" y="0"/>
                <wp:positionH relativeFrom="column">
                  <wp:posOffset>4935484</wp:posOffset>
                </wp:positionH>
                <wp:positionV relativeFrom="paragraph">
                  <wp:posOffset>-558800</wp:posOffset>
                </wp:positionV>
                <wp:extent cx="1600200" cy="1009650"/>
                <wp:effectExtent l="0" t="0" r="19050" b="190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8D8" w:rsidRDefault="00D178D8" w:rsidP="00D178D8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Arial Narrow" w:eastAsia="Times New Roman" w:hAnsi="Arial Narrow"/>
                                <w:color w:val="808080"/>
                                <w:sz w:val="20"/>
                                <w:szCs w:val="20"/>
                              </w:rPr>
                              <w:t>Classification du document</w:t>
                            </w:r>
                          </w:p>
                          <w:p w:rsidR="00D178D8" w:rsidRDefault="00D178D8" w:rsidP="00D178D8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808080"/>
                                <w:sz w:val="20"/>
                                <w:szCs w:val="20"/>
                              </w:rPr>
                              <w:t xml:space="preserve">X </w:t>
                            </w:r>
                            <w:r>
                              <w:rPr>
                                <w:rFonts w:ascii="Arial Narrow" w:eastAsia="Times New Roman" w:hAnsi="Arial Narrow"/>
                                <w:color w:val="808080"/>
                                <w:sz w:val="20"/>
                                <w:szCs w:val="20"/>
                              </w:rPr>
                              <w:t>Confidentiel</w:t>
                            </w:r>
                          </w:p>
                          <w:p w:rsidR="00D178D8" w:rsidRDefault="00D178D8" w:rsidP="00D178D8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MS Mincho" w:eastAsia="MS Mincho" w:hAnsi="MS Mincho" w:cs="MS Mincho" w:hint="eastAsia"/>
                                <w:color w:val="808080"/>
                                <w:sz w:val="20"/>
                                <w:szCs w:val="20"/>
                              </w:rPr>
                              <w:t>☐</w:t>
                            </w:r>
                            <w:r>
                              <w:rPr>
                                <w:rFonts w:ascii="Arial Narrow" w:eastAsia="Times New Roman" w:hAnsi="Arial Narrow"/>
                                <w:color w:val="808080"/>
                                <w:sz w:val="20"/>
                                <w:szCs w:val="20"/>
                              </w:rPr>
                              <w:t>Restreint</w:t>
                            </w:r>
                          </w:p>
                          <w:p w:rsidR="00D178D8" w:rsidRDefault="00D178D8" w:rsidP="00D178D8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MS Mincho" w:eastAsia="MS Mincho" w:hAnsi="MS Mincho" w:cs="MS Mincho" w:hint="eastAsia"/>
                                <w:color w:val="808080"/>
                                <w:sz w:val="20"/>
                                <w:szCs w:val="20"/>
                              </w:rPr>
                              <w:t>☐</w:t>
                            </w:r>
                            <w:r>
                              <w:rPr>
                                <w:rFonts w:ascii="Arial Narrow" w:eastAsia="Times New Roman" w:hAnsi="Arial Narrow"/>
                                <w:color w:val="808080"/>
                                <w:sz w:val="20"/>
                                <w:szCs w:val="20"/>
                              </w:rPr>
                              <w:t>Interne</w:t>
                            </w:r>
                          </w:p>
                          <w:p w:rsidR="00D178D8" w:rsidRDefault="00D178D8" w:rsidP="00D178D8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MS Mincho" w:eastAsia="MS Mincho" w:hAnsi="MS Mincho" w:cs="MS Mincho" w:hint="eastAsia"/>
                                <w:color w:val="808080"/>
                                <w:sz w:val="20"/>
                                <w:szCs w:val="20"/>
                              </w:rPr>
                              <w:t>☐</w:t>
                            </w:r>
                            <w:r>
                              <w:rPr>
                                <w:rFonts w:ascii="Arial Narrow" w:eastAsia="Times New Roman" w:hAnsi="Arial Narro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</w:p>
                          <w:p w:rsidR="00D178D8" w:rsidRDefault="00D178D8" w:rsidP="00D178D8">
                            <w:pPr>
                              <w:pStyle w:val="NormalWeb"/>
                              <w:tabs>
                                <w:tab w:val="left" w:pos="4678"/>
                              </w:tabs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Times New Roman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88.6pt;margin-top:-44pt;width:126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" strokecolor="#7f7f7f">
                <v:textbox>
                  <w:txbxContent>
                    <w:p w:rsidR="00D178D8" w:rsidRDefault="00D178D8" w:rsidP="00D178D8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Arial Narrow" w:eastAsia="Times New Roman" w:hAnsi="Arial Narrow"/>
                          <w:color w:val="808080"/>
                          <w:sz w:val="20"/>
                          <w:szCs w:val="20"/>
                        </w:rPr>
                        <w:t>Classification du document</w:t>
                      </w:r>
                    </w:p>
                    <w:p w:rsidR="00D178D8" w:rsidRDefault="00D178D8" w:rsidP="00D178D8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MS Mincho" w:eastAsia="MS Mincho" w:hAnsi="MS Mincho" w:cs="MS Mincho"/>
                          <w:color w:val="808080"/>
                          <w:sz w:val="20"/>
                          <w:szCs w:val="20"/>
                        </w:rPr>
                        <w:t xml:space="preserve">X </w:t>
                      </w:r>
                      <w:r>
                        <w:rPr>
                          <w:rFonts w:ascii="Arial Narrow" w:eastAsia="Times New Roman" w:hAnsi="Arial Narrow"/>
                          <w:color w:val="808080"/>
                          <w:sz w:val="20"/>
                          <w:szCs w:val="20"/>
                        </w:rPr>
                        <w:t>Confidentiel</w:t>
                      </w:r>
                    </w:p>
                    <w:p w:rsidR="00D178D8" w:rsidRDefault="00D178D8" w:rsidP="00D178D8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MS Mincho" w:eastAsia="MS Mincho" w:hAnsi="MS Mincho" w:cs="MS Mincho" w:hint="eastAsia"/>
                          <w:color w:val="808080"/>
                          <w:sz w:val="20"/>
                          <w:szCs w:val="20"/>
                        </w:rPr>
                        <w:t>☐</w:t>
                      </w:r>
                      <w:r>
                        <w:rPr>
                          <w:rFonts w:ascii="Arial Narrow" w:eastAsia="Times New Roman" w:hAnsi="Arial Narrow"/>
                          <w:color w:val="808080"/>
                          <w:sz w:val="20"/>
                          <w:szCs w:val="20"/>
                        </w:rPr>
                        <w:t>Restreint</w:t>
                      </w:r>
                    </w:p>
                    <w:p w:rsidR="00D178D8" w:rsidRDefault="00D178D8" w:rsidP="00D178D8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MS Mincho" w:eastAsia="MS Mincho" w:hAnsi="MS Mincho" w:cs="MS Mincho" w:hint="eastAsia"/>
                          <w:color w:val="808080"/>
                          <w:sz w:val="20"/>
                          <w:szCs w:val="20"/>
                        </w:rPr>
                        <w:t>☐</w:t>
                      </w:r>
                      <w:r>
                        <w:rPr>
                          <w:rFonts w:ascii="Arial Narrow" w:eastAsia="Times New Roman" w:hAnsi="Arial Narrow"/>
                          <w:color w:val="808080"/>
                          <w:sz w:val="20"/>
                          <w:szCs w:val="20"/>
                        </w:rPr>
                        <w:t>Interne</w:t>
                      </w:r>
                    </w:p>
                    <w:p w:rsidR="00D178D8" w:rsidRDefault="00D178D8" w:rsidP="00D178D8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MS Mincho" w:eastAsia="MS Mincho" w:hAnsi="MS Mincho" w:cs="MS Mincho" w:hint="eastAsia"/>
                          <w:color w:val="808080"/>
                          <w:sz w:val="20"/>
                          <w:szCs w:val="20"/>
                        </w:rPr>
                        <w:t>☐</w:t>
                      </w:r>
                      <w:r>
                        <w:rPr>
                          <w:rFonts w:ascii="Arial Narrow" w:eastAsia="Times New Roman" w:hAnsi="Arial Narrow"/>
                          <w:color w:val="808080"/>
                          <w:sz w:val="20"/>
                          <w:szCs w:val="20"/>
                        </w:rPr>
                        <w:t>Public</w:t>
                      </w:r>
                    </w:p>
                    <w:p w:rsidR="00D178D8" w:rsidRDefault="00D178D8" w:rsidP="00D178D8">
                      <w:pPr>
                        <w:pStyle w:val="NormalWeb"/>
                        <w:tabs>
                          <w:tab w:val="left" w:pos="4678"/>
                        </w:tabs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Times New Roman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21534">
        <w:rPr>
          <w:b/>
        </w:rPr>
        <w:t>Facture pour les nuls</w:t>
      </w:r>
      <w:r w:rsidR="00A42C1E">
        <w:rPr>
          <w:b/>
        </w:rPr>
        <w:t xml:space="preserve"> : </w:t>
      </w:r>
      <w:r w:rsidR="003155C4">
        <w:rPr>
          <w:b/>
        </w:rPr>
        <w:t>CR réunion</w:t>
      </w:r>
      <w:r>
        <w:rPr>
          <w:b/>
        </w:rPr>
        <w:t xml:space="preserve"> </w:t>
      </w:r>
      <w:r w:rsidR="002124A9">
        <w:rPr>
          <w:b/>
        </w:rPr>
        <w:t>du 06</w:t>
      </w:r>
      <w:r w:rsidR="003155C4">
        <w:rPr>
          <w:b/>
        </w:rPr>
        <w:t>/0</w:t>
      </w:r>
      <w:r w:rsidR="002124A9">
        <w:rPr>
          <w:b/>
        </w:rPr>
        <w:t>4</w:t>
      </w:r>
      <w:r w:rsidR="003155C4">
        <w:rPr>
          <w:b/>
        </w:rPr>
        <w:t>/16</w:t>
      </w:r>
    </w:p>
    <w:p w:rsidR="00983913" w:rsidRDefault="00983913" w:rsidP="005211F6">
      <w:pPr>
        <w:spacing w:after="0" w:line="240" w:lineRule="auto"/>
        <w:jc w:val="both"/>
      </w:pPr>
    </w:p>
    <w:p w:rsidR="003155C4" w:rsidRDefault="003155C4" w:rsidP="003155C4">
      <w:pPr>
        <w:spacing w:after="0" w:line="240" w:lineRule="auto"/>
        <w:jc w:val="both"/>
      </w:pPr>
      <w:r w:rsidRPr="00847DE2">
        <w:rPr>
          <w:u w:val="single"/>
        </w:rPr>
        <w:t>Personnes présentes</w:t>
      </w:r>
      <w:r>
        <w:t> :</w:t>
      </w:r>
    </w:p>
    <w:p w:rsidR="003155C4" w:rsidRPr="002B0C4A" w:rsidRDefault="00E47640" w:rsidP="003155C4">
      <w:pPr>
        <w:spacing w:after="0" w:line="240" w:lineRule="auto"/>
        <w:jc w:val="both"/>
      </w:pPr>
      <w:r w:rsidRPr="002B0C4A">
        <w:t xml:space="preserve">ÉS : </w:t>
      </w:r>
      <w:r w:rsidR="003155C4" w:rsidRPr="002B0C4A">
        <w:t>D. Wagner / C. Arnould / M. Khan / K. Faure</w:t>
      </w:r>
    </w:p>
    <w:p w:rsidR="00E47640" w:rsidRPr="002B0C4A" w:rsidRDefault="00E47640" w:rsidP="00E47640">
      <w:pPr>
        <w:spacing w:after="0" w:line="240" w:lineRule="auto"/>
      </w:pPr>
      <w:proofErr w:type="spellStart"/>
      <w:r w:rsidRPr="002B0C4A">
        <w:t>Epitech</w:t>
      </w:r>
      <w:proofErr w:type="spellEnd"/>
      <w:r w:rsidRPr="002B0C4A">
        <w:t xml:space="preserve"> : T. </w:t>
      </w:r>
      <w:proofErr w:type="spellStart"/>
      <w:r w:rsidRPr="002B0C4A">
        <w:t>Cruzol</w:t>
      </w:r>
      <w:proofErr w:type="spellEnd"/>
      <w:r w:rsidRPr="002B0C4A">
        <w:t xml:space="preserve"> / </w:t>
      </w:r>
      <w:r w:rsidR="002124A9" w:rsidRPr="002B0C4A">
        <w:t xml:space="preserve">L. </w:t>
      </w:r>
      <w:proofErr w:type="spellStart"/>
      <w:r w:rsidR="002124A9" w:rsidRPr="002B0C4A">
        <w:t>Brosius</w:t>
      </w:r>
      <w:proofErr w:type="spellEnd"/>
      <w:r w:rsidR="002124A9" w:rsidRPr="002B0C4A">
        <w:t xml:space="preserve"> / </w:t>
      </w:r>
      <w:r w:rsidRPr="002B0C4A">
        <w:t xml:space="preserve">P. Bouteiller / D. </w:t>
      </w:r>
      <w:proofErr w:type="spellStart"/>
      <w:r w:rsidRPr="002B0C4A">
        <w:t>Gerschheimer</w:t>
      </w:r>
      <w:proofErr w:type="spellEnd"/>
      <w:r w:rsidR="002124A9" w:rsidRPr="002B0C4A">
        <w:t xml:space="preserve"> / J. Lorentz / P. Mura</w:t>
      </w:r>
    </w:p>
    <w:p w:rsidR="003155C4" w:rsidRPr="002B0C4A" w:rsidRDefault="003155C4" w:rsidP="003155C4">
      <w:pPr>
        <w:spacing w:after="0" w:line="240" w:lineRule="auto"/>
      </w:pPr>
    </w:p>
    <w:p w:rsidR="00983913" w:rsidRDefault="00983913" w:rsidP="005211F6">
      <w:pPr>
        <w:spacing w:after="0" w:line="240" w:lineRule="auto"/>
        <w:jc w:val="both"/>
      </w:pPr>
    </w:p>
    <w:p w:rsidR="002124A9" w:rsidRDefault="002124A9" w:rsidP="00383BF6">
      <w:pPr>
        <w:spacing w:after="0" w:line="240" w:lineRule="auto"/>
        <w:jc w:val="both"/>
      </w:pPr>
      <w:r>
        <w:t xml:space="preserve">Support </w:t>
      </w:r>
      <w:proofErr w:type="spellStart"/>
      <w:r>
        <w:t>Epitech</w:t>
      </w:r>
      <w:proofErr w:type="spellEnd"/>
    </w:p>
    <w:bookmarkStart w:id="0" w:name="_GoBack"/>
    <w:p w:rsidR="002124A9" w:rsidRDefault="00E7518F" w:rsidP="00383BF6">
      <w:pPr>
        <w:spacing w:after="0" w:line="240" w:lineRule="auto"/>
        <w:jc w:val="both"/>
      </w:pPr>
      <w:r>
        <w:rPr>
          <w:b/>
        </w:rPr>
        <w:object w:dxaOrig="1550" w:dyaOrig="991">
          <v:shape id="_x0000_i1028" type="#_x0000_t75" style="width:77.25pt;height:49.5pt" o:ole="">
            <v:imagedata r:id="rId9" o:title=""/>
          </v:shape>
          <o:OLEObject Type="Embed" ProgID="AcroExch.Document.7" ShapeID="_x0000_i1028" DrawAspect="Icon" ObjectID="_1521544173" r:id="rId10"/>
        </w:object>
      </w:r>
      <w:bookmarkEnd w:id="0"/>
    </w:p>
    <w:p w:rsidR="00E47640" w:rsidRDefault="00E47640" w:rsidP="00383BF6">
      <w:pPr>
        <w:spacing w:after="0" w:line="240" w:lineRule="auto"/>
        <w:jc w:val="both"/>
      </w:pPr>
    </w:p>
    <w:p w:rsidR="00D178D8" w:rsidRPr="005211F6" w:rsidRDefault="00E47640" w:rsidP="00D178D8">
      <w:pPr>
        <w:pBdr>
          <w:bottom w:val="single" w:sz="4" w:space="1" w:color="3C5AA0" w:themeColor="text1"/>
        </w:pBdr>
        <w:spacing w:after="0" w:line="240" w:lineRule="auto"/>
        <w:jc w:val="both"/>
        <w:rPr>
          <w:b/>
          <w:color w:val="3C5AA0" w:themeColor="text1"/>
        </w:rPr>
      </w:pPr>
      <w:r>
        <w:rPr>
          <w:b/>
          <w:color w:val="3C5AA0" w:themeColor="text1"/>
        </w:rPr>
        <w:t>É</w:t>
      </w:r>
      <w:r w:rsidR="00D178D8">
        <w:rPr>
          <w:b/>
          <w:color w:val="3C5AA0" w:themeColor="text1"/>
        </w:rPr>
        <w:t xml:space="preserve">quipe projet </w:t>
      </w:r>
      <w:proofErr w:type="spellStart"/>
      <w:r w:rsidR="002124A9">
        <w:rPr>
          <w:b/>
          <w:color w:val="3C5AA0" w:themeColor="text1"/>
        </w:rPr>
        <w:t>Epitech</w:t>
      </w:r>
      <w:proofErr w:type="spellEnd"/>
    </w:p>
    <w:p w:rsidR="00D178D8" w:rsidRDefault="002124A9" w:rsidP="00D178D8">
      <w:pPr>
        <w:spacing w:after="0" w:line="240" w:lineRule="auto"/>
      </w:pPr>
      <w:r>
        <w:t>Étudiants de 3</w:t>
      </w:r>
      <w:r w:rsidRPr="002124A9">
        <w:rPr>
          <w:vertAlign w:val="superscript"/>
        </w:rPr>
        <w:t>ème</w:t>
      </w:r>
      <w:r>
        <w:t xml:space="preserve"> année partis en stage, remplacés par 2 étudiants de 2</w:t>
      </w:r>
      <w:r w:rsidRPr="002124A9">
        <w:rPr>
          <w:vertAlign w:val="superscript"/>
        </w:rPr>
        <w:t>ème</w:t>
      </w:r>
      <w:r>
        <w:t xml:space="preserve"> année : Jacques et Paul</w:t>
      </w:r>
    </w:p>
    <w:p w:rsidR="00BE39AA" w:rsidRDefault="00BE39AA" w:rsidP="00383BF6">
      <w:pPr>
        <w:spacing w:after="0" w:line="240" w:lineRule="auto"/>
        <w:jc w:val="both"/>
      </w:pPr>
    </w:p>
    <w:p w:rsidR="00BE39AA" w:rsidRDefault="00BE39AA" w:rsidP="00383BF6">
      <w:pPr>
        <w:spacing w:after="0" w:line="240" w:lineRule="auto"/>
        <w:jc w:val="both"/>
      </w:pPr>
    </w:p>
    <w:p w:rsidR="004B703E" w:rsidRPr="002124A9" w:rsidRDefault="002124A9" w:rsidP="002124A9">
      <w:pPr>
        <w:pBdr>
          <w:bottom w:val="single" w:sz="4" w:space="1" w:color="3C5AA0" w:themeColor="text1"/>
        </w:pBdr>
        <w:spacing w:after="0" w:line="240" w:lineRule="auto"/>
        <w:jc w:val="both"/>
        <w:rPr>
          <w:b/>
          <w:color w:val="3C5AA0" w:themeColor="text1"/>
        </w:rPr>
      </w:pPr>
      <w:r w:rsidRPr="002124A9">
        <w:rPr>
          <w:b/>
          <w:color w:val="3C5AA0" w:themeColor="text1"/>
        </w:rPr>
        <w:t>Échanges sur le projet</w:t>
      </w:r>
    </w:p>
    <w:p w:rsidR="002124A9" w:rsidRDefault="00EB16A1" w:rsidP="00D178D8">
      <w:pPr>
        <w:spacing w:after="0" w:line="240" w:lineRule="auto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58BEFA6" wp14:editId="64757816">
            <wp:simplePos x="0" y="0"/>
            <wp:positionH relativeFrom="column">
              <wp:posOffset>-577215</wp:posOffset>
            </wp:positionH>
            <wp:positionV relativeFrom="paragraph">
              <wp:posOffset>302895</wp:posOffset>
            </wp:positionV>
            <wp:extent cx="6829425" cy="5565140"/>
            <wp:effectExtent l="0" t="0" r="9525" b="0"/>
            <wp:wrapTight wrapText="bothSides">
              <wp:wrapPolygon edited="0">
                <wp:start x="0" y="0"/>
                <wp:lineTo x="0" y="21516"/>
                <wp:lineTo x="21570" y="21516"/>
                <wp:lineTo x="2157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4A9">
        <w:t>Appli développée dans un 1</w:t>
      </w:r>
      <w:r w:rsidR="002124A9" w:rsidRPr="002124A9">
        <w:rPr>
          <w:vertAlign w:val="superscript"/>
        </w:rPr>
        <w:t>er</w:t>
      </w:r>
      <w:r w:rsidR="002124A9">
        <w:t xml:space="preserve"> temps sous Android </w:t>
      </w:r>
    </w:p>
    <w:p w:rsidR="0054280B" w:rsidRDefault="0054280B" w:rsidP="00D178D8">
      <w:pPr>
        <w:spacing w:after="0" w:line="240" w:lineRule="auto"/>
        <w:jc w:val="both"/>
      </w:pPr>
    </w:p>
    <w:p w:rsidR="002124A9" w:rsidRDefault="002124A9" w:rsidP="00D178D8">
      <w:pPr>
        <w:spacing w:after="0" w:line="240" w:lineRule="auto"/>
        <w:jc w:val="both"/>
      </w:pPr>
    </w:p>
    <w:p w:rsidR="00917D36" w:rsidRDefault="0054280B" w:rsidP="0054280B">
      <w:pPr>
        <w:spacing w:after="0" w:line="240" w:lineRule="auto"/>
        <w:rPr>
          <w:b/>
        </w:rPr>
      </w:pPr>
      <w:r>
        <w:rPr>
          <w:b/>
        </w:rPr>
        <w:t xml:space="preserve">=&gt; </w:t>
      </w:r>
      <w:proofErr w:type="gramStart"/>
      <w:r>
        <w:rPr>
          <w:b/>
        </w:rPr>
        <w:t>toutes</w:t>
      </w:r>
      <w:proofErr w:type="gramEnd"/>
      <w:r>
        <w:rPr>
          <w:b/>
        </w:rPr>
        <w:t xml:space="preserve"> les questions clients fréquemment posées seront prises en compte</w:t>
      </w:r>
    </w:p>
    <w:p w:rsidR="0054280B" w:rsidRPr="00FC129E" w:rsidRDefault="00FC129E" w:rsidP="00EB16A1">
      <w:pPr>
        <w:spacing w:after="0" w:line="240" w:lineRule="auto"/>
        <w:jc w:val="both"/>
      </w:pPr>
      <w:r w:rsidRPr="00FC129E">
        <w:t xml:space="preserve">=&gt; </w:t>
      </w:r>
      <w:proofErr w:type="gramStart"/>
      <w:r w:rsidRPr="00FC129E">
        <w:t>à</w:t>
      </w:r>
      <w:proofErr w:type="gramEnd"/>
      <w:r w:rsidRPr="00FC129E">
        <w:t xml:space="preserve"> la fin du parcours, possibilité d’envisager pour une V2 : a-t-on répondu à votre question : O/N, si non, renvoi vers le tél des CC</w:t>
      </w:r>
    </w:p>
    <w:p w:rsidR="0054280B" w:rsidRDefault="0054280B" w:rsidP="00EB16A1">
      <w:pPr>
        <w:spacing w:after="0" w:line="240" w:lineRule="auto"/>
        <w:jc w:val="both"/>
        <w:rPr>
          <w:b/>
        </w:rPr>
      </w:pPr>
    </w:p>
    <w:p w:rsidR="00EB16A1" w:rsidRDefault="0054280B" w:rsidP="00EB16A1">
      <w:pPr>
        <w:spacing w:after="0" w:line="240" w:lineRule="auto"/>
        <w:jc w:val="both"/>
        <w:rPr>
          <w:b/>
        </w:rPr>
      </w:pPr>
      <w:r w:rsidRPr="0054280B">
        <w:rPr>
          <w:b/>
        </w:rPr>
        <w:t>2</w:t>
      </w:r>
      <w:r w:rsidR="008F3DEA" w:rsidRPr="008F3DEA">
        <w:rPr>
          <w:b/>
          <w:vertAlign w:val="superscript"/>
        </w:rPr>
        <w:t>ème</w:t>
      </w:r>
      <w:r w:rsidR="008F3DEA" w:rsidRPr="008F3DEA">
        <w:rPr>
          <w:b/>
        </w:rPr>
        <w:t xml:space="preserve"> parcours </w:t>
      </w:r>
    </w:p>
    <w:p w:rsidR="002B0C4A" w:rsidRPr="006B6C68" w:rsidRDefault="006B6C68" w:rsidP="00EB16A1">
      <w:pPr>
        <w:spacing w:after="0" w:line="240" w:lineRule="auto"/>
        <w:jc w:val="both"/>
      </w:pPr>
      <w:r w:rsidRPr="006B6C68">
        <w:t xml:space="preserve">Possibilité de scanner sa facture </w:t>
      </w:r>
      <w:r w:rsidR="008F3DEA">
        <w:t xml:space="preserve">=&gt; </w:t>
      </w:r>
      <w:proofErr w:type="gramStart"/>
      <w:r w:rsidR="008F3DEA">
        <w:t>cliquer</w:t>
      </w:r>
      <w:proofErr w:type="gramEnd"/>
      <w:r w:rsidR="008F3DEA">
        <w:t xml:space="preserve"> sur la</w:t>
      </w:r>
      <w:r w:rsidRPr="006B6C68">
        <w:t xml:space="preserve"> zone</w:t>
      </w:r>
      <w:r>
        <w:t xml:space="preserve"> sur laquelle porte la question</w:t>
      </w:r>
      <w:r w:rsidR="008F3DEA">
        <w:t xml:space="preserve"> =&gt; affiche les questions associées à cette zone</w:t>
      </w:r>
    </w:p>
    <w:p w:rsidR="006B6C68" w:rsidRPr="0054280B" w:rsidRDefault="00EB16A1" w:rsidP="00EB16A1">
      <w:pPr>
        <w:pStyle w:val="Commentaire"/>
        <w:rPr>
          <w:b/>
        </w:rPr>
      </w:pPr>
      <w:r w:rsidRPr="00EB16A1">
        <w:rPr>
          <w:sz w:val="22"/>
          <w:szCs w:val="22"/>
        </w:rPr>
        <w:t xml:space="preserve">=&gt; </w:t>
      </w:r>
      <w:proofErr w:type="gramStart"/>
      <w:r w:rsidRPr="00EB16A1">
        <w:rPr>
          <w:sz w:val="22"/>
          <w:szCs w:val="22"/>
        </w:rPr>
        <w:t>la</w:t>
      </w:r>
      <w:proofErr w:type="gramEnd"/>
      <w:r w:rsidRPr="00EB16A1">
        <w:rPr>
          <w:sz w:val="22"/>
          <w:szCs w:val="22"/>
        </w:rPr>
        <w:t xml:space="preserve"> possibilité de scanner la facture doit être accessible quel que soit l’écran </w:t>
      </w:r>
      <w:r w:rsidR="0054280B" w:rsidRPr="0054280B">
        <w:rPr>
          <w:b/>
        </w:rPr>
        <w:t>=&gt; seule la facture de régularisation de mensualisation (</w:t>
      </w:r>
      <w:proofErr w:type="spellStart"/>
      <w:r w:rsidR="0054280B" w:rsidRPr="0054280B">
        <w:rPr>
          <w:b/>
        </w:rPr>
        <w:t>élec</w:t>
      </w:r>
      <w:proofErr w:type="spellEnd"/>
      <w:r w:rsidR="0054280B" w:rsidRPr="0054280B">
        <w:rPr>
          <w:b/>
        </w:rPr>
        <w:t xml:space="preserve"> et gaz) sera traitée sur ce parcours</w:t>
      </w:r>
    </w:p>
    <w:p w:rsidR="0054280B" w:rsidRDefault="0054280B" w:rsidP="0054280B">
      <w:pPr>
        <w:pBdr>
          <w:bottom w:val="single" w:sz="4" w:space="1" w:color="3C5AA0" w:themeColor="text1"/>
        </w:pBdr>
        <w:spacing w:after="0" w:line="240" w:lineRule="auto"/>
        <w:jc w:val="both"/>
      </w:pPr>
    </w:p>
    <w:p w:rsidR="002B0C4A" w:rsidRDefault="006B6C68" w:rsidP="0054280B">
      <w:pPr>
        <w:pBdr>
          <w:bottom w:val="single" w:sz="4" w:space="1" w:color="3C5AA0" w:themeColor="text1"/>
        </w:pBdr>
        <w:spacing w:after="0" w:line="240" w:lineRule="auto"/>
        <w:jc w:val="both"/>
      </w:pPr>
      <w:r w:rsidRPr="0054280B">
        <w:rPr>
          <w:b/>
        </w:rPr>
        <w:t>Réponse possible</w:t>
      </w:r>
      <w:r>
        <w:t> : image de la facture avec mise en surbrillance de la zone concernée + réponse</w:t>
      </w:r>
    </w:p>
    <w:p w:rsidR="006B6C68" w:rsidRDefault="006B6C68" w:rsidP="0054280B">
      <w:pPr>
        <w:pBdr>
          <w:bottom w:val="single" w:sz="4" w:space="1" w:color="3C5AA0" w:themeColor="text1"/>
        </w:pBdr>
        <w:spacing w:after="0" w:line="240" w:lineRule="auto"/>
        <w:jc w:val="both"/>
      </w:pPr>
    </w:p>
    <w:p w:rsidR="006B6C68" w:rsidRDefault="006B6C68" w:rsidP="0054280B">
      <w:pPr>
        <w:pBdr>
          <w:bottom w:val="single" w:sz="4" w:space="1" w:color="3C5AA0" w:themeColor="text1"/>
        </w:pBdr>
        <w:spacing w:after="0" w:line="240" w:lineRule="auto"/>
        <w:jc w:val="both"/>
      </w:pPr>
      <w:r>
        <w:t>Types de réponses possibles : texte, image, lien vers site internet par ex., numéro de téléphone (pas de vidéo car celles existantes à l’ÉS sont trop longues)</w:t>
      </w:r>
    </w:p>
    <w:p w:rsidR="006B6C68" w:rsidRDefault="006B6C68" w:rsidP="0054280B">
      <w:pPr>
        <w:pBdr>
          <w:bottom w:val="single" w:sz="4" w:space="1" w:color="3C5AA0" w:themeColor="text1"/>
        </w:pBdr>
        <w:spacing w:after="0" w:line="240" w:lineRule="auto"/>
        <w:jc w:val="both"/>
      </w:pPr>
    </w:p>
    <w:p w:rsidR="00EB16A1" w:rsidRDefault="0054280B" w:rsidP="0054280B">
      <w:pPr>
        <w:pBdr>
          <w:bottom w:val="single" w:sz="4" w:space="1" w:color="3C5AA0" w:themeColor="text1"/>
        </w:pBdr>
        <w:spacing w:after="0" w:line="240" w:lineRule="auto"/>
        <w:jc w:val="both"/>
      </w:pPr>
      <w:r>
        <w:t xml:space="preserve">La réponse ne doit pas être en code pour que l’on puisse modifier la base de connaissance =&gt; </w:t>
      </w:r>
      <w:r w:rsidR="006B6C68" w:rsidRPr="0054280B">
        <w:t>système de mise à jour à prévoir</w:t>
      </w:r>
      <w:r w:rsidR="00EB16A1" w:rsidRPr="00EB16A1">
        <w:t xml:space="preserve"> </w:t>
      </w:r>
    </w:p>
    <w:p w:rsidR="00F1500C" w:rsidRDefault="00EB16A1" w:rsidP="0054280B">
      <w:pPr>
        <w:pBdr>
          <w:bottom w:val="single" w:sz="4" w:space="1" w:color="3C5AA0" w:themeColor="text1"/>
        </w:pBdr>
        <w:spacing w:after="0" w:line="240" w:lineRule="auto"/>
        <w:jc w:val="both"/>
      </w:pPr>
      <w:r>
        <w:t xml:space="preserve">=&gt; Voir comment rendre modifiable par ÉS les </w:t>
      </w:r>
      <w:proofErr w:type="spellStart"/>
      <w:r>
        <w:t>questions+réponses</w:t>
      </w:r>
      <w:proofErr w:type="spellEnd"/>
      <w:r>
        <w:t xml:space="preserve"> (XML, BDD …)</w:t>
      </w:r>
    </w:p>
    <w:p w:rsidR="0054280B" w:rsidRDefault="0054280B" w:rsidP="0054280B">
      <w:pPr>
        <w:pBdr>
          <w:bottom w:val="single" w:sz="4" w:space="1" w:color="3C5AA0" w:themeColor="text1"/>
        </w:pBdr>
        <w:spacing w:after="0" w:line="240" w:lineRule="auto"/>
        <w:jc w:val="both"/>
      </w:pPr>
    </w:p>
    <w:p w:rsidR="0054280B" w:rsidRDefault="0054280B" w:rsidP="0054280B">
      <w:pPr>
        <w:pBdr>
          <w:bottom w:val="single" w:sz="4" w:space="1" w:color="3C5AA0" w:themeColor="text1"/>
        </w:pBdr>
        <w:spacing w:after="0" w:line="240" w:lineRule="auto"/>
        <w:jc w:val="both"/>
        <w:rPr>
          <w:b/>
          <w:color w:val="3C5AA0" w:themeColor="text1"/>
        </w:rPr>
      </w:pPr>
    </w:p>
    <w:p w:rsidR="009F7A5B" w:rsidRPr="00F37409" w:rsidRDefault="00F37409" w:rsidP="0054280B">
      <w:pPr>
        <w:pBdr>
          <w:bottom w:val="single" w:sz="4" w:space="1" w:color="3C5AA0" w:themeColor="text1"/>
        </w:pBdr>
        <w:spacing w:after="0" w:line="240" w:lineRule="auto"/>
        <w:jc w:val="both"/>
        <w:rPr>
          <w:b/>
          <w:color w:val="3C5AA0" w:themeColor="text1"/>
        </w:rPr>
      </w:pPr>
      <w:r w:rsidRPr="00F37409">
        <w:rPr>
          <w:b/>
          <w:color w:val="3C5AA0" w:themeColor="text1"/>
        </w:rPr>
        <w:t xml:space="preserve">Points de sortie </w:t>
      </w:r>
    </w:p>
    <w:p w:rsidR="00F37409" w:rsidRDefault="00F37409" w:rsidP="0054280B">
      <w:pPr>
        <w:spacing w:after="0" w:line="240" w:lineRule="auto"/>
        <w:jc w:val="both"/>
      </w:pPr>
    </w:p>
    <w:p w:rsidR="0054280B" w:rsidRPr="0054280B" w:rsidRDefault="0054280B" w:rsidP="0054280B">
      <w:pPr>
        <w:spacing w:after="0" w:line="240" w:lineRule="auto"/>
        <w:jc w:val="both"/>
        <w:rPr>
          <w:b/>
        </w:rPr>
      </w:pPr>
      <w:r w:rsidRPr="0054280B">
        <w:rPr>
          <w:b/>
        </w:rPr>
        <w:t>Attendus d’</w:t>
      </w:r>
      <w:proofErr w:type="spellStart"/>
      <w:r w:rsidRPr="0054280B">
        <w:rPr>
          <w:b/>
        </w:rPr>
        <w:t>Epitech</w:t>
      </w:r>
      <w:proofErr w:type="spellEnd"/>
    </w:p>
    <w:p w:rsidR="00ED7136" w:rsidRDefault="0054280B" w:rsidP="0054280B">
      <w:pPr>
        <w:spacing w:after="0" w:line="240" w:lineRule="auto"/>
        <w:jc w:val="both"/>
      </w:pPr>
      <w:proofErr w:type="spellStart"/>
      <w:r>
        <w:t>Mock</w:t>
      </w:r>
      <w:proofErr w:type="spellEnd"/>
      <w:r>
        <w:t xml:space="preserve"> up montrant les parcours clients pour le 15/04 </w:t>
      </w:r>
    </w:p>
    <w:p w:rsidR="0054280B" w:rsidRDefault="0054280B" w:rsidP="0054280B">
      <w:pPr>
        <w:spacing w:after="0" w:line="240" w:lineRule="auto"/>
        <w:jc w:val="both"/>
        <w:rPr>
          <w:b/>
        </w:rPr>
      </w:pPr>
    </w:p>
    <w:p w:rsidR="00DC0269" w:rsidRPr="0054280B" w:rsidRDefault="0054280B" w:rsidP="0054280B">
      <w:pPr>
        <w:spacing w:after="0" w:line="240" w:lineRule="auto"/>
        <w:jc w:val="both"/>
        <w:rPr>
          <w:b/>
        </w:rPr>
      </w:pPr>
      <w:r w:rsidRPr="0054280B">
        <w:rPr>
          <w:b/>
        </w:rPr>
        <w:t>Attendus d’ÉS</w:t>
      </w:r>
    </w:p>
    <w:p w:rsidR="0054280B" w:rsidRPr="00C24564" w:rsidRDefault="0054280B" w:rsidP="0054280B">
      <w:pPr>
        <w:spacing w:after="0" w:line="240" w:lineRule="auto"/>
        <w:jc w:val="both"/>
      </w:pPr>
      <w:r>
        <w:t xml:space="preserve">- Validation des </w:t>
      </w:r>
      <w:proofErr w:type="spellStart"/>
      <w:r>
        <w:t>mock</w:t>
      </w:r>
      <w:proofErr w:type="spellEnd"/>
      <w:r>
        <w:t xml:space="preserve"> up semaine du 25/04</w:t>
      </w:r>
    </w:p>
    <w:p w:rsidR="00FC129E" w:rsidRDefault="00FC129E" w:rsidP="00FC129E">
      <w:pPr>
        <w:spacing w:after="0" w:line="240" w:lineRule="auto"/>
        <w:jc w:val="both"/>
      </w:pPr>
      <w:r>
        <w:t>Pour</w:t>
      </w:r>
      <w:r w:rsidR="0054280B" w:rsidRPr="0054280B">
        <w:t xml:space="preserve"> </w:t>
      </w:r>
      <w:r>
        <w:t>la semaine du 11/04 :</w:t>
      </w:r>
    </w:p>
    <w:p w:rsidR="0054280B" w:rsidRDefault="00FC129E" w:rsidP="0054280B">
      <w:pPr>
        <w:spacing w:after="0" w:line="240" w:lineRule="auto"/>
        <w:jc w:val="both"/>
      </w:pPr>
      <w:r>
        <w:t xml:space="preserve">- </w:t>
      </w:r>
      <w:r w:rsidR="0054280B">
        <w:t xml:space="preserve">envoi de l’arbre de questions + réponses si possible par rapport aux parcours envisagés - </w:t>
      </w:r>
      <w:r>
        <w:t>envoi des questions associées à la facture de régularisation de mensualisation</w:t>
      </w:r>
    </w:p>
    <w:p w:rsidR="00A36995" w:rsidRDefault="00A36995" w:rsidP="0054280B">
      <w:pPr>
        <w:tabs>
          <w:tab w:val="left" w:pos="1236"/>
        </w:tabs>
        <w:spacing w:after="0" w:line="240" w:lineRule="auto"/>
      </w:pPr>
    </w:p>
    <w:p w:rsidR="009F0387" w:rsidRDefault="009F0387" w:rsidP="009F0387">
      <w:pPr>
        <w:tabs>
          <w:tab w:val="left" w:pos="1236"/>
        </w:tabs>
        <w:spacing w:after="0" w:line="240" w:lineRule="auto"/>
        <w:jc w:val="center"/>
        <w:rPr>
          <w:b/>
        </w:rPr>
      </w:pPr>
    </w:p>
    <w:p w:rsidR="009F0387" w:rsidRDefault="009F0387" w:rsidP="009F0387">
      <w:pPr>
        <w:tabs>
          <w:tab w:val="left" w:pos="1236"/>
        </w:tabs>
        <w:spacing w:after="0" w:line="240" w:lineRule="auto"/>
        <w:jc w:val="center"/>
        <w:rPr>
          <w:b/>
        </w:rPr>
      </w:pPr>
      <w:r w:rsidRPr="009F0387">
        <w:rPr>
          <w:b/>
        </w:rPr>
        <w:t>Proposition de dates pour la prochaine réunion : mardi 17/05 de 15h à 17h ou jeudi 19/05 de 9h à 11h</w:t>
      </w:r>
    </w:p>
    <w:p w:rsidR="009F0387" w:rsidRPr="009F0387" w:rsidRDefault="009F0387" w:rsidP="009F0387">
      <w:pPr>
        <w:tabs>
          <w:tab w:val="left" w:pos="1236"/>
        </w:tabs>
        <w:spacing w:after="0" w:line="240" w:lineRule="auto"/>
        <w:jc w:val="center"/>
        <w:rPr>
          <w:b/>
        </w:rPr>
      </w:pPr>
      <w:r>
        <w:rPr>
          <w:b/>
        </w:rPr>
        <w:t xml:space="preserve">=&gt; En attente retour </w:t>
      </w:r>
      <w:proofErr w:type="spellStart"/>
      <w:r>
        <w:rPr>
          <w:b/>
        </w:rPr>
        <w:t>Epitech</w:t>
      </w:r>
      <w:proofErr w:type="spellEnd"/>
    </w:p>
    <w:p w:rsidR="00ED7136" w:rsidRDefault="00ED7136" w:rsidP="0054280B">
      <w:pPr>
        <w:tabs>
          <w:tab w:val="left" w:pos="1236"/>
        </w:tabs>
        <w:spacing w:after="0" w:line="240" w:lineRule="auto"/>
      </w:pPr>
    </w:p>
    <w:sectPr w:rsidR="00ED7136" w:rsidSect="0054280B">
      <w:footerReference w:type="default" r:id="rId1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A9C" w:rsidRDefault="007E5A9C" w:rsidP="00731232">
      <w:pPr>
        <w:spacing w:after="0" w:line="240" w:lineRule="auto"/>
      </w:pPr>
      <w:r>
        <w:separator/>
      </w:r>
    </w:p>
  </w:endnote>
  <w:endnote w:type="continuationSeparator" w:id="0">
    <w:p w:rsidR="007E5A9C" w:rsidRDefault="007E5A9C" w:rsidP="0073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232" w:rsidRDefault="00731232" w:rsidP="00731232">
    <w:pPr>
      <w:pStyle w:val="Pieddepage"/>
      <w:rPr>
        <w:color w:val="808080" w:themeColor="background1" w:themeShade="80"/>
        <w:sz w:val="18"/>
      </w:rPr>
    </w:pPr>
    <w:r w:rsidRPr="00731232">
      <w:rPr>
        <w:color w:val="808080" w:themeColor="background1" w:themeShade="80"/>
        <w:sz w:val="18"/>
      </w:rPr>
      <w:t xml:space="preserve">KF – S3E_Mkg relationnel </w:t>
    </w:r>
  </w:p>
  <w:p w:rsidR="00224DC2" w:rsidRPr="00731232" w:rsidRDefault="002124A9" w:rsidP="00D86524">
    <w:pPr>
      <w:pStyle w:val="Pieddepage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07</w:t>
    </w:r>
    <w:r w:rsidR="00D86524">
      <w:rPr>
        <w:color w:val="808080" w:themeColor="background1" w:themeShade="80"/>
        <w:sz w:val="18"/>
      </w:rPr>
      <w:t>/0</w:t>
    </w:r>
    <w:r>
      <w:rPr>
        <w:color w:val="808080" w:themeColor="background1" w:themeShade="80"/>
        <w:sz w:val="18"/>
      </w:rPr>
      <w:t>4</w:t>
    </w:r>
    <w:r w:rsidR="00D86524">
      <w:rPr>
        <w:color w:val="808080" w:themeColor="background1" w:themeShade="80"/>
        <w:sz w:val="18"/>
      </w:rPr>
      <w:t>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A9C" w:rsidRDefault="007E5A9C" w:rsidP="00731232">
      <w:pPr>
        <w:spacing w:after="0" w:line="240" w:lineRule="auto"/>
      </w:pPr>
      <w:r>
        <w:separator/>
      </w:r>
    </w:p>
  </w:footnote>
  <w:footnote w:type="continuationSeparator" w:id="0">
    <w:p w:rsidR="007E5A9C" w:rsidRDefault="007E5A9C" w:rsidP="00731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2.25pt;height:101.25pt" o:bullet="t">
        <v:imagedata r:id="rId1" o:title="art5F5D"/>
      </v:shape>
    </w:pict>
  </w:numPicBullet>
  <w:abstractNum w:abstractNumId="0">
    <w:nsid w:val="002C4121"/>
    <w:multiLevelType w:val="hybridMultilevel"/>
    <w:tmpl w:val="A4D868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E3649"/>
    <w:multiLevelType w:val="hybridMultilevel"/>
    <w:tmpl w:val="A9D6E878"/>
    <w:lvl w:ilvl="0" w:tplc="F5B002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D4EB7C">
      <w:start w:val="31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8580A">
      <w:start w:val="317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8EB86">
      <w:start w:val="3170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1C53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9807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48DB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385A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0408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FF841FC"/>
    <w:multiLevelType w:val="hybridMultilevel"/>
    <w:tmpl w:val="255CC15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3D57A3"/>
    <w:multiLevelType w:val="hybridMultilevel"/>
    <w:tmpl w:val="9976E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D52A5"/>
    <w:multiLevelType w:val="hybridMultilevel"/>
    <w:tmpl w:val="BCC42D8C"/>
    <w:lvl w:ilvl="0" w:tplc="64208ADE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7162F"/>
    <w:multiLevelType w:val="hybridMultilevel"/>
    <w:tmpl w:val="13CA8DDC"/>
    <w:lvl w:ilvl="0" w:tplc="AAB69D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B1CB0"/>
    <w:multiLevelType w:val="hybridMultilevel"/>
    <w:tmpl w:val="94286C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6571C"/>
    <w:multiLevelType w:val="hybridMultilevel"/>
    <w:tmpl w:val="7AC66026"/>
    <w:lvl w:ilvl="0" w:tplc="1BA60D8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040F6"/>
    <w:multiLevelType w:val="hybridMultilevel"/>
    <w:tmpl w:val="DD50F5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676FD"/>
    <w:multiLevelType w:val="hybridMultilevel"/>
    <w:tmpl w:val="11A8A5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2196E"/>
    <w:multiLevelType w:val="hybridMultilevel"/>
    <w:tmpl w:val="74FC59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60681"/>
    <w:multiLevelType w:val="hybridMultilevel"/>
    <w:tmpl w:val="DDBAB5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05A59"/>
    <w:multiLevelType w:val="hybridMultilevel"/>
    <w:tmpl w:val="3DFAF46C"/>
    <w:lvl w:ilvl="0" w:tplc="BD90C0D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F0054"/>
    <w:multiLevelType w:val="hybridMultilevel"/>
    <w:tmpl w:val="19CE7B96"/>
    <w:lvl w:ilvl="0" w:tplc="0C3802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6A57ED"/>
    <w:multiLevelType w:val="hybridMultilevel"/>
    <w:tmpl w:val="B756F79E"/>
    <w:lvl w:ilvl="0" w:tplc="0720AC5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266430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4F5D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BE8B0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E5196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722414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5A3C86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EA275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B2EB6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D456800"/>
    <w:multiLevelType w:val="hybridMultilevel"/>
    <w:tmpl w:val="DED64F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A0B3C"/>
    <w:multiLevelType w:val="hybridMultilevel"/>
    <w:tmpl w:val="E4B6CD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F1FE7"/>
    <w:multiLevelType w:val="hybridMultilevel"/>
    <w:tmpl w:val="12A48E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27B5C"/>
    <w:multiLevelType w:val="hybridMultilevel"/>
    <w:tmpl w:val="8022FEB4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820328B"/>
    <w:multiLevelType w:val="hybridMultilevel"/>
    <w:tmpl w:val="5F22FF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674BF"/>
    <w:multiLevelType w:val="hybridMultilevel"/>
    <w:tmpl w:val="65C820E2"/>
    <w:lvl w:ilvl="0" w:tplc="92CAB68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3"/>
  </w:num>
  <w:num w:numId="5">
    <w:abstractNumId w:val="7"/>
  </w:num>
  <w:num w:numId="6">
    <w:abstractNumId w:val="20"/>
  </w:num>
  <w:num w:numId="7">
    <w:abstractNumId w:val="12"/>
  </w:num>
  <w:num w:numId="8">
    <w:abstractNumId w:val="4"/>
  </w:num>
  <w:num w:numId="9">
    <w:abstractNumId w:val="18"/>
  </w:num>
  <w:num w:numId="10">
    <w:abstractNumId w:val="14"/>
  </w:num>
  <w:num w:numId="11">
    <w:abstractNumId w:val="11"/>
  </w:num>
  <w:num w:numId="12">
    <w:abstractNumId w:val="1"/>
  </w:num>
  <w:num w:numId="13">
    <w:abstractNumId w:val="16"/>
  </w:num>
  <w:num w:numId="14">
    <w:abstractNumId w:val="19"/>
  </w:num>
  <w:num w:numId="15">
    <w:abstractNumId w:val="0"/>
  </w:num>
  <w:num w:numId="16">
    <w:abstractNumId w:val="10"/>
  </w:num>
  <w:num w:numId="17">
    <w:abstractNumId w:val="6"/>
  </w:num>
  <w:num w:numId="18">
    <w:abstractNumId w:val="3"/>
  </w:num>
  <w:num w:numId="19">
    <w:abstractNumId w:val="8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13"/>
    <w:rsid w:val="0008565A"/>
    <w:rsid w:val="000B7307"/>
    <w:rsid w:val="000E60FE"/>
    <w:rsid w:val="00101C6A"/>
    <w:rsid w:val="0013159C"/>
    <w:rsid w:val="00190275"/>
    <w:rsid w:val="001B7442"/>
    <w:rsid w:val="001F7EB8"/>
    <w:rsid w:val="002124A9"/>
    <w:rsid w:val="00214044"/>
    <w:rsid w:val="00222C0D"/>
    <w:rsid w:val="00224DC2"/>
    <w:rsid w:val="002A4133"/>
    <w:rsid w:val="002B0C4A"/>
    <w:rsid w:val="002C6780"/>
    <w:rsid w:val="00304289"/>
    <w:rsid w:val="003155C4"/>
    <w:rsid w:val="00341D3C"/>
    <w:rsid w:val="0037770D"/>
    <w:rsid w:val="00383BF6"/>
    <w:rsid w:val="00386B50"/>
    <w:rsid w:val="0039099A"/>
    <w:rsid w:val="00397B94"/>
    <w:rsid w:val="003D7ABE"/>
    <w:rsid w:val="003F1544"/>
    <w:rsid w:val="004319CE"/>
    <w:rsid w:val="0044074C"/>
    <w:rsid w:val="0044387F"/>
    <w:rsid w:val="00467E17"/>
    <w:rsid w:val="004729A9"/>
    <w:rsid w:val="00474DD3"/>
    <w:rsid w:val="004865BE"/>
    <w:rsid w:val="00493886"/>
    <w:rsid w:val="00496D0F"/>
    <w:rsid w:val="004B703E"/>
    <w:rsid w:val="004F06B1"/>
    <w:rsid w:val="005211F6"/>
    <w:rsid w:val="0054280B"/>
    <w:rsid w:val="005974B1"/>
    <w:rsid w:val="005D0BBE"/>
    <w:rsid w:val="005D2ED9"/>
    <w:rsid w:val="005F5C18"/>
    <w:rsid w:val="00613339"/>
    <w:rsid w:val="00680691"/>
    <w:rsid w:val="00682599"/>
    <w:rsid w:val="00683E57"/>
    <w:rsid w:val="0069537D"/>
    <w:rsid w:val="006B6C68"/>
    <w:rsid w:val="006F4D45"/>
    <w:rsid w:val="0071224C"/>
    <w:rsid w:val="00721534"/>
    <w:rsid w:val="00731232"/>
    <w:rsid w:val="0073226A"/>
    <w:rsid w:val="00750CEE"/>
    <w:rsid w:val="007D27F9"/>
    <w:rsid w:val="007E5A9C"/>
    <w:rsid w:val="007F3A6D"/>
    <w:rsid w:val="00840CE9"/>
    <w:rsid w:val="00847DE2"/>
    <w:rsid w:val="00855F5F"/>
    <w:rsid w:val="008A422D"/>
    <w:rsid w:val="008A46AE"/>
    <w:rsid w:val="008B5E89"/>
    <w:rsid w:val="008F3DEA"/>
    <w:rsid w:val="00917D36"/>
    <w:rsid w:val="009444E4"/>
    <w:rsid w:val="00953EBF"/>
    <w:rsid w:val="0097700A"/>
    <w:rsid w:val="00983913"/>
    <w:rsid w:val="009A3B1A"/>
    <w:rsid w:val="009F0387"/>
    <w:rsid w:val="009F7A5B"/>
    <w:rsid w:val="00A164FD"/>
    <w:rsid w:val="00A24CE1"/>
    <w:rsid w:val="00A36995"/>
    <w:rsid w:val="00A42C1E"/>
    <w:rsid w:val="00A52C55"/>
    <w:rsid w:val="00AB2779"/>
    <w:rsid w:val="00AE17ED"/>
    <w:rsid w:val="00B33CEC"/>
    <w:rsid w:val="00B345B8"/>
    <w:rsid w:val="00B35E63"/>
    <w:rsid w:val="00B91178"/>
    <w:rsid w:val="00B9474F"/>
    <w:rsid w:val="00BE39AA"/>
    <w:rsid w:val="00C24564"/>
    <w:rsid w:val="00C50A87"/>
    <w:rsid w:val="00C575FA"/>
    <w:rsid w:val="00C815B9"/>
    <w:rsid w:val="00C952CF"/>
    <w:rsid w:val="00CB760D"/>
    <w:rsid w:val="00CF618F"/>
    <w:rsid w:val="00D178D8"/>
    <w:rsid w:val="00D45730"/>
    <w:rsid w:val="00D8606F"/>
    <w:rsid w:val="00D86524"/>
    <w:rsid w:val="00D92640"/>
    <w:rsid w:val="00DC0269"/>
    <w:rsid w:val="00DE787D"/>
    <w:rsid w:val="00E40DE5"/>
    <w:rsid w:val="00E47640"/>
    <w:rsid w:val="00E52898"/>
    <w:rsid w:val="00E7518F"/>
    <w:rsid w:val="00E82926"/>
    <w:rsid w:val="00EB16A1"/>
    <w:rsid w:val="00EB230B"/>
    <w:rsid w:val="00EB5A5D"/>
    <w:rsid w:val="00ED7136"/>
    <w:rsid w:val="00EE00B0"/>
    <w:rsid w:val="00F1500C"/>
    <w:rsid w:val="00F27660"/>
    <w:rsid w:val="00F37409"/>
    <w:rsid w:val="00FA61AA"/>
    <w:rsid w:val="00FB07C2"/>
    <w:rsid w:val="00FC129E"/>
    <w:rsid w:val="00FC6370"/>
    <w:rsid w:val="00FD13F2"/>
    <w:rsid w:val="00FE12F7"/>
    <w:rsid w:val="00FF30F2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E89"/>
    <w:pPr>
      <w:ind w:left="720"/>
      <w:contextualSpacing/>
    </w:pPr>
  </w:style>
  <w:style w:type="paragraph" w:styleId="Textebrut">
    <w:name w:val="Plain Text"/>
    <w:basedOn w:val="Normal"/>
    <w:link w:val="TextebrutCar"/>
    <w:uiPriority w:val="99"/>
    <w:semiHidden/>
    <w:unhideWhenUsed/>
    <w:rsid w:val="0073226A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3226A"/>
    <w:rPr>
      <w:rFonts w:ascii="Calibri" w:hAnsi="Calibri" w:cs="Consolas"/>
      <w:szCs w:val="21"/>
    </w:rPr>
  </w:style>
  <w:style w:type="paragraph" w:styleId="En-tte">
    <w:name w:val="header"/>
    <w:basedOn w:val="Normal"/>
    <w:link w:val="En-tteCar"/>
    <w:uiPriority w:val="99"/>
    <w:unhideWhenUsed/>
    <w:rsid w:val="0073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1232"/>
  </w:style>
  <w:style w:type="paragraph" w:styleId="Pieddepage">
    <w:name w:val="footer"/>
    <w:basedOn w:val="Normal"/>
    <w:link w:val="PieddepageCar"/>
    <w:uiPriority w:val="99"/>
    <w:unhideWhenUsed/>
    <w:rsid w:val="0073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1232"/>
  </w:style>
  <w:style w:type="character" w:styleId="Lienhypertexte">
    <w:name w:val="Hyperlink"/>
    <w:basedOn w:val="Policepardfaut"/>
    <w:uiPriority w:val="99"/>
    <w:unhideWhenUsed/>
    <w:rsid w:val="00E52898"/>
    <w:rPr>
      <w:color w:val="96C8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78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4A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1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55F5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55F5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55F5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55F5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55F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E89"/>
    <w:pPr>
      <w:ind w:left="720"/>
      <w:contextualSpacing/>
    </w:pPr>
  </w:style>
  <w:style w:type="paragraph" w:styleId="Textebrut">
    <w:name w:val="Plain Text"/>
    <w:basedOn w:val="Normal"/>
    <w:link w:val="TextebrutCar"/>
    <w:uiPriority w:val="99"/>
    <w:semiHidden/>
    <w:unhideWhenUsed/>
    <w:rsid w:val="0073226A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3226A"/>
    <w:rPr>
      <w:rFonts w:ascii="Calibri" w:hAnsi="Calibri" w:cs="Consolas"/>
      <w:szCs w:val="21"/>
    </w:rPr>
  </w:style>
  <w:style w:type="paragraph" w:styleId="En-tte">
    <w:name w:val="header"/>
    <w:basedOn w:val="Normal"/>
    <w:link w:val="En-tteCar"/>
    <w:uiPriority w:val="99"/>
    <w:unhideWhenUsed/>
    <w:rsid w:val="0073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1232"/>
  </w:style>
  <w:style w:type="paragraph" w:styleId="Pieddepage">
    <w:name w:val="footer"/>
    <w:basedOn w:val="Normal"/>
    <w:link w:val="PieddepageCar"/>
    <w:uiPriority w:val="99"/>
    <w:unhideWhenUsed/>
    <w:rsid w:val="0073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1232"/>
  </w:style>
  <w:style w:type="character" w:styleId="Lienhypertexte">
    <w:name w:val="Hyperlink"/>
    <w:basedOn w:val="Policepardfaut"/>
    <w:uiPriority w:val="99"/>
    <w:unhideWhenUsed/>
    <w:rsid w:val="00E52898"/>
    <w:rPr>
      <w:color w:val="96C8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78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4A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1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55F5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55F5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55F5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55F5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55F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resentation_es_2014">
  <a:themeElements>
    <a:clrScheme name="Groupe ES">
      <a:dk1>
        <a:srgbClr val="3C5AA0"/>
      </a:dk1>
      <a:lt1>
        <a:srgbClr val="FFFFFF"/>
      </a:lt1>
      <a:dk2>
        <a:srgbClr val="324C88"/>
      </a:dk2>
      <a:lt2>
        <a:srgbClr val="E1E6FA"/>
      </a:lt2>
      <a:accent1>
        <a:srgbClr val="E1E6FA"/>
      </a:accent1>
      <a:accent2>
        <a:srgbClr val="96C800"/>
      </a:accent2>
      <a:accent3>
        <a:srgbClr val="8CA0C8"/>
      </a:accent3>
      <a:accent4>
        <a:srgbClr val="324C88"/>
      </a:accent4>
      <a:accent5>
        <a:srgbClr val="A5A5A5"/>
      </a:accent5>
      <a:accent6>
        <a:srgbClr val="FFC000"/>
      </a:accent6>
      <a:hlink>
        <a:srgbClr val="96C800"/>
      </a:hlink>
      <a:folHlink>
        <a:srgbClr val="FF6600"/>
      </a:folHlink>
    </a:clrScheme>
    <a:fontScheme name="Groupe ES">
      <a:majorFont>
        <a:latin typeface="Arial Narrow"/>
        <a:ea typeface=""/>
        <a:cs typeface="Arial"/>
      </a:majorFont>
      <a:minorFont>
        <a:latin typeface="Arial Narrow"/>
        <a:ea typeface=""/>
        <a:cs typeface="Arial"/>
      </a:minorFont>
    </a:fontScheme>
    <a:fmtScheme name="Horizon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Écho 1">
        <a:dk1>
          <a:srgbClr val="25252F"/>
        </a:dk1>
        <a:lt1>
          <a:srgbClr val="9999FF"/>
        </a:lt1>
        <a:dk2>
          <a:srgbClr val="000000"/>
        </a:dk2>
        <a:lt2>
          <a:srgbClr val="FFFFFF"/>
        </a:lt2>
        <a:accent1>
          <a:srgbClr val="3366FF"/>
        </a:accent1>
        <a:accent2>
          <a:srgbClr val="003399"/>
        </a:accent2>
        <a:accent3>
          <a:srgbClr val="AAAAAA"/>
        </a:accent3>
        <a:accent4>
          <a:srgbClr val="8282DA"/>
        </a:accent4>
        <a:accent5>
          <a:srgbClr val="ADB8FF"/>
        </a:accent5>
        <a:accent6>
          <a:srgbClr val="002D8A"/>
        </a:accent6>
        <a:hlink>
          <a:srgbClr val="009999"/>
        </a:hlink>
        <a:folHlink>
          <a:srgbClr val="B2B2B2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Écho 2">
        <a:dk1>
          <a:srgbClr val="314183"/>
        </a:dk1>
        <a:lt1>
          <a:srgbClr val="FFFFFF"/>
        </a:lt1>
        <a:dk2>
          <a:srgbClr val="0B1E45"/>
        </a:dk2>
        <a:lt2>
          <a:srgbClr val="FFFFFF"/>
        </a:lt2>
        <a:accent1>
          <a:srgbClr val="6666FF"/>
        </a:accent1>
        <a:accent2>
          <a:srgbClr val="0066FF"/>
        </a:accent2>
        <a:accent3>
          <a:srgbClr val="AAABB0"/>
        </a:accent3>
        <a:accent4>
          <a:srgbClr val="DADADA"/>
        </a:accent4>
        <a:accent5>
          <a:srgbClr val="B8B8FF"/>
        </a:accent5>
        <a:accent6>
          <a:srgbClr val="005CE7"/>
        </a:accent6>
        <a:hlink>
          <a:srgbClr val="006699"/>
        </a:hlink>
        <a:folHlink>
          <a:srgbClr val="B2B2B2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Écho 3">
        <a:dk1>
          <a:srgbClr val="194349"/>
        </a:dk1>
        <a:lt1>
          <a:srgbClr val="FFFFCC"/>
        </a:lt1>
        <a:dk2>
          <a:srgbClr val="006666"/>
        </a:dk2>
        <a:lt2>
          <a:srgbClr val="FFFFFF"/>
        </a:lt2>
        <a:accent1>
          <a:srgbClr val="99CC00"/>
        </a:accent1>
        <a:accent2>
          <a:srgbClr val="00B6B2"/>
        </a:accent2>
        <a:accent3>
          <a:srgbClr val="AAB8B8"/>
        </a:accent3>
        <a:accent4>
          <a:srgbClr val="DADAAE"/>
        </a:accent4>
        <a:accent5>
          <a:srgbClr val="CAE2AA"/>
        </a:accent5>
        <a:accent6>
          <a:srgbClr val="00A5A1"/>
        </a:accent6>
        <a:hlink>
          <a:srgbClr val="669900"/>
        </a:hlink>
        <a:folHlink>
          <a:srgbClr val="6666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Écho 4">
        <a:dk1>
          <a:srgbClr val="194349"/>
        </a:dk1>
        <a:lt1>
          <a:srgbClr val="FFFFCC"/>
        </a:lt1>
        <a:dk2>
          <a:srgbClr val="0000FF"/>
        </a:dk2>
        <a:lt2>
          <a:srgbClr val="FFFFFF"/>
        </a:lt2>
        <a:accent1>
          <a:srgbClr val="0099FF"/>
        </a:accent1>
        <a:accent2>
          <a:srgbClr val="33CC33"/>
        </a:accent2>
        <a:accent3>
          <a:srgbClr val="AAAAFF"/>
        </a:accent3>
        <a:accent4>
          <a:srgbClr val="DADAAE"/>
        </a:accent4>
        <a:accent5>
          <a:srgbClr val="AACAFF"/>
        </a:accent5>
        <a:accent6>
          <a:srgbClr val="2DB92D"/>
        </a:accent6>
        <a:hlink>
          <a:srgbClr val="CC9900"/>
        </a:hlink>
        <a:folHlink>
          <a:srgbClr val="B2B2B2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Écho 5">
        <a:dk1>
          <a:srgbClr val="194349"/>
        </a:dk1>
        <a:lt1>
          <a:srgbClr val="FFFFCC"/>
        </a:lt1>
        <a:dk2>
          <a:srgbClr val="72A497"/>
        </a:dk2>
        <a:lt2>
          <a:srgbClr val="000000"/>
        </a:lt2>
        <a:accent1>
          <a:srgbClr val="805D32"/>
        </a:accent1>
        <a:accent2>
          <a:srgbClr val="7D2F3C"/>
        </a:accent2>
        <a:accent3>
          <a:srgbClr val="BCCFC9"/>
        </a:accent3>
        <a:accent4>
          <a:srgbClr val="DADAAE"/>
        </a:accent4>
        <a:accent5>
          <a:srgbClr val="C0B6AD"/>
        </a:accent5>
        <a:accent6>
          <a:srgbClr val="712A35"/>
        </a:accent6>
        <a:hlink>
          <a:srgbClr val="CC9900"/>
        </a:hlink>
        <a:folHlink>
          <a:srgbClr val="B2B2B2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Écho 6">
        <a:dk1>
          <a:srgbClr val="1C1C1C"/>
        </a:dk1>
        <a:lt1>
          <a:srgbClr val="FFFFFF"/>
        </a:lt1>
        <a:dk2>
          <a:srgbClr val="710F0F"/>
        </a:dk2>
        <a:lt2>
          <a:srgbClr val="FFFFFF"/>
        </a:lt2>
        <a:accent1>
          <a:srgbClr val="FF9900"/>
        </a:accent1>
        <a:accent2>
          <a:srgbClr val="FF3300"/>
        </a:accent2>
        <a:accent3>
          <a:srgbClr val="BBAAAA"/>
        </a:accent3>
        <a:accent4>
          <a:srgbClr val="DADADA"/>
        </a:accent4>
        <a:accent5>
          <a:srgbClr val="FFCAAA"/>
        </a:accent5>
        <a:accent6>
          <a:srgbClr val="E72D00"/>
        </a:accent6>
        <a:hlink>
          <a:srgbClr val="666699"/>
        </a:hlink>
        <a:folHlink>
          <a:srgbClr val="996633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Écho 7">
        <a:dk1>
          <a:srgbClr val="336666"/>
        </a:dk1>
        <a:lt1>
          <a:srgbClr val="FFFFFF"/>
        </a:lt1>
        <a:dk2>
          <a:srgbClr val="000000"/>
        </a:dk2>
        <a:lt2>
          <a:srgbClr val="666699"/>
        </a:lt2>
        <a:accent1>
          <a:srgbClr val="99CCCC"/>
        </a:accent1>
        <a:accent2>
          <a:srgbClr val="CCCCCC"/>
        </a:accent2>
        <a:accent3>
          <a:srgbClr val="FFFFFF"/>
        </a:accent3>
        <a:accent4>
          <a:srgbClr val="2A5656"/>
        </a:accent4>
        <a:accent5>
          <a:srgbClr val="CAE2E2"/>
        </a:accent5>
        <a:accent6>
          <a:srgbClr val="B9B9B9"/>
        </a:accent6>
        <a:hlink>
          <a:srgbClr val="006666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Écho 8">
        <a:dk1>
          <a:srgbClr val="000000"/>
        </a:dk1>
        <a:lt1>
          <a:srgbClr val="FFFFFF"/>
        </a:lt1>
        <a:dk2>
          <a:srgbClr val="000000"/>
        </a:dk2>
        <a:lt2>
          <a:srgbClr val="666699"/>
        </a:lt2>
        <a:accent1>
          <a:srgbClr val="FF9900"/>
        </a:accent1>
        <a:accent2>
          <a:srgbClr val="FF0000"/>
        </a:accent2>
        <a:accent3>
          <a:srgbClr val="FFFFFF"/>
        </a:accent3>
        <a:accent4>
          <a:srgbClr val="000000"/>
        </a:accent4>
        <a:accent5>
          <a:srgbClr val="FFCAAA"/>
        </a:accent5>
        <a:accent6>
          <a:srgbClr val="E70000"/>
        </a:accent6>
        <a:hlink>
          <a:srgbClr val="336699"/>
        </a:hlink>
        <a:folHlink>
          <a:srgbClr val="80808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Écho 9">
        <a:dk1>
          <a:srgbClr val="000000"/>
        </a:dk1>
        <a:lt1>
          <a:srgbClr val="FFFFFF"/>
        </a:lt1>
        <a:dk2>
          <a:srgbClr val="000000"/>
        </a:dk2>
        <a:lt2>
          <a:srgbClr val="666699"/>
        </a:lt2>
        <a:accent1>
          <a:srgbClr val="CC3300"/>
        </a:accent1>
        <a:accent2>
          <a:srgbClr val="CC9900"/>
        </a:accent2>
        <a:accent3>
          <a:srgbClr val="FFFFFF"/>
        </a:accent3>
        <a:accent4>
          <a:srgbClr val="000000"/>
        </a:accent4>
        <a:accent5>
          <a:srgbClr val="E2ADAA"/>
        </a:accent5>
        <a:accent6>
          <a:srgbClr val="B98A00"/>
        </a:accent6>
        <a:hlink>
          <a:srgbClr val="CC6600"/>
        </a:hlink>
        <a:folHlink>
          <a:srgbClr val="80808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Écho 10">
        <a:dk1>
          <a:srgbClr val="000000"/>
        </a:dk1>
        <a:lt1>
          <a:srgbClr val="FFFFFF"/>
        </a:lt1>
        <a:dk2>
          <a:srgbClr val="000000"/>
        </a:dk2>
        <a:lt2>
          <a:srgbClr val="666699"/>
        </a:lt2>
        <a:accent1>
          <a:srgbClr val="666699"/>
        </a:accent1>
        <a:accent2>
          <a:srgbClr val="9999FF"/>
        </a:accent2>
        <a:accent3>
          <a:srgbClr val="FFFFFF"/>
        </a:accent3>
        <a:accent4>
          <a:srgbClr val="000000"/>
        </a:accent4>
        <a:accent5>
          <a:srgbClr val="B8B8CA"/>
        </a:accent5>
        <a:accent6>
          <a:srgbClr val="8A8AE7"/>
        </a:accent6>
        <a:hlink>
          <a:srgbClr val="3366FF"/>
        </a:hlink>
        <a:folHlink>
          <a:srgbClr val="80808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Écho 11">
        <a:dk1>
          <a:srgbClr val="3C5AA0"/>
        </a:dk1>
        <a:lt1>
          <a:srgbClr val="FFFFFF"/>
        </a:lt1>
        <a:dk2>
          <a:srgbClr val="FFFFFF"/>
        </a:dk2>
        <a:lt2>
          <a:srgbClr val="8CA0C8"/>
        </a:lt2>
        <a:accent1>
          <a:srgbClr val="E1E6FA"/>
        </a:accent1>
        <a:accent2>
          <a:srgbClr val="8D8D8D"/>
        </a:accent2>
        <a:accent3>
          <a:srgbClr val="FFFFFF"/>
        </a:accent3>
        <a:accent4>
          <a:srgbClr val="324C88"/>
        </a:accent4>
        <a:accent5>
          <a:srgbClr val="EEF0FC"/>
        </a:accent5>
        <a:accent6>
          <a:srgbClr val="7F7F7F"/>
        </a:accent6>
        <a:hlink>
          <a:srgbClr val="96C800"/>
        </a:hlink>
        <a:folHlink>
          <a:srgbClr val="FF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Écho 12">
        <a:dk1>
          <a:srgbClr val="3C5AA0"/>
        </a:dk1>
        <a:lt1>
          <a:srgbClr val="FFFFFF"/>
        </a:lt1>
        <a:dk2>
          <a:srgbClr val="FFFFFF"/>
        </a:dk2>
        <a:lt2>
          <a:srgbClr val="8CA0C8"/>
        </a:lt2>
        <a:accent1>
          <a:srgbClr val="E1E6FA"/>
        </a:accent1>
        <a:accent2>
          <a:srgbClr val="3C5AA0"/>
        </a:accent2>
        <a:accent3>
          <a:srgbClr val="FFFFFF"/>
        </a:accent3>
        <a:accent4>
          <a:srgbClr val="324C88"/>
        </a:accent4>
        <a:accent5>
          <a:srgbClr val="EEF0FC"/>
        </a:accent5>
        <a:accent6>
          <a:srgbClr val="355191"/>
        </a:accent6>
        <a:hlink>
          <a:srgbClr val="96C800"/>
        </a:hlink>
        <a:folHlink>
          <a:srgbClr val="FF66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7B1D-B149-45CE-8859-13FEEBB2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28D660EC.dotm</Template>
  <TotalTime>3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Electricité de Strasbourg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FAURE Karine</dc:creator>
  <cp:lastModifiedBy>FAURE Karine</cp:lastModifiedBy>
  <cp:revision>4</cp:revision>
  <dcterms:created xsi:type="dcterms:W3CDTF">2016-04-07T12:17:00Z</dcterms:created>
  <dcterms:modified xsi:type="dcterms:W3CDTF">2016-04-07T12:23:00Z</dcterms:modified>
</cp:coreProperties>
</file>