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1A1A2E"/>
          <w:sz w:val="56"/>
        </w:rPr>
        <w:t>ORIGINALFORM.ORG</w:t>
      </w:r>
    </w:p>
    <w:p>
      <w:pPr>
        <w:spacing w:after="80"/>
        <w:jc w:val="center"/>
      </w:pPr>
      <w:r>
        <w:rPr>
          <w:rFonts w:ascii="Calibri" w:hAnsi="Calibri"/>
          <w:b w:val="0"/>
          <w:i w:val="0"/>
          <w:color w:val="4A90D9"/>
          <w:sz w:val="32"/>
        </w:rPr>
        <w:t>12-Week Launch Strategy</w:t>
      </w:r>
    </w:p>
    <w:p>
      <w:pPr>
        <w:spacing w:after="80"/>
        <w:jc w:val="center"/>
      </w:pPr>
      <w:r>
        <w:rPr>
          <w:rFonts w:ascii="Calibri" w:hAnsi="Calibri"/>
          <w:b w:val="0"/>
          <w:i/>
          <w:color w:val="555566"/>
          <w:sz w:val="24"/>
        </w:rPr>
        <w:t>Product Launch Formula  ·  12 Week Year  ·  Make Time</w:t>
      </w:r>
    </w:p>
    <w:p>
      <w:pPr>
        <w:jc w:val="center"/>
      </w:pPr>
      <w:r>
        <w:rPr>
          <w:rFonts w:ascii="Calibri" w:hAnsi="Calibri"/>
          <w:b w:val="0"/>
          <w:i w:val="0"/>
          <w:color w:val="555566"/>
          <w:sz w:val="22"/>
        </w:rPr>
        <w:t>The Deprogramming Course — From Content to Paid Launch</w:t>
      </w:r>
    </w:p>
    <w:p>
      <w:r>
        <w:br w:type="page"/>
      </w:r>
    </w:p>
    <w:p>
      <w:pPr>
        <w:spacing w:before="360" w:after="120"/>
        <w:pBdr>
          <w:bottom w:val="single" w:sz="6" w:space="4" w:color="4A90D9"/>
        </w:pBdr>
      </w:pPr>
      <w:r>
        <w:rPr>
          <w:rFonts w:ascii="Calibri" w:hAnsi="Calibri"/>
          <w:b/>
          <w:i w:val="0"/>
          <w:color w:val="1A1A2E"/>
          <w:sz w:val="36"/>
        </w:rPr>
        <w:t>1. Situation &amp; Core Insight</w:t>
      </w:r>
    </w:p>
    <w:p>
      <w:pPr>
        <w:spacing w:before="40" w:after="120"/>
      </w:pPr>
      <w:r>
        <w:rPr>
          <w:rFonts w:ascii="Calibri" w:hAnsi="Calibri"/>
          <w:b w:val="0"/>
          <w:i w:val="0"/>
          <w:color w:val="0D0D0D"/>
          <w:sz w:val="22"/>
        </w:rPr>
        <w:t>originalform.org is a fully built digital garden on Next.js — live, published, and already loaded with real intellectual content: essays on propaganda, power, media, debt, and institutional conditioning. A complete course called Deprogramming exists with 30+ lessons. The newsletter is wired to MailerLite via signal@originalform.org. The infrastructure is done.</w:t>
      </w:r>
    </w:p>
    <w:p>
      <w:pPr>
        <w:spacing w:before="0" w:after="0"/>
      </w:pPr>
    </w:p>
    <w:p>
      <w:pPr>
        <w:spacing w:before="120" w:after="120"/>
        <w:ind w:left="432" w:right="432"/>
        <w:shd w:val="clear" w:color="auto" w:fill="FFF8E1"/>
      </w:pPr>
      <w:r>
        <w:rPr>
          <w:rFonts w:ascii="Calibri" w:hAnsi="Calibri"/>
          <w:b/>
          <w:i w:val="0"/>
          <w:color w:val="4A90D9"/>
          <w:sz w:val="22"/>
        </w:rPr>
        <w:t xml:space="preserve">The gap:  </w:t>
      </w:r>
      <w:r>
        <w:rPr>
          <w:rFonts w:ascii="Calibri" w:hAnsi="Calibri"/>
          <w:b w:val="0"/>
          <w:i w:val="0"/>
          <w:color w:val="0D0D0D"/>
          <w:sz w:val="22"/>
        </w:rPr>
        <w:t>The product exists. The audience does not — yet. The next 12 weeks close that gap using Jeff Walker's Product Launch Formula as the launch engine, the 12 Week Year as the execution container, and Make Time to protect the deep work that makes it possible.</w:t>
      </w:r>
    </w:p>
    <w:p>
      <w:pPr>
        <w:spacing w:before="0" w:after="0"/>
      </w:pPr>
    </w:p>
    <w:p>
      <w:pPr>
        <w:spacing w:before="240" w:after="120"/>
      </w:pPr>
      <w:r>
        <w:rPr>
          <w:rFonts w:ascii="Calibri" w:hAnsi="Calibri"/>
          <w:b/>
          <w:i w:val="0"/>
          <w:color w:val="4A90D9"/>
          <w:sz w:val="28"/>
        </w:rPr>
        <w:t>2. The Audience</w:t>
      </w:r>
    </w:p>
    <w:p>
      <w:pPr>
        <w:spacing w:before="40" w:after="120"/>
      </w:pPr>
      <w:r>
        <w:rPr>
          <w:rFonts w:ascii="Calibri" w:hAnsi="Calibri"/>
          <w:b w:val="0"/>
          <w:i w:val="0"/>
          <w:color w:val="0D0D0D"/>
          <w:sz w:val="22"/>
        </w:rPr>
        <w:t>Founders, intellectuals, and high-performers who sense that their thinking has been shaped by forces they have not fully examined — conditioning, media framing, institutional loyalty, social conformity. They are smart. That is the problem. They can build elegant rationalizations. The Deprogramming course gives them a framework to audit and reclaim their own cognition.</w:t>
      </w:r>
    </w:p>
    <w:p>
      <w:pPr>
        <w:spacing w:before="0" w:after="0"/>
      </w:pPr>
    </w:p>
    <w:p>
      <w:pPr>
        <w:spacing w:before="360" w:after="120"/>
        <w:pBdr>
          <w:bottom w:val="single" w:sz="6" w:space="4" w:color="4A90D9"/>
        </w:pBdr>
      </w:pPr>
      <w:r>
        <w:rPr>
          <w:rFonts w:ascii="Calibri" w:hAnsi="Calibri"/>
          <w:b/>
          <w:i w:val="0"/>
          <w:color w:val="1A1A2E"/>
          <w:sz w:val="36"/>
        </w:rPr>
        <w:t>3. The Three Frameworks</w:t>
      </w:r>
    </w:p>
    <w:p>
      <w:pPr>
        <w:spacing w:before="240" w:after="120"/>
      </w:pPr>
      <w:r>
        <w:rPr>
          <w:rFonts w:ascii="Calibri" w:hAnsi="Calibri"/>
          <w:b/>
          <w:i w:val="0"/>
          <w:color w:val="4A90D9"/>
          <w:sz w:val="28"/>
        </w:rPr>
        <w:t>Jeff Walker — Product Launch Formula (PLF)</w:t>
      </w:r>
    </w:p>
    <w:p>
      <w:pPr>
        <w:spacing w:before="40" w:after="120"/>
      </w:pPr>
      <w:r>
        <w:rPr>
          <w:rFonts w:ascii="Calibri" w:hAnsi="Calibri"/>
          <w:b w:val="0"/>
          <w:i w:val="0"/>
          <w:color w:val="0D0D0D"/>
          <w:sz w:val="22"/>
        </w:rPr>
        <w:t>PLF is a sequenced launch method built around psychological trust-building before asking for money. The core engine is the Sideways Sales Letter — instead of one long sales page, you deliver three pieces of free, high-value content (the Pre-Launch Sequence) over 7–10 days, then open the cart with a deadline. Each piece serves a psychological function:</w:t>
      </w:r>
    </w:p>
    <w:p>
      <w:pPr>
        <w:pStyle w:val="ListBullet"/>
        <w:spacing w:before="20" w:after="60"/>
        <w:ind w:left="432"/>
      </w:pPr>
      <w:r>
        <w:rPr>
          <w:rFonts w:ascii="Calibri" w:hAnsi="Calibri"/>
          <w:b w:val="0"/>
          <w:i w:val="0"/>
          <w:color w:val="0D0D0D"/>
          <w:sz w:val="22"/>
        </w:rPr>
        <w:t>PLC #1 — The Opportunity: show the transformation possible, establish the problem</w:t>
      </w:r>
    </w:p>
    <w:p>
      <w:pPr>
        <w:pStyle w:val="ListBullet"/>
        <w:spacing w:before="20" w:after="60"/>
        <w:ind w:left="432"/>
      </w:pPr>
      <w:r>
        <w:rPr>
          <w:rFonts w:ascii="Calibri" w:hAnsi="Calibri"/>
          <w:b w:val="0"/>
          <w:i w:val="0"/>
          <w:color w:val="0D0D0D"/>
          <w:sz w:val="22"/>
        </w:rPr>
        <w:t>PLC #2 — The Teaching: give real, actionable value; build authority and reciprocity</w:t>
      </w:r>
    </w:p>
    <w:p>
      <w:pPr>
        <w:pStyle w:val="ListBullet"/>
        <w:spacing w:before="20" w:after="60"/>
        <w:ind w:left="432"/>
      </w:pPr>
      <w:r>
        <w:rPr>
          <w:rFonts w:ascii="Calibri" w:hAnsi="Calibri"/>
          <w:b w:val="0"/>
          <w:i w:val="0"/>
          <w:color w:val="0D0D0D"/>
          <w:sz w:val="22"/>
        </w:rPr>
        <w:t>PLC #3 — The Experience: social proof, case studies, vision of the community; handle objections</w:t>
      </w:r>
    </w:p>
    <w:p>
      <w:pPr>
        <w:spacing w:before="40" w:after="120"/>
      </w:pPr>
      <w:r>
        <w:rPr>
          <w:rFonts w:ascii="Calibri" w:hAnsi="Calibri"/>
          <w:b w:val="0"/>
          <w:i w:val="0"/>
          <w:color w:val="0D0D0D"/>
          <w:sz w:val="22"/>
        </w:rPr>
        <w:t>Cart opens after PLC #3. A 5–7 email sequence runs over 5–7 days. Cart closes with a hard deadline.</w:t>
      </w:r>
    </w:p>
    <w:p>
      <w:pPr>
        <w:spacing w:before="0" w:after="0"/>
      </w:pPr>
    </w:p>
    <w:p>
      <w:pPr>
        <w:spacing w:before="240" w:after="120"/>
      </w:pPr>
      <w:r>
        <w:rPr>
          <w:rFonts w:ascii="Calibri" w:hAnsi="Calibri"/>
          <w:b/>
          <w:i w:val="0"/>
          <w:color w:val="4A90D9"/>
          <w:sz w:val="28"/>
        </w:rPr>
        <w:t>The 12 Week Year</w:t>
      </w:r>
    </w:p>
    <w:p>
      <w:pPr>
        <w:spacing w:before="40" w:after="120"/>
      </w:pPr>
      <w:r>
        <w:rPr>
          <w:rFonts w:ascii="Calibri" w:hAnsi="Calibri"/>
          <w:b w:val="0"/>
          <w:i w:val="0"/>
          <w:color w:val="0D0D0D"/>
          <w:sz w:val="22"/>
        </w:rPr>
        <w:t>Treat 12 weeks as a complete year. Set 1–2 goals maximum. Build weekly execution plans. Score yourself each week (Did I execute my planned tasks? 85%+ = on track). Review every week. No annual planning, no drifting — just 12-week sprints with real accountability.</w:t>
      </w:r>
    </w:p>
    <w:p>
      <w:pPr>
        <w:pStyle w:val="ListBullet"/>
        <w:spacing w:before="20" w:after="60"/>
        <w:ind w:left="432"/>
      </w:pPr>
      <w:r>
        <w:rPr>
          <w:rFonts w:ascii="Calibri" w:hAnsi="Calibri"/>
          <w:b w:val="0"/>
          <w:i w:val="0"/>
          <w:color w:val="0D0D0D"/>
          <w:sz w:val="22"/>
        </w:rPr>
        <w:t>Goal 1: Launch the Deprogramming course and make first sales</w:t>
      </w:r>
    </w:p>
    <w:p>
      <w:pPr>
        <w:pStyle w:val="ListBullet"/>
        <w:spacing w:before="20" w:after="60"/>
        <w:ind w:left="432"/>
      </w:pPr>
      <w:r>
        <w:rPr>
          <w:rFonts w:ascii="Calibri" w:hAnsi="Calibri"/>
          <w:b w:val="0"/>
          <w:i w:val="0"/>
          <w:color w:val="0D0D0D"/>
          <w:sz w:val="22"/>
        </w:rPr>
        <w:t>Goal 2: Build the newsletter to 500 subscribers</w:t>
      </w:r>
    </w:p>
    <w:p>
      <w:pPr>
        <w:pStyle w:val="ListBullet"/>
        <w:spacing w:before="20" w:after="60"/>
        <w:ind w:left="432"/>
      </w:pPr>
      <w:r>
        <w:rPr>
          <w:rFonts w:ascii="Calibri" w:hAnsi="Calibri"/>
          <w:b w:val="0"/>
          <w:i w:val="0"/>
          <w:color w:val="0D0D0D"/>
          <w:sz w:val="22"/>
        </w:rPr>
        <w:t>Weekly scorecard: 3–5 lead measures tracked every Sunday</w:t>
      </w:r>
    </w:p>
    <w:p>
      <w:pPr>
        <w:spacing w:before="0" w:after="0"/>
      </w:pPr>
    </w:p>
    <w:p>
      <w:pPr>
        <w:spacing w:before="240" w:after="120"/>
      </w:pPr>
      <w:r>
        <w:rPr>
          <w:rFonts w:ascii="Calibri" w:hAnsi="Calibri"/>
          <w:b/>
          <w:i w:val="0"/>
          <w:color w:val="4A90D9"/>
          <w:sz w:val="28"/>
        </w:rPr>
        <w:t>Make Time</w:t>
      </w:r>
    </w:p>
    <w:p>
      <w:pPr>
        <w:spacing w:before="40" w:after="120"/>
      </w:pPr>
      <w:r>
        <w:rPr>
          <w:rFonts w:ascii="Calibri" w:hAnsi="Calibri"/>
          <w:b w:val="0"/>
          <w:i w:val="0"/>
          <w:color w:val="0D0D0D"/>
          <w:sz w:val="22"/>
        </w:rPr>
        <w:t>Each day, pick one Highlight — the single most important task for that day related to the launch. Protect 60–90 minutes of Laser time (no phone, no social, no open tabs). Energize (sleep, move, eat). Reflect (a single sentence at night: did I do my Highlight?).</w:t>
      </w:r>
    </w:p>
    <w:p>
      <w:pPr>
        <w:pStyle w:val="ListBullet"/>
        <w:spacing w:before="20" w:after="60"/>
        <w:ind w:left="432"/>
      </w:pPr>
      <w:r>
        <w:rPr>
          <w:rFonts w:ascii="Calibri" w:hAnsi="Calibri"/>
          <w:b w:val="0"/>
          <w:i w:val="0"/>
          <w:color w:val="0D0D0D"/>
          <w:sz w:val="22"/>
        </w:rPr>
        <w:t>Highlight examples: write PLC email, publish newsletter issue, record course module, write sales page section</w:t>
      </w:r>
    </w:p>
    <w:p>
      <w:pPr>
        <w:pStyle w:val="ListBullet"/>
        <w:spacing w:before="20" w:after="60"/>
        <w:ind w:left="432"/>
      </w:pPr>
      <w:r>
        <w:rPr>
          <w:rFonts w:ascii="Calibri" w:hAnsi="Calibri"/>
          <w:b w:val="0"/>
          <w:i w:val="0"/>
          <w:color w:val="0D0D0D"/>
          <w:sz w:val="22"/>
        </w:rPr>
        <w:t>Laser tactic: phone in another room, website blockers on during Highlight block</w:t>
      </w:r>
    </w:p>
    <w:p>
      <w:pPr>
        <w:spacing w:before="0" w:after="0"/>
      </w:pPr>
    </w:p>
    <w:p>
      <w:pPr>
        <w:spacing w:before="360" w:after="120"/>
        <w:pBdr>
          <w:bottom w:val="single" w:sz="6" w:space="4" w:color="4A90D9"/>
        </w:pBdr>
      </w:pPr>
      <w:r>
        <w:rPr>
          <w:rFonts w:ascii="Calibri" w:hAnsi="Calibri"/>
          <w:b/>
          <w:i w:val="0"/>
          <w:color w:val="1A1A2E"/>
          <w:sz w:val="36"/>
        </w:rPr>
        <w:t>4. The 12-Week Arc — Full Overview</w:t>
      </w:r>
    </w:p>
    <w:tbl>
      <w:tblPr>
        <w:tblStyle w:val="TableGrid"/>
        <w:tblW w:type="auto" w:w="0"/>
        <w:tblLook w:firstColumn="1" w:firstRow="1" w:lastColumn="0" w:lastRow="0" w:noHBand="0" w:noVBand="1" w:val="04A0"/>
      </w:tblPr>
      <w:tblGrid>
        <w:gridCol w:w="2928"/>
        <w:gridCol w:w="2928"/>
        <w:gridCol w:w="2928"/>
      </w:tblGrid>
      <w:tr>
        <w:tc>
          <w:tcPr>
            <w:tcW w:type="dxa" w:w="2928"/>
          </w:tcPr>
          <w:p>
            <w:pPr>
              <w:shd w:val="clear" w:color="auto" w:fill="1A1A2E"/>
            </w:pPr>
            <w:r>
              <w:rPr>
                <w:rFonts w:ascii="Calibri" w:hAnsi="Calibri"/>
                <w:b/>
                <w:i w:val="0"/>
                <w:color w:val="FFFFFF"/>
                <w:sz w:val="22"/>
              </w:rPr>
              <w:t>Phase</w:t>
            </w:r>
          </w:p>
        </w:tc>
        <w:tc>
          <w:tcPr>
            <w:tcW w:type="dxa" w:w="2928"/>
          </w:tcPr>
          <w:p>
            <w:pPr>
              <w:shd w:val="clear" w:color="auto" w:fill="1A1A2E"/>
            </w:pPr>
            <w:r>
              <w:rPr>
                <w:rFonts w:ascii="Calibri" w:hAnsi="Calibri"/>
                <w:b/>
                <w:i w:val="0"/>
                <w:color w:val="FFFFFF"/>
                <w:sz w:val="22"/>
              </w:rPr>
              <w:t>Weeks</w:t>
            </w:r>
          </w:p>
        </w:tc>
        <w:tc>
          <w:tcPr>
            <w:tcW w:type="dxa" w:w="2928"/>
          </w:tcPr>
          <w:p>
            <w:pPr>
              <w:shd w:val="clear" w:color="auto" w:fill="1A1A2E"/>
            </w:pPr>
            <w:r>
              <w:rPr>
                <w:rFonts w:ascii="Calibri" w:hAnsi="Calibri"/>
                <w:b/>
                <w:i w:val="0"/>
                <w:color w:val="FFFFFF"/>
                <w:sz w:val="22"/>
              </w:rPr>
              <w:t>Primary Goal</w:t>
            </w:r>
          </w:p>
        </w:tc>
      </w:tr>
      <w:tr>
        <w:tc>
          <w:tcPr>
            <w:tcW w:type="dxa" w:w="2928"/>
          </w:tcPr>
          <w:p>
            <w:pPr>
              <w:spacing w:before="80" w:after="80"/>
            </w:pPr>
            <w:r>
              <w:rPr>
                <w:rFonts w:ascii="Calibri" w:hAnsi="Calibri"/>
                <w:b/>
                <w:i w:val="0"/>
                <w:color w:val="4A90D9"/>
                <w:sz w:val="20"/>
              </w:rPr>
              <w:t>SEED</w:t>
            </w:r>
          </w:p>
        </w:tc>
        <w:tc>
          <w:tcPr>
            <w:tcW w:type="dxa" w:w="2928"/>
          </w:tcPr>
          <w:p>
            <w:pPr>
              <w:spacing w:before="80" w:after="80"/>
            </w:pPr>
            <w:r>
              <w:rPr>
                <w:rFonts w:ascii="Calibri" w:hAnsi="Calibri"/>
                <w:b w:val="0"/>
                <w:i w:val="0"/>
                <w:color w:val="0D0D0D"/>
                <w:sz w:val="20"/>
              </w:rPr>
              <w:t>Weeks 1–3</w:t>
            </w:r>
          </w:p>
        </w:tc>
        <w:tc>
          <w:tcPr>
            <w:tcW w:type="dxa" w:w="2928"/>
          </w:tcPr>
          <w:p>
            <w:pPr>
              <w:spacing w:before="80" w:after="80"/>
            </w:pPr>
            <w:r>
              <w:rPr>
                <w:rFonts w:ascii="Calibri" w:hAnsi="Calibri"/>
                <w:b w:val="0"/>
                <w:i w:val="0"/>
                <w:color w:val="0D0D0D"/>
                <w:sz w:val="20"/>
              </w:rPr>
              <w:t>Launch the newsletter. Build the list. Publish cornerstone content.</w:t>
            </w:r>
          </w:p>
        </w:tc>
      </w:tr>
      <w:tr>
        <w:tc>
          <w:tcPr>
            <w:tcW w:type="dxa" w:w="2928"/>
          </w:tcPr>
          <w:p>
            <w:pPr>
              <w:spacing w:before="80" w:after="80"/>
            </w:pPr>
            <w:r>
              <w:rPr>
                <w:rFonts w:ascii="Calibri" w:hAnsi="Calibri"/>
                <w:b/>
                <w:i w:val="0"/>
                <w:color w:val="4A90D9"/>
                <w:sz w:val="20"/>
              </w:rPr>
              <w:t>WARM</w:t>
            </w:r>
          </w:p>
        </w:tc>
        <w:tc>
          <w:tcPr>
            <w:tcW w:type="dxa" w:w="2928"/>
          </w:tcPr>
          <w:p>
            <w:pPr>
              <w:spacing w:before="80" w:after="80"/>
            </w:pPr>
            <w:r>
              <w:rPr>
                <w:rFonts w:ascii="Calibri" w:hAnsi="Calibri"/>
                <w:b w:val="0"/>
                <w:i w:val="0"/>
                <w:color w:val="0D0D0D"/>
                <w:sz w:val="20"/>
              </w:rPr>
              <w:t>Weeks 4–6</w:t>
            </w:r>
          </w:p>
        </w:tc>
        <w:tc>
          <w:tcPr>
            <w:tcW w:type="dxa" w:w="2928"/>
          </w:tcPr>
          <w:p>
            <w:pPr>
              <w:spacing w:before="80" w:after="80"/>
            </w:pPr>
            <w:r>
              <w:rPr>
                <w:rFonts w:ascii="Calibri" w:hAnsi="Calibri"/>
                <w:b w:val="0"/>
                <w:i w:val="0"/>
                <w:color w:val="0D0D0D"/>
                <w:sz w:val="20"/>
              </w:rPr>
              <w:t>Pre-Launch Content Sequence (PLF). Open the waitlist.</w:t>
            </w:r>
          </w:p>
        </w:tc>
      </w:tr>
      <w:tr>
        <w:tc>
          <w:tcPr>
            <w:tcW w:type="dxa" w:w="2928"/>
          </w:tcPr>
          <w:p>
            <w:pPr>
              <w:spacing w:before="80" w:after="80"/>
            </w:pPr>
            <w:r>
              <w:rPr>
                <w:rFonts w:ascii="Calibri" w:hAnsi="Calibri"/>
                <w:b/>
                <w:i w:val="0"/>
                <w:color w:val="4A90D9"/>
                <w:sz w:val="20"/>
              </w:rPr>
              <w:t>LAUNCH</w:t>
            </w:r>
          </w:p>
        </w:tc>
        <w:tc>
          <w:tcPr>
            <w:tcW w:type="dxa" w:w="2928"/>
          </w:tcPr>
          <w:p>
            <w:pPr>
              <w:spacing w:before="80" w:after="80"/>
            </w:pPr>
            <w:r>
              <w:rPr>
                <w:rFonts w:ascii="Calibri" w:hAnsi="Calibri"/>
                <w:b w:val="0"/>
                <w:i w:val="0"/>
                <w:color w:val="0D0D0D"/>
                <w:sz w:val="20"/>
              </w:rPr>
              <w:t>Weeks 7–8</w:t>
            </w:r>
          </w:p>
        </w:tc>
        <w:tc>
          <w:tcPr>
            <w:tcW w:type="dxa" w:w="2928"/>
          </w:tcPr>
          <w:p>
            <w:pPr>
              <w:spacing w:before="80" w:after="80"/>
            </w:pPr>
            <w:r>
              <w:rPr>
                <w:rFonts w:ascii="Calibri" w:hAnsi="Calibri"/>
                <w:b w:val="0"/>
                <w:i w:val="0"/>
                <w:color w:val="0D0D0D"/>
                <w:sz w:val="20"/>
              </w:rPr>
              <w:t>Cart open. Email sequence. First sales of Deprogramming course.</w:t>
            </w:r>
          </w:p>
        </w:tc>
      </w:tr>
      <w:tr>
        <w:tc>
          <w:tcPr>
            <w:tcW w:type="dxa" w:w="2928"/>
          </w:tcPr>
          <w:p>
            <w:pPr>
              <w:spacing w:before="80" w:after="80"/>
            </w:pPr>
            <w:r>
              <w:rPr>
                <w:rFonts w:ascii="Calibri" w:hAnsi="Calibri"/>
                <w:b/>
                <w:i w:val="0"/>
                <w:color w:val="4A90D9"/>
                <w:sz w:val="20"/>
              </w:rPr>
              <w:t>DELIVER</w:t>
            </w:r>
          </w:p>
        </w:tc>
        <w:tc>
          <w:tcPr>
            <w:tcW w:type="dxa" w:w="2928"/>
          </w:tcPr>
          <w:p>
            <w:pPr>
              <w:spacing w:before="80" w:after="80"/>
            </w:pPr>
            <w:r>
              <w:rPr>
                <w:rFonts w:ascii="Calibri" w:hAnsi="Calibri"/>
                <w:b w:val="0"/>
                <w:i w:val="0"/>
                <w:color w:val="0D0D0D"/>
                <w:sz w:val="20"/>
              </w:rPr>
              <w:t>Weeks 9–12</w:t>
            </w:r>
          </w:p>
        </w:tc>
        <w:tc>
          <w:tcPr>
            <w:tcW w:type="dxa" w:w="2928"/>
          </w:tcPr>
          <w:p>
            <w:pPr>
              <w:spacing w:before="80" w:after="80"/>
            </w:pPr>
            <w:r>
              <w:rPr>
                <w:rFonts w:ascii="Calibri" w:hAnsi="Calibri"/>
                <w:b w:val="0"/>
                <w:i w:val="0"/>
                <w:color w:val="0D0D0D"/>
                <w:sz w:val="20"/>
              </w:rPr>
              <w:t>Onboard buyers. Deliver course. Gather feedback. Plan next cycle.</w:t>
            </w:r>
          </w:p>
        </w:tc>
      </w:tr>
    </w:tbl>
    <w:p>
      <w:pPr>
        <w:spacing w:before="0" w:after="0"/>
      </w:pPr>
    </w:p>
    <w:p>
      <w:pPr>
        <w:spacing w:before="360" w:after="120"/>
        <w:pBdr>
          <w:bottom w:val="single" w:sz="6" w:space="4" w:color="4A90D9"/>
        </w:pBdr>
      </w:pPr>
      <w:r>
        <w:rPr>
          <w:rFonts w:ascii="Calibri" w:hAnsi="Calibri"/>
          <w:b/>
          <w:i w:val="0"/>
          <w:color w:val="1A1A2E"/>
          <w:sz w:val="36"/>
        </w:rPr>
        <w:t>5. Week-by-Week Execution Plan</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pPr>
              <w:shd w:val="clear" w:color="auto" w:fill="1A1A2E"/>
            </w:pPr>
            <w:r>
              <w:rPr>
                <w:rFonts w:ascii="Calibri" w:hAnsi="Calibri"/>
                <w:b/>
                <w:i w:val="0"/>
                <w:color w:val="FFFFFF"/>
                <w:sz w:val="20"/>
              </w:rPr>
              <w:t>Week</w:t>
            </w:r>
          </w:p>
        </w:tc>
        <w:tc>
          <w:tcPr>
            <w:tcW w:type="dxa" w:w="2196"/>
          </w:tcPr>
          <w:p>
            <w:pPr>
              <w:shd w:val="clear" w:color="auto" w:fill="1A1A2E"/>
            </w:pPr>
            <w:r>
              <w:rPr>
                <w:rFonts w:ascii="Calibri" w:hAnsi="Calibri"/>
                <w:b/>
                <w:i w:val="0"/>
                <w:color w:val="FFFFFF"/>
                <w:sz w:val="20"/>
              </w:rPr>
              <w:t>12WY Goal / PLF Stage</w:t>
            </w:r>
          </w:p>
        </w:tc>
        <w:tc>
          <w:tcPr>
            <w:tcW w:type="dxa" w:w="2196"/>
          </w:tcPr>
          <w:p>
            <w:pPr>
              <w:shd w:val="clear" w:color="auto" w:fill="1A1A2E"/>
            </w:pPr>
            <w:r>
              <w:rPr>
                <w:rFonts w:ascii="Calibri" w:hAnsi="Calibri"/>
                <w:b/>
                <w:i w:val="0"/>
                <w:color w:val="FFFFFF"/>
                <w:sz w:val="20"/>
              </w:rPr>
              <w:t>Key Actions</w:t>
            </w:r>
          </w:p>
        </w:tc>
        <w:tc>
          <w:tcPr>
            <w:tcW w:type="dxa" w:w="2196"/>
          </w:tcPr>
          <w:p>
            <w:pPr>
              <w:shd w:val="clear" w:color="auto" w:fill="1A1A2E"/>
            </w:pPr>
            <w:r>
              <w:rPr>
                <w:rFonts w:ascii="Calibri" w:hAnsi="Calibri"/>
                <w:b/>
                <w:i w:val="0"/>
                <w:color w:val="FFFFFF"/>
                <w:sz w:val="20"/>
              </w:rPr>
              <w:t>Make Time Highlight</w:t>
            </w:r>
          </w:p>
        </w:tc>
      </w:tr>
    </w:tbl>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1</w:t>
            </w:r>
          </w:p>
        </w:tc>
        <w:tc>
          <w:tcPr>
            <w:tcW w:type="dxa" w:w="2160"/>
          </w:tcPr>
          <w:p>
            <w:pPr>
              <w:spacing w:before="80" w:after="80"/>
            </w:pPr>
            <w:r>
              <w:rPr>
                <w:rFonts w:ascii="Calibri" w:hAnsi="Calibri"/>
                <w:b w:val="0"/>
                <w:i w:val="0"/>
                <w:color w:val="555566"/>
                <w:sz w:val="18"/>
              </w:rPr>
              <w:t>SEED — Foundation</w:t>
            </w:r>
          </w:p>
        </w:tc>
        <w:tc>
          <w:tcPr>
            <w:tcW w:type="dxa" w:w="4320"/>
          </w:tcPr>
          <w:p>
            <w:pPr>
              <w:spacing w:before="80" w:after="80"/>
            </w:pPr>
            <w:r>
              <w:rPr>
                <w:rFonts w:ascii="Calibri" w:hAnsi="Calibri"/>
                <w:b w:val="0"/>
                <w:i w:val="0"/>
                <w:color w:val="0D0D0D"/>
                <w:sz w:val="18"/>
              </w:rPr>
              <w:t>Set up MailerLite welcome sequence (3 emails). Write and schedule newsletter issue #1. Define course price point ($97–$197). Set up simple landing page for waitlist.</w:t>
            </w:r>
          </w:p>
        </w:tc>
        <w:tc>
          <w:tcPr>
            <w:tcW w:type="dxa" w:w="2304"/>
          </w:tcPr>
          <w:p>
            <w:pPr>
              <w:spacing w:before="80" w:after="80"/>
            </w:pPr>
            <w:r>
              <w:rPr>
                <w:rFonts w:ascii="Calibri" w:hAnsi="Calibri"/>
                <w:b w:val="0"/>
                <w:i w:val="0"/>
                <w:color w:val="0D0D0D"/>
                <w:sz w:val="18"/>
              </w:rPr>
              <w:t>Write welcome email sequence</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2</w:t>
            </w:r>
          </w:p>
        </w:tc>
        <w:tc>
          <w:tcPr>
            <w:tcW w:type="dxa" w:w="2160"/>
          </w:tcPr>
          <w:p>
            <w:pPr>
              <w:spacing w:before="80" w:after="80"/>
            </w:pPr>
            <w:r>
              <w:rPr>
                <w:rFonts w:ascii="Calibri" w:hAnsi="Calibri"/>
                <w:b w:val="0"/>
                <w:i w:val="0"/>
                <w:color w:val="555566"/>
                <w:sz w:val="18"/>
              </w:rPr>
              <w:t>SEED — Audience</w:t>
            </w:r>
          </w:p>
        </w:tc>
        <w:tc>
          <w:tcPr>
            <w:tcW w:type="dxa" w:w="4320"/>
          </w:tcPr>
          <w:p>
            <w:pPr>
              <w:spacing w:before="80" w:after="80"/>
            </w:pPr>
            <w:r>
              <w:rPr>
                <w:rFonts w:ascii="Calibri" w:hAnsi="Calibri"/>
                <w:b w:val="0"/>
                <w:i w:val="0"/>
                <w:color w:val="0D0D0D"/>
                <w:sz w:val="18"/>
              </w:rPr>
              <w:t>Publish newsletter issue #2. Post "Why Propaganda Works on Smart People" to social (repurpose from existing post). Add email capture CTA to every blog post. Set up basic analytics.</w:t>
            </w:r>
          </w:p>
        </w:tc>
        <w:tc>
          <w:tcPr>
            <w:tcW w:type="dxa" w:w="2304"/>
          </w:tcPr>
          <w:p>
            <w:pPr>
              <w:spacing w:before="80" w:after="80"/>
            </w:pPr>
            <w:r>
              <w:rPr>
                <w:rFonts w:ascii="Calibri" w:hAnsi="Calibri"/>
                <w:b w:val="0"/>
                <w:i w:val="0"/>
                <w:color w:val="0D0D0D"/>
                <w:sz w:val="18"/>
              </w:rPr>
              <w:t>Write + send newsletter #2</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3</w:t>
            </w:r>
          </w:p>
        </w:tc>
        <w:tc>
          <w:tcPr>
            <w:tcW w:type="dxa" w:w="2160"/>
          </w:tcPr>
          <w:p>
            <w:pPr>
              <w:spacing w:before="80" w:after="80"/>
            </w:pPr>
            <w:r>
              <w:rPr>
                <w:rFonts w:ascii="Calibri" w:hAnsi="Calibri"/>
                <w:b w:val="0"/>
                <w:i w:val="0"/>
                <w:color w:val="555566"/>
                <w:sz w:val="18"/>
              </w:rPr>
              <w:t>SEED — Warm-Up</w:t>
            </w:r>
          </w:p>
        </w:tc>
        <w:tc>
          <w:tcPr>
            <w:tcW w:type="dxa" w:w="4320"/>
          </w:tcPr>
          <w:p>
            <w:pPr>
              <w:spacing w:before="80" w:after="80"/>
            </w:pPr>
            <w:r>
              <w:rPr>
                <w:rFonts w:ascii="Calibri" w:hAnsi="Calibri"/>
                <w:b w:val="0"/>
                <w:i w:val="0"/>
                <w:color w:val="0D0D0D"/>
                <w:sz w:val="18"/>
              </w:rPr>
              <w:t>Newsletter issue #3 (teach one concept from the course). Begin seeding "something is coming" language in emails. DM or email 10 people personally who would resonate.</w:t>
            </w:r>
          </w:p>
        </w:tc>
        <w:tc>
          <w:tcPr>
            <w:tcW w:type="dxa" w:w="2304"/>
          </w:tcPr>
          <w:p>
            <w:pPr>
              <w:spacing w:before="80" w:after="80"/>
            </w:pPr>
            <w:r>
              <w:rPr>
                <w:rFonts w:ascii="Calibri" w:hAnsi="Calibri"/>
                <w:b w:val="0"/>
                <w:i w:val="0"/>
                <w:color w:val="0D0D0D"/>
                <w:sz w:val="18"/>
              </w:rPr>
              <w:t>Seed the teaser in newsletter #3</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4</w:t>
            </w:r>
          </w:p>
        </w:tc>
        <w:tc>
          <w:tcPr>
            <w:tcW w:type="dxa" w:w="2160"/>
          </w:tcPr>
          <w:p>
            <w:pPr>
              <w:spacing w:before="80" w:after="80"/>
            </w:pPr>
            <w:r>
              <w:rPr>
                <w:rFonts w:ascii="Calibri" w:hAnsi="Calibri"/>
                <w:b w:val="0"/>
                <w:i w:val="0"/>
                <w:color w:val="555566"/>
                <w:sz w:val="18"/>
              </w:rPr>
              <w:t>WARM — PLC #1</w:t>
            </w:r>
          </w:p>
        </w:tc>
        <w:tc>
          <w:tcPr>
            <w:tcW w:type="dxa" w:w="4320"/>
          </w:tcPr>
          <w:p>
            <w:pPr>
              <w:spacing w:before="80" w:after="80"/>
            </w:pPr>
            <w:r>
              <w:rPr>
                <w:rFonts w:ascii="Calibri" w:hAnsi="Calibri"/>
                <w:b w:val="0"/>
                <w:i w:val="0"/>
                <w:color w:val="0D0D0D"/>
                <w:sz w:val="18"/>
              </w:rPr>
              <w:t>Pre-Launch Content #1: The Opportunity. Write and send a long-form email or post: "What Deprogramming Actually Is — and Why Smart People Need It Most." Announce waitlist is open.</w:t>
            </w:r>
          </w:p>
        </w:tc>
        <w:tc>
          <w:tcPr>
            <w:tcW w:type="dxa" w:w="2304"/>
          </w:tcPr>
          <w:p>
            <w:pPr>
              <w:spacing w:before="80" w:after="80"/>
            </w:pPr>
            <w:r>
              <w:rPr>
                <w:rFonts w:ascii="Calibri" w:hAnsi="Calibri"/>
                <w:b w:val="0"/>
                <w:i w:val="0"/>
                <w:color w:val="0D0D0D"/>
                <w:sz w:val="18"/>
              </w:rPr>
              <w:t>Write and publish PLC #1</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5</w:t>
            </w:r>
          </w:p>
        </w:tc>
        <w:tc>
          <w:tcPr>
            <w:tcW w:type="dxa" w:w="2160"/>
          </w:tcPr>
          <w:p>
            <w:pPr>
              <w:spacing w:before="80" w:after="80"/>
            </w:pPr>
            <w:r>
              <w:rPr>
                <w:rFonts w:ascii="Calibri" w:hAnsi="Calibri"/>
                <w:b w:val="0"/>
                <w:i w:val="0"/>
                <w:color w:val="555566"/>
                <w:sz w:val="18"/>
              </w:rPr>
              <w:t>WARM — PLC #2</w:t>
            </w:r>
          </w:p>
        </w:tc>
        <w:tc>
          <w:tcPr>
            <w:tcW w:type="dxa" w:w="4320"/>
          </w:tcPr>
          <w:p>
            <w:pPr>
              <w:spacing w:before="80" w:after="80"/>
            </w:pPr>
            <w:r>
              <w:rPr>
                <w:rFonts w:ascii="Calibri" w:hAnsi="Calibri"/>
                <w:b w:val="0"/>
                <w:i w:val="0"/>
                <w:color w:val="0D0D0D"/>
                <w:sz w:val="18"/>
              </w:rPr>
              <w:t>Pre-Launch Content #2: The Teaching. Give away a real lesson — use the "What is Deprogramming?" module. Show the framework. Make it immediately useful. Link to waitlist.</w:t>
            </w:r>
          </w:p>
        </w:tc>
        <w:tc>
          <w:tcPr>
            <w:tcW w:type="dxa" w:w="2304"/>
          </w:tcPr>
          <w:p>
            <w:pPr>
              <w:spacing w:before="80" w:after="80"/>
            </w:pPr>
            <w:r>
              <w:rPr>
                <w:rFonts w:ascii="Calibri" w:hAnsi="Calibri"/>
                <w:b w:val="0"/>
                <w:i w:val="0"/>
                <w:color w:val="0D0D0D"/>
                <w:sz w:val="18"/>
              </w:rPr>
              <w:t>Produce and send PLC #2 teaching piece</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6</w:t>
            </w:r>
          </w:p>
        </w:tc>
        <w:tc>
          <w:tcPr>
            <w:tcW w:type="dxa" w:w="2160"/>
          </w:tcPr>
          <w:p>
            <w:pPr>
              <w:spacing w:before="80" w:after="80"/>
            </w:pPr>
            <w:r>
              <w:rPr>
                <w:rFonts w:ascii="Calibri" w:hAnsi="Calibri"/>
                <w:b w:val="0"/>
                <w:i w:val="0"/>
                <w:color w:val="555566"/>
                <w:sz w:val="18"/>
              </w:rPr>
              <w:t>WARM — PLC #3</w:t>
            </w:r>
          </w:p>
        </w:tc>
        <w:tc>
          <w:tcPr>
            <w:tcW w:type="dxa" w:w="4320"/>
          </w:tcPr>
          <w:p>
            <w:pPr>
              <w:spacing w:before="80" w:after="80"/>
            </w:pPr>
            <w:r>
              <w:rPr>
                <w:rFonts w:ascii="Calibri" w:hAnsi="Calibri"/>
                <w:b w:val="0"/>
                <w:i w:val="0"/>
                <w:color w:val="0D0D0D"/>
                <w:sz w:val="18"/>
              </w:rPr>
              <w:t>Pre-Launch Content #3: The Experience + Objections. Share social proof (even early readers). Address "Is this for me?" "Do I have time?" "Will this actually work?" Close with: "Doors open Monday."</w:t>
            </w:r>
          </w:p>
        </w:tc>
        <w:tc>
          <w:tcPr>
            <w:tcW w:type="dxa" w:w="2304"/>
          </w:tcPr>
          <w:p>
            <w:pPr>
              <w:spacing w:before="80" w:after="80"/>
            </w:pPr>
            <w:r>
              <w:rPr>
                <w:rFonts w:ascii="Calibri" w:hAnsi="Calibri"/>
                <w:b w:val="0"/>
                <w:i w:val="0"/>
                <w:color w:val="0D0D0D"/>
                <w:sz w:val="18"/>
              </w:rPr>
              <w:t>Write PLC #3 and handle objections clearly</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7</w:t>
            </w:r>
          </w:p>
        </w:tc>
        <w:tc>
          <w:tcPr>
            <w:tcW w:type="dxa" w:w="2160"/>
          </w:tcPr>
          <w:p>
            <w:pPr>
              <w:spacing w:before="80" w:after="80"/>
            </w:pPr>
            <w:r>
              <w:rPr>
                <w:rFonts w:ascii="Calibri" w:hAnsi="Calibri"/>
                <w:b w:val="0"/>
                <w:i w:val="0"/>
                <w:color w:val="555566"/>
                <w:sz w:val="18"/>
              </w:rPr>
              <w:t>LAUNCH — Cart Open</w:t>
            </w:r>
          </w:p>
        </w:tc>
        <w:tc>
          <w:tcPr>
            <w:tcW w:type="dxa" w:w="4320"/>
          </w:tcPr>
          <w:p>
            <w:pPr>
              <w:spacing w:before="80" w:after="80"/>
            </w:pPr>
            <w:r>
              <w:rPr>
                <w:rFonts w:ascii="Calibri" w:hAnsi="Calibri"/>
                <w:b w:val="0"/>
                <w:i w:val="0"/>
                <w:color w:val="0D0D0D"/>
                <w:sz w:val="18"/>
              </w:rPr>
              <w:t>Monday: Cart opens. Send Launch Email #1 (the offer). Publish full sales page. Tuesday: Email #2 (testimonial / FAQ). Thursday: Email #3 (teaching + soft push). Friday: Email #4 (deadline reminder).</w:t>
            </w:r>
          </w:p>
        </w:tc>
        <w:tc>
          <w:tcPr>
            <w:tcW w:type="dxa" w:w="2304"/>
          </w:tcPr>
          <w:p>
            <w:pPr>
              <w:spacing w:before="80" w:after="80"/>
            </w:pPr>
            <w:r>
              <w:rPr>
                <w:rFonts w:ascii="Calibri" w:hAnsi="Calibri"/>
                <w:b w:val="0"/>
                <w:i w:val="0"/>
                <w:color w:val="0D0D0D"/>
                <w:sz w:val="18"/>
              </w:rPr>
              <w:t>Send launch email #1 on Monday morning</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8</w:t>
            </w:r>
          </w:p>
        </w:tc>
        <w:tc>
          <w:tcPr>
            <w:tcW w:type="dxa" w:w="2160"/>
          </w:tcPr>
          <w:p>
            <w:pPr>
              <w:spacing w:before="80" w:after="80"/>
            </w:pPr>
            <w:r>
              <w:rPr>
                <w:rFonts w:ascii="Calibri" w:hAnsi="Calibri"/>
                <w:b w:val="0"/>
                <w:i w:val="0"/>
                <w:color w:val="555566"/>
                <w:sz w:val="18"/>
              </w:rPr>
              <w:t>LAUNCH — Close</w:t>
            </w:r>
          </w:p>
        </w:tc>
        <w:tc>
          <w:tcPr>
            <w:tcW w:type="dxa" w:w="4320"/>
          </w:tcPr>
          <w:p>
            <w:pPr>
              <w:spacing w:before="80" w:after="80"/>
            </w:pPr>
            <w:r>
              <w:rPr>
                <w:rFonts w:ascii="Calibri" w:hAnsi="Calibri"/>
                <w:b w:val="0"/>
                <w:i w:val="0"/>
                <w:color w:val="0D0D0D"/>
                <w:sz w:val="18"/>
              </w:rPr>
              <w:t>Monday: Email #5 (why this matters, last call). Tuesday midnight: Cart closes. Send "closed" email. Onboard all buyers immediately. Send welcome + access details.</w:t>
            </w:r>
          </w:p>
        </w:tc>
        <w:tc>
          <w:tcPr>
            <w:tcW w:type="dxa" w:w="2304"/>
          </w:tcPr>
          <w:p>
            <w:pPr>
              <w:spacing w:before="80" w:after="80"/>
            </w:pPr>
            <w:r>
              <w:rPr>
                <w:rFonts w:ascii="Calibri" w:hAnsi="Calibri"/>
                <w:b w:val="0"/>
                <w:i w:val="0"/>
                <w:color w:val="0D0D0D"/>
                <w:sz w:val="18"/>
              </w:rPr>
              <w:t>Write and send cart-close email</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9</w:t>
            </w:r>
          </w:p>
        </w:tc>
        <w:tc>
          <w:tcPr>
            <w:tcW w:type="dxa" w:w="2160"/>
          </w:tcPr>
          <w:p>
            <w:pPr>
              <w:spacing w:before="80" w:after="80"/>
            </w:pPr>
            <w:r>
              <w:rPr>
                <w:rFonts w:ascii="Calibri" w:hAnsi="Calibri"/>
                <w:b w:val="0"/>
                <w:i w:val="0"/>
                <w:color w:val="555566"/>
                <w:sz w:val="18"/>
              </w:rPr>
              <w:t>DELIVER — Onboarding</w:t>
            </w:r>
          </w:p>
        </w:tc>
        <w:tc>
          <w:tcPr>
            <w:tcW w:type="dxa" w:w="4320"/>
          </w:tcPr>
          <w:p>
            <w:pPr>
              <w:spacing w:before="80" w:after="80"/>
            </w:pPr>
            <w:r>
              <w:rPr>
                <w:rFonts w:ascii="Calibri" w:hAnsi="Calibri"/>
                <w:b w:val="0"/>
                <w:i w:val="0"/>
                <w:color w:val="0D0D0D"/>
                <w:sz w:val="18"/>
              </w:rPr>
              <w:t>Welcome buyers with a kickoff email. Set up course access page (already in codebase at /course-access). Send first lesson. Begin gathering feedback after lesson 1.</w:t>
            </w:r>
          </w:p>
        </w:tc>
        <w:tc>
          <w:tcPr>
            <w:tcW w:type="dxa" w:w="2304"/>
          </w:tcPr>
          <w:p>
            <w:pPr>
              <w:spacing w:before="80" w:after="80"/>
            </w:pPr>
            <w:r>
              <w:rPr>
                <w:rFonts w:ascii="Calibri" w:hAnsi="Calibri"/>
                <w:b w:val="0"/>
                <w:i w:val="0"/>
                <w:color w:val="0D0D0D"/>
                <w:sz w:val="18"/>
              </w:rPr>
              <w:t>Onboard buyers and send first lesson</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10</w:t>
            </w:r>
          </w:p>
        </w:tc>
        <w:tc>
          <w:tcPr>
            <w:tcW w:type="dxa" w:w="2160"/>
          </w:tcPr>
          <w:p>
            <w:pPr>
              <w:spacing w:before="80" w:after="80"/>
            </w:pPr>
            <w:r>
              <w:rPr>
                <w:rFonts w:ascii="Calibri" w:hAnsi="Calibri"/>
                <w:b w:val="0"/>
                <w:i w:val="0"/>
                <w:color w:val="555566"/>
                <w:sz w:val="18"/>
              </w:rPr>
              <w:t>DELIVER — Momentum</w:t>
            </w:r>
          </w:p>
        </w:tc>
        <w:tc>
          <w:tcPr>
            <w:tcW w:type="dxa" w:w="4320"/>
          </w:tcPr>
          <w:p>
            <w:pPr>
              <w:spacing w:before="80" w:after="80"/>
            </w:pPr>
            <w:r>
              <w:rPr>
                <w:rFonts w:ascii="Calibri" w:hAnsi="Calibri"/>
                <w:b w:val="0"/>
                <w:i w:val="0"/>
                <w:color w:val="0D0D0D"/>
                <w:sz w:val="18"/>
              </w:rPr>
              <w:t>Continue delivering course content weekly. Send one newsletter issue to the broader list (non-buyers). Begin collecting testimonials from early students.</w:t>
            </w:r>
          </w:p>
        </w:tc>
        <w:tc>
          <w:tcPr>
            <w:tcW w:type="dxa" w:w="2304"/>
          </w:tcPr>
          <w:p>
            <w:pPr>
              <w:spacing w:before="80" w:after="80"/>
            </w:pPr>
            <w:r>
              <w:rPr>
                <w:rFonts w:ascii="Calibri" w:hAnsi="Calibri"/>
                <w:b w:val="0"/>
                <w:i w:val="0"/>
                <w:color w:val="0D0D0D"/>
                <w:sz w:val="18"/>
              </w:rPr>
              <w:t>Collect 3 testimonials from buyers</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11</w:t>
            </w:r>
          </w:p>
        </w:tc>
        <w:tc>
          <w:tcPr>
            <w:tcW w:type="dxa" w:w="2160"/>
          </w:tcPr>
          <w:p>
            <w:pPr>
              <w:spacing w:before="80" w:after="80"/>
            </w:pPr>
            <w:r>
              <w:rPr>
                <w:rFonts w:ascii="Calibri" w:hAnsi="Calibri"/>
                <w:b w:val="0"/>
                <w:i w:val="0"/>
                <w:color w:val="555566"/>
                <w:sz w:val="18"/>
              </w:rPr>
              <w:t>DELIVER — Refinement</w:t>
            </w:r>
          </w:p>
        </w:tc>
        <w:tc>
          <w:tcPr>
            <w:tcW w:type="dxa" w:w="4320"/>
          </w:tcPr>
          <w:p>
            <w:pPr>
              <w:spacing w:before="80" w:after="80"/>
            </w:pPr>
            <w:r>
              <w:rPr>
                <w:rFonts w:ascii="Calibri" w:hAnsi="Calibri"/>
                <w:b w:val="0"/>
                <w:i w:val="0"/>
                <w:color w:val="0D0D0D"/>
                <w:sz w:val="18"/>
              </w:rPr>
              <w:t>Survey buyers mid-course. Adjust any unclear lessons. Write a post-launch debrief for yourself. Identify what resonated most in PLF sequence.</w:t>
            </w:r>
          </w:p>
        </w:tc>
        <w:tc>
          <w:tcPr>
            <w:tcW w:type="dxa" w:w="2304"/>
          </w:tcPr>
          <w:p>
            <w:pPr>
              <w:spacing w:before="80" w:after="80"/>
            </w:pPr>
            <w:r>
              <w:rPr>
                <w:rFonts w:ascii="Calibri" w:hAnsi="Calibri"/>
                <w:b w:val="0"/>
                <w:i w:val="0"/>
                <w:color w:val="0D0D0D"/>
                <w:sz w:val="18"/>
              </w:rPr>
              <w:t>Run mid-course survey + note insights</w:t>
            </w:r>
          </w:p>
        </w:tc>
      </w:tr>
    </w:tbl>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1008"/>
          </w:tcPr>
          <w:p>
            <w:pPr>
              <w:spacing w:before="80" w:after="80"/>
            </w:pPr>
            <w:r>
              <w:rPr>
                <w:rFonts w:ascii="Calibri" w:hAnsi="Calibri"/>
                <w:b/>
                <w:i w:val="0"/>
                <w:color w:val="4A90D9"/>
                <w:sz w:val="18"/>
              </w:rPr>
              <w:t>Week 12</w:t>
            </w:r>
          </w:p>
        </w:tc>
        <w:tc>
          <w:tcPr>
            <w:tcW w:type="dxa" w:w="2160"/>
          </w:tcPr>
          <w:p>
            <w:pPr>
              <w:spacing w:before="80" w:after="80"/>
            </w:pPr>
            <w:r>
              <w:rPr>
                <w:rFonts w:ascii="Calibri" w:hAnsi="Calibri"/>
                <w:b w:val="0"/>
                <w:i w:val="0"/>
                <w:color w:val="555566"/>
                <w:sz w:val="18"/>
              </w:rPr>
              <w:t>DELIVER — Next Cycle</w:t>
            </w:r>
          </w:p>
        </w:tc>
        <w:tc>
          <w:tcPr>
            <w:tcW w:type="dxa" w:w="4320"/>
          </w:tcPr>
          <w:p>
            <w:pPr>
              <w:spacing w:before="80" w:after="80"/>
            </w:pPr>
            <w:r>
              <w:rPr>
                <w:rFonts w:ascii="Calibri" w:hAnsi="Calibri"/>
                <w:b w:val="0"/>
                <w:i w:val="0"/>
                <w:color w:val="0D0D0D"/>
                <w:sz w:val="18"/>
              </w:rPr>
              <w:t>Final delivery. Plan next 12-week cycle (next launch, next product, higher price, or cohort format). Newsletter issue announcing what's next. Celebrate the launch.</w:t>
            </w:r>
          </w:p>
        </w:tc>
        <w:tc>
          <w:tcPr>
            <w:tcW w:type="dxa" w:w="2304"/>
          </w:tcPr>
          <w:p>
            <w:pPr>
              <w:spacing w:before="80" w:after="80"/>
            </w:pPr>
            <w:r>
              <w:rPr>
                <w:rFonts w:ascii="Calibri" w:hAnsi="Calibri"/>
                <w:b w:val="0"/>
                <w:i w:val="0"/>
                <w:color w:val="0D0D0D"/>
                <w:sz w:val="18"/>
              </w:rPr>
              <w:t>Plan 12WY cycle #2 — write the next vision</w:t>
            </w:r>
          </w:p>
        </w:tc>
      </w:tr>
    </w:tbl>
    <w:p>
      <w:pPr>
        <w:spacing w:before="0" w:after="0"/>
      </w:pPr>
    </w:p>
    <w:p>
      <w:pPr>
        <w:spacing w:before="360" w:after="120"/>
        <w:pBdr>
          <w:bottom w:val="single" w:sz="6" w:space="4" w:color="4A90D9"/>
        </w:pBdr>
      </w:pPr>
      <w:r>
        <w:rPr>
          <w:rFonts w:ascii="Calibri" w:hAnsi="Calibri"/>
          <w:b/>
          <w:i w:val="0"/>
          <w:color w:val="1A1A2E"/>
          <w:sz w:val="36"/>
        </w:rPr>
        <w:t>6. Newsletter Strategy</w:t>
      </w:r>
    </w:p>
    <w:p>
      <w:pPr>
        <w:spacing w:before="40" w:after="120"/>
      </w:pPr>
      <w:r>
        <w:rPr>
          <w:rFonts w:ascii="Calibri" w:hAnsi="Calibri"/>
          <w:b w:val="0"/>
          <w:i w:val="0"/>
          <w:color w:val="0D0D0D"/>
          <w:sz w:val="22"/>
        </w:rPr>
        <w:t>The newsletter is the primary trust-building channel. Every issue should do one of three things: teach a thinking framework, challenge a dominant narrative, or show readers something they cannot unsee. Each issue seeds the eventual launch naturally — readers who trust the free content buy the paid course.</w:t>
      </w:r>
    </w:p>
    <w:p>
      <w:pPr>
        <w:spacing w:before="0" w:after="0"/>
      </w:pPr>
    </w:p>
    <w:p>
      <w:pPr>
        <w:spacing w:before="240" w:after="120"/>
      </w:pPr>
      <w:r>
        <w:rPr>
          <w:rFonts w:ascii="Calibri" w:hAnsi="Calibri"/>
          <w:b/>
          <w:i w:val="0"/>
          <w:color w:val="4A90D9"/>
          <w:sz w:val="28"/>
        </w:rPr>
        <w:t>Content Pillars</w:t>
      </w:r>
    </w:p>
    <w:p>
      <w:pPr>
        <w:pStyle w:val="ListBullet"/>
        <w:spacing w:before="20" w:after="60"/>
        <w:ind w:left="432"/>
      </w:pPr>
      <w:r>
        <w:rPr>
          <w:rFonts w:ascii="Calibri" w:hAnsi="Calibri"/>
          <w:b w:val="0"/>
          <w:i w:val="0"/>
          <w:color w:val="0D0D0D"/>
          <w:sz w:val="22"/>
        </w:rPr>
        <w:t>Propaganda &amp; Media — How narratives are manufactured and how to detect them</w:t>
      </w:r>
    </w:p>
    <w:p>
      <w:pPr>
        <w:pStyle w:val="ListBullet"/>
        <w:spacing w:before="20" w:after="60"/>
        <w:ind w:left="432"/>
      </w:pPr>
      <w:r>
        <w:rPr>
          <w:rFonts w:ascii="Calibri" w:hAnsi="Calibri"/>
          <w:b w:val="0"/>
          <w:i w:val="0"/>
          <w:color w:val="0D0D0D"/>
          <w:sz w:val="22"/>
        </w:rPr>
        <w:t>Power &amp; Institutions — How systems shape behavior without using force</w:t>
      </w:r>
    </w:p>
    <w:p>
      <w:pPr>
        <w:pStyle w:val="ListBullet"/>
        <w:spacing w:before="20" w:after="60"/>
        <w:ind w:left="432"/>
      </w:pPr>
      <w:r>
        <w:rPr>
          <w:rFonts w:ascii="Calibri" w:hAnsi="Calibri"/>
          <w:b w:val="0"/>
          <w:i w:val="0"/>
          <w:color w:val="0D0D0D"/>
          <w:sz w:val="22"/>
        </w:rPr>
        <w:t>Cognitive Sovereignty — Practical tools for clearer, independent thinking</w:t>
      </w:r>
    </w:p>
    <w:p>
      <w:pPr>
        <w:pStyle w:val="ListBullet"/>
        <w:spacing w:before="20" w:after="60"/>
        <w:ind w:left="432"/>
      </w:pPr>
      <w:r>
        <w:rPr>
          <w:rFonts w:ascii="Calibri" w:hAnsi="Calibri"/>
          <w:b w:val="0"/>
          <w:i w:val="0"/>
          <w:color w:val="0D0D0D"/>
          <w:sz w:val="22"/>
        </w:rPr>
        <w:t>The Deprogramming Framework — Direct lessons from the course, released free</w:t>
      </w:r>
    </w:p>
    <w:p>
      <w:pPr>
        <w:spacing w:before="0" w:after="0"/>
      </w:pPr>
    </w:p>
    <w:p>
      <w:pPr>
        <w:spacing w:before="240" w:after="120"/>
      </w:pPr>
      <w:r>
        <w:rPr>
          <w:rFonts w:ascii="Calibri" w:hAnsi="Calibri"/>
          <w:b/>
          <w:i w:val="0"/>
          <w:color w:val="4A90D9"/>
          <w:sz w:val="28"/>
        </w:rPr>
        <w:t>Cadence</w:t>
      </w:r>
    </w:p>
    <w:p>
      <w:pPr>
        <w:pStyle w:val="ListBullet"/>
        <w:spacing w:before="20" w:after="60"/>
        <w:ind w:left="432"/>
      </w:pPr>
      <w:r>
        <w:rPr>
          <w:rFonts w:ascii="Calibri" w:hAnsi="Calibri"/>
          <w:b w:val="0"/>
          <w:i w:val="0"/>
          <w:color w:val="0D0D0D"/>
          <w:sz w:val="22"/>
        </w:rPr>
        <w:t>Weeks 1–3: Weekly (build the habit, seed the list)</w:t>
      </w:r>
    </w:p>
    <w:p>
      <w:pPr>
        <w:pStyle w:val="ListBullet"/>
        <w:spacing w:before="20" w:after="60"/>
        <w:ind w:left="432"/>
      </w:pPr>
      <w:r>
        <w:rPr>
          <w:rFonts w:ascii="Calibri" w:hAnsi="Calibri"/>
          <w:b w:val="0"/>
          <w:i w:val="0"/>
          <w:color w:val="0D0D0D"/>
          <w:sz w:val="22"/>
        </w:rPr>
        <w:t>Weeks 4–6: Weekly + PLF emails (separate from newsletter — use MailerLite segments)</w:t>
      </w:r>
    </w:p>
    <w:p>
      <w:pPr>
        <w:pStyle w:val="ListBullet"/>
        <w:spacing w:before="20" w:after="60"/>
        <w:ind w:left="432"/>
      </w:pPr>
      <w:r>
        <w:rPr>
          <w:rFonts w:ascii="Calibri" w:hAnsi="Calibri"/>
          <w:b w:val="0"/>
          <w:i w:val="0"/>
          <w:color w:val="0D0D0D"/>
          <w:sz w:val="22"/>
        </w:rPr>
        <w:t>Weeks 7–8: Launch emails only — pause regular newsletter during cart open</w:t>
      </w:r>
    </w:p>
    <w:p>
      <w:pPr>
        <w:pStyle w:val="ListBullet"/>
        <w:spacing w:before="20" w:after="60"/>
        <w:ind w:left="432"/>
      </w:pPr>
      <w:r>
        <w:rPr>
          <w:rFonts w:ascii="Calibri" w:hAnsi="Calibri"/>
          <w:b w:val="0"/>
          <w:i w:val="0"/>
          <w:color w:val="0D0D0D"/>
          <w:sz w:val="22"/>
        </w:rPr>
        <w:t>Weeks 9–12: Resume weekly newsletter; include course insights for non-buyers</w:t>
      </w:r>
    </w:p>
    <w:p>
      <w:pPr>
        <w:spacing w:before="0" w:after="0"/>
      </w:pPr>
    </w:p>
    <w:p>
      <w:pPr>
        <w:spacing w:before="120" w:after="120"/>
        <w:ind w:left="432" w:right="432"/>
        <w:shd w:val="clear" w:color="auto" w:fill="E8F5E9"/>
      </w:pPr>
      <w:r>
        <w:rPr>
          <w:rFonts w:ascii="Calibri" w:hAnsi="Calibri"/>
          <w:b/>
          <w:i w:val="0"/>
          <w:color w:val="4A90D9"/>
          <w:sz w:val="22"/>
        </w:rPr>
        <w:t xml:space="preserve">Tip:  </w:t>
      </w:r>
      <w:r>
        <w:rPr>
          <w:rFonts w:ascii="Calibri" w:hAnsi="Calibri"/>
          <w:b w:val="0"/>
          <w:i w:val="0"/>
          <w:color w:val="0D0D0D"/>
          <w:sz w:val="22"/>
        </w:rPr>
        <w:t>Use the EMAIL_GROUP_MAP config already in the codebase to separate newsletter subscribers from course waitlist signups. This lets you send PLF emails only to warm leads, not your entire list.</w:t>
      </w:r>
    </w:p>
    <w:p>
      <w:pPr>
        <w:spacing w:before="0" w:after="0"/>
      </w:pPr>
    </w:p>
    <w:p>
      <w:pPr>
        <w:spacing w:before="360" w:after="120"/>
        <w:pBdr>
          <w:bottom w:val="single" w:sz="6" w:space="4" w:color="4A90D9"/>
        </w:pBdr>
      </w:pPr>
      <w:r>
        <w:rPr>
          <w:rFonts w:ascii="Calibri" w:hAnsi="Calibri"/>
          <w:b/>
          <w:i w:val="0"/>
          <w:color w:val="1A1A2E"/>
          <w:sz w:val="36"/>
        </w:rPr>
        <w:t>7. Launch Week Email Sequence (7 Emails)</w:t>
      </w:r>
    </w:p>
    <w:p>
      <w:pPr>
        <w:spacing w:before="160" w:after="40"/>
      </w:pPr>
      <w:r>
        <w:rPr>
          <w:rFonts w:ascii="Calibri" w:hAnsi="Calibri"/>
          <w:b/>
          <w:i w:val="0"/>
          <w:color w:val="1A1A2E"/>
          <w:sz w:val="24"/>
        </w:rPr>
        <w:t>Email 1 — Monday</w:t>
      </w:r>
      <w:r>
        <w:rPr>
          <w:rFonts w:ascii="Calibri" w:hAnsi="Calibri"/>
          <w:b w:val="0"/>
          <w:i w:val="0"/>
          <w:color w:val="555566"/>
          <w:sz w:val="22"/>
        </w:rPr>
        <w:t xml:space="preserve">  (The Offer)</w:t>
      </w:r>
    </w:p>
    <w:p>
      <w:pPr>
        <w:spacing w:before="20" w:after="40"/>
        <w:ind w:left="432"/>
      </w:pPr>
      <w:r>
        <w:rPr>
          <w:rFonts w:ascii="Calibri" w:hAnsi="Calibri"/>
          <w:b/>
          <w:i w:val="0"/>
          <w:color w:val="4A90D9"/>
          <w:sz w:val="22"/>
        </w:rPr>
        <w:t xml:space="preserve">Subject: </w:t>
      </w:r>
      <w:r>
        <w:rPr>
          <w:rFonts w:ascii="Calibri" w:hAnsi="Calibri"/>
          <w:b w:val="0"/>
          <w:i/>
          <w:color w:val="0D0D0D"/>
          <w:sz w:val="22"/>
        </w:rPr>
        <w:t>Deprogramming is open.</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Short, direct. "The course is live. Here is what it is, who it is for, and what it costs. [Link]." No fluff. Confident tone — this is for people who already trust you.</w:t>
      </w:r>
    </w:p>
    <w:p>
      <w:pPr>
        <w:spacing w:before="160" w:after="40"/>
      </w:pPr>
      <w:r>
        <w:rPr>
          <w:rFonts w:ascii="Calibri" w:hAnsi="Calibri"/>
          <w:b/>
          <w:i w:val="0"/>
          <w:color w:val="1A1A2E"/>
          <w:sz w:val="24"/>
        </w:rPr>
        <w:t>Email 2 — Tuesday</w:t>
      </w:r>
      <w:r>
        <w:rPr>
          <w:rFonts w:ascii="Calibri" w:hAnsi="Calibri"/>
          <w:b w:val="0"/>
          <w:i w:val="0"/>
          <w:color w:val="555566"/>
          <w:sz w:val="22"/>
        </w:rPr>
        <w:t xml:space="preserve">  (The Teaching Email)</w:t>
      </w:r>
    </w:p>
    <w:p>
      <w:pPr>
        <w:spacing w:before="20" w:after="40"/>
        <w:ind w:left="432"/>
      </w:pPr>
      <w:r>
        <w:rPr>
          <w:rFonts w:ascii="Calibri" w:hAnsi="Calibri"/>
          <w:b/>
          <w:i w:val="0"/>
          <w:color w:val="4A90D9"/>
          <w:sz w:val="22"/>
        </w:rPr>
        <w:t xml:space="preserve">Subject: </w:t>
      </w:r>
      <w:r>
        <w:rPr>
          <w:rFonts w:ascii="Calibri" w:hAnsi="Calibri"/>
          <w:b w:val="0"/>
          <w:i/>
          <w:color w:val="0D0D0D"/>
          <w:sz w:val="22"/>
        </w:rPr>
        <w:t>One thing the course teaches that most people never learn</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Give away a key insight from the course — e.g., how institutions manage attention. End with a soft CTA: "The full course goes deeper. [Link]."</w:t>
      </w:r>
    </w:p>
    <w:p>
      <w:pPr>
        <w:spacing w:before="160" w:after="40"/>
      </w:pPr>
      <w:r>
        <w:rPr>
          <w:rFonts w:ascii="Calibri" w:hAnsi="Calibri"/>
          <w:b/>
          <w:i w:val="0"/>
          <w:color w:val="1A1A2E"/>
          <w:sz w:val="24"/>
        </w:rPr>
        <w:t>Email 3 — Wednesday</w:t>
      </w:r>
      <w:r>
        <w:rPr>
          <w:rFonts w:ascii="Calibri" w:hAnsi="Calibri"/>
          <w:b w:val="0"/>
          <w:i w:val="0"/>
          <w:color w:val="555566"/>
          <w:sz w:val="22"/>
        </w:rPr>
        <w:t xml:space="preserve">  (The FAQ / Objections)</w:t>
      </w:r>
    </w:p>
    <w:p>
      <w:pPr>
        <w:spacing w:before="20" w:after="40"/>
        <w:ind w:left="432"/>
      </w:pPr>
      <w:r>
        <w:rPr>
          <w:rFonts w:ascii="Calibri" w:hAnsi="Calibri"/>
          <w:b/>
          <w:i w:val="0"/>
          <w:color w:val="4A90D9"/>
          <w:sz w:val="22"/>
        </w:rPr>
        <w:t xml:space="preserve">Subject: </w:t>
      </w:r>
      <w:r>
        <w:rPr>
          <w:rFonts w:ascii="Calibri" w:hAnsi="Calibri"/>
          <w:b w:val="0"/>
          <w:i/>
          <w:color w:val="0D0D0D"/>
          <w:sz w:val="22"/>
        </w:rPr>
        <w:t>"Is this course for me?" — answered honestly</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Address the 3 main objections: time, skepticism, price. Be real. "If you're already reading this newsletter, it's probably for you."</w:t>
      </w:r>
    </w:p>
    <w:p>
      <w:pPr>
        <w:spacing w:before="160" w:after="40"/>
      </w:pPr>
      <w:r>
        <w:rPr>
          <w:rFonts w:ascii="Calibri" w:hAnsi="Calibri"/>
          <w:b/>
          <w:i w:val="0"/>
          <w:color w:val="1A1A2E"/>
          <w:sz w:val="24"/>
        </w:rPr>
        <w:t>Email 4 — Thursday</w:t>
      </w:r>
      <w:r>
        <w:rPr>
          <w:rFonts w:ascii="Calibri" w:hAnsi="Calibri"/>
          <w:b w:val="0"/>
          <w:i w:val="0"/>
          <w:color w:val="555566"/>
          <w:sz w:val="22"/>
        </w:rPr>
        <w:t xml:space="preserve">  (Social Proof)</w:t>
      </w:r>
    </w:p>
    <w:p>
      <w:pPr>
        <w:spacing w:before="20" w:after="40"/>
        <w:ind w:left="432"/>
      </w:pPr>
      <w:r>
        <w:rPr>
          <w:rFonts w:ascii="Calibri" w:hAnsi="Calibri"/>
          <w:b/>
          <w:i w:val="0"/>
          <w:color w:val="4A90D9"/>
          <w:sz w:val="22"/>
        </w:rPr>
        <w:t xml:space="preserve">Subject: </w:t>
      </w:r>
      <w:r>
        <w:rPr>
          <w:rFonts w:ascii="Calibri" w:hAnsi="Calibri"/>
          <w:b w:val="0"/>
          <w:i/>
          <w:color w:val="0D0D0D"/>
          <w:sz w:val="22"/>
        </w:rPr>
        <w:t>What early readers said</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2–3 quotes from people who've read the content or taken early access. Keep it human and specific — not marketing language.</w:t>
      </w:r>
    </w:p>
    <w:p>
      <w:pPr>
        <w:spacing w:before="160" w:after="40"/>
      </w:pPr>
      <w:r>
        <w:rPr>
          <w:rFonts w:ascii="Calibri" w:hAnsi="Calibri"/>
          <w:b/>
          <w:i w:val="0"/>
          <w:color w:val="1A1A2E"/>
          <w:sz w:val="24"/>
        </w:rPr>
        <w:t>Email 5 — Friday</w:t>
      </w:r>
      <w:r>
        <w:rPr>
          <w:rFonts w:ascii="Calibri" w:hAnsi="Calibri"/>
          <w:b w:val="0"/>
          <w:i w:val="0"/>
          <w:color w:val="555566"/>
          <w:sz w:val="22"/>
        </w:rPr>
        <w:t xml:space="preserve">  (The Reminder)</w:t>
      </w:r>
    </w:p>
    <w:p>
      <w:pPr>
        <w:spacing w:before="20" w:after="40"/>
        <w:ind w:left="432"/>
      </w:pPr>
      <w:r>
        <w:rPr>
          <w:rFonts w:ascii="Calibri" w:hAnsi="Calibri"/>
          <w:b/>
          <w:i w:val="0"/>
          <w:color w:val="4A90D9"/>
          <w:sz w:val="22"/>
        </w:rPr>
        <w:t xml:space="preserve">Subject: </w:t>
      </w:r>
      <w:r>
        <w:rPr>
          <w:rFonts w:ascii="Calibri" w:hAnsi="Calibri"/>
          <w:b w:val="0"/>
          <w:i/>
          <w:color w:val="0D0D0D"/>
          <w:sz w:val="22"/>
        </w:rPr>
        <w:t>Closing Sunday</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Two sentences. "Cart closes Sunday midnight. If it's been on your mind, this is the nudge." [Link]</w:t>
      </w:r>
    </w:p>
    <w:p>
      <w:pPr>
        <w:spacing w:before="160" w:after="40"/>
      </w:pPr>
      <w:r>
        <w:rPr>
          <w:rFonts w:ascii="Calibri" w:hAnsi="Calibri"/>
          <w:b/>
          <w:i w:val="0"/>
          <w:color w:val="1A1A2E"/>
          <w:sz w:val="24"/>
        </w:rPr>
        <w:t>Email 6 — Sunday AM</w:t>
      </w:r>
      <w:r>
        <w:rPr>
          <w:rFonts w:ascii="Calibri" w:hAnsi="Calibri"/>
          <w:b w:val="0"/>
          <w:i w:val="0"/>
          <w:color w:val="555566"/>
          <w:sz w:val="22"/>
        </w:rPr>
        <w:t xml:space="preserve">  (Last Day)</w:t>
      </w:r>
    </w:p>
    <w:p>
      <w:pPr>
        <w:spacing w:before="20" w:after="40"/>
        <w:ind w:left="432"/>
      </w:pPr>
      <w:r>
        <w:rPr>
          <w:rFonts w:ascii="Calibri" w:hAnsi="Calibri"/>
          <w:b/>
          <w:i w:val="0"/>
          <w:color w:val="4A90D9"/>
          <w:sz w:val="22"/>
        </w:rPr>
        <w:t xml:space="preserve">Subject: </w:t>
      </w:r>
      <w:r>
        <w:rPr>
          <w:rFonts w:ascii="Calibri" w:hAnsi="Calibri"/>
          <w:b w:val="0"/>
          <w:i/>
          <w:color w:val="0D0D0D"/>
          <w:sz w:val="22"/>
        </w:rPr>
        <w:t>Today is the last day</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Remind them of the transformation. Paint the before/after. Restate the deadline clearly.</w:t>
      </w:r>
    </w:p>
    <w:p>
      <w:pPr>
        <w:spacing w:before="160" w:after="40"/>
      </w:pPr>
      <w:r>
        <w:rPr>
          <w:rFonts w:ascii="Calibri" w:hAnsi="Calibri"/>
          <w:b/>
          <w:i w:val="0"/>
          <w:color w:val="1A1A2E"/>
          <w:sz w:val="24"/>
        </w:rPr>
        <w:t>Email 7 — Sunday PM</w:t>
      </w:r>
      <w:r>
        <w:rPr>
          <w:rFonts w:ascii="Calibri" w:hAnsi="Calibri"/>
          <w:b w:val="0"/>
          <w:i w:val="0"/>
          <w:color w:val="555566"/>
          <w:sz w:val="22"/>
        </w:rPr>
        <w:t xml:space="preserve">  (Final Hours)</w:t>
      </w:r>
    </w:p>
    <w:p>
      <w:pPr>
        <w:spacing w:before="20" w:after="40"/>
        <w:ind w:left="432"/>
      </w:pPr>
      <w:r>
        <w:rPr>
          <w:rFonts w:ascii="Calibri" w:hAnsi="Calibri"/>
          <w:b/>
          <w:i w:val="0"/>
          <w:color w:val="4A90D9"/>
          <w:sz w:val="22"/>
        </w:rPr>
        <w:t xml:space="preserve">Subject: </w:t>
      </w:r>
      <w:r>
        <w:rPr>
          <w:rFonts w:ascii="Calibri" w:hAnsi="Calibri"/>
          <w:b w:val="0"/>
          <w:i/>
          <w:color w:val="0D0D0D"/>
          <w:sz w:val="22"/>
        </w:rPr>
        <w:t>Closes at midnight</w:t>
      </w:r>
    </w:p>
    <w:p>
      <w:pPr>
        <w:spacing w:before="20" w:after="40"/>
        <w:ind w:left="432"/>
      </w:pPr>
      <w:r>
        <w:rPr>
          <w:rFonts w:ascii="Calibri" w:hAnsi="Calibri"/>
          <w:b/>
          <w:i w:val="0"/>
          <w:color w:val="555566"/>
          <w:sz w:val="22"/>
        </w:rPr>
        <w:t xml:space="preserve">Body: </w:t>
      </w:r>
      <w:r>
        <w:rPr>
          <w:rFonts w:ascii="Calibri" w:hAnsi="Calibri"/>
          <w:b w:val="0"/>
          <w:i w:val="0"/>
          <w:color w:val="0D0D0D"/>
          <w:sz w:val="22"/>
        </w:rPr>
        <w:t>Ultra short. "Last call. [Link]. After midnight, the course closes." Nothing more.</w:t>
      </w:r>
    </w:p>
    <w:p>
      <w:pPr>
        <w:spacing w:before="0" w:after="0"/>
      </w:pPr>
    </w:p>
    <w:p>
      <w:r>
        <w:br w:type="page"/>
      </w:r>
    </w:p>
    <w:p>
      <w:pPr>
        <w:spacing w:before="360" w:after="120"/>
        <w:pBdr>
          <w:bottom w:val="single" w:sz="6" w:space="4" w:color="4A90D9"/>
        </w:pBdr>
      </w:pPr>
      <w:r>
        <w:rPr>
          <w:rFonts w:ascii="Calibri" w:hAnsi="Calibri"/>
          <w:b/>
          <w:i w:val="0"/>
          <w:color w:val="1A1A2E"/>
          <w:sz w:val="36"/>
        </w:rPr>
        <w:t>8. Weekly Scorecard Template</w:t>
      </w:r>
    </w:p>
    <w:p>
      <w:pPr>
        <w:spacing w:before="40" w:after="120"/>
      </w:pPr>
      <w:r>
        <w:rPr>
          <w:rFonts w:ascii="Calibri" w:hAnsi="Calibri"/>
          <w:b w:val="0"/>
          <w:i w:val="0"/>
          <w:color w:val="0D0D0D"/>
          <w:sz w:val="22"/>
        </w:rPr>
        <w:t>Review every Sunday. Score your lead measures for the week — not outcomes, but executions. 85%+ means you are on track. Below 85%, identify one blocker and remove it before Monday.</w:t>
      </w:r>
    </w:p>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pPr>
              <w:shd w:val="clear" w:color="auto" w:fill="1A1A2E"/>
            </w:pPr>
            <w:r>
              <w:rPr>
                <w:rFonts w:ascii="Calibri" w:hAnsi="Calibri"/>
                <w:b/>
                <w:i w:val="0"/>
                <w:color w:val="FFFFFF"/>
                <w:sz w:val="20"/>
              </w:rPr>
              <w:t>Lead Measure</w:t>
            </w:r>
          </w:p>
        </w:tc>
        <w:tc>
          <w:tcPr>
            <w:tcW w:type="dxa" w:w="2196"/>
          </w:tcPr>
          <w:p>
            <w:pPr>
              <w:shd w:val="clear" w:color="auto" w:fill="1A1A2E"/>
            </w:pPr>
            <w:r>
              <w:rPr>
                <w:rFonts w:ascii="Calibri" w:hAnsi="Calibri"/>
                <w:b/>
                <w:i w:val="0"/>
                <w:color w:val="FFFFFF"/>
                <w:sz w:val="20"/>
              </w:rPr>
              <w:t>Target</w:t>
            </w:r>
          </w:p>
        </w:tc>
        <w:tc>
          <w:tcPr>
            <w:tcW w:type="dxa" w:w="2196"/>
          </w:tcPr>
          <w:p>
            <w:pPr>
              <w:shd w:val="clear" w:color="auto" w:fill="1A1A2E"/>
            </w:pPr>
            <w:r>
              <w:rPr>
                <w:rFonts w:ascii="Calibri" w:hAnsi="Calibri"/>
                <w:b/>
                <w:i w:val="0"/>
                <w:color w:val="FFFFFF"/>
                <w:sz w:val="20"/>
              </w:rPr>
              <w:t>Actual</w:t>
            </w:r>
          </w:p>
        </w:tc>
        <w:tc>
          <w:tcPr>
            <w:tcW w:type="dxa" w:w="2196"/>
          </w:tcPr>
          <w:p>
            <w:pPr>
              <w:shd w:val="clear" w:color="auto" w:fill="1A1A2E"/>
            </w:pPr>
            <w:r>
              <w:rPr>
                <w:rFonts w:ascii="Calibri" w:hAnsi="Calibri"/>
                <w:b/>
                <w:i w:val="0"/>
                <w:color w:val="FFFFFF"/>
                <w:sz w:val="20"/>
              </w:rPr>
              <w:t>Score</w:t>
            </w:r>
          </w:p>
        </w:tc>
      </w:tr>
      <w:tr>
        <w:tc>
          <w:tcPr>
            <w:tcW w:type="dxa" w:w="2196"/>
          </w:tcPr>
          <w:p>
            <w:pPr>
              <w:spacing w:before="80" w:after="80"/>
            </w:pPr>
            <w:r>
              <w:rPr>
                <w:rFonts w:ascii="Calibri" w:hAnsi="Calibri"/>
                <w:b/>
                <w:i w:val="0"/>
                <w:color w:val="0D0D0D"/>
                <w:sz w:val="20"/>
              </w:rPr>
              <w:t>Newsletter issue sent</w:t>
            </w:r>
          </w:p>
        </w:tc>
        <w:tc>
          <w:tcPr>
            <w:tcW w:type="dxa" w:w="2196"/>
          </w:tcPr>
          <w:p>
            <w:pPr>
              <w:spacing w:before="80" w:after="80"/>
            </w:pPr>
            <w:r>
              <w:rPr>
                <w:rFonts w:ascii="Calibri" w:hAnsi="Calibri"/>
                <w:b w:val="0"/>
                <w:i w:val="0"/>
                <w:color w:val="0D0D0D"/>
                <w:sz w:val="20"/>
              </w:rPr>
              <w:t>1 / week</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r>
        <w:tc>
          <w:tcPr>
            <w:tcW w:type="dxa" w:w="2196"/>
          </w:tcPr>
          <w:p>
            <w:pPr>
              <w:spacing w:before="80" w:after="80"/>
            </w:pPr>
            <w:r>
              <w:rPr>
                <w:rFonts w:ascii="Calibri" w:hAnsi="Calibri"/>
                <w:b/>
                <w:i w:val="0"/>
                <w:color w:val="0D0D0D"/>
                <w:sz w:val="20"/>
              </w:rPr>
              <w:t>Make Time Highlight done</w:t>
            </w:r>
          </w:p>
        </w:tc>
        <w:tc>
          <w:tcPr>
            <w:tcW w:type="dxa" w:w="2196"/>
          </w:tcPr>
          <w:p>
            <w:pPr>
              <w:spacing w:before="80" w:after="80"/>
            </w:pPr>
            <w:r>
              <w:rPr>
                <w:rFonts w:ascii="Calibri" w:hAnsi="Calibri"/>
                <w:b w:val="0"/>
                <w:i w:val="0"/>
                <w:color w:val="0D0D0D"/>
                <w:sz w:val="20"/>
              </w:rPr>
              <w:t>5 / week</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r>
        <w:tc>
          <w:tcPr>
            <w:tcW w:type="dxa" w:w="2196"/>
          </w:tcPr>
          <w:p>
            <w:pPr>
              <w:spacing w:before="80" w:after="80"/>
            </w:pPr>
            <w:r>
              <w:rPr>
                <w:rFonts w:ascii="Calibri" w:hAnsi="Calibri"/>
                <w:b/>
                <w:i w:val="0"/>
                <w:color w:val="0D0D0D"/>
                <w:sz w:val="20"/>
              </w:rPr>
              <w:t>New email subscribers</w:t>
            </w:r>
          </w:p>
        </w:tc>
        <w:tc>
          <w:tcPr>
            <w:tcW w:type="dxa" w:w="2196"/>
          </w:tcPr>
          <w:p>
            <w:pPr>
              <w:spacing w:before="80" w:after="80"/>
            </w:pPr>
            <w:r>
              <w:rPr>
                <w:rFonts w:ascii="Calibri" w:hAnsi="Calibri"/>
                <w:b w:val="0"/>
                <w:i w:val="0"/>
                <w:color w:val="0D0D0D"/>
                <w:sz w:val="20"/>
              </w:rPr>
              <w:t>25 / week</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r>
        <w:tc>
          <w:tcPr>
            <w:tcW w:type="dxa" w:w="2196"/>
          </w:tcPr>
          <w:p>
            <w:pPr>
              <w:spacing w:before="80" w:after="80"/>
            </w:pPr>
            <w:r>
              <w:rPr>
                <w:rFonts w:ascii="Calibri" w:hAnsi="Calibri"/>
                <w:b/>
                <w:i w:val="0"/>
                <w:color w:val="0D0D0D"/>
                <w:sz w:val="20"/>
              </w:rPr>
              <w:t>PLF / launch email written</w:t>
            </w:r>
          </w:p>
        </w:tc>
        <w:tc>
          <w:tcPr>
            <w:tcW w:type="dxa" w:w="2196"/>
          </w:tcPr>
          <w:p>
            <w:pPr>
              <w:spacing w:before="80" w:after="80"/>
            </w:pPr>
            <w:r>
              <w:rPr>
                <w:rFonts w:ascii="Calibri" w:hAnsi="Calibri"/>
                <w:b w:val="0"/>
                <w:i w:val="0"/>
                <w:color w:val="0D0D0D"/>
                <w:sz w:val="20"/>
              </w:rPr>
              <w:t>per plan</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r>
        <w:tc>
          <w:tcPr>
            <w:tcW w:type="dxa" w:w="2196"/>
          </w:tcPr>
          <w:p>
            <w:pPr>
              <w:spacing w:before="80" w:after="80"/>
            </w:pPr>
            <w:r>
              <w:rPr>
                <w:rFonts w:ascii="Calibri" w:hAnsi="Calibri"/>
                <w:b/>
                <w:i w:val="0"/>
                <w:color w:val="0D0D0D"/>
                <w:sz w:val="20"/>
              </w:rPr>
              <w:t>Deep work blocks (60+ min)</w:t>
            </w:r>
          </w:p>
        </w:tc>
        <w:tc>
          <w:tcPr>
            <w:tcW w:type="dxa" w:w="2196"/>
          </w:tcPr>
          <w:p>
            <w:pPr>
              <w:spacing w:before="80" w:after="80"/>
            </w:pPr>
            <w:r>
              <w:rPr>
                <w:rFonts w:ascii="Calibri" w:hAnsi="Calibri"/>
                <w:b w:val="0"/>
                <w:i w:val="0"/>
                <w:color w:val="0D0D0D"/>
                <w:sz w:val="20"/>
              </w:rPr>
              <w:t>4 / week</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r>
        <w:tc>
          <w:tcPr>
            <w:tcW w:type="dxa" w:w="2196"/>
          </w:tcPr>
          <w:p>
            <w:pPr>
              <w:spacing w:before="80" w:after="80"/>
            </w:pPr>
            <w:r>
              <w:rPr>
                <w:rFonts w:ascii="Calibri" w:hAnsi="Calibri"/>
                <w:b/>
                <w:i w:val="0"/>
                <w:color w:val="0D0D0D"/>
                <w:sz w:val="20"/>
              </w:rPr>
              <w:t>Social post / content piece</w:t>
            </w:r>
          </w:p>
        </w:tc>
        <w:tc>
          <w:tcPr>
            <w:tcW w:type="dxa" w:w="2196"/>
          </w:tcPr>
          <w:p>
            <w:pPr>
              <w:spacing w:before="80" w:after="80"/>
            </w:pPr>
            <w:r>
              <w:rPr>
                <w:rFonts w:ascii="Calibri" w:hAnsi="Calibri"/>
                <w:b w:val="0"/>
                <w:i w:val="0"/>
                <w:color w:val="0D0D0D"/>
                <w:sz w:val="20"/>
              </w:rPr>
              <w:t>2 / week</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r>
        <w:tc>
          <w:tcPr>
            <w:tcW w:type="dxa" w:w="2196"/>
          </w:tcPr>
          <w:p>
            <w:pPr>
              <w:spacing w:before="80" w:after="80"/>
            </w:pPr>
            <w:r>
              <w:rPr>
                <w:rFonts w:ascii="Calibri" w:hAnsi="Calibri"/>
                <w:b/>
                <w:i w:val="0"/>
                <w:color w:val="0D0D0D"/>
                <w:sz w:val="20"/>
              </w:rPr>
              <w:t>Weekly review completed</w:t>
            </w:r>
          </w:p>
        </w:tc>
        <w:tc>
          <w:tcPr>
            <w:tcW w:type="dxa" w:w="2196"/>
          </w:tcPr>
          <w:p>
            <w:pPr>
              <w:spacing w:before="80" w:after="80"/>
            </w:pPr>
            <w:r>
              <w:rPr>
                <w:rFonts w:ascii="Calibri" w:hAnsi="Calibri"/>
                <w:b w:val="0"/>
                <w:i w:val="0"/>
                <w:color w:val="0D0D0D"/>
                <w:sz w:val="20"/>
              </w:rPr>
              <w:t>1 / week</w:t>
            </w:r>
          </w:p>
        </w:tc>
        <w:tc>
          <w:tcPr>
            <w:tcW w:type="dxa" w:w="2196"/>
          </w:tcPr>
          <w:p>
            <w:pPr>
              <w:spacing w:before="80" w:after="80"/>
            </w:pPr>
            <w:r>
              <w:rPr>
                <w:rFonts w:ascii="Calibri" w:hAnsi="Calibri"/>
                <w:b w:val="0"/>
                <w:i w:val="0"/>
                <w:color w:val="0D0D0D"/>
                <w:sz w:val="20"/>
              </w:rPr>
              <w:t>___</w:t>
            </w:r>
          </w:p>
        </w:tc>
        <w:tc>
          <w:tcPr>
            <w:tcW w:type="dxa" w:w="2196"/>
          </w:tcPr>
          <w:p>
            <w:pPr>
              <w:spacing w:before="80" w:after="80"/>
            </w:pPr>
            <w:r>
              <w:rPr>
                <w:rFonts w:ascii="Calibri" w:hAnsi="Calibri"/>
                <w:b w:val="0"/>
                <w:i w:val="0"/>
                <w:color w:val="0D0D0D"/>
                <w:sz w:val="20"/>
              </w:rPr>
              <w:t>___</w:t>
            </w:r>
          </w:p>
        </w:tc>
      </w:tr>
    </w:tbl>
    <w:p>
      <w:pPr>
        <w:spacing w:before="0" w:after="0"/>
      </w:pPr>
    </w:p>
    <w:p>
      <w:pPr>
        <w:spacing w:before="120" w:after="120"/>
        <w:ind w:left="432" w:right="432"/>
        <w:shd w:val="clear" w:color="auto" w:fill="EAF2FB"/>
      </w:pPr>
      <w:r>
        <w:rPr>
          <w:rFonts w:ascii="Calibri" w:hAnsi="Calibri"/>
          <w:b/>
          <w:i w:val="0"/>
          <w:color w:val="4A90D9"/>
          <w:sz w:val="22"/>
        </w:rPr>
        <w:t xml:space="preserve">Scoring formula:  </w:t>
      </w:r>
      <w:r>
        <w:rPr>
          <w:rFonts w:ascii="Calibri" w:hAnsi="Calibri"/>
          <w:b w:val="0"/>
          <w:i w:val="0"/>
          <w:color w:val="0D0D0D"/>
          <w:sz w:val="22"/>
        </w:rPr>
        <w:t>Tasks completed ÷ Tasks planned × 100 = Execution score. Target 85%+. If you hit 85%+ for 8 of 12 weeks, you will launch.</w:t>
      </w:r>
    </w:p>
    <w:p>
      <w:pPr>
        <w:spacing w:before="0" w:after="0"/>
      </w:pPr>
    </w:p>
    <w:p>
      <w:pPr>
        <w:spacing w:before="360" w:after="120"/>
        <w:pBdr>
          <w:bottom w:val="single" w:sz="6" w:space="4" w:color="4A90D9"/>
        </w:pBdr>
      </w:pPr>
      <w:r>
        <w:rPr>
          <w:rFonts w:ascii="Calibri" w:hAnsi="Calibri"/>
          <w:b/>
          <w:i w:val="0"/>
          <w:color w:val="1A1A2E"/>
          <w:sz w:val="36"/>
        </w:rPr>
        <w:t>9. Product Format — Decision Guide</w:t>
      </w:r>
    </w:p>
    <w:p>
      <w:pPr>
        <w:spacing w:before="40" w:after="120"/>
      </w:pPr>
      <w:r>
        <w:rPr>
          <w:rFonts w:ascii="Calibri" w:hAnsi="Calibri"/>
          <w:b w:val="0"/>
          <w:i w:val="0"/>
          <w:color w:val="0D0D0D"/>
          <w:sz w:val="22"/>
        </w:rPr>
        <w:t>The Deprogramming course content exists as 30+ MDX lessons. The format choice affects price, delivery, and conversion. Recommendation for a first launch:</w:t>
      </w:r>
    </w:p>
    <w:p>
      <w:pPr>
        <w:spacing w:before="0" w:after="0"/>
      </w:pP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pPr>
              <w:shd w:val="clear" w:color="auto" w:fill="1A1A2E"/>
            </w:pPr>
            <w:r>
              <w:rPr>
                <w:rFonts w:ascii="Calibri" w:hAnsi="Calibri"/>
                <w:b/>
                <w:i w:val="0"/>
                <w:color w:val="FFFFFF"/>
                <w:sz w:val="20"/>
              </w:rPr>
              <w:t>Format</w:t>
            </w:r>
          </w:p>
        </w:tc>
        <w:tc>
          <w:tcPr>
            <w:tcW w:type="dxa" w:w="2196"/>
          </w:tcPr>
          <w:p>
            <w:pPr>
              <w:shd w:val="clear" w:color="auto" w:fill="1A1A2E"/>
            </w:pPr>
            <w:r>
              <w:rPr>
                <w:rFonts w:ascii="Calibri" w:hAnsi="Calibri"/>
                <w:b/>
                <w:i w:val="0"/>
                <w:color w:val="FFFFFF"/>
                <w:sz w:val="20"/>
              </w:rPr>
              <w:t>Price Range</w:t>
            </w:r>
          </w:p>
        </w:tc>
        <w:tc>
          <w:tcPr>
            <w:tcW w:type="dxa" w:w="2196"/>
          </w:tcPr>
          <w:p>
            <w:pPr>
              <w:shd w:val="clear" w:color="auto" w:fill="1A1A2E"/>
            </w:pPr>
            <w:r>
              <w:rPr>
                <w:rFonts w:ascii="Calibri" w:hAnsi="Calibri"/>
                <w:b/>
                <w:i w:val="0"/>
                <w:color w:val="FFFFFF"/>
                <w:sz w:val="20"/>
              </w:rPr>
              <w:t>Effort to Launch</w:t>
            </w:r>
          </w:p>
        </w:tc>
        <w:tc>
          <w:tcPr>
            <w:tcW w:type="dxa" w:w="2196"/>
          </w:tcPr>
          <w:p>
            <w:pPr>
              <w:shd w:val="clear" w:color="auto" w:fill="1A1A2E"/>
            </w:pPr>
            <w:r>
              <w:rPr>
                <w:rFonts w:ascii="Calibri" w:hAnsi="Calibri"/>
                <w:b/>
                <w:i w:val="0"/>
                <w:color w:val="FFFFFF"/>
                <w:sz w:val="20"/>
              </w:rPr>
              <w:t>Recommended?</w:t>
            </w:r>
          </w:p>
        </w:tc>
      </w:tr>
      <w:tr>
        <w:tc>
          <w:tcPr>
            <w:tcW w:type="dxa" w:w="2196"/>
          </w:tcPr>
          <w:p>
            <w:pPr>
              <w:spacing w:before="80" w:after="80"/>
            </w:pPr>
            <w:r>
              <w:rPr>
                <w:rFonts w:ascii="Calibri" w:hAnsi="Calibri"/>
                <w:b w:val="0"/>
                <w:i w:val="0"/>
                <w:color w:val="0D0D0D"/>
                <w:sz w:val="20"/>
              </w:rPr>
              <w:t>Self-paced course (MDX)</w:t>
            </w:r>
          </w:p>
        </w:tc>
        <w:tc>
          <w:tcPr>
            <w:tcW w:type="dxa" w:w="2196"/>
          </w:tcPr>
          <w:p>
            <w:pPr>
              <w:spacing w:before="80" w:after="80"/>
            </w:pPr>
            <w:r>
              <w:rPr>
                <w:rFonts w:ascii="Calibri" w:hAnsi="Calibri"/>
                <w:b w:val="0"/>
                <w:i w:val="0"/>
                <w:color w:val="0D0D0D"/>
                <w:sz w:val="20"/>
              </w:rPr>
              <w:t>$97–$197</w:t>
            </w:r>
          </w:p>
        </w:tc>
        <w:tc>
          <w:tcPr>
            <w:tcW w:type="dxa" w:w="2196"/>
          </w:tcPr>
          <w:p>
            <w:pPr>
              <w:spacing w:before="80" w:after="80"/>
            </w:pPr>
            <w:r>
              <w:rPr>
                <w:rFonts w:ascii="Calibri" w:hAnsi="Calibri"/>
                <w:b w:val="0"/>
                <w:i w:val="0"/>
                <w:color w:val="0D0D0D"/>
                <w:sz w:val="20"/>
              </w:rPr>
              <w:t>Low — already built</w:t>
            </w:r>
          </w:p>
        </w:tc>
        <w:tc>
          <w:tcPr>
            <w:tcW w:type="dxa" w:w="2196"/>
          </w:tcPr>
          <w:p>
            <w:pPr>
              <w:spacing w:before="80" w:after="80"/>
            </w:pPr>
            <w:r>
              <w:rPr>
                <w:rFonts w:ascii="Calibri" w:hAnsi="Calibri"/>
                <w:b/>
                <w:i w:val="0"/>
                <w:color w:val="4A90D9"/>
                <w:sz w:val="20"/>
              </w:rPr>
              <w:t>✓ Start here</w:t>
            </w:r>
          </w:p>
        </w:tc>
      </w:tr>
      <w:tr>
        <w:tc>
          <w:tcPr>
            <w:tcW w:type="dxa" w:w="2196"/>
          </w:tcPr>
          <w:p>
            <w:pPr>
              <w:spacing w:before="80" w:after="80"/>
            </w:pPr>
            <w:r>
              <w:rPr>
                <w:rFonts w:ascii="Calibri" w:hAnsi="Calibri"/>
                <w:b w:val="0"/>
                <w:i w:val="0"/>
                <w:color w:val="0D0D0D"/>
                <w:sz w:val="20"/>
              </w:rPr>
              <w:t>Cohort / live course</w:t>
            </w:r>
          </w:p>
        </w:tc>
        <w:tc>
          <w:tcPr>
            <w:tcW w:type="dxa" w:w="2196"/>
          </w:tcPr>
          <w:p>
            <w:pPr>
              <w:spacing w:before="80" w:after="80"/>
            </w:pPr>
            <w:r>
              <w:rPr>
                <w:rFonts w:ascii="Calibri" w:hAnsi="Calibri"/>
                <w:b w:val="0"/>
                <w:i w:val="0"/>
                <w:color w:val="0D0D0D"/>
                <w:sz w:val="20"/>
              </w:rPr>
              <w:t>$297–$997</w:t>
            </w:r>
          </w:p>
        </w:tc>
        <w:tc>
          <w:tcPr>
            <w:tcW w:type="dxa" w:w="2196"/>
          </w:tcPr>
          <w:p>
            <w:pPr>
              <w:spacing w:before="80" w:after="80"/>
            </w:pPr>
            <w:r>
              <w:rPr>
                <w:rFonts w:ascii="Calibri" w:hAnsi="Calibri"/>
                <w:b w:val="0"/>
                <w:i w:val="0"/>
                <w:color w:val="0D0D0D"/>
                <w:sz w:val="20"/>
              </w:rPr>
              <w:t>High — scheduling, live calls</w:t>
            </w:r>
          </w:p>
        </w:tc>
        <w:tc>
          <w:tcPr>
            <w:tcW w:type="dxa" w:w="2196"/>
          </w:tcPr>
          <w:p>
            <w:pPr>
              <w:spacing w:before="80" w:after="80"/>
            </w:pPr>
            <w:r>
              <w:rPr>
                <w:rFonts w:ascii="Calibri" w:hAnsi="Calibri"/>
                <w:b w:val="0"/>
                <w:i w:val="0"/>
                <w:color w:val="0D0D0D"/>
                <w:sz w:val="20"/>
              </w:rPr>
              <w:t>Cycle 2+</w:t>
            </w:r>
          </w:p>
        </w:tc>
      </w:tr>
      <w:tr>
        <w:tc>
          <w:tcPr>
            <w:tcW w:type="dxa" w:w="2196"/>
          </w:tcPr>
          <w:p>
            <w:pPr>
              <w:spacing w:before="80" w:after="80"/>
            </w:pPr>
            <w:r>
              <w:rPr>
                <w:rFonts w:ascii="Calibri" w:hAnsi="Calibri"/>
                <w:b w:val="0"/>
                <w:i w:val="0"/>
                <w:color w:val="0D0D0D"/>
                <w:sz w:val="20"/>
              </w:rPr>
              <w:t>PDF / Ebook</w:t>
            </w:r>
          </w:p>
        </w:tc>
        <w:tc>
          <w:tcPr>
            <w:tcW w:type="dxa" w:w="2196"/>
          </w:tcPr>
          <w:p>
            <w:pPr>
              <w:spacing w:before="80" w:after="80"/>
            </w:pPr>
            <w:r>
              <w:rPr>
                <w:rFonts w:ascii="Calibri" w:hAnsi="Calibri"/>
                <w:b w:val="0"/>
                <w:i w:val="0"/>
                <w:color w:val="0D0D0D"/>
                <w:sz w:val="20"/>
              </w:rPr>
              <w:t>$17–$47</w:t>
            </w:r>
          </w:p>
        </w:tc>
        <w:tc>
          <w:tcPr>
            <w:tcW w:type="dxa" w:w="2196"/>
          </w:tcPr>
          <w:p>
            <w:pPr>
              <w:spacing w:before="80" w:after="80"/>
            </w:pPr>
            <w:r>
              <w:rPr>
                <w:rFonts w:ascii="Calibri" w:hAnsi="Calibri"/>
                <w:b w:val="0"/>
                <w:i w:val="0"/>
                <w:color w:val="0D0D0D"/>
                <w:sz w:val="20"/>
              </w:rPr>
              <w:t>Very low</w:t>
            </w:r>
          </w:p>
        </w:tc>
        <w:tc>
          <w:tcPr>
            <w:tcW w:type="dxa" w:w="2196"/>
          </w:tcPr>
          <w:p>
            <w:pPr>
              <w:spacing w:before="80" w:after="80"/>
            </w:pPr>
            <w:r>
              <w:rPr>
                <w:rFonts w:ascii="Calibri" w:hAnsi="Calibri"/>
                <w:b w:val="0"/>
                <w:i w:val="0"/>
                <w:color w:val="0D0D0D"/>
                <w:sz w:val="20"/>
              </w:rPr>
              <w:t>Complementary upsell</w:t>
            </w:r>
          </w:p>
        </w:tc>
      </w:tr>
    </w:tbl>
    <w:p>
      <w:pPr>
        <w:spacing w:before="0" w:after="0"/>
      </w:pPr>
    </w:p>
    <w:p>
      <w:pPr>
        <w:spacing w:before="120" w:after="120"/>
        <w:ind w:left="432" w:right="432"/>
        <w:shd w:val="clear" w:color="auto" w:fill="E8F5E9"/>
      </w:pPr>
      <w:r>
        <w:rPr>
          <w:rFonts w:ascii="Calibri" w:hAnsi="Calibri"/>
          <w:b/>
          <w:i w:val="0"/>
          <w:color w:val="4A90D9"/>
          <w:sz w:val="22"/>
        </w:rPr>
        <w:t xml:space="preserve">Recommendation:  </w:t>
      </w:r>
      <w:r>
        <w:rPr>
          <w:rFonts w:ascii="Calibri" w:hAnsi="Calibri"/>
          <w:b w:val="0"/>
          <w:i w:val="0"/>
          <w:color w:val="0D0D0D"/>
          <w:sz w:val="22"/>
        </w:rPr>
        <w:t>Launch the self-paced course first at $127. The /course-access route is already in the codebase. Use MailerLite to deliver access via email after purchase (or integrate Gumroad/Lemon Squeezy for payments). Move to a live cohort in cycle 2 once you have testimonials and proof of concept.</w:t>
      </w:r>
    </w:p>
    <w:p>
      <w:pPr>
        <w:spacing w:before="0" w:after="0"/>
      </w:pPr>
    </w:p>
    <w:p>
      <w:pPr>
        <w:spacing w:before="360" w:after="120"/>
        <w:pBdr>
          <w:bottom w:val="single" w:sz="6" w:space="4" w:color="4A90D9"/>
        </w:pBdr>
      </w:pPr>
      <w:r>
        <w:rPr>
          <w:rFonts w:ascii="Calibri" w:hAnsi="Calibri"/>
          <w:b/>
          <w:i w:val="0"/>
          <w:color w:val="1A1A2E"/>
          <w:sz w:val="36"/>
        </w:rPr>
        <w:t>10. Technical Checklist (Before Launch)</w:t>
      </w:r>
    </w:p>
    <w:p>
      <w:pPr>
        <w:spacing w:before="40" w:after="40"/>
        <w:ind w:left="432"/>
      </w:pPr>
      <w:r>
        <w:rPr>
          <w:rFonts w:ascii="Calibri" w:hAnsi="Calibri"/>
          <w:b/>
          <w:i w:val="0"/>
          <w:color w:val="4A90D9"/>
          <w:sz w:val="22"/>
        </w:rPr>
        <w:t xml:space="preserve">☐  </w:t>
      </w:r>
      <w:r>
        <w:rPr>
          <w:rFonts w:ascii="Calibri" w:hAnsi="Calibri"/>
          <w:b w:val="0"/>
          <w:i w:val="0"/>
          <w:color w:val="0D0D0D"/>
          <w:sz w:val="22"/>
        </w:rPr>
        <w:t>Set NEXT_PUBLIC_BASE_URL to https://originalform.org in Vercel env vars</w:t>
      </w:r>
    </w:p>
    <w:p>
      <w:pPr>
        <w:spacing w:before="40" w:after="40"/>
        <w:ind w:left="432"/>
      </w:pPr>
      <w:r>
        <w:rPr>
          <w:rFonts w:ascii="Calibri" w:hAnsi="Calibri"/>
          <w:b/>
          <w:i w:val="0"/>
          <w:color w:val="4A90D9"/>
          <w:sz w:val="22"/>
        </w:rPr>
        <w:t xml:space="preserve">☐  </w:t>
      </w:r>
      <w:r>
        <w:rPr>
          <w:rFonts w:ascii="Calibri" w:hAnsi="Calibri"/>
          <w:b w:val="0"/>
          <w:i w:val="0"/>
          <w:color w:val="0D0D0D"/>
          <w:sz w:val="22"/>
        </w:rPr>
        <w:t>Set EMAIL_API_KEY and EMAIL_LIST_UUIDS for MailerLite in Vercel env vars</w:t>
      </w:r>
    </w:p>
    <w:p>
      <w:pPr>
        <w:spacing w:before="40" w:after="40"/>
        <w:ind w:left="432"/>
      </w:pPr>
      <w:r>
        <w:rPr>
          <w:rFonts w:ascii="Calibri" w:hAnsi="Calibri"/>
          <w:b/>
          <w:i w:val="0"/>
          <w:color w:val="4A90D9"/>
          <w:sz w:val="22"/>
        </w:rPr>
        <w:t xml:space="preserve">☐  </w:t>
      </w:r>
      <w:r>
        <w:rPr>
          <w:rFonts w:ascii="Calibri" w:hAnsi="Calibri"/>
          <w:b w:val="0"/>
          <w:i w:val="0"/>
          <w:color w:val="0D0D0D"/>
          <w:sz w:val="22"/>
        </w:rPr>
        <w:t>Set EMAIL_GROUP_MAP with groups: newsletter:&lt;id&gt;, deprogramming:&lt;id&gt;</w:t>
      </w:r>
    </w:p>
    <w:p>
      <w:pPr>
        <w:spacing w:before="40" w:after="40"/>
        <w:ind w:left="432"/>
      </w:pPr>
      <w:r>
        <w:rPr>
          <w:rFonts w:ascii="Calibri" w:hAnsi="Calibri"/>
          <w:b/>
          <w:i w:val="0"/>
          <w:color w:val="4A90D9"/>
          <w:sz w:val="22"/>
        </w:rPr>
        <w:t xml:space="preserve">☐  </w:t>
      </w:r>
      <w:r>
        <w:rPr>
          <w:rFonts w:ascii="Calibri" w:hAnsi="Calibri"/>
          <w:b w:val="0"/>
          <w:i w:val="0"/>
          <w:color w:val="0D0D0D"/>
          <w:sz w:val="22"/>
        </w:rPr>
        <w:t>Create a Waitlist group in MailerLite and wire to the course landing page form</w:t>
      </w:r>
    </w:p>
    <w:p>
      <w:pPr>
        <w:spacing w:before="40" w:after="40"/>
        <w:ind w:left="432"/>
      </w:pPr>
      <w:r>
        <w:rPr>
          <w:rFonts w:ascii="Calibri" w:hAnsi="Calibri"/>
          <w:b/>
          <w:i w:val="0"/>
          <w:color w:val="4A90D9"/>
          <w:sz w:val="22"/>
        </w:rPr>
        <w:t xml:space="preserve">☐  </w:t>
      </w:r>
      <w:r>
        <w:rPr>
          <w:rFonts w:ascii="Calibri" w:hAnsi="Calibri"/>
          <w:b w:val="0"/>
          <w:i w:val="0"/>
          <w:color w:val="0D0D0D"/>
          <w:sz w:val="22"/>
        </w:rPr>
        <w:t>Build a simple /deprogramming sales page (use existing Hero + MDX layout)</w:t>
      </w:r>
    </w:p>
    <w:p>
      <w:pPr>
        <w:spacing w:before="40" w:after="40"/>
        <w:ind w:left="432"/>
      </w:pPr>
      <w:r>
        <w:rPr>
          <w:rFonts w:ascii="Calibri" w:hAnsi="Calibri"/>
          <w:b/>
          <w:i w:val="0"/>
          <w:color w:val="4A90D9"/>
          <w:sz w:val="22"/>
        </w:rPr>
        <w:t xml:space="preserve">☐  </w:t>
      </w:r>
      <w:r>
        <w:rPr>
          <w:rFonts w:ascii="Calibri" w:hAnsi="Calibri"/>
          <w:b w:val="0"/>
          <w:i w:val="0"/>
          <w:color w:val="0D0D0D"/>
          <w:sz w:val="22"/>
        </w:rPr>
        <w:t>Wire /course-access to validate email and grant course access</w:t>
      </w:r>
    </w:p>
    <w:p>
      <w:pPr>
        <w:spacing w:before="40" w:after="40"/>
        <w:ind w:left="432"/>
      </w:pPr>
      <w:r>
        <w:rPr>
          <w:rFonts w:ascii="Calibri" w:hAnsi="Calibri"/>
          <w:b/>
          <w:i w:val="0"/>
          <w:color w:val="4A90D9"/>
          <w:sz w:val="22"/>
        </w:rPr>
        <w:t xml:space="preserve">☐  </w:t>
      </w:r>
      <w:r>
        <w:rPr>
          <w:rFonts w:ascii="Calibri" w:hAnsi="Calibri"/>
          <w:b w:val="0"/>
          <w:i w:val="0"/>
          <w:color w:val="0D0D0D"/>
          <w:sz w:val="22"/>
        </w:rPr>
        <w:t>Set up Gumroad or Lemon Squeezy for payment processing (connect to MailerLite on purchase)</w:t>
      </w:r>
    </w:p>
    <w:p>
      <w:pPr>
        <w:spacing w:before="40" w:after="40"/>
        <w:ind w:left="432"/>
      </w:pPr>
      <w:r>
        <w:rPr>
          <w:rFonts w:ascii="Calibri" w:hAnsi="Calibri"/>
          <w:b/>
          <w:i w:val="0"/>
          <w:color w:val="4A90D9"/>
          <w:sz w:val="22"/>
        </w:rPr>
        <w:t xml:space="preserve">☐  </w:t>
      </w:r>
      <w:r>
        <w:rPr>
          <w:rFonts w:ascii="Calibri" w:hAnsi="Calibri"/>
          <w:b w:val="0"/>
          <w:i w:val="0"/>
          <w:color w:val="0D0D0D"/>
          <w:sz w:val="22"/>
        </w:rPr>
        <w:t>Add email capture CTA to bottom of every published post (not just homepage)</w:t>
      </w:r>
    </w:p>
    <w:p>
      <w:pPr>
        <w:spacing w:before="40" w:after="40"/>
        <w:ind w:left="432"/>
      </w:pPr>
      <w:r>
        <w:rPr>
          <w:rFonts w:ascii="Calibri" w:hAnsi="Calibri"/>
          <w:b/>
          <w:i w:val="0"/>
          <w:color w:val="4A90D9"/>
          <w:sz w:val="22"/>
        </w:rPr>
        <w:t xml:space="preserve">☐  </w:t>
      </w:r>
      <w:r>
        <w:rPr>
          <w:rFonts w:ascii="Calibri" w:hAnsi="Calibri"/>
          <w:b w:val="0"/>
          <w:i w:val="0"/>
          <w:color w:val="0D0D0D"/>
          <w:sz w:val="22"/>
        </w:rPr>
        <w:t>Test the full subscriber → welcome email → course access flow end-to-end</w:t>
      </w:r>
    </w:p>
    <w:p>
      <w:pPr>
        <w:spacing w:before="40" w:after="40"/>
        <w:ind w:left="432"/>
      </w:pPr>
      <w:r>
        <w:rPr>
          <w:rFonts w:ascii="Calibri" w:hAnsi="Calibri"/>
          <w:b/>
          <w:i w:val="0"/>
          <w:color w:val="4A90D9"/>
          <w:sz w:val="22"/>
        </w:rPr>
        <w:t xml:space="preserve">☐  </w:t>
      </w:r>
      <w:r>
        <w:rPr>
          <w:rFonts w:ascii="Calibri" w:hAnsi="Calibri"/>
          <w:b w:val="0"/>
          <w:i w:val="0"/>
          <w:color w:val="0D0D0D"/>
          <w:sz w:val="22"/>
        </w:rPr>
        <w:t>Set up Plausible or Umami analytics to track signups, page views, and conversions</w:t>
      </w:r>
    </w:p>
    <w:p>
      <w:pPr>
        <w:spacing w:before="0" w:after="0"/>
      </w:pPr>
    </w:p>
    <w:p>
      <w:r>
        <w:br w:type="page"/>
      </w:r>
    </w:p>
    <w:p>
      <w:pPr>
        <w:spacing w:before="360" w:after="120"/>
        <w:pBdr>
          <w:bottom w:val="single" w:sz="6" w:space="4" w:color="4A90D9"/>
        </w:pBdr>
      </w:pPr>
      <w:r>
        <w:rPr>
          <w:rFonts w:ascii="Calibri" w:hAnsi="Calibri"/>
          <w:b/>
          <w:i w:val="0"/>
          <w:color w:val="1A1A2E"/>
          <w:sz w:val="36"/>
        </w:rPr>
        <w:t>The Single Most Important Thing</w:t>
      </w:r>
    </w:p>
    <w:p>
      <w:pPr>
        <w:spacing w:before="120" w:after="160"/>
        <w:shd w:val="clear" w:color="auto" w:fill="F4F6F9"/>
        <w:ind w:left="576" w:right="576"/>
      </w:pPr>
      <w:r>
        <w:rPr>
          <w:rFonts w:ascii="Calibri" w:hAnsi="Calibri"/>
          <w:b w:val="0"/>
          <w:i w:val="0"/>
          <w:color w:val="1A1A2E"/>
          <w:sz w:val="26"/>
        </w:rPr>
        <w:t>The product is built. The content is real. The audience is the work now.</w:t>
        <w:br/>
        <w:t>Send the newsletter. Write the emails. Ship the launch.</w:t>
        <w:br/>
        <w:t>Everything else is resistance dressed up as planning.</w:t>
      </w:r>
    </w:p>
    <w:p>
      <w:pPr>
        <w:spacing w:before="0" w:after="0"/>
      </w:pPr>
    </w:p>
    <w:p>
      <w:pPr>
        <w:jc w:val="center"/>
      </w:pPr>
      <w:r>
        <w:rPr>
          <w:rFonts w:ascii="Calibri" w:hAnsi="Calibri"/>
          <w:b w:val="0"/>
          <w:i/>
          <w:color w:val="555566"/>
          <w:sz w:val="18"/>
        </w:rPr>
        <w:t>originalform.org  ·  signal@originalform.org  ·  12-Week Launch Cycle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