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39A54" w14:textId="057CEF2E" w:rsidR="00E10C75" w:rsidRPr="001929E0" w:rsidRDefault="00602377" w:rsidP="00E10C75">
      <w:pPr>
        <w:autoSpaceDE w:val="0"/>
        <w:autoSpaceDN w:val="0"/>
        <w:adjustRightInd w:val="0"/>
        <w:rPr>
          <w:rFonts w:ascii="Acumin Pro Medium" w:hAnsi="Acumin Pro Medium" w:cs="Acumin Pro Medium"/>
          <w:color w:val="000000"/>
          <w:sz w:val="28"/>
          <w:szCs w:val="28"/>
        </w:rPr>
      </w:pPr>
      <w:r>
        <w:rPr>
          <w:rFonts w:ascii="Acumin Pro Medium" w:hAnsi="Acumin Pro Medium" w:cs="Acumin Pro Medium"/>
          <w:color w:val="000000"/>
          <w:sz w:val="28"/>
          <w:szCs w:val="28"/>
        </w:rPr>
        <w:t xml:space="preserve">Project </w:t>
      </w:r>
      <w:r w:rsidR="00E10C75" w:rsidRPr="001929E0">
        <w:rPr>
          <w:rFonts w:ascii="Acumin Pro Medium" w:hAnsi="Acumin Pro Medium" w:cs="Acumin Pro Medium"/>
          <w:color w:val="000000"/>
          <w:sz w:val="28"/>
          <w:szCs w:val="28"/>
        </w:rPr>
        <w:t>Background</w:t>
      </w:r>
    </w:p>
    <w:p w14:paraId="71A4748F" w14:textId="77777777" w:rsidR="00E10C75" w:rsidRDefault="00E10C75" w:rsidP="00E10C75">
      <w:pPr>
        <w:autoSpaceDE w:val="0"/>
        <w:autoSpaceDN w:val="0"/>
        <w:adjustRightInd w:val="0"/>
        <w:rPr>
          <w:rFonts w:ascii="Acumin Pro Medium" w:hAnsi="Acumin Pro Medium" w:cs="Acumin Pro Medium"/>
          <w:b/>
          <w:bCs/>
          <w:color w:val="000000"/>
          <w:sz w:val="28"/>
          <w:szCs w:val="28"/>
        </w:rPr>
      </w:pPr>
    </w:p>
    <w:p w14:paraId="4D188F74" w14:textId="77777777" w:rsidR="00E10C75" w:rsidRPr="00F027A9" w:rsidRDefault="00E10C75" w:rsidP="00E10C75">
      <w:pPr>
        <w:autoSpaceDE w:val="0"/>
        <w:autoSpaceDN w:val="0"/>
        <w:adjustRightInd w:val="0"/>
        <w:jc w:val="center"/>
        <w:rPr>
          <w:rFonts w:ascii="Avenir Next LT Pro Light" w:hAnsi="Avenir Next LT Pro Light" w:cs="Times"/>
          <w:i/>
          <w:iCs/>
          <w:color w:val="000000"/>
          <w:sz w:val="22"/>
          <w:szCs w:val="22"/>
          <w:u w:color="0000E9"/>
        </w:rPr>
      </w:pPr>
      <w:r w:rsidRPr="00F027A9">
        <w:rPr>
          <w:rFonts w:ascii="Avenir Next LT Pro Light" w:hAnsi="Avenir Next LT Pro Light" w:cs="Times"/>
          <w:i/>
          <w:iCs/>
          <w:color w:val="000000"/>
          <w:sz w:val="22"/>
          <w:szCs w:val="22"/>
        </w:rPr>
        <w:t xml:space="preserve">"Yet </w:t>
      </w:r>
      <w:r w:rsidRPr="00F027A9">
        <w:rPr>
          <w:rFonts w:ascii="Avenir Next LT Pro Light" w:hAnsi="Avenir Next LT Pro Light" w:cs="Times"/>
          <w:b/>
          <w:bCs/>
          <w:i/>
          <w:iCs/>
          <w:color w:val="000000"/>
          <w:sz w:val="22"/>
          <w:szCs w:val="22"/>
        </w:rPr>
        <w:t>specialization becomes increasingly necessary for progress</w:t>
      </w:r>
      <w:r w:rsidRPr="00F027A9">
        <w:rPr>
          <w:rFonts w:ascii="Avenir Next LT Pro Light" w:hAnsi="Avenir Next LT Pro Light" w:cs="Times"/>
          <w:i/>
          <w:iCs/>
          <w:color w:val="000000"/>
          <w:sz w:val="22"/>
          <w:szCs w:val="22"/>
        </w:rPr>
        <w:t>, and the effort to bridge between disciplines is correspondingly superficial. Professionally our methods of transmitting and reviewing the results of research are generations old and by now are totally inadequate for their purpose." (</w:t>
      </w:r>
      <w:r w:rsidRPr="00F027A9">
        <w:rPr>
          <w:rFonts w:ascii="Avenir Next LT Pro Light" w:hAnsi="Avenir Next LT Pro Light" w:cs="Times"/>
          <w:i/>
          <w:iCs/>
          <w:color w:val="0000E9"/>
          <w:sz w:val="22"/>
          <w:szCs w:val="22"/>
          <w:u w:val="single" w:color="0000E9"/>
        </w:rPr>
        <w:t>3; my emphasis</w:t>
      </w:r>
      <w:r w:rsidRPr="00F027A9">
        <w:rPr>
          <w:rFonts w:ascii="Avenir Next LT Pro Light" w:hAnsi="Avenir Next LT Pro Light" w:cs="Times"/>
          <w:i/>
          <w:iCs/>
          <w:color w:val="000000"/>
          <w:sz w:val="22"/>
          <w:szCs w:val="22"/>
          <w:u w:color="0000E9"/>
        </w:rPr>
        <w:t>)</w:t>
      </w:r>
    </w:p>
    <w:p w14:paraId="42443892" w14:textId="77777777" w:rsidR="00E10C75" w:rsidRPr="00F027A9" w:rsidRDefault="00E10C75" w:rsidP="00E10C75">
      <w:pPr>
        <w:autoSpaceDE w:val="0"/>
        <w:autoSpaceDN w:val="0"/>
        <w:adjustRightInd w:val="0"/>
        <w:jc w:val="center"/>
        <w:rPr>
          <w:rFonts w:ascii="Avenir Next LT Pro Light" w:hAnsi="Avenir Next LT Pro Light" w:cs="Times"/>
          <w:i/>
          <w:iCs/>
          <w:color w:val="000000"/>
          <w:sz w:val="22"/>
          <w:szCs w:val="22"/>
          <w:u w:color="0000E9"/>
        </w:rPr>
      </w:pPr>
    </w:p>
    <w:p w14:paraId="4E3B144D" w14:textId="77777777" w:rsidR="00E10C75" w:rsidRPr="00F027A9" w:rsidRDefault="00E10C75" w:rsidP="00E10C75">
      <w:pPr>
        <w:autoSpaceDE w:val="0"/>
        <w:autoSpaceDN w:val="0"/>
        <w:adjustRightInd w:val="0"/>
        <w:spacing w:after="240"/>
        <w:jc w:val="center"/>
        <w:rPr>
          <w:rFonts w:ascii="Avenir Next LT Pro Light" w:hAnsi="Avenir Next LT Pro Light" w:cs="Times"/>
          <w:i/>
          <w:iCs/>
          <w:color w:val="000000"/>
          <w:sz w:val="22"/>
          <w:szCs w:val="22"/>
          <w:u w:color="0000E9"/>
        </w:rPr>
      </w:pPr>
      <w:r w:rsidRPr="00F027A9">
        <w:rPr>
          <w:rFonts w:ascii="Avenir Next LT Pro Light" w:hAnsi="Avenir Next LT Pro Light" w:cs="Times"/>
          <w:i/>
          <w:iCs/>
          <w:color w:val="000000"/>
          <w:sz w:val="22"/>
          <w:szCs w:val="22"/>
          <w:u w:color="0000E9"/>
        </w:rPr>
        <w:t xml:space="preserve">"A record, if it is to be useful to science, must be </w:t>
      </w:r>
      <w:r w:rsidRPr="00F027A9">
        <w:rPr>
          <w:rFonts w:ascii="Avenir Next LT Pro Light" w:hAnsi="Avenir Next LT Pro Light" w:cs="Times"/>
          <w:b/>
          <w:bCs/>
          <w:i/>
          <w:iCs/>
          <w:color w:val="000000"/>
          <w:sz w:val="22"/>
          <w:szCs w:val="22"/>
          <w:u w:color="0000E9"/>
        </w:rPr>
        <w:t>continuously extended</w:t>
      </w:r>
      <w:r w:rsidRPr="00F027A9">
        <w:rPr>
          <w:rFonts w:ascii="Avenir Next LT Pro Light" w:hAnsi="Avenir Next LT Pro Light" w:cs="Times"/>
          <w:i/>
          <w:iCs/>
          <w:color w:val="000000"/>
          <w:sz w:val="22"/>
          <w:szCs w:val="22"/>
          <w:u w:color="0000E9"/>
        </w:rPr>
        <w:t>, it must be stored, and above all it must be consulted." (</w:t>
      </w:r>
      <w:r w:rsidRPr="00F027A9">
        <w:rPr>
          <w:rFonts w:ascii="Avenir Next LT Pro Light" w:hAnsi="Avenir Next LT Pro Light" w:cs="Times"/>
          <w:i/>
          <w:iCs/>
          <w:color w:val="0000E9"/>
          <w:sz w:val="22"/>
          <w:szCs w:val="22"/>
          <w:u w:val="single" w:color="0000E9"/>
        </w:rPr>
        <w:t>4; my emphasis</w:t>
      </w:r>
      <w:r w:rsidRPr="00F027A9">
        <w:rPr>
          <w:rFonts w:ascii="Avenir Next LT Pro Light" w:hAnsi="Avenir Next LT Pro Light" w:cs="Times"/>
          <w:i/>
          <w:iCs/>
          <w:color w:val="000000"/>
          <w:sz w:val="22"/>
          <w:szCs w:val="22"/>
          <w:u w:color="0000E9"/>
        </w:rPr>
        <w:t>)</w:t>
      </w:r>
    </w:p>
    <w:p w14:paraId="4C05CBFB" w14:textId="25DE540A" w:rsidR="00E10C75" w:rsidRPr="0013776F" w:rsidRDefault="00E10C75" w:rsidP="0013776F">
      <w:pPr>
        <w:autoSpaceDE w:val="0"/>
        <w:autoSpaceDN w:val="0"/>
        <w:adjustRightInd w:val="0"/>
        <w:spacing w:after="240"/>
        <w:jc w:val="right"/>
        <w:rPr>
          <w:rFonts w:ascii="Avenir Next LT Pro Light" w:hAnsi="Avenir Next LT Pro Light" w:cs="Times"/>
          <w:i/>
          <w:iCs/>
          <w:color w:val="000000"/>
          <w:sz w:val="22"/>
          <w:szCs w:val="22"/>
          <w:u w:color="0000E9"/>
        </w:rPr>
      </w:pPr>
      <w:proofErr w:type="spellStart"/>
      <w:r w:rsidRPr="00F027A9">
        <w:rPr>
          <w:rFonts w:ascii="Avenir Next LT Pro Light" w:hAnsi="Avenir Next LT Pro Light" w:cs="Times"/>
          <w:i/>
          <w:iCs/>
          <w:color w:val="000000"/>
          <w:sz w:val="22"/>
          <w:szCs w:val="22"/>
          <w:u w:color="0000E9"/>
        </w:rPr>
        <w:t>Vannevar</w:t>
      </w:r>
      <w:proofErr w:type="spellEnd"/>
      <w:r w:rsidRPr="00F027A9">
        <w:rPr>
          <w:rFonts w:ascii="Avenir Next LT Pro Light" w:hAnsi="Avenir Next LT Pro Light" w:cs="Times"/>
          <w:i/>
          <w:iCs/>
          <w:color w:val="000000"/>
          <w:sz w:val="22"/>
          <w:szCs w:val="22"/>
          <w:u w:color="0000E9"/>
        </w:rPr>
        <w:t xml:space="preserve"> Bush, As We May Think, 1945</w:t>
      </w:r>
    </w:p>
    <w:p w14:paraId="6B04A68D" w14:textId="21CD09E2" w:rsidR="00E10C75" w:rsidRDefault="00E10C75" w:rsidP="0013776F">
      <w:pPr>
        <w:autoSpaceDE w:val="0"/>
        <w:autoSpaceDN w:val="0"/>
        <w:adjustRightInd w:val="0"/>
        <w:rPr>
          <w:rFonts w:ascii="Acumin Pro Light" w:hAnsi="Acumin Pro Light" w:cs="Acumin Pro Light"/>
          <w:color w:val="000000"/>
        </w:rPr>
      </w:pPr>
      <w:r>
        <w:rPr>
          <w:rFonts w:ascii="Acumin Pro Light" w:hAnsi="Acumin Pro Light" w:cs="Acumin Pro Light"/>
          <w:color w:val="000000"/>
        </w:rPr>
        <w:t xml:space="preserve">For my capstone project, I will </w:t>
      </w:r>
      <w:r w:rsidR="00364715">
        <w:rPr>
          <w:rFonts w:ascii="Acumin Pro Light" w:hAnsi="Acumin Pro Light" w:cs="Acumin Pro Light"/>
          <w:color w:val="000000"/>
        </w:rPr>
        <w:t>conduct</w:t>
      </w:r>
      <w:r>
        <w:rPr>
          <w:rFonts w:ascii="Acumin Pro Light" w:hAnsi="Acumin Pro Light" w:cs="Acumin Pro Light"/>
          <w:color w:val="000000"/>
        </w:rPr>
        <w:t xml:space="preserve"> analysis and </w:t>
      </w:r>
      <w:r w:rsidR="00364715">
        <w:rPr>
          <w:rFonts w:ascii="Acumin Pro Light" w:hAnsi="Acumin Pro Light" w:cs="Acumin Pro Light"/>
          <w:color w:val="000000"/>
        </w:rPr>
        <w:t xml:space="preserve">create exploratory </w:t>
      </w:r>
      <w:r>
        <w:rPr>
          <w:rFonts w:ascii="Acumin Pro Light" w:hAnsi="Acumin Pro Light" w:cs="Acumin Pro Light"/>
          <w:color w:val="000000"/>
        </w:rPr>
        <w:t>interactive visualization</w:t>
      </w:r>
      <w:r w:rsidR="00364715">
        <w:rPr>
          <w:rFonts w:ascii="Acumin Pro Light" w:hAnsi="Acumin Pro Light" w:cs="Acumin Pro Light"/>
          <w:color w:val="000000"/>
        </w:rPr>
        <w:t>s</w:t>
      </w:r>
      <w:r>
        <w:rPr>
          <w:rFonts w:ascii="Acumin Pro Light" w:hAnsi="Acumin Pro Light" w:cs="Acumin Pro Light"/>
          <w:color w:val="000000"/>
        </w:rPr>
        <w:t xml:space="preserve"> to display </w:t>
      </w:r>
      <w:hyperlink r:id="rId7" w:history="1">
        <w:r w:rsidRPr="0013776F">
          <w:rPr>
            <w:rStyle w:val="Hyperlink"/>
            <w:rFonts w:ascii="Acumin Pro Light" w:hAnsi="Acumin Pro Light" w:cs="Acumin Pro Light"/>
          </w:rPr>
          <w:t>publicly available grants data</w:t>
        </w:r>
      </w:hyperlink>
      <w:r>
        <w:rPr>
          <w:rFonts w:ascii="Acumin Pro Light" w:hAnsi="Acumin Pro Light" w:cs="Acumin Pro Light"/>
          <w:color w:val="000000"/>
        </w:rPr>
        <w:t xml:space="preserve"> </w:t>
      </w:r>
      <w:r w:rsidR="00EE5F94">
        <w:rPr>
          <w:rFonts w:ascii="Acumin Pro Light" w:hAnsi="Acumin Pro Light" w:cs="Acumin Pro Light"/>
          <w:color w:val="000000"/>
        </w:rPr>
        <w:t xml:space="preserve">reflecting the activities of </w:t>
      </w:r>
      <w:r>
        <w:rPr>
          <w:rFonts w:ascii="Acumin Pro Light" w:hAnsi="Acumin Pro Light" w:cs="Acumin Pro Light"/>
          <w:color w:val="000000"/>
        </w:rPr>
        <w:t>various federal agencies who participate in the Small Business and Innovation Research (SBIR) and Small Business Technology Transfer (STTR) grant making programs</w:t>
      </w:r>
      <w:r w:rsidRPr="001929E0">
        <w:rPr>
          <w:rFonts w:ascii="Acumin Pro Light" w:hAnsi="Acumin Pro Light" w:cs="Acumin Pro Light"/>
          <w:color w:val="000000"/>
        </w:rPr>
        <w:t>.</w:t>
      </w:r>
      <w:r>
        <w:rPr>
          <w:rFonts w:ascii="Acumin Pro Light" w:hAnsi="Acumin Pro Light" w:cs="Acumin Pro Light"/>
          <w:color w:val="000000"/>
        </w:rPr>
        <w:t xml:space="preserve">  Inspired and informed by conversations with peers in grant-making and analyst roles at public and private funding institutions, the aim of these efforts is to facilitate discovery of information that can be used to describe research trends and develop a geo-social understanding of these funding initiatives.  The intended audience for this work is twofold: firstly, grant makers and policy analysts looking for quantitative and qualitative insight into the body of over 66,000 grants made between 2008 and 2018; second, policymakers looking to get a quick brief on innovation funding in their congressional districts.  The goal is to build a visualization tool that can also offer fact-sheet </w:t>
      </w:r>
      <w:proofErr w:type="gramStart"/>
      <w:r>
        <w:rPr>
          <w:rFonts w:ascii="Acumin Pro Light" w:hAnsi="Acumin Pro Light" w:cs="Acumin Pro Light"/>
          <w:color w:val="000000"/>
        </w:rPr>
        <w:t>print-outs</w:t>
      </w:r>
      <w:proofErr w:type="gramEnd"/>
      <w:r>
        <w:rPr>
          <w:rFonts w:ascii="Acumin Pro Light" w:hAnsi="Acumin Pro Light" w:cs="Acumin Pro Light"/>
          <w:color w:val="000000"/>
        </w:rPr>
        <w:t xml:space="preserve"> for each district</w:t>
      </w:r>
      <w:r w:rsidR="006D6A4D">
        <w:rPr>
          <w:rFonts w:ascii="Acumin Pro Light" w:hAnsi="Acumin Pro Light" w:cs="Acumin Pro Light"/>
          <w:color w:val="000000"/>
        </w:rPr>
        <w:t>, which can be useful for policy analysts and policymakers who want to know what research has recently been funded in their district.</w:t>
      </w:r>
    </w:p>
    <w:p w14:paraId="61CA384A" w14:textId="77777777" w:rsidR="0013776F" w:rsidRPr="0013776F" w:rsidRDefault="0013776F" w:rsidP="0013776F">
      <w:pPr>
        <w:autoSpaceDE w:val="0"/>
        <w:autoSpaceDN w:val="0"/>
        <w:adjustRightInd w:val="0"/>
        <w:rPr>
          <w:rFonts w:ascii="Acumin Pro Light" w:hAnsi="Acumin Pro Light" w:cs="Acumin Pro Light"/>
          <w:color w:val="000000"/>
        </w:rPr>
      </w:pPr>
    </w:p>
    <w:p w14:paraId="6C6540A5" w14:textId="4CD003A1" w:rsidR="00E10C75" w:rsidRDefault="00E10C75" w:rsidP="00E10C75">
      <w:pPr>
        <w:autoSpaceDE w:val="0"/>
        <w:autoSpaceDN w:val="0"/>
        <w:adjustRightInd w:val="0"/>
        <w:spacing w:after="240"/>
        <w:rPr>
          <w:rFonts w:ascii="Acumin Pro Light" w:hAnsi="Acumin Pro Light" w:cs="Times"/>
          <w:color w:val="000000"/>
          <w:u w:color="0000E9"/>
        </w:rPr>
      </w:pPr>
      <w:r>
        <w:rPr>
          <w:rFonts w:ascii="Acumin Pro Light" w:hAnsi="Acumin Pro Light" w:cs="Times"/>
          <w:color w:val="000000"/>
          <w:u w:color="0000E9"/>
        </w:rPr>
        <w:t xml:space="preserve">This work is practically inspired by my professional work as a data science analyst at a private foundation, and theoretically inspired by several fields of research and library and information science.  Firstly, I am taking after researchers in </w:t>
      </w:r>
      <w:r w:rsidRPr="00797AA6">
        <w:rPr>
          <w:rFonts w:ascii="Acumin Pro Light" w:hAnsi="Acumin Pro Light" w:cs="Times"/>
          <w:b/>
          <w:bCs/>
          <w:color w:val="000000"/>
          <w:u w:color="0000E9"/>
        </w:rPr>
        <w:t>bibliometrics</w:t>
      </w:r>
      <w:r>
        <w:rPr>
          <w:rFonts w:ascii="Acumin Pro Light" w:hAnsi="Acumin Pro Light" w:cs="Times"/>
          <w:b/>
          <w:bCs/>
          <w:color w:val="000000"/>
          <w:u w:color="0000E9"/>
        </w:rPr>
        <w:t xml:space="preserve"> </w:t>
      </w:r>
      <w:r w:rsidRPr="00E056A0">
        <w:rPr>
          <w:rFonts w:ascii="Acumin Pro Light" w:hAnsi="Acumin Pro Light" w:cs="Times"/>
          <w:color w:val="000000"/>
          <w:u w:color="0000E9"/>
        </w:rPr>
        <w:t>who</w:t>
      </w:r>
      <w:r>
        <w:rPr>
          <w:rFonts w:ascii="Acumin Pro Light" w:hAnsi="Acumin Pro Light" w:cs="Times"/>
          <w:b/>
          <w:bCs/>
          <w:color w:val="000000"/>
          <w:u w:color="0000E9"/>
        </w:rPr>
        <w:t xml:space="preserve"> </w:t>
      </w:r>
      <w:r>
        <w:rPr>
          <w:rFonts w:ascii="Acumin Pro Light" w:hAnsi="Acumin Pro Light" w:cs="Times"/>
          <w:color w:val="000000"/>
          <w:u w:color="0000E9"/>
        </w:rPr>
        <w:t xml:space="preserve">develop statistical measures to evaluate the impact of publications, sometimes generating co-authorship and citation networks that make it possible to make content recommendations based on textual and network level information and to digitally trace genealogies of new ideas </w:t>
      </w:r>
      <w:r>
        <w:rPr>
          <w:rFonts w:ascii="Acumin Pro Light" w:hAnsi="Acumin Pro Light" w:cs="Times"/>
          <w:color w:val="000000"/>
          <w:u w:color="0000E9"/>
        </w:rPr>
        <w:fldChar w:fldCharType="begin"/>
      </w:r>
      <w:r>
        <w:rPr>
          <w:rFonts w:ascii="Acumin Pro Light" w:hAnsi="Acumin Pro Light" w:cs="Times"/>
          <w:color w:val="000000"/>
          <w:u w:color="0000E9"/>
        </w:rPr>
        <w:instrText xml:space="preserve"> ADDIN ZOTERO_ITEM CSL_CITATION {"citationID":"m3U5kj9C","properties":{"formattedCitation":"(Ganguly &amp; Pudi, 2017; Satish et al., 2020; Vieira &amp; Gomes, 2009)","plainCitation":"(Ganguly &amp; Pudi, 2017; Satish et al., 2020; Vieira &amp; Gomes, 2009)","noteIndex":0},"citationItems":[{"id":22379,"uris":["http://zotero.org/users/4632586/items/7GUTXZML"],"uri":["http://zotero.org/users/4632586/items/7GUTXZML"],"itemData":{"id":22379,"type":"paper-conference","abstract":"We present Paper2vec, a novel neural network embedding based approach for creating scientific paper representations which make use of both textual and graph-based information. An academic citation network can be viewed as a graph where individual nodes contain rich textual information. With the current trend of open-access to most scientific literature, we presume that this full text of a scientific article contain vital source of information which aids in various recommendation and prediction tasks concerning this domain. To this end, we propose an approach, Paper2vec, which comprises of information from both the modalities and results in a rich representation for scientific papers. Over the recent past representation learning techniques have been studied extensively using neural networks. However, they are modeled independently for text and graph data. Paper2vec leverages recent research in the broader field of unsupervised feature learning from both graphs and text documents. We demonstrate the efficacy of our representations on three real world academic datasets in two tasks - node classification and link prediction where Paper2vec is able to outperform state-of-the-art by a considerable margin.","collection-title":"Lecture Notes in Computer Science","container-title":"Advances in Information Retrieval","DOI":"10.1007/978-3-319-56608-5_30","event-place":"Cham","ISBN":"978-3-319-56608-5","language":"en","page":"383-395","publisher":"Springer International Publishing","publisher-place":"Cham","source":"Springer Link","title":"Paper2vec: Combining Graph and Text Information for Scientific Paper Representation","title-short":"Paper2vec","author":[{"family":"Ganguly","given":"Soumyajit"},{"family":"Pudi","given":"Vikram"}],"editor":[{"family":"Jose","given":"Joemon M"},{"family":"Hauff","given":"Claudia"},{"family":"Altıngovde","given":"Ismail Sengor"},{"family":"Song","given":"Dawei"},{"family":"Albakour","given":"Dyaa"},{"family":"Watt","given":"Stuart"},{"family":"Tait","given":"John"}],"issued":{"date-parts":[["2017"]]}}},{"id":24258,"uris":["http://zotero.org/users/4632586/items/RTQNACAU"],"uri":["http://zotero.org/users/4632586/items/RTQNACAU"],"itemData":{"id":24258,"type":"article-journal","abstract":"&lt;h3&gt;Abstract&lt;/h3&gt; &lt;p&gt;We study whether novel ideas in biomedical literature appear first in preprints or traditional journals. We develop a Bayesian method to estimate the time of appearance for a phrase in the literature, and apply it to a number of phrases, both automatically extracted and suggested by experts. We see that presently most phrases appear first in the traditional journals, but there is a number of phrases with the first appearance on preprint servers. A comparison of the general composition of texts from bioRxiv and traditional journals shows a growing trend of bioRxiv being predictive of traditional journals. We discuss the application of the method for related problems.&lt;/p&gt;","container-title":"bioRxiv","DOI":"10.1101/2020.10.08.330696","language":"en","page":"2020.10.08.330696","source":"www.biorxiv.org","title":"The impact of preprint servers in the formation of novel ideas","author":[{"family":"Satish","given":"Swarup"},{"family":"Yao","given":"Zonghai"},{"family":"Drozdov","given":"Andrew"},{"family":"Veytsman","given":"Boris"}],"issued":{"date-parts":[["2020",10,8]]}}},{"id":18229,"uris":["http://zotero.org/users/4632586/items/DDEYM2ME"],"uri":["http://zotero.org/users/4632586/items/DDEYM2ME"],"itemData":{"id":18229,"type":"article-journal","container-title":"Scientometrics","DOI":"10.1007/s11192-009-2178-0","ISSN":"0138-9130, 1588-2861","issue":"2","journalAbbreviation":"Scientometrics","language":"en","page":"587-600","source":"DOI.org (Crossref)","title":"A comparison of Scopus and Web of Science for a typical university","volume":"81","author":[{"family":"Vieira","given":"Elizabeth S."},{"family":"Gomes","given":"José A. N. F."}],"issued":{"date-parts":[["2009",11]]}}}],"schema":"https://github.com/citation-style-language/schema/raw/master/csl-citation.json"} </w:instrText>
      </w:r>
      <w:r>
        <w:rPr>
          <w:rFonts w:ascii="Acumin Pro Light" w:hAnsi="Acumin Pro Light" w:cs="Times"/>
          <w:color w:val="000000"/>
          <w:u w:color="0000E9"/>
        </w:rPr>
        <w:fldChar w:fldCharType="separate"/>
      </w:r>
      <w:r>
        <w:rPr>
          <w:rFonts w:ascii="Acumin Pro Light" w:hAnsi="Acumin Pro Light" w:cs="Times"/>
          <w:noProof/>
          <w:color w:val="000000"/>
          <w:u w:color="0000E9"/>
        </w:rPr>
        <w:t>(Ganguly &amp; Pudi, 2017; Satish et al., 2020; Vieira &amp; Gomes, 2009)</w:t>
      </w:r>
      <w:r>
        <w:rPr>
          <w:rFonts w:ascii="Acumin Pro Light" w:hAnsi="Acumin Pro Light" w:cs="Times"/>
          <w:color w:val="000000"/>
          <w:u w:color="0000E9"/>
        </w:rPr>
        <w:fldChar w:fldCharType="end"/>
      </w:r>
      <w:r>
        <w:rPr>
          <w:rFonts w:ascii="Acumin Pro Light" w:hAnsi="Acumin Pro Light" w:cs="Times"/>
          <w:color w:val="000000"/>
          <w:u w:color="0000E9"/>
        </w:rPr>
        <w:t xml:space="preserve">. </w:t>
      </w:r>
      <w:r>
        <w:rPr>
          <w:rFonts w:ascii="Acumin Pro Light" w:hAnsi="Acumin Pro Light" w:cs="Times"/>
          <w:b/>
          <w:bCs/>
          <w:color w:val="000000"/>
          <w:u w:color="0000E9"/>
        </w:rPr>
        <w:t xml:space="preserve"> </w:t>
      </w:r>
      <w:r>
        <w:rPr>
          <w:rFonts w:ascii="Acumin Pro Light" w:hAnsi="Acumin Pro Light" w:cs="Times"/>
          <w:color w:val="000000"/>
          <w:u w:color="0000E9"/>
        </w:rPr>
        <w:t xml:space="preserve">More specifically, as a sub-field of bibliometrics, </w:t>
      </w:r>
      <w:proofErr w:type="spellStart"/>
      <w:r w:rsidRPr="00797AA6">
        <w:rPr>
          <w:rFonts w:ascii="Acumin Pro Light" w:hAnsi="Acumin Pro Light" w:cs="Times"/>
          <w:b/>
          <w:bCs/>
          <w:color w:val="000000"/>
          <w:u w:color="0000E9"/>
        </w:rPr>
        <w:t>scientometrics</w:t>
      </w:r>
      <w:proofErr w:type="spellEnd"/>
      <w:r>
        <w:rPr>
          <w:rFonts w:ascii="Acumin Pro Light" w:hAnsi="Acumin Pro Light" w:cs="Times"/>
          <w:b/>
          <w:bCs/>
          <w:color w:val="000000"/>
          <w:u w:color="0000E9"/>
        </w:rPr>
        <w:t xml:space="preserve"> </w:t>
      </w:r>
      <w:r>
        <w:rPr>
          <w:rFonts w:ascii="Acumin Pro Light" w:hAnsi="Acumin Pro Light" w:cs="Times"/>
          <w:color w:val="000000"/>
          <w:u w:color="0000E9"/>
        </w:rPr>
        <w:t xml:space="preserve">seeks to apply these quantitative techniques to publication outputs in order to describe phenomena such as: the historical or current dynamics of national and international scientific collaboration </w:t>
      </w:r>
      <w:r>
        <w:rPr>
          <w:rFonts w:ascii="Acumin Pro Light" w:hAnsi="Acumin Pro Light" w:cs="Times"/>
          <w:color w:val="000000"/>
          <w:u w:color="0000E9"/>
        </w:rPr>
        <w:fldChar w:fldCharType="begin"/>
      </w:r>
      <w:r>
        <w:rPr>
          <w:rFonts w:ascii="Acumin Pro Light" w:hAnsi="Acumin Pro Light" w:cs="Times"/>
          <w:color w:val="000000"/>
          <w:u w:color="0000E9"/>
        </w:rPr>
        <w:instrText xml:space="preserve"> ADDIN ZOTERO_ITEM CSL_CITATION {"citationID":"CxQBwEW0","properties":{"formattedCitation":"(Grandjean et al., 2017; Gui et al., 2019; J. Li et al., 2020; Newman, 2001; Stek &amp; van Geenhuizen, 2016)","plainCitation":"(Grandjean et al., 2017; Gui et al., 2019; J. Li et al., 2020; Newman, 2001; Stek &amp; van Geenhuizen, 2016)","dontUpdate":true,"noteIndex":0},"citationItems":[{"id":6498,"uris":["http://zotero.org/users/4632586/items/NIT2CM9D"],"uri":["http://zotero.org/users/4632586/items/NIT2CM9D"],"itemData":{"id":6498,"type":"paper-conference","event":"7e Congrès de l’Association Française de Sociologie","language":"fr","source":"halshs.archives-ouvertes.fr","title":"Elites académiques et (re)définition des frontières disciplinaires. Collaborations interdisciplinaires et structure du pouvoir académique","URL":"https://halshs.archives-ouvertes.fr/halshs-01525575","author":[{"family":"Grandjean","given":"Martin"},{"family":"Benz","given":"Pierre"},{"family":"Rossier","given":"Thierry"}],"accessed":{"date-parts":[["2020",1,16]]},"issued":{"date-parts":[["2017"]]}}},{"id":26208,"uris":["http://zotero.org/users/4632586/items/HPPFCZ4J"],"uri":["http://zotero.org/users/4632586/items/HPPFCZ4J"],"itemData":{"id":26208,"type":"article-journal","abstract":"Science is increasingly global. The number of internationally co-authored papers is growing rapidly. However, there is a paucity of analysis of the globalization of science from the international scientific collaboration perspective. Using bibliographical data from the Web of Science database, this paper uses social network analysis to investigate the structure, dynamics and determinants of international scientific collaboration networks for the period 2000–2015. Results show that globalization of science is becoming increasingly prominent, and the number of nodes and ties in the network has substantially increased over time. A bipolar world once led by Anglo-America is gradually replaced by a tri-polar world (Europe, North America, and Asia-Pacific). The traditional science powerhouses have occupied central positions in the network, while the new emergent scientific countries are rising, both driving the evolution of world order. The world science system has an obvious core-periphery structure, and a more competitive multi-centric core is observed. The network hierarchy implies that the USA acts as a top-level coordination center around the world and the international collaboration follows a path-dependent process. In addition, Quadratic Assignment Procedure (QAP) analysis indicates that post-colonial links, English, economic proximity, science capability proximity, social proximity and international student have a positive effect on the international collaboration, while geographical distance plays a negative and insignificant role.","container-title":"Geoforum","DOI":"10.1016/j.geoforum.2019.06.017","ISSN":"0016-7185","journalAbbreviation":"Geoforum","language":"en","page":"1-12","source":"ScienceDirect","title":"Globalization of science and international scientific collaboration: A network perspective","title-short":"Globalization of science and international scientific collaboration","volume":"105","author":[{"family":"Gui","given":"Qinchang"},{"family":"Liu","given":"Chengliang"},{"family":"Du","given":"Debin"}],"issued":{"date-parts":[["2019",10,1]]}}},{"id":18129,"uris":["http://zotero.org/users/4632586/items/APC4F8HI"],"uri":["http://zotero.org/users/4632586/items/APC4F8HI"],"itemData":{"id":18129,"type":"article-journal","abstract":"Throughout history, a relatively small number of individuals have made a profound and lasting impact on science and society. Despite long-standing, multi-disciplinary interests in understanding careers of elite scientists, there have been limited attempts for a quantitative, career-level analysis. Here, we leverage a comprehensive dataset we assembled, allowing us to trace the entire career histories of nearly all Nobel laureates in physics, chemistry, and physiology or medicine over the past century. We find that, although Nobel laureates were energetic producers from the outset, producing works that garner unusually high impact, their careers before winning the prize follow relatively similar patterns to those of ordinary scientists, being characterized by hot streaks and increasing reliance on collaborations. We also uncovered notable variations along their careers, often associated with the Nobel Prize, including shifting coauthorship structure in the prize-winning work, and a significant but temporary dip in the impact of work they produce after winning the Nobel Prize. Together, these results document quantitative patterns governing the careers of scientific elites, offering an empirical basis for a deeper understanding of the hallmarks of exceptional careers in science.","container-title":"Journal of The Royal Society Interface","DOI":"10.1098/rsif.2020.0135","issue":"165","journalAbbreviation":"Journal of The Royal Society Interface","note":"publisher: Royal Society","page":"20200135","source":"royalsocietypublishing.org (Atypon)","title":"Scientific elite revisited: patterns of productivity, collaboration, authorship and impact","title-short":"Scientific elite revisited","volume":"17","author":[{"family":"Li","given":"Jichao"},{"family":"Yin","given":"Yian"},{"family":"Fortunato","given":"Santo"},{"family":"Wang","given":"Dashun"}],"issued":{"date-parts":[["2020",4,29]]}}},{"id":26201,"uris":["http://zotero.org/users/4632586/items/5ISNZFWG"],"uri":["http://zotero.org/users/4632586/items/5ISNZFWG"],"itemData":{"id":26201,"type":"article-journal","abstract":"The structure of scientific collaboration networks is investigated. Two scientists are considered connected if they have authored a paper together and explicit networks of such connections are constructed by using data drawn from a number of databases, including MEDLINE (biomedical research), the Los Alamos e-Print Archive (physics), and NCSTRL (computer science). I show that these collaboration networks form “small worlds,” in which randomly chosen pairs of scientists are typically separated by only a short path of intermediate acquaintances. I further give results for mean and distribution of numbers of collaborators of authors, demonstrate the presence of clustering in the networks, and highlight a number of apparent differences in the patterns of collaboration between the fields studied.","container-title":"Proceedings of the National Academy of Sciences","DOI":"10.1073/pnas.98.2.404","ISSN":"0027-8424, 1091-6490","issue":"2","journalAbbreviation":"PNAS","language":"en","note":"publisher: National Academy of Sciences\nsection: Physical Sciences","page":"404-409","source":"www.pnas.org","title":"The structure of scientific collaboration networks","volume":"98","author":[{"family":"Newman","given":"M. E. J."}],"issued":{"date-parts":[["2001",1,16]]}}},{"id":18410,"uris":["http://zotero.org/users/4632586/items/WNPQQZYE"],"uri":["http://zotero.org/users/4632586/items/WNPQQZYE"],"itemData":{"id":18410,"type":"article-journal","abstract":"International research interactions, specifically interpersonal collaboration, institutional collaboration and within multinational corporation (MNC) collaboration, have been increasing since the 2000s as a result of globalization and rising technological complexity. Yet the impact of international research interactions (IRIs) on national innovation performance is ambiguous. In this study patent-based bibliometric indicators are developed to investigate the influence of different types of IRI on innovation performance using bibliometric data covering eight knowledge intensive manufacturing sectors and 32 countries during the 2003–2008 period. This sector-based approach avoids some of the problems of using patents as innovation indicators, like varying patenting propensities across sectors by comparing the same sectors across countries. In the study a knowledge production function is estimated for each sector, with patents serving as an indicator of knowledge output. The overall results suggest an absence of positive influence of IRI on innovation performance, and sometimes even a negative influence pointing to ‘reversed knowledge flows’. But the pattern is nuanced and differs per sector and type of collaboration. For example, interpersonal collaboration has a negative or no effect on innovation performance depending on the sector, and institutional collaboration has no effect on innovation performance. Within MNC collaboration has a positive influence on innovation performance in the chemicals and pharmaceuticals sectors, but a negative effect or no effect in other sectors. Computers are an exceptional sector in that the influence of IRI depends on the absolute size of the sector in the domestic economy. The paper concludes with the theoretical relevance of these findings and some policy implications are also discussed.","container-title":"Technological Forecasting and Social Change","DOI":"10.1016/j.techfore.2015.09.017","ISSN":"0040-1625","journalAbbreviation":"Technological Forecasting and Social Change","language":"en","page":"61-70","source":"ScienceDirect","title":"The influence of international research interaction on national innovation performance: A bibliometric approach","title-short":"The influence of international research interaction on national innovation performance","volume":"110","author":[{"family":"Stek","given":"Pieter E."},{"family":"Geenhuizen","given":"Marina S.","non-dropping-particle":"van"}],"issued":{"date-parts":[["2016",9,1]]}}}],"schema":"https://github.com/citation-style-language/schema/raw/master/csl-citation.json"} </w:instrText>
      </w:r>
      <w:r>
        <w:rPr>
          <w:rFonts w:ascii="Acumin Pro Light" w:hAnsi="Acumin Pro Light" w:cs="Times"/>
          <w:color w:val="000000"/>
          <w:u w:color="0000E9"/>
        </w:rPr>
        <w:fldChar w:fldCharType="separate"/>
      </w:r>
      <w:r>
        <w:rPr>
          <w:rFonts w:ascii="Acumin Pro Light" w:hAnsi="Acumin Pro Light" w:cs="Times"/>
          <w:noProof/>
          <w:color w:val="000000"/>
          <w:u w:color="0000E9"/>
        </w:rPr>
        <w:t>(Gui et al., 2019; J. Li et al., 2020; Newman, 2001; Stek &amp; van Geenhuizen, 2016)</w:t>
      </w:r>
      <w:r>
        <w:rPr>
          <w:rFonts w:ascii="Acumin Pro Light" w:hAnsi="Acumin Pro Light" w:cs="Times"/>
          <w:color w:val="000000"/>
          <w:u w:color="0000E9"/>
        </w:rPr>
        <w:fldChar w:fldCharType="end"/>
      </w:r>
      <w:r>
        <w:rPr>
          <w:rFonts w:ascii="Acumin Pro Light" w:hAnsi="Acumin Pro Light" w:cs="Times"/>
          <w:color w:val="000000"/>
          <w:u w:color="0000E9"/>
        </w:rPr>
        <w:t xml:space="preserve">; to explain how publication and citation activity differs based on gender, and relates to career outcomes for scientists </w:t>
      </w:r>
      <w:r>
        <w:rPr>
          <w:rFonts w:ascii="Acumin Pro Light" w:hAnsi="Acumin Pro Light" w:cs="Times"/>
          <w:color w:val="000000"/>
          <w:u w:color="0000E9"/>
        </w:rPr>
        <w:fldChar w:fldCharType="begin"/>
      </w:r>
      <w:r>
        <w:rPr>
          <w:rFonts w:ascii="Acumin Pro Light" w:hAnsi="Acumin Pro Light" w:cs="Times"/>
          <w:color w:val="000000"/>
          <w:u w:color="0000E9"/>
        </w:rPr>
        <w:instrText xml:space="preserve"> ADDIN ZOTERO_ITEM CSL_CITATION {"citationID":"nWveopsL","properties":{"formattedCitation":"(King et al., 2017; Nosek et al., 2010; Parker et al., 2013)","plainCitation":"(King et al., 2017; Nosek et al., 2010; Parker et al., 2013)","noteIndex":0},"citationItems":[{"id":26221,"uris":["http://zotero.org/users/4632586/items/TN2BJ9H9"],"uri":["http://zotero.org/users/4632586/items/TN2BJ9H9"],"itemData":{"id":26221,"type":"article-journal","abstract":"How common is self-citation in scholarly publication, and does the practice vary by gender? Using novel methods and a data set of 1.5 million research papers in the scholarly database JSTOR published between 1779 and 2011, the authors find that nearly 10 percent of references are self-citations by a paper’s authors. The findings also show that between 1779 and 2011, men cited their own papers 56 percent more than did women. In the last two decades of data, men self-cited 70 percent more than women. Women are also more than 10 percentage points more likely than men to not cite their own previous work at all. While these patterns could result from differences in the number of papers that men and women authors have published rather than gender-specific patterns of self-citation behavior, this gender gap in self-citation rates has remained stable over the last 50 years, despite increased representation of women in academia. The authors break down self-citation patterns by academic field and number of authors and comment on potential mechanisms behind these observations. These findings have important implications for scholarly visibility and cumulative advantage in academic careers.","container-title":"Socius","DOI":"10.1177/2378023117738903","ISSN":"2378-0231","journalAbbreviation":"Socius","language":"en","note":"publisher: SAGE Publications","page":"2378023117738903","source":"SAGE Journals","title":"Men Set Their Own Cites High: Gender and Self-citation across Fields and over Time","title-short":"Men Set Their Own Cites High","volume":"3","author":[{"family":"King","given":"Molly M."},{"family":"Bergstrom","given":"Carl T."},{"family":"Correll","given":"Shelley J."},{"family":"Jacquet","given":"Jennifer"},{"family":"West","given":"Jevin D."}],"issued":{"date-parts":[["2017",1,1]]}}},{"id":26223,"uris":["http://zotero.org/users/4632586/items/3VEAW8JT"],"uri":["http://zotero.org/users/4632586/items/3VEAW8JT"],"itemData":{"id":26223,"type":"article-journal","abstract":"Number of citations and the h-index are popular metrics for indexing scientific impact. These, and other existing metrics, are strongly related to scientists’ seniority. This article introduces complementary indicators that are unrelated to the number of years since PhD. To illustrate cumulative and career-stage approaches for assessing the scientific impact across a discipline, citations for 611 scientists from 97 U.S. and Canadian social psychology programs are amassed and analyzed. Results provide benchmarks for evaluating impact across the career span in psychology and other disciplines with similar citation patterns. Career-stage indicators provide a very different perspective on individual and program impact than cumulative impact, and may predict emerging scientists and programs. Comparing social groups, Whites and men had higher impact than non-Whites and women, respectively. However, average differences in career stage accounted for most of the difference for both groups.","container-title":"Personality and Social Psychology Bulletin","DOI":"10.1177/0146167210378111","ISSN":"0146-1672","issue":"10","journalAbbreviation":"Pers Soc Psychol Bull","language":"en","note":"publisher: SAGE Publications Inc","page":"1283-1300","source":"SAGE Journals","title":"Cumulative and Career-Stage Citation Impact of Social-Personality Psychology Programs and Their Members","volume":"36","author":[{"family":"Nosek","given":"Brian A."},{"family":"Graham","given":"Jesse"},{"family":"Lindner","given":"Nicole M."},{"family":"Kesebir","given":"Selin"},{"family":"Hawkins","given":"Carlee Beth"},{"family":"Hahn","given":"Cheryl"},{"family":"Schmidt","given":"Kathleen"},{"family":"Motyl","given":"Matt"},{"family":"Joy-Gaba","given":"Jennifer"},{"family":"Frazier","given":"Rebecca"},{"family":"Tenney","given":"Elizabeth R."}],"issued":{"date-parts":[["2010",10,1]]}}},{"id":26227,"uris":["http://zotero.org/users/4632586/items/849CDNEZ"],"uri":["http://zotero.org/users/4632586/items/849CDNEZ"],"itemData":{"id":26227,"type":"article-journal","abstract":"Science is principally driven by the efforts of a vanishingly small fraction of researchers publishing the majority of scientiﬁc research and garnering the majority of citations. Despite this well-established trend, knowledge of exactly how many articles these researchers publish, how highly they are cited, and how they achieved their distinctive accomplishments is meager. This article examines the publication and citation patterns of the world’s most highly cited environmental scientists and ecologists, inquiring into their levels of scientiﬁc productivity and visibility, examining relationships between scientiﬁc productivity and quality within their research programs, and considering how different publication strategies contribute to these distinctive successes. Generally speaking, highly cited researchers are also highly productive, publishing on average well over 100 articles each. Furthermore, articles published by this group are more highly cited on average than articles published in premier generalist journal like Nature and Science, and their citation to publication ratios are more equitably distributed than is typical. Research specialization and primacy of authorship are important determinants of citation frequency, while geographic differences and collaborative propensity matter less. The article closes with a set of suggestions for those wishing to increase the use of their research by the scientiﬁc community.","container-title":"Scientometrics","DOI":"10.1007/s11192-012-0859-6","ISSN":"0138-9130, 1588-2861","issue":"2","journalAbbreviation":"Scientometrics","language":"en","page":"469-480","source":"DOI.org (Crossref)","title":"Characterizing a scientific elite (B): publication and citation patterns of the most highly cited scientists in environmental science and ecology","title-short":"Characterizing a scientific elite (B)","volume":"94","author":[{"family":"Parker","given":"John N."},{"family":"Allesina","given":"Stefano"},{"family":"Lortie","given":"Christopher J."}],"issued":{"date-parts":[["2013",2]]}}}],"schema":"https://github.com/citation-style-language/schema/raw/master/csl-citation.json"} </w:instrText>
      </w:r>
      <w:r>
        <w:rPr>
          <w:rFonts w:ascii="Acumin Pro Light" w:hAnsi="Acumin Pro Light" w:cs="Times"/>
          <w:color w:val="000000"/>
          <w:u w:color="0000E9"/>
        </w:rPr>
        <w:fldChar w:fldCharType="separate"/>
      </w:r>
      <w:r>
        <w:rPr>
          <w:rFonts w:ascii="Acumin Pro Light" w:hAnsi="Acumin Pro Light" w:cs="Times"/>
          <w:noProof/>
          <w:color w:val="000000"/>
          <w:u w:color="0000E9"/>
        </w:rPr>
        <w:t>(King et al., 2017; Nosek et al., 2010; Parker et al., 2013)</w:t>
      </w:r>
      <w:r>
        <w:rPr>
          <w:rFonts w:ascii="Acumin Pro Light" w:hAnsi="Acumin Pro Light" w:cs="Times"/>
          <w:color w:val="000000"/>
          <w:u w:color="0000E9"/>
        </w:rPr>
        <w:fldChar w:fldCharType="end"/>
      </w:r>
      <w:r>
        <w:rPr>
          <w:rFonts w:ascii="Acumin Pro Light" w:hAnsi="Acumin Pro Light" w:cs="Times"/>
          <w:color w:val="000000"/>
          <w:u w:color="0000E9"/>
        </w:rPr>
        <w:t xml:space="preserve">; the emergence of innovations in particular fields like materials science, topics like big data, or even particular technologies like flash memory or solid-state drives </w:t>
      </w:r>
      <w:r>
        <w:rPr>
          <w:rFonts w:ascii="Acumin Pro Light" w:hAnsi="Acumin Pro Light" w:cs="Times"/>
          <w:color w:val="000000"/>
          <w:u w:color="0000E9"/>
        </w:rPr>
        <w:fldChar w:fldCharType="begin"/>
      </w:r>
      <w:r>
        <w:rPr>
          <w:rFonts w:ascii="Acumin Pro Light" w:hAnsi="Acumin Pro Light" w:cs="Times"/>
          <w:color w:val="000000"/>
          <w:u w:color="0000E9"/>
        </w:rPr>
        <w:instrText xml:space="preserve"> ADDIN ZOTERO_ITEM CSL_CITATION {"citationID":"pbeVqpzI","properties":{"formattedCitation":"(Gl\\uc0\\u228{}ser &amp; Laudel, 2015, 2015; Y. Li et al., 2018; Ranaei et al., 2019)","plainCitation":"(Gläser &amp; Laudel, 2015, 2015; Y. Li et al., 2018; Ranaei et al., 2019)","noteIndex":0},"citationItems":[{"id":23186,"uris":["http://zotero.org/users/4632586/items/TXVYNN77"],"uri":["http://zotero.org/users/4632586/items/TXVYNN77"],"itemData":{"id":23186,"type":"article-journal","abstract":"\"Abrupt changes in research content are of interest to innovation research because many innovations in general and scientific innovations in particular emerge from such changes. However, investigations of innovations emerging from research processes face the problem that the initial change of direction in research by one or few researchers is an elusive phenomenon. The method presented in this article contributes to solving this problem by supporting the in-depth analysis of individual research biographies and of the emergence of new directions of research in these. The method employs bibliometric tools for a reconstruction of individual cognitive careers, embeds these reconstructions in qualitative studies of research biographies, and provides opportunities to link cognitive careers to the dynamics of scientific fields. As we will demonstrate, the method is generic in that it supports not only the investigation of scientific innovations but also, more generally, the identification of thematic change in individual cognitive careers. Two applications in qualitative research projects illustrate the potential of the method.\" (author's abstract)","container-title":"Historical Social Research","DOI":"https://doi.org/10.12759/hsr.40.2015.3.299-330","ISSN":"0172-6404","issue":"3","language":"en","page":"299-330","source":"SSOAR","title":"A bibliometric reconstruction of research trails for qualitative investigations of scientific innovations","volume":"40","author":[{"family":"Gläser","given":"Jochen"},{"family":"Laudel","given":"Grit"}],"issued":{"date-parts":[["2015"]]}}},{"id":23186,"uris":["http://zotero.org/users/4632586/items/TXVYNN77"],"uri":["http://zotero.org/users/4632586/items/TXVYNN77"],"itemData":{"id":23186,"type":"article-journal","abstract":"\"Abrupt changes in research content are of interest to innovation research because many innovations in general and scientific innovations in particular emerge from such changes. However, investigations of innovations emerging from research processes face the problem that the initial change of direction in research by one or few researchers is an elusive phenomenon. The method presented in this article contributes to solving this problem by supporting the in-depth analysis of individual research biographies and of the emergence of new directions of research in these. The method employs bibliometric tools for a reconstruction of individual cognitive careers, embeds these reconstructions in qualitative studies of research biographies, and provides opportunities to link cognitive careers to the dynamics of scientific fields. As we will demonstrate, the method is generic in that it supports not only the investigation of scientific innovations but also, more generally, the identification of thematic change in individual cognitive careers. Two applications in qualitative research projects illustrate the potential of the method.\" (author's abstract)","container-title":"Historical Social Research","DOI":"https://doi.org/10.12759/hsr.40.2015.3.299-330","ISSN":"0172-6404","issue":"3","language":"en","page":"299-330","source":"SSOAR","title":"A bibliometric reconstruction of research trails for qualitative investigations of scientific innovations","volume":"40","author":[{"family":"Gläser","given":"Jochen"},{"family":"Laudel","given":"Grit"}],"issued":{"date-parts":[["2015"]]}}},{"id":26204,"uris":["http://zotero.org/users/4632586/items/IPMMUJYV"],"uri":["http://zotero.org/users/4632586/items/IPMMUJYV"],"itemData":{"id":26204,"type":"article-journal","abstract":"Interinstitutional scientific collaboration plays an important role in knowledge production and scientific development. Together with the increasing scale of scientific collaboration, a few institutions that positively participate in interinstitutional scientific collaboration are important in collaboration networks. However, whether becoming an important institution in collaboration networks could be a contributing factor to research success and how these important institutions collaborate are still indistinct. In this paper, we identified the scientific institutions that possess the highest degree centrality as important institutions of an interinstitutional scientific collaboration network in materials science and examined their collaboration preferences utilizing several network measures. We first visualized the appearance of these important institutions that had the most positive collaborations in the interinstitutional scientific collaboration networks during the period of 2005–2015 and found an obvious scale-free feature in interinstitutional scientific collaboration networks. Then, we measured the advantages of being important in collaboration networks to research performance and found that positive interinstitutional collaborations can always bring both publication advantages and citation advantages. Finally, we identified two collaboration preferences of these important institutions in collaboration networks—one type of important institution represented by the Chinese Academy of Science plays an intermediary role between domestic institutions and foreign institutions with high betweenness centrality and a low clustering coefficient. This type of important institution has better performance in the number of publications. The other type of important institution represented by MIT tends to collaborate with similar institutions that have positive collaborations and possess a larger citation growth rate. Our finding can provide a better understanding of important institutions’ collaboration preferences and have significant reference for government policy and institutional collaboration strategies.","container-title":"Scientometrics","DOI":"10.1007/s11192-018-2837-0","ISSN":"1588-2861","issue":"1","journalAbbreviation":"Scientometrics","language":"en","page":"85-103","source":"Springer Link","title":"Important institutions of interinstitutional scientific collaboration networks in materials science","volume":"117","author":[{"family":"Li","given":"Yang"},{"family":"Li","given":"Huajiao"},{"family":"Liu","given":"Nairong"},{"family":"Liu","given":"Xueyong"}],"issued":{"date-parts":[["2018",10,1]]}}},{"id":24260,"uris":["http://zotero.org/users/4632586/items/Q5QUSRKE"],"uri":["http://zotero.org/users/4632586/items/Q5QUSRKE"],"itemData":{"id":24260,"type":"article-journal","abstract":"Scientometric methods have long been used to identify technological trajectories, but we have seldom seen reproducible methods that allow for the identification of a technological emergence in a set of documents. This study evaluates the use of three different reproducible approaches for identifying the emergence of technological novelties in scientific publications. The selected approaches are term counting technique, the emergence score (EScore) and Latent Dirichlet Allocation (LDA). We found that the methods provide somewhat distinct perspectives on technological. The term count based method identifies detailed emergence patterns. EScore is a complex bibliometric indicator that provides a holistic view of emergence by considering several parameters, namely term frequency, size, and origin of the research community. LDA traces emergence at the thematic level and provides insights on the linkages between emerging research topics. The results suggest that term counting produces results practical for operational purposes, while LDA offers insight at a strategic level.","container-title":"Scientometrics","DOI":"10.1007/s11192-019-03275-w","journalAbbreviation":"Scientometrics","source":"ResearchGate","title":"Evaluating technological emergence using text analytics: two case technologies and three approaches","title-short":"Evaluating technological emergence using text analytics","author":[{"family":"Ranaei","given":"Samira"},{"family":"Suominen","given":"Arho"},{"family":"Porter","given":"Alan"},{"family":"Carley","given":"Stephen"}],"issued":{"date-parts":[["2019",11,2]]}}}],"schema":"https://github.com/citation-style-language/schema/raw/master/csl-citation.json"} </w:instrText>
      </w:r>
      <w:r>
        <w:rPr>
          <w:rFonts w:ascii="Acumin Pro Light" w:hAnsi="Acumin Pro Light" w:cs="Times"/>
          <w:color w:val="000000"/>
          <w:u w:color="0000E9"/>
        </w:rPr>
        <w:fldChar w:fldCharType="separate"/>
      </w:r>
      <w:r w:rsidRPr="00FC3A47">
        <w:rPr>
          <w:rFonts w:ascii="Acumin Pro Light" w:hAnsi="Acumin Pro Light"/>
          <w:color w:val="000000"/>
        </w:rPr>
        <w:t>(Gläser &amp; Laudel, 2015, 2015; Y. Li et al., 2018; Ranaei et al., 2019)</w:t>
      </w:r>
      <w:r>
        <w:rPr>
          <w:rFonts w:ascii="Acumin Pro Light" w:hAnsi="Acumin Pro Light" w:cs="Times"/>
          <w:color w:val="000000"/>
          <w:u w:color="0000E9"/>
        </w:rPr>
        <w:fldChar w:fldCharType="end"/>
      </w:r>
      <w:r>
        <w:rPr>
          <w:rFonts w:ascii="Acumin Pro Light" w:hAnsi="Acumin Pro Light" w:cs="Times"/>
          <w:color w:val="000000"/>
          <w:u w:color="0000E9"/>
        </w:rPr>
        <w:t xml:space="preserve">.  </w:t>
      </w:r>
      <w:proofErr w:type="spellStart"/>
      <w:r>
        <w:rPr>
          <w:rFonts w:ascii="Acumin Pro Light" w:hAnsi="Acumin Pro Light" w:cs="Times"/>
          <w:color w:val="000000"/>
          <w:u w:color="0000E9"/>
        </w:rPr>
        <w:t>Scientometrics</w:t>
      </w:r>
      <w:proofErr w:type="spellEnd"/>
      <w:r>
        <w:rPr>
          <w:rFonts w:ascii="Acumin Pro Light" w:hAnsi="Acumin Pro Light" w:cs="Times"/>
          <w:color w:val="000000"/>
          <w:u w:color="0000E9"/>
        </w:rPr>
        <w:t xml:space="preserve"> has contributed techniques that are useful both for enhancing research monitoring and distribution platforms, and also for conducting sociological analyses of various dimensions of scientific practice. Extending these areas of work, my </w:t>
      </w:r>
      <w:r>
        <w:rPr>
          <w:rFonts w:ascii="Acumin Pro Light" w:hAnsi="Acumin Pro Light" w:cs="Times"/>
          <w:color w:val="000000"/>
          <w:u w:color="0000E9"/>
        </w:rPr>
        <w:lastRenderedPageBreak/>
        <w:t xml:space="preserve">hope is to apply to grants data a “tech-mining” approach that seeks to identify trending innovations, technologies, and research topics using methods in text mining, natural language processing and linked-data management.  </w:t>
      </w:r>
      <w:r w:rsidR="001319F0">
        <w:rPr>
          <w:rFonts w:ascii="Acumin Pro Light" w:hAnsi="Acumin Pro Light" w:cs="Times"/>
          <w:color w:val="000000"/>
          <w:u w:color="0000E9"/>
        </w:rPr>
        <w:t>To do so, I will make use of various openly available specialized vocabularies, taxonomies and ontologies related to the sciences, environment, social and economic policies from sources such as the United Nations, the European Union, and various policy centers and institutes.</w:t>
      </w:r>
      <w:r w:rsidR="001D707D">
        <w:rPr>
          <w:rStyle w:val="FootnoteReference"/>
          <w:rFonts w:ascii="Acumin Pro Light" w:hAnsi="Acumin Pro Light" w:cs="Times"/>
          <w:color w:val="000000"/>
          <w:u w:color="0000E9"/>
        </w:rPr>
        <w:footnoteReference w:id="1"/>
      </w:r>
      <w:r w:rsidR="001319F0">
        <w:rPr>
          <w:rFonts w:ascii="Acumin Pro Light" w:hAnsi="Acumin Pro Light" w:cs="Times"/>
          <w:color w:val="000000"/>
          <w:u w:color="0000E9"/>
        </w:rPr>
        <w:t xml:space="preserve">  </w:t>
      </w:r>
    </w:p>
    <w:p w14:paraId="5E3155D9" w14:textId="2FD429E6" w:rsidR="00E10C75" w:rsidRDefault="00E10C75" w:rsidP="00E10C75">
      <w:pPr>
        <w:autoSpaceDE w:val="0"/>
        <w:autoSpaceDN w:val="0"/>
        <w:adjustRightInd w:val="0"/>
        <w:spacing w:after="240"/>
        <w:rPr>
          <w:rFonts w:ascii="Acumin Pro Light" w:hAnsi="Acumin Pro Light" w:cs="Times"/>
          <w:color w:val="000000"/>
          <w:u w:color="0000E9"/>
        </w:rPr>
      </w:pPr>
      <w:r>
        <w:rPr>
          <w:rFonts w:ascii="Acumin Pro Light" w:hAnsi="Acumin Pro Light" w:cs="Times"/>
          <w:color w:val="000000"/>
          <w:u w:color="0000E9"/>
        </w:rPr>
        <w:t xml:space="preserve">Increasingly, there is significant overlap between practitioners of </w:t>
      </w:r>
      <w:proofErr w:type="spellStart"/>
      <w:r>
        <w:rPr>
          <w:rFonts w:ascii="Acumin Pro Light" w:hAnsi="Acumin Pro Light" w:cs="Times"/>
          <w:color w:val="000000"/>
          <w:u w:color="0000E9"/>
        </w:rPr>
        <w:t>scientometrics</w:t>
      </w:r>
      <w:proofErr w:type="spellEnd"/>
      <w:r>
        <w:rPr>
          <w:rFonts w:ascii="Acumin Pro Light" w:hAnsi="Acumin Pro Light" w:cs="Times"/>
          <w:color w:val="000000"/>
          <w:u w:color="0000E9"/>
        </w:rPr>
        <w:t xml:space="preserve">, fields like policy studies and economic geography and those conducing evaluations of funding programs.  While I may develop descriptive statistics that help compare and contrast aspects of different funding initiatives over time and space, my theoretical approach here will not be “monitoring and evaluation” or “learning and assessment.”  While these approaches are useful, important and popular </w:t>
      </w:r>
      <w:r w:rsidR="0013776F">
        <w:rPr>
          <w:rFonts w:ascii="Acumin Pro Light" w:hAnsi="Acumin Pro Light" w:cs="Times"/>
          <w:color w:val="000000"/>
          <w:u w:color="0000E9"/>
        </w:rPr>
        <w:t xml:space="preserve">within public and private foundations, my aim is analytics development rather than arriving at evaluative conclusions.  To facilitate a richer analytical description of the grants, though, I will use a geospatial theoretical frame as I analyze and curate the dataset.  </w:t>
      </w:r>
      <w:r w:rsidR="00353737">
        <w:rPr>
          <w:rFonts w:ascii="Acumin Pro Light" w:hAnsi="Acumin Pro Light" w:cs="Times"/>
          <w:color w:val="000000"/>
          <w:u w:color="0000E9"/>
        </w:rPr>
        <w:t>By using American Community Survey data on labor sectors by congressional district, I will develop a geospatial cluster analysis of waxing and waning labor sectors</w:t>
      </w:r>
      <w:r w:rsidR="0013776F">
        <w:rPr>
          <w:rFonts w:ascii="Acumin Pro Light" w:hAnsi="Acumin Pro Light" w:cs="Times"/>
          <w:color w:val="000000"/>
          <w:u w:color="0000E9"/>
        </w:rPr>
        <w:t xml:space="preserve"> </w:t>
      </w:r>
      <w:r w:rsidR="00353737">
        <w:rPr>
          <w:rFonts w:ascii="Acumin Pro Light" w:hAnsi="Acumin Pro Light" w:cs="Times"/>
          <w:color w:val="000000"/>
          <w:u w:color="0000E9"/>
        </w:rPr>
        <w:t>that will be used to</w:t>
      </w:r>
      <w:r w:rsidR="0013776F">
        <w:rPr>
          <w:rFonts w:ascii="Acumin Pro Light" w:hAnsi="Acumin Pro Light" w:cs="Times"/>
          <w:color w:val="000000"/>
          <w:u w:color="0000E9"/>
        </w:rPr>
        <w:t xml:space="preserve"> foreground </w:t>
      </w:r>
      <w:r w:rsidR="00353737">
        <w:rPr>
          <w:rFonts w:ascii="Acumin Pro Light" w:hAnsi="Acumin Pro Light" w:cs="Times"/>
          <w:color w:val="000000"/>
          <w:u w:color="0000E9"/>
        </w:rPr>
        <w:t xml:space="preserve">questions about the geography of industrial and economic change.  As part of my accompanying analysis I will examine the qualitative and/or quantitative differences in the funding activity that happened </w:t>
      </w:r>
      <w:r w:rsidR="00602377">
        <w:rPr>
          <w:rFonts w:ascii="Acumin Pro Light" w:hAnsi="Acumin Pro Light" w:cs="Times"/>
          <w:color w:val="000000"/>
          <w:u w:color="0000E9"/>
        </w:rPr>
        <w:t>within different geospatial clusters,</w:t>
      </w:r>
      <w:r w:rsidR="00353737">
        <w:rPr>
          <w:rFonts w:ascii="Acumin Pro Light" w:hAnsi="Acumin Pro Light" w:cs="Times"/>
          <w:color w:val="000000"/>
          <w:u w:color="0000E9"/>
        </w:rPr>
        <w:t xml:space="preserve"> sectoral “hot spots” or “cold spots</w:t>
      </w:r>
      <w:r w:rsidR="00602377">
        <w:rPr>
          <w:rFonts w:ascii="Acumin Pro Light" w:hAnsi="Acumin Pro Light" w:cs="Times"/>
          <w:color w:val="000000"/>
          <w:u w:color="0000E9"/>
        </w:rPr>
        <w:t>” where certain economic activities and corresponding labor distributions tend to be highest or lowest, or increasing or decreasing most significantly.</w:t>
      </w:r>
    </w:p>
    <w:p w14:paraId="016EA288" w14:textId="603CBC8D" w:rsidR="00E10C75" w:rsidRDefault="00353737" w:rsidP="00E10C75">
      <w:pPr>
        <w:autoSpaceDE w:val="0"/>
        <w:autoSpaceDN w:val="0"/>
        <w:adjustRightInd w:val="0"/>
        <w:spacing w:after="240"/>
        <w:rPr>
          <w:rFonts w:ascii="Acumin Pro Light" w:hAnsi="Acumin Pro Light" w:cs="Times"/>
          <w:color w:val="000000"/>
          <w:u w:color="0000E9"/>
        </w:rPr>
      </w:pPr>
      <w:r>
        <w:rPr>
          <w:rFonts w:ascii="Acumin Pro Light" w:hAnsi="Acumin Pro Light" w:cs="Times"/>
          <w:color w:val="000000"/>
          <w:u w:color="0000E9"/>
        </w:rPr>
        <w:t>This approach is influenced by</w:t>
      </w:r>
      <w:r w:rsidR="00E10C75">
        <w:rPr>
          <w:rFonts w:ascii="Acumin Pro Light" w:hAnsi="Acumin Pro Light" w:cs="Times"/>
          <w:color w:val="000000"/>
          <w:u w:color="0000E9"/>
        </w:rPr>
        <w:t xml:space="preserve"> scholarship in </w:t>
      </w:r>
      <w:r w:rsidR="00E10C75" w:rsidRPr="00797AA6">
        <w:rPr>
          <w:rFonts w:ascii="Acumin Pro Light" w:hAnsi="Acumin Pro Light" w:cs="Times"/>
          <w:b/>
          <w:bCs/>
          <w:color w:val="000000"/>
          <w:u w:color="0000E9"/>
        </w:rPr>
        <w:t>economic geography</w:t>
      </w:r>
      <w:r w:rsidR="00E10C75" w:rsidRPr="00797AA6">
        <w:rPr>
          <w:rFonts w:ascii="Acumin Pro Light" w:hAnsi="Acumin Pro Light" w:cs="Times"/>
          <w:color w:val="000000"/>
          <w:u w:color="0000E9"/>
        </w:rPr>
        <w:t xml:space="preserve"> and</w:t>
      </w:r>
      <w:r w:rsidR="00E10C75">
        <w:rPr>
          <w:rFonts w:ascii="Acumin Pro Light" w:hAnsi="Acumin Pro Light" w:cs="Times"/>
          <w:color w:val="000000"/>
          <w:u w:color="0000E9"/>
        </w:rPr>
        <w:t xml:space="preserve"> </w:t>
      </w:r>
      <w:r w:rsidR="00E10C75" w:rsidRPr="00797AA6">
        <w:rPr>
          <w:rFonts w:ascii="Acumin Pro Light" w:hAnsi="Acumin Pro Light" w:cs="Times"/>
          <w:b/>
          <w:bCs/>
          <w:color w:val="000000"/>
          <w:u w:color="0000E9"/>
        </w:rPr>
        <w:t>science and technology policy studies</w:t>
      </w:r>
      <w:r>
        <w:rPr>
          <w:rFonts w:ascii="Acumin Pro Light" w:hAnsi="Acumin Pro Light" w:cs="Times"/>
          <w:b/>
          <w:bCs/>
          <w:color w:val="000000"/>
          <w:u w:color="0000E9"/>
        </w:rPr>
        <w:t>,</w:t>
      </w:r>
      <w:r>
        <w:rPr>
          <w:rFonts w:ascii="Acumin Pro Light" w:hAnsi="Acumin Pro Light" w:cs="Times"/>
          <w:color w:val="000000"/>
          <w:u w:color="0000E9"/>
        </w:rPr>
        <w:t xml:space="preserve"> which</w:t>
      </w:r>
      <w:r w:rsidR="00E10C75" w:rsidRPr="00797AA6">
        <w:rPr>
          <w:rFonts w:ascii="Acumin Pro Light" w:hAnsi="Acumin Pro Light" w:cs="Times"/>
          <w:color w:val="000000"/>
          <w:u w:color="0000E9"/>
        </w:rPr>
        <w:t xml:space="preserve"> </w:t>
      </w:r>
      <w:r w:rsidR="00E10C75">
        <w:rPr>
          <w:rFonts w:ascii="Acumin Pro Light" w:hAnsi="Acumin Pro Light" w:cs="Times"/>
          <w:color w:val="000000"/>
          <w:u w:color="0000E9"/>
        </w:rPr>
        <w:t xml:space="preserve">uses patent data to describe comparative advantages and disadvantages between different geographic regions and to offer policy makers and analysts one way of understanding of how scientific and technical </w:t>
      </w:r>
      <w:r w:rsidR="00E10C75">
        <w:rPr>
          <w:rFonts w:ascii="Acumin Pro Light" w:hAnsi="Acumin Pro Light" w:cs="Times"/>
          <w:i/>
          <w:iCs/>
          <w:color w:val="000000"/>
          <w:u w:color="0000E9"/>
        </w:rPr>
        <w:t xml:space="preserve">specialization </w:t>
      </w:r>
      <w:r w:rsidR="00E10C75">
        <w:rPr>
          <w:rFonts w:ascii="Acumin Pro Light" w:hAnsi="Acumin Pro Light" w:cs="Times"/>
          <w:color w:val="000000"/>
          <w:u w:color="0000E9"/>
        </w:rPr>
        <w:t xml:space="preserve">might effect policy planning and outcomes </w:t>
      </w:r>
      <w:r w:rsidR="00E10C75">
        <w:rPr>
          <w:rFonts w:ascii="Acumin Pro Light" w:hAnsi="Acumin Pro Light" w:cs="Times"/>
          <w:color w:val="000000"/>
          <w:u w:color="0000E9"/>
        </w:rPr>
        <w:fldChar w:fldCharType="begin"/>
      </w:r>
      <w:r w:rsidR="00E10C75">
        <w:rPr>
          <w:rFonts w:ascii="Acumin Pro Light" w:hAnsi="Acumin Pro Light" w:cs="Times"/>
          <w:color w:val="000000"/>
          <w:u w:color="0000E9"/>
        </w:rPr>
        <w:instrText xml:space="preserve"> ADDIN ZOTERO_ITEM CSL_CITATION {"citationID":"mV6mSZyq","properties":{"formattedCitation":"(Apa et al., 2018; Balland et al., 2019; Boschma et al., 2014; Castaldi &amp; Los, 2017; Perruchas et al., 2020; Surana et al., 2020; Wouden &amp; Rigby, 2020)","plainCitation":"(Apa et al., 2018; Balland et al., 2019; Boschma et al., 2014; Castaldi &amp; Los, 2017; Perruchas et al., 2020; Surana et al., 2020; Wouden &amp; Rigby, 2020)","noteIndex":0},"citationItems":[{"id":18415,"uris":["http://zotero.org/users/4632586/items/A2GI9AAT"],"uri":["http://zotero.org/users/4632586/items/A2GI9AAT"],"itemData":{"id":18415,"type":"article-journal","abstract":"This work contributes to previous research on the relationship between specific features of a regional knowledge space and the technological progress of the region. In particular, the main element of originality of this work is to have singled out the determinants of the technological progress intensity and relevance. We acknowledge the importance of knowledge assets for new knowledge production, and we identify path-dependent processes that allow a region to become increasingly competitive in terms of innovation potential. In particular, adopting an evolutionary view of regional development, we describe the regional knowledge space through four crucial characteristics: 1) technological knowledge base, 2) technological cumulativeness, 3) technological diversification, and 4) technological relatedness. We then measure to what extent each of the knowledge space’s characteristics differently affects the technological progress intensity and relevance of the region. A longitudinal study of 269 European regions over the period 1996–2012 was organized using data from REGPAT and Eurostat databases. Results show that technological relatedness affects positively both the intensity and relevance of the technological progress of European regions and that the other components of the knowledge space show a different impact on the two features of the technological progress. Finally, implications for EU policies supporting and stimulating regional technological progress are discussed.","container-title":"Research Policy","DOI":"10.1016/j.respol.2018.06.002","ISSN":"0048-7333","issue":"9","journalAbbreviation":"Research Policy","language":"en","page":"1700-1712","source":"ScienceDirect","title":"Knowledge space oddity: How to increase the intensity and relevance of the technological progress of European regions","title-short":"Knowledge space oddity","volume":"47","author":[{"family":"Apa","given":"Roberta"},{"family":"De Noni","given":"Ivan"},{"family":"Orsi","given":"Luigi"},{"family":"Sedita","given":"Silvia Rita"}],"issued":{"date-parts":[["2018",11,1]]}}},{"id":18277,"uris":["http://zotero.org/users/4632586/items/4F3PMFP5"],"uri":["http://zotero.org/users/4632586/items/4F3PMFP5"],"itemData":{"id":18277,"type":"article-journal","abstract":"The operationalization of smart specialization policy has been rather limited because a coherent set of analytical tools to guide the policy directives remains elusive. We propose a policy framework around the concepts of relatedness and knowledge complexity. We show that diversifying into more complex technologies is attractive but difficult for European Union regions to accomplish. Regions can overcome this diversification dilemma by developing new complex technologies that build on local related capabilities. We use these findings to construct a policy framework for smart specialization that highlights the potential risks and rewards for regions of adopting competing diversification strategies.","container-title":"Regional Studies","DOI":"10.1080/00343404.2018.1437900","ISSN":"0034-3404","issue":"9","note":"publisher: Routledge\n_eprint: https://doi.org/10.1080/00343404.2018.1437900","page":"1252-1268","source":"Taylor and Francis+NEJM","title":"Smart specialization policy in the European Union: relatedness, knowledge complexity and regional diversification","title-short":"Smart specialization policy in the European Union","volume":"53","author":[{"family":"Balland","given":"Pierre-Alexandre"},{"family":"Boschma","given":"Ron"},{"family":"Crespo","given":"Joan"},{"family":"Rigby","given":"David L."}],"issued":{"date-parts":[["2019",9,2]]}}},{"id":18294,"uris":["http://zotero.org/users/4632586/items/NPRB9T43"],"uri":["http://zotero.org/users/4632586/items/NPRB9T43"],"itemData":{"id":18294,"type":"article-journal","container-title":"Industrial and Corporate Change","DOI":"10.1093/icc/dtu012","issue":"1","page":"223-250","title":"Relatedness and technological change in cities: the rise and fall of technological knowledge in US metropolitan areas from 1981 to 2010","volume":"24","author":[{"family":"Boschma","given":"R."},{"family":"Balland","given":"P.-A."},{"family":"Kogler","given":"D. F."}],"issued":{"date-parts":[["2014"]]}}},{"id":18336,"uris":["http://zotero.org/users/4632586/items/8LB88AEU"],"uri":["http://zotero.org/users/4632586/items/8LB88AEU"],"itemData":{"id":18336,"type":"article-journal","abstract":"Towards the end of the previous century, the geography of US inventive activity changed drastically. The old hotbeds of invention (the Northeast and Midwest) lost much of their prominence, and rates of invention in Western states grew considerably. In this paper, we argue that this well-known “regional inversion” has been underestimated. We arrive at this conclusion by addressing an important concern regarding the use of raw patent counts in the previous literature: raw patent counts do not tell much about inventive performance, since the importance of patents in terms of their impact on future technological and economic developments varies much. We focus on “superstar” patents, which are disproportionally important. We identify these employing a statistical regularity in citation patterns. We find that the West did not only outpace the Northeast and Midwest in the numbers of patents produced, but also specialized much more in patents that “really matter”.","container-title":"Research Policy","DOI":"10.1016/j.respol.2017.04.005","ISSN":"0048-7333","issue":"7","journalAbbreviation":"Research Policy","language":"en","page":"1187-1197","source":"ScienceDirect","title":"Geographical patterns in US inventive activity 1977–1998: The “regional inversion” was underestimated","title-short":"Geographical patterns in US inventive activity 1977–1998","volume":"46","author":[{"family":"Castaldi","given":"Carolina"},{"family":"Los","given":"Bart"}],"issued":{"date-parts":[["2017",9,1]]}}},{"id":18345,"uris":["http://zotero.org/users/4632586/items/F2IJGJVF"],"uri":["http://zotero.org/users/4632586/items/F2IJGJVF"],"itemData":{"id":18345,"type":"article-journal","abstract":"This paper elaborates an empirical analysis of the temporal and geographical distribution of green technology, and on how specific country characteristics enable or thwart environmental inventive activities. Using patent data on 63 countries over the period 1971–2012 we identify key drivers of cross-country diversification and specialisation. Our first finding is that countries diversify towards green technologies that are related to their existing competences. Notably, the degree of green technology maturity matters more than a country`s level of development. The second main result is that countries move along cumulative paths of specialisation, and towards more mature green technologies. Interestingly, the complexity of green technologies is not an obstacle to further specialisation. This holds also for developing countries that are most exposed to climate change hazards.","container-title":"Research Policy","DOI":"10.1016/j.respol.2020.103922","ISSN":"0048-7333","issue":"3","journalAbbreviation":"Research Policy","language":"en","page":"103922","source":"ScienceDirect","title":"Specialisation, diversification and the ladder of green technology development","volume":"49","author":[{"family":"Perruchas","given":"François"},{"family":"Consoli","given":"Davide"},{"family":"Barbieri","given":"Nicolò"}],"issued":{"date-parts":[["2020",4,1]]}}},{"id":18353,"uris":["http://zotero.org/users/4632586/items/YE4MCSVS"],"uri":["http://zotero.org/users/4632586/items/YE4MCSVS"],"itemData":{"id":18353,"type":"article-journal","abstract":"Wind energy can contribute to national climate, energy and economic goals by expanding clean energy and supporting economies through new manufacturing industries. However, the mechanisms for achieving these interlinked goals are not well understood. Here we analyse the wind energy manufacturing global value chain, using a dataset on 389 component supplier firms (2006–2016) that work with 13 original equipment manufacturers. We assess how technology complexity, that is, the knowledge intensity and difficulty of manufacturing components, shapes the location of suppliers. For countries without existing wind industries, we find evidence of the emergence of suppliers for only low-complexity components (for example, towers and generators). For countries with existing wind industries, we find that suppliers’ evolution, that is, changes in their international supply relationships, is less likely for high-complexity components (for example, blades and gearboxes). Our findings show the importance of understanding technologies along with firms and countries within global value chains for achieving policy goals.","container-title":"Nature Energy","DOI":"10.1038/s41560-020-00685-6","ISSN":"2058-7546","language":"en","note":"publisher: Nature Publishing Group","page":"1-11","source":"www.nature.com","title":"Effects of technology complexity on the emergence and evolution of wind industry manufacturing locations along global value chains","author":[{"family":"Surana","given":"Kavita"},{"family":"Doblinger","given":"Claudia"},{"family":"Anadon","given":"Laura Diaz"},{"family":"Hultman","given":"Nathan"}],"issued":{"date-parts":[["2020",8,31]]}}},{"id":18358,"uris":["http://zotero.org/users/4632586/items/BXHPGLIP"],"uri":["http://zotero.org/users/4632586/items/BXHPGLIP"],"itemData":{"id":18358,"type":"article-journal","abstract":"The aim of this paper is to explore the influence of mobility on inventor productivity. Unlike most previous literature in this field, we separate the impact of firm mobility from geographical mobility. Our paper is also novel because of the long period of investigation. We report how the different forms of mobility, and their impacts, have changed over the period 1836–1975 using US patent data. Mobility is identified for serial inventors who change assignee and/or location over time. Firm mobility and geographical mobility increase throughout the period examined, with only temporary reversals around the Great Depression and Second World War. Comparisons across matched samples of mobile and immobile inventors reveal that firm mobility and spatial mobility raise the patent productivity of inventors, the former having the largest impact. Inventor productivity increases for up to 15 years following a mobility event, suggesting a process of adjustment after a move.","container-title":"Industry and Innovation","DOI":"10.1080/13662716.2020.1789451","ISSN":"1366-2716","issue":"0","note":"publisher: Routledge\n_eprint: https://doi.org/10.1080/13662716.2020.1789451","page":"1-27","source":"Taylor and Francis+NEJM","title":"Inventor mobility and productivity: a long-run perspective","title-short":"Inventor mobility and productivity","volume":"0","author":[{"family":"Wouden","given":"Frank","dropping-particle":"van der"},{"family":"Rigby","given":"David L."}],"issued":{"date-parts":[["2020",7,8]]}}}],"schema":"https://github.com/citation-style-language/schema/raw/master/csl-citation.json"} </w:instrText>
      </w:r>
      <w:r w:rsidR="00E10C75">
        <w:rPr>
          <w:rFonts w:ascii="Acumin Pro Light" w:hAnsi="Acumin Pro Light" w:cs="Times"/>
          <w:color w:val="000000"/>
          <w:u w:color="0000E9"/>
        </w:rPr>
        <w:fldChar w:fldCharType="separate"/>
      </w:r>
      <w:r w:rsidR="00E10C75">
        <w:rPr>
          <w:rFonts w:ascii="Acumin Pro Light" w:hAnsi="Acumin Pro Light" w:cs="Times"/>
          <w:noProof/>
          <w:color w:val="000000"/>
          <w:u w:color="0000E9"/>
        </w:rPr>
        <w:t>(Apa et al., 2018; Balland et al., 2019; Boschma et al., 2014; Castaldi &amp; Los, 2017; Perruchas et al., 2020; Surana et al., 2020; Wouden &amp; Rigby, 2020)</w:t>
      </w:r>
      <w:r w:rsidR="00E10C75">
        <w:rPr>
          <w:rFonts w:ascii="Acumin Pro Light" w:hAnsi="Acumin Pro Light" w:cs="Times"/>
          <w:color w:val="000000"/>
          <w:u w:color="0000E9"/>
        </w:rPr>
        <w:fldChar w:fldCharType="end"/>
      </w:r>
      <w:r w:rsidR="00E10C75">
        <w:rPr>
          <w:rFonts w:ascii="Acumin Pro Light" w:hAnsi="Acumin Pro Light" w:cs="Times"/>
          <w:color w:val="000000"/>
          <w:u w:color="0000E9"/>
        </w:rPr>
        <w:t xml:space="preserve">.  </w:t>
      </w:r>
      <w:r w:rsidR="0013776F">
        <w:rPr>
          <w:rFonts w:ascii="Acumin Pro Light" w:hAnsi="Acumin Pro Light" w:cs="Times"/>
          <w:color w:val="000000"/>
          <w:u w:color="0000E9"/>
        </w:rPr>
        <w:t xml:space="preserve">Using patent records as a proxy for measuring innovative activity is not new, and various researchers have sought to derive insight about innovative activity from patents data </w:t>
      </w:r>
      <w:r w:rsidR="0013776F">
        <w:rPr>
          <w:rFonts w:ascii="Acumin Pro Light" w:hAnsi="Acumin Pro Light" w:cs="Times"/>
          <w:color w:val="000000"/>
          <w:u w:color="0000E9"/>
        </w:rPr>
        <w:fldChar w:fldCharType="begin"/>
      </w:r>
      <w:r w:rsidR="0013776F">
        <w:rPr>
          <w:rFonts w:ascii="Acumin Pro Light" w:hAnsi="Acumin Pro Light" w:cs="Times"/>
          <w:color w:val="000000"/>
          <w:u w:color="0000E9"/>
        </w:rPr>
        <w:instrText xml:space="preserve"> ADDIN ZOTERO_ITEM CSL_CITATION {"citationID":"CXQcZzqm","properties":{"formattedCitation":"(Jaffe et al., 1993; Verbeek et al., 2004)","plainCitation":"(Jaffe et al., 1993; Verbeek et al., 2004)","noteIndex":0},"citationItems":[{"id":17243,"uris":["http://zotero.org/users/4632586/items/IFETV3X8"],"uri":["http://zotero.org/users/4632586/items/IFETV3X8"],"itemData":{"id":17243,"type":"article-journal","abstract":"We compare the geographic location of patent citations with that of the cited patents, as evidence of the extent to which knowledge spillovers are geographically localized. We find that citations to domestic patents are more likely to be domestic, and more likely to come from the same state and SMSA as the cited patents, compared with a \"control frequency\" reflecting the pre-existing concentration of related research activity. These effects are particularly significant at the local (SMSA) level. Localization fades over time, but only very slowly. There is no evidence that more \"basic\" inventions diffuse more rapidly than others.","archive":"JSTOR","container-title":"The Quarterly Journal of Economics","DOI":"10.2307/2118401","ISSN":"0033-5533","issue":"3","note":"publisher: Oxford University Press","page":"577-598","source":"JSTOR","title":"Geographic Localization of Knowledge Spillovers as Evidenced by Patent Citations","volume":"108","author":[{"family":"Jaffe","given":"Adam B."},{"family":"Trajtenberg","given":"Manuel"},{"family":"Henderson","given":"Rebecca"}],"issued":{"date-parts":[["1993"]]}}},{"id":18100,"uris":["http://zotero.org/users/4632586/items/SWFW9SZI"],"uri":["http://zotero.org/users/4632586/items/SWFW9SZI"],"itemData":{"id":18100,"type":"article-journal","abstract":"&lt;section class=\"abstract\"&gt;&lt;h2 class=\"abstractTitle text-title my-1\" id=\"d1186e2\"&gt;Abstract  &lt;/h2&gt;&lt;p&gt;The interplay and cross-fertilization between science and technology, but also the specific role of science for technological development, have received ample attention in both the research and the policy communities. It is in this context that the concepts of &lt;img src=\"xxlarge8220.gif\"&gt;&lt;/img&gt;absorptive capacity&lt;img src=\"xxlarge8221.gif\"&gt;&lt;/img&gt; and &lt;img src=\"xxlarge8220.gif\"&gt;&lt;/img&gt;knowledge spillovers&lt;img src=\"xxlarge8221.gif\"&gt;&lt;/img&gt; play an important role. We operationalize the science-technology link by quantifying and modeling bibliographic references to the scientific literature as they occur in patents. This approach allows exploring the associative patterns between science creation (as emerging from the scientific literature) and technology development (as emerging from the patent literature). In the current paper, we focus on an analysis of the geographic distribution of the science citation patterns in patents, singling out two fields of (different) technological development, namely biotechnology and information technology. In both fields, the science citation flows from the European, Japanese and US science bases into USPTO and EPO-patents are explored and modeled. Intensive geographic citation flows between the regions are identified, pointing (amongst others) to the strength of both the US and the European science bases as sources for technological activity and creativity around the world.&lt;/p&gt;&lt;/section&gt;","container-title":"Scientometrics","DOI":"10.1023/a:1026232526034","ISSN":"0138-9130, 1588-2861","issue":"2","language":"en_US","note":"publisher: Akadémiai Kiadó, co-published with Springer Science+Business Media B.V., Formerly Kluwer Academic Publishers B.V.\nsection: Scientometrics","page":"241-263","source":"akjournals.com","title":"Science cited in patents: A geographic \"flow\" analysis of bibliographic citation patterns in patents","title-short":"Science cited in patents","volume":"58","author":[{"family":"Verbeek","given":"Arnold"},{"family":"Debackere","given":"Koenraad"},{"family":"Luwel","given":"Marc"}],"issued":{"date-parts":[["2004",11,2]]}}}],"schema":"https://github.com/citation-style-language/schema/raw/master/csl-citation.json"} </w:instrText>
      </w:r>
      <w:r w:rsidR="0013776F">
        <w:rPr>
          <w:rFonts w:ascii="Acumin Pro Light" w:hAnsi="Acumin Pro Light" w:cs="Times"/>
          <w:color w:val="000000"/>
          <w:u w:color="0000E9"/>
        </w:rPr>
        <w:fldChar w:fldCharType="separate"/>
      </w:r>
      <w:r w:rsidR="0013776F">
        <w:rPr>
          <w:rFonts w:ascii="Acumin Pro Light" w:hAnsi="Acumin Pro Light" w:cs="Times"/>
          <w:noProof/>
          <w:color w:val="000000"/>
          <w:u w:color="0000E9"/>
        </w:rPr>
        <w:t>(Jaffe et al., 1993; Verbeek et al., 2004)</w:t>
      </w:r>
      <w:r w:rsidR="0013776F">
        <w:rPr>
          <w:rFonts w:ascii="Acumin Pro Light" w:hAnsi="Acumin Pro Light" w:cs="Times"/>
          <w:color w:val="000000"/>
          <w:u w:color="0000E9"/>
        </w:rPr>
        <w:fldChar w:fldCharType="end"/>
      </w:r>
      <w:r w:rsidR="0013776F">
        <w:rPr>
          <w:rFonts w:ascii="Acumin Pro Light" w:hAnsi="Acumin Pro Light" w:cs="Times"/>
          <w:color w:val="000000"/>
          <w:u w:color="0000E9"/>
        </w:rPr>
        <w:t xml:space="preserve">.  Moreover, researchers have also used patents data to study the </w:t>
      </w:r>
      <w:r w:rsidR="0013776F" w:rsidRPr="00A8378B">
        <w:rPr>
          <w:rFonts w:ascii="Acumin Pro Light" w:hAnsi="Acumin Pro Light" w:cs="Acumin Pro Medium"/>
          <w:color w:val="000000"/>
          <w:u w:color="0000E9"/>
        </w:rPr>
        <w:t xml:space="preserve">localization of specific industries and utilize the Standard Industrial Classification codes applied to patent records to further disaggregate findings of innovation spillovers or localizations across </w:t>
      </w:r>
      <w:r w:rsidR="0013776F" w:rsidRPr="00A8378B">
        <w:rPr>
          <w:rFonts w:ascii="Acumin Pro Light" w:hAnsi="Acumin Pro Light" w:cs="Acumin Pro Medium"/>
          <w:i/>
          <w:iCs/>
          <w:color w:val="000000"/>
          <w:u w:color="0000E9"/>
        </w:rPr>
        <w:t xml:space="preserve">specific </w:t>
      </w:r>
      <w:r w:rsidR="0013776F" w:rsidRPr="00A8378B">
        <w:rPr>
          <w:rFonts w:ascii="Acumin Pro Light" w:hAnsi="Acumin Pro Light" w:cs="Acumin Pro Medium"/>
          <w:color w:val="000000"/>
          <w:u w:color="0000E9"/>
        </w:rPr>
        <w:t xml:space="preserve">types of activities. </w:t>
      </w:r>
      <w:r w:rsidR="0013776F" w:rsidRPr="00A8378B">
        <w:rPr>
          <w:rFonts w:ascii="Acumin Pro Light" w:hAnsi="Acumin Pro Light" w:cs="Acumin Pro Medium"/>
          <w:color w:val="000000"/>
          <w:u w:color="0000E9"/>
        </w:rPr>
        <w:fldChar w:fldCharType="begin"/>
      </w:r>
      <w:r w:rsidR="0013776F" w:rsidRPr="00A8378B">
        <w:rPr>
          <w:rFonts w:ascii="Acumin Pro Light" w:hAnsi="Acumin Pro Light" w:cs="Acumin Pro Medium"/>
          <w:color w:val="000000"/>
          <w:u w:color="0000E9"/>
        </w:rPr>
        <w:instrText xml:space="preserve"> ADDIN ZOTERO_ITEM CSL_CITATION {"citationID":"K2NhlOCm","properties":{"formattedCitation":"(Anselin et al., 2000; Audretsch &amp; Feldman, 1996; Boschma et al., 2014)","plainCitation":"(Anselin et al., 2000; Audretsch &amp; Feldman, 1996; Boschma et al., 2014)","noteIndex":0},"citationItems":[{"id":18097,"uris":["http://zotero.org/users/4632586/items/C8CE9CTA"],"uri":["http://zotero.org/users/4632586/items/C8CE9CTA"],"itemData":{"id":18097,"type":"article-journal","abstract":"Using data for U.S. metropolitan statistical areas, an earlier study of aggregate local geographic research spillovers generated by universities (Anselin et al.1997) was extended to a sectorally disaggregated level. These findings suggest the existence of significant sectoral variation with respect to local university effects on innovation. Apparent differences were found across sectors with respect to the “mix” of applied local knowledge inputs in general, and the extent to which university research plays a role in innovation in particular. The main conclusion is that local university spillovers seem to be specific to certain industries, such that at the two-digit SIC level, no university spillover effects are at work in the Drugs and Chemicals (SIC28) and in the Machinery (SIC35) sectors. On the contrary, very strong and significant university research spillovers are evidenced in the Electronics (SIC36) and the Instruments (SIC38) industries. These spillovers extend beyond the boundary of the MSA within a 75-mile range from the central city.","container-title":"Growth and Change","DOI":"10.1111/0017-4815.00142","ISSN":"1468-2257","issue":"4","language":"en","note":"_eprint: https://onlinelibrary.wiley.com/doi/pdf/10.1111/0017-4815.00142","page":"501-515","source":"Wiley Online Library","title":"Geographical Spillovers and University Research: A Spatial EconometricPerspective","title-short":"Geographical Spillovers and University Research","volume":"31","author":[{"family":"Anselin","given":"Luc"},{"family":"Varga","given":"Attila"},{"family":"Acs","given":"Zoltan"}],"issued":{"date-parts":[["2000"]]}}},{"id":17239,"uris":["http://zotero.org/users/4632586/items/2L33A4A9"],"uri":["http://zotero.org/users/4632586/items/2L33A4A9"],"itemData":{"id":17239,"type":"article-journal","archive":"JSTOR","container-title":"The American Economic Review","ISSN":"0002-8282","issue":"3","note":"publisher: American Economic Association","page":"630-640","source":"JSTOR","title":"R&amp;D Spillovers and the Geography of Innovation and Production","volume":"86","author":[{"family":"Audretsch","given":"David B."},{"family":"Feldman","given":"Maryann P."}],"issued":{"date-parts":[["1996"]]}}},{"id":18294,"uris":["http://zotero.org/users/4632586/items/NPRB9T43"],"uri":["http://zotero.org/users/4632586/items/NPRB9T43"],"itemData":{"id":18294,"type":"article-journal","container-title":"Industrial and Corporate Change","DOI":"10.1093/icc/dtu012","issue":"1","page":"223-250","title":"Relatedness and technological change in cities: the rise and fall of technological knowledge in US metropolitan areas from 1981 to 2010","volume":"24","author":[{"family":"Boschma","given":"R."},{"family":"Balland","given":"P.-A."},{"family":"Kogler","given":"D. F."}],"issued":{"date-parts":[["2014"]]}}}],"schema":"https://github.com/citation-style-language/schema/raw/master/csl-citation.json"} </w:instrText>
      </w:r>
      <w:r w:rsidR="0013776F" w:rsidRPr="00A8378B">
        <w:rPr>
          <w:rFonts w:ascii="Acumin Pro Light" w:hAnsi="Acumin Pro Light" w:cs="Acumin Pro Medium"/>
          <w:color w:val="000000"/>
          <w:u w:color="0000E9"/>
        </w:rPr>
        <w:fldChar w:fldCharType="separate"/>
      </w:r>
      <w:r w:rsidR="0013776F" w:rsidRPr="00A8378B">
        <w:rPr>
          <w:rFonts w:ascii="Acumin Pro Light" w:hAnsi="Acumin Pro Light" w:cs="Acumin Pro Medium"/>
          <w:noProof/>
          <w:color w:val="000000"/>
          <w:u w:color="0000E9"/>
        </w:rPr>
        <w:t>(Anselin et al., 2000; Audretsch &amp; Feldman, 1996; Boschma et al., 2014)</w:t>
      </w:r>
      <w:r w:rsidR="0013776F" w:rsidRPr="00A8378B">
        <w:rPr>
          <w:rFonts w:ascii="Acumin Pro Light" w:hAnsi="Acumin Pro Light" w:cs="Acumin Pro Medium"/>
          <w:color w:val="000000"/>
          <w:u w:color="0000E9"/>
        </w:rPr>
        <w:fldChar w:fldCharType="end"/>
      </w:r>
      <w:r w:rsidR="0013776F" w:rsidRPr="00A8378B">
        <w:rPr>
          <w:rFonts w:ascii="Acumin Pro Light" w:hAnsi="Acumin Pro Light" w:cs="Acumin Pro Medium"/>
          <w:color w:val="000000"/>
          <w:u w:color="0000E9"/>
        </w:rPr>
        <w:t xml:space="preserve">.  </w:t>
      </w:r>
    </w:p>
    <w:p w14:paraId="0B45FE68" w14:textId="09F044C0" w:rsidR="00E10C75" w:rsidRDefault="00E10C75" w:rsidP="00E10C75">
      <w:pPr>
        <w:autoSpaceDE w:val="0"/>
        <w:autoSpaceDN w:val="0"/>
        <w:adjustRightInd w:val="0"/>
        <w:spacing w:after="240"/>
        <w:rPr>
          <w:rFonts w:ascii="Acumin Pro Light" w:hAnsi="Acumin Pro Light" w:cs="Times"/>
          <w:color w:val="000000"/>
          <w:u w:color="0000E9"/>
        </w:rPr>
      </w:pPr>
      <w:r>
        <w:rPr>
          <w:rFonts w:ascii="Acumin Pro Light" w:hAnsi="Acumin Pro Light" w:cs="Times"/>
          <w:color w:val="000000"/>
          <w:u w:color="0000E9"/>
        </w:rPr>
        <w:t xml:space="preserve">While much has been done analyzing patent data, publications and citations as proxies for particular scientific outcomes or to develop regional comparisons, much less work has been done to analyze publicly available grants data  </w:t>
      </w:r>
      <w:r>
        <w:rPr>
          <w:rFonts w:ascii="Acumin Pro Light" w:hAnsi="Acumin Pro Light" w:cs="Times"/>
          <w:color w:val="000000"/>
          <w:u w:color="0000E9"/>
        </w:rPr>
        <w:fldChar w:fldCharType="begin"/>
      </w:r>
      <w:r>
        <w:rPr>
          <w:rFonts w:ascii="Acumin Pro Light" w:hAnsi="Acumin Pro Light" w:cs="Times"/>
          <w:color w:val="000000"/>
          <w:u w:color="0000E9"/>
        </w:rPr>
        <w:instrText xml:space="preserve"> ADDIN ZOTERO_ITEM CSL_CITATION {"citationID":"Sd0uFMoy","properties":{"formattedCitation":"(Kardes et al., 2014; Talley et al., 2011; Zhang et al., 2016)","plainCitation":"(Kardes et al., 2014; Talley et al., 2011; Zhang et al., 2016)","noteIndex":0},"citationItems":[{"id":24272,"uris":["http://zotero.org/users/4632586/items/C4W2IBP8"],"uri":["http://zotero.org/users/4632586/items/C4W2IBP8"],"itemData":{"id":24272,"type":"chapter","abstract":"Funding from the government agencies has been the driving force for the research and educational institutions particularly in the United States. The government funds billions of dollars every year to lead research initiatives that will shape the future. In this chapter, we analyze the funds distributed by the United States National Science Foundation (NSF), a major source of academic research funding, to understand the collaboration patterns among researchers and institutions. Using complex network analysis, we interpret the collaboration patterns at researcher, institution, and state levels by constructing the corresponding networks based on the number of grants collaborated at different time frames. Additionally, we analyze these networks for small, medium, and large projects in order to observe collaboration at different funding levels. We further analyze the directorates to identify the differences in collaboration trends between disciplines. Sample networks can be found at http://www.cse.unr.edu/~mgunes/ NSFCollaborationNetworks/.","collection-title":"Lecture Notes in Social Networks","container-title":"State of the Art Applications of Social Network Analysis","event-place":"Cham","ISBN":"978-3-319-05912-9","language":"en","note":"DOI: 10.1007/978-3-319-05912-9_8","page":"163-187","publisher":"Springer International Publishing","publisher-place":"Cham","source":"Springer Link","title":"Complex Network Analysis of Research Funding: A Case Study of NSF Grants","title-short":"Complex Network Analysis of Research Funding","URL":"https://doi.org/10.1007/978-3-319-05912-9_8","author":[{"family":"Kardes","given":"Hakan"},{"family":"Sevincer","given":"Abdullah"},{"family":"Gunes","given":"Mehmet Hadi"},{"family":"Yuksel","given":"Murat"}],"editor":[{"family":"Can","given":"Fazli"},{"family":"Özyer","given":"Tansel"},{"family":"Polat","given":"Faruk"}],"accessed":{"date-parts":[["2020",11,18]]},"issued":{"date-parts":[["2014"]]}}},{"id":4523,"uris":["http://zotero.org/users/4632586/items/NHPA6BDM"],"uri":["http://zotero.org/users/4632586/items/NHPA6BDM"],"itemData":{"id":4523,"type":"article-journal","container-title":"Nature Methods","DOI":"10.1038/nmeth.1619","ISSN":"1548-7105","issue":"6","journalAbbreviation":"Nat Methods","language":"en","page":"443-444","source":"www.nature.com","title":"Database of NIH grants using machine-learned categories and graphical clustering","volume":"8","author":[{"family":"Talley","given":"Edmund M."},{"family":"Newman","given":"David"},{"family":"Mimno","given":"David"},{"family":"Herr","given":"Bruce W."},{"family":"Wallach","given":"Hanna M."},{"family":"Burns","given":"Gully A. P. C."},{"family":"Leenders","given":"A. G. Miriam"},{"family":"McCallum","given":"Andrew"}],"issued":{"date-parts":[["2011",6]]}}},{"id":24269,"uris":["http://zotero.org/users/4632586/items/533CG7XT"],"uri":["http://zotero.org/users/4632586/items/533CG7XT"],"itemData":{"id":24269,"type":"article-journal","abstract":"The number and extent of current Science, Technology &amp; Innovation topics are changing all the time, and their induced accumulative innovation, or even disruptive revolution, will heavily inﬂuence the whole of society in the near future. By addressing and predicting these changes, this paper proposes an analytic method to (1) cluster associated terms and phrases to constitute meaningful technological topics and their interactions, and (2) identify changing topical emphases. Our results are carried forward to present mechanisms that forecast prospective developments using Technology Roadmapping, combining qualitative and quantitative methodologies. An empirical case study of Awards data from the United States National Science Foundation, Division of Computer and Communication Foundation, is performed to demonstrate the proposed method. The resulting knowledge may hold interest for R&amp;D management and science policy in practice.","container-title":"Technological Forecasting and Social Change","DOI":"10.1016/j.techfore.2016.01.015","ISSN":"00401625","journalAbbreviation":"Technological Forecasting and Social Change","language":"en","page":"179-191","source":"DOI.org (Crossref)","title":"Topic analysis and forecasting for science, technology and innovation: Methodology with a case study focusing on big data research","title-short":"Topic analysis and forecasting for science, technology and innovation","volume":"105","author":[{"family":"Zhang","given":"Yi"},{"family":"Zhang","given":"Guangquan"},{"family":"Chen","given":"Hongshu"},{"family":"Porter","given":"Alan L."},{"family":"Zhu","given":"Donghua"},{"family":"Lu","given":"Jie"}],"issued":{"date-parts":[["2016",4]]}}}],"schema":"https://github.com/citation-style-language/schema/raw/master/csl-citation.json"} </w:instrText>
      </w:r>
      <w:r>
        <w:rPr>
          <w:rFonts w:ascii="Acumin Pro Light" w:hAnsi="Acumin Pro Light" w:cs="Times"/>
          <w:color w:val="000000"/>
          <w:u w:color="0000E9"/>
        </w:rPr>
        <w:fldChar w:fldCharType="separate"/>
      </w:r>
      <w:r>
        <w:rPr>
          <w:rFonts w:ascii="Acumin Pro Light" w:hAnsi="Acumin Pro Light" w:cs="Times"/>
          <w:noProof/>
          <w:color w:val="000000"/>
          <w:u w:color="0000E9"/>
        </w:rPr>
        <w:t>(Kardes et al., 2014; Talley et al., 2011; Zhang et al., 2016)</w:t>
      </w:r>
      <w:r>
        <w:rPr>
          <w:rFonts w:ascii="Acumin Pro Light" w:hAnsi="Acumin Pro Light" w:cs="Times"/>
          <w:color w:val="000000"/>
          <w:u w:color="0000E9"/>
        </w:rPr>
        <w:fldChar w:fldCharType="end"/>
      </w:r>
      <w:r>
        <w:rPr>
          <w:rFonts w:ascii="Acumin Pro Light" w:hAnsi="Acumin Pro Light" w:cs="Times"/>
          <w:color w:val="000000"/>
          <w:u w:color="0000E9"/>
        </w:rPr>
        <w:t xml:space="preserve"> and to assess relationships between geographical specialization and funding flows </w:t>
      </w:r>
      <w:r>
        <w:rPr>
          <w:rFonts w:ascii="Acumin Pro Light" w:hAnsi="Acumin Pro Light" w:cs="Times"/>
          <w:color w:val="000000"/>
          <w:u w:color="0000E9"/>
        </w:rPr>
        <w:fldChar w:fldCharType="begin"/>
      </w:r>
      <w:r>
        <w:rPr>
          <w:rFonts w:ascii="Acumin Pro Light" w:hAnsi="Acumin Pro Light" w:cs="Times"/>
          <w:color w:val="000000"/>
          <w:u w:color="0000E9"/>
        </w:rPr>
        <w:instrText xml:space="preserve"> ADDIN ZOTERO_ITEM CSL_CITATION {"citationID":"QHEaCagb","properties":{"formattedCitation":"(Chausse V\\uc0\\u225{}zquez de Parga, 2018)","plainCitation":"(Chausse Vázquez de Parga, 2018)","noteIndex":0},"citationItems":[{"id":24264,"uris":["http://zotero.org/users/4632586/items/P7NNEE3A"],"uri":["http://zotero.org/users/4632586/items/P7NNEE3A"],"itemData":{"id":24264,"type":"thesis","abstract":"The main purpose of this work is to analyze research trends using conference information. Through the analysis of the data, the study aims to identify topic-specific cities, the trend of global concentration in research and obtain significant information about the connection between cities. To properly perform the goals, meaningful parameters have been calculated and afterward, a geographical visualization of the results has been performed. The study is divided into three parts. The aim of the first part is to identify the degree of specialization of every city in the different research trends defining a topic vector using LDA. In the second part of the study, a similarity analysis is performed, obtaining compelling information about the connection between cities, and hence provides significant results as similar cities often share common interests, needs or services. Afterwards, a network analysis is performed and centrality measures are calculated. The third part consists of a temporal distribution of topics. In that way, it is possible to see how a specific topic evolves in time, which is essential to predict the direction of global innovative activities. Finally, an empirical study with European data is performed to show the usefulness of the proposed approach.","language":"eng","publisher":"Escola Tècnica Superior d’Enginyeria Industrial de Barcelona","source":"upcommons.upc.edu","title":"A geographical analysis of research trends applying text mining to conference data","URL":"https://upcommons.upc.edu/handle/2117/169067","author":[{"family":"Chausse Vázquez de Parga","given":"Irene"}],"accessed":{"date-parts":[["2020",11,18]]},"issued":{"date-parts":[["2018"]]}}}],"schema":"https://github.com/citation-style-language/schema/raw/master/csl-citation.json"} </w:instrText>
      </w:r>
      <w:r>
        <w:rPr>
          <w:rFonts w:ascii="Acumin Pro Light" w:hAnsi="Acumin Pro Light" w:cs="Times"/>
          <w:color w:val="000000"/>
          <w:u w:color="0000E9"/>
        </w:rPr>
        <w:fldChar w:fldCharType="separate"/>
      </w:r>
      <w:r w:rsidRPr="00FA3954">
        <w:rPr>
          <w:rFonts w:ascii="Acumin Pro Light" w:hAnsi="Acumin Pro Light"/>
          <w:color w:val="000000"/>
        </w:rPr>
        <w:t>(Chausse Vázquez de Parga, 2018)</w:t>
      </w:r>
      <w:r>
        <w:rPr>
          <w:rFonts w:ascii="Acumin Pro Light" w:hAnsi="Acumin Pro Light" w:cs="Times"/>
          <w:color w:val="000000"/>
          <w:u w:color="0000E9"/>
        </w:rPr>
        <w:fldChar w:fldCharType="end"/>
      </w:r>
      <w:r>
        <w:rPr>
          <w:rFonts w:ascii="Acumin Pro Light" w:hAnsi="Acumin Pro Light" w:cs="Times"/>
          <w:color w:val="000000"/>
          <w:u w:color="0000E9"/>
        </w:rPr>
        <w:t xml:space="preserve">.  This project adds to those handful of </w:t>
      </w:r>
      <w:r>
        <w:rPr>
          <w:rFonts w:ascii="Acumin Pro Light" w:hAnsi="Acumin Pro Light" w:cs="Times"/>
          <w:color w:val="000000"/>
          <w:u w:color="0000E9"/>
        </w:rPr>
        <w:lastRenderedPageBreak/>
        <w:t xml:space="preserve">efforts that </w:t>
      </w:r>
      <w:r w:rsidRPr="0013776F">
        <w:rPr>
          <w:rFonts w:ascii="Acumin Pro Light" w:hAnsi="Acumin Pro Light" w:cs="Times"/>
          <w:i/>
          <w:iCs/>
          <w:color w:val="000000"/>
          <w:u w:val="single" w:color="0000E9"/>
        </w:rPr>
        <w:t>explicitly analyze funding data</w:t>
      </w:r>
      <w:r w:rsidR="0013776F">
        <w:rPr>
          <w:rFonts w:ascii="Acumin Pro Light" w:hAnsi="Acumin Pro Light" w:cs="Times"/>
          <w:color w:val="000000"/>
          <w:u w:color="0000E9"/>
        </w:rPr>
        <w:t xml:space="preserve">.  Since the taxonomic descriptors available for the </w:t>
      </w:r>
      <w:r w:rsidR="00353737">
        <w:rPr>
          <w:rFonts w:ascii="Acumin Pro Light" w:hAnsi="Acumin Pro Light" w:cs="Times"/>
          <w:color w:val="000000"/>
          <w:u w:color="0000E9"/>
        </w:rPr>
        <w:t xml:space="preserve">grants on SBIR.gov is less robust than patents data, I will use existing linked-data vocabularies and ontologies (included in the data sources bibliography) to do targeted text mining and will evaluate the effectiveness of this methodology in the whitepaper.  </w:t>
      </w:r>
      <w:r>
        <w:rPr>
          <w:rFonts w:ascii="Acumin Pro Light" w:hAnsi="Acumin Pro Light" w:cs="Times"/>
          <w:color w:val="000000"/>
          <w:u w:color="0000E9"/>
        </w:rPr>
        <w:t xml:space="preserve">This work also takes inspiration from scholars in economic geography and spatial analysis by visualizing the data geographically </w:t>
      </w:r>
      <w:r w:rsidR="000C4D2A">
        <w:rPr>
          <w:rFonts w:ascii="Acumin Pro Light" w:hAnsi="Acumin Pro Light" w:cs="Times"/>
          <w:color w:val="000000"/>
          <w:u w:color="0000E9"/>
        </w:rPr>
        <w:t xml:space="preserve">to enable exploration by proxy of </w:t>
      </w:r>
      <w:r w:rsidR="009A757A">
        <w:rPr>
          <w:rFonts w:ascii="Acumin Pro Light" w:hAnsi="Acumin Pro Light" w:cs="Times"/>
          <w:color w:val="000000"/>
          <w:u w:color="0000E9"/>
        </w:rPr>
        <w:t xml:space="preserve">some </w:t>
      </w:r>
      <w:r w:rsidR="000C4D2A">
        <w:rPr>
          <w:rFonts w:ascii="Acumin Pro Light" w:hAnsi="Acumin Pro Light" w:cs="Times"/>
          <w:color w:val="000000"/>
          <w:u w:color="0000E9"/>
        </w:rPr>
        <w:t>relevant economic</w:t>
      </w:r>
      <w:r>
        <w:rPr>
          <w:rFonts w:ascii="Acumin Pro Light" w:hAnsi="Acumin Pro Light" w:cs="Times"/>
          <w:color w:val="000000"/>
          <w:u w:color="0000E9"/>
        </w:rPr>
        <w:t xml:space="preserve"> indicators.</w:t>
      </w:r>
    </w:p>
    <w:p w14:paraId="4AB1A4DB" w14:textId="5C2A62E5" w:rsidR="0024301F" w:rsidRDefault="0024301F" w:rsidP="00E10C75">
      <w:pPr>
        <w:autoSpaceDE w:val="0"/>
        <w:autoSpaceDN w:val="0"/>
        <w:adjustRightInd w:val="0"/>
        <w:spacing w:after="240"/>
        <w:rPr>
          <w:rFonts w:ascii="Acumin Pro Light" w:hAnsi="Acumin Pro Light" w:cs="Times"/>
          <w:b/>
          <w:bCs/>
          <w:color w:val="000000"/>
          <w:u w:color="0000E9"/>
        </w:rPr>
      </w:pPr>
      <w:r>
        <w:rPr>
          <w:rFonts w:ascii="Acumin Pro Light" w:hAnsi="Acumin Pro Light" w:cs="Times"/>
          <w:b/>
          <w:bCs/>
          <w:color w:val="000000"/>
          <w:u w:color="0000E9"/>
        </w:rPr>
        <w:t>Resources and tools</w:t>
      </w:r>
    </w:p>
    <w:p w14:paraId="6120C1BB" w14:textId="45559011" w:rsidR="0024301F" w:rsidRDefault="0024301F" w:rsidP="00E10C75">
      <w:pPr>
        <w:autoSpaceDE w:val="0"/>
        <w:autoSpaceDN w:val="0"/>
        <w:adjustRightInd w:val="0"/>
        <w:spacing w:after="240"/>
        <w:rPr>
          <w:rFonts w:ascii="Acumin Pro Light" w:hAnsi="Acumin Pro Light" w:cs="Times"/>
          <w:color w:val="000000"/>
          <w:u w:color="0000E9"/>
        </w:rPr>
      </w:pPr>
      <w:r>
        <w:rPr>
          <w:rFonts w:ascii="Acumin Pro Light" w:hAnsi="Acumin Pro Light" w:cs="Times"/>
          <w:color w:val="000000"/>
          <w:u w:color="0000E9"/>
        </w:rPr>
        <w:t xml:space="preserve">I have completed parts of this work during my coursework.  I began text mining grants data using the National Science Foundation’s open grants data in Fall of 2019 in a data mining course.  In the following semester, I developed interactive visualizations in D3 that showcased differences in keyword trends across that dataset.  Most recently, I used Shiny and R to complete a geospatial analysis and exploratory visualization that can identify labor sector clusters by congressional district and additionally puts grants on a map of the United States.  I have developed this project meanwhile through conversation with peers at public and private foundations </w:t>
      </w:r>
      <w:r w:rsidR="00D67472">
        <w:rPr>
          <w:rFonts w:ascii="Acumin Pro Light" w:hAnsi="Acumin Pro Light" w:cs="Times"/>
          <w:color w:val="000000"/>
          <w:u w:color="0000E9"/>
        </w:rPr>
        <w:t>in data scientist, data analyst, and program officer roles</w:t>
      </w:r>
      <w:r w:rsidR="006C1B3D">
        <w:rPr>
          <w:rFonts w:ascii="Acumin Pro Light" w:hAnsi="Acumin Pro Light" w:cs="Times"/>
          <w:color w:val="000000"/>
          <w:u w:color="0000E9"/>
        </w:rPr>
        <w:t xml:space="preserve">, as well as through observations made while attending conferences such as the Network Science 2020 Conference and Empirical Methods in Natural Language Processing 2020 Conference.  Last, I will modify an existing text-mining pipeline available on </w:t>
      </w:r>
      <w:proofErr w:type="spellStart"/>
      <w:r w:rsidR="006C1B3D">
        <w:rPr>
          <w:rFonts w:ascii="Acumin Pro Light" w:hAnsi="Acumin Pro Light" w:cs="Times"/>
          <w:color w:val="000000"/>
          <w:u w:color="0000E9"/>
        </w:rPr>
        <w:t>Github</w:t>
      </w:r>
      <w:proofErr w:type="spellEnd"/>
      <w:r w:rsidR="006C1B3D">
        <w:rPr>
          <w:rFonts w:ascii="Acumin Pro Light" w:hAnsi="Acumin Pro Light" w:cs="Times"/>
          <w:color w:val="000000"/>
          <w:u w:color="0000E9"/>
        </w:rPr>
        <w:t xml:space="preserve"> and developed by the NIH Office of Portfolio Analysis for doing text analytics on grant and publication data. To host the final project, my tentative plan is to use </w:t>
      </w:r>
      <w:proofErr w:type="spellStart"/>
      <w:r w:rsidR="006C1B3D">
        <w:rPr>
          <w:rFonts w:ascii="Acumin Pro Light" w:hAnsi="Acumin Pro Light" w:cs="Times"/>
          <w:color w:val="000000"/>
          <w:u w:color="0000E9"/>
        </w:rPr>
        <w:t>Github</w:t>
      </w:r>
      <w:proofErr w:type="spellEnd"/>
      <w:r w:rsidR="006C1B3D">
        <w:rPr>
          <w:rFonts w:ascii="Acumin Pro Light" w:hAnsi="Acumin Pro Light" w:cs="Times"/>
          <w:color w:val="000000"/>
          <w:u w:color="0000E9"/>
        </w:rPr>
        <w:t xml:space="preserve"> pages.</w:t>
      </w:r>
    </w:p>
    <w:p w14:paraId="7E84A321" w14:textId="0A40E728" w:rsidR="006C1B3D" w:rsidRPr="006C1B3D" w:rsidRDefault="006C1B3D" w:rsidP="00E10C75">
      <w:pPr>
        <w:autoSpaceDE w:val="0"/>
        <w:autoSpaceDN w:val="0"/>
        <w:adjustRightInd w:val="0"/>
        <w:spacing w:after="240"/>
        <w:rPr>
          <w:rFonts w:ascii="Acumin Pro Light" w:hAnsi="Acumin Pro Light" w:cs="Times"/>
          <w:b/>
          <w:bCs/>
          <w:color w:val="000000"/>
          <w:u w:color="0000E9"/>
        </w:rPr>
      </w:pPr>
      <w:r>
        <w:rPr>
          <w:rFonts w:ascii="Acumin Pro Light" w:hAnsi="Acumin Pro Light" w:cs="Times"/>
          <w:b/>
          <w:bCs/>
          <w:color w:val="000000"/>
          <w:u w:color="0000E9"/>
        </w:rPr>
        <w:t>Data Ethics and Management Plan</w:t>
      </w:r>
    </w:p>
    <w:p w14:paraId="7A142DB7" w14:textId="09844FA6" w:rsidR="006C1B3D" w:rsidRDefault="006C1B3D" w:rsidP="00E10C75">
      <w:pPr>
        <w:autoSpaceDE w:val="0"/>
        <w:autoSpaceDN w:val="0"/>
        <w:adjustRightInd w:val="0"/>
        <w:spacing w:after="240"/>
        <w:rPr>
          <w:rFonts w:ascii="Acumin Pro Light" w:hAnsi="Acumin Pro Light" w:cs="Times"/>
          <w:color w:val="000000"/>
          <w:u w:color="0000E9"/>
        </w:rPr>
      </w:pPr>
      <w:r>
        <w:rPr>
          <w:rFonts w:ascii="Acumin Pro Light" w:hAnsi="Acumin Pro Light" w:cs="Times"/>
          <w:color w:val="000000"/>
          <w:u w:color="0000E9"/>
        </w:rPr>
        <w:t xml:space="preserve">Data gathered from the American Community Survey contains no personal </w:t>
      </w:r>
      <w:proofErr w:type="gramStart"/>
      <w:r>
        <w:rPr>
          <w:rFonts w:ascii="Acumin Pro Light" w:hAnsi="Acumin Pro Light" w:cs="Times"/>
          <w:color w:val="000000"/>
          <w:u w:color="0000E9"/>
        </w:rPr>
        <w:t>identifiers</w:t>
      </w:r>
      <w:r w:rsidR="004E08E1">
        <w:rPr>
          <w:rFonts w:ascii="Acumin Pro Light" w:hAnsi="Acumin Pro Light" w:cs="Times"/>
          <w:color w:val="000000"/>
          <w:u w:color="0000E9"/>
        </w:rPr>
        <w:t>, and</w:t>
      </w:r>
      <w:proofErr w:type="gramEnd"/>
      <w:r w:rsidR="004E08E1">
        <w:rPr>
          <w:rFonts w:ascii="Acumin Pro Light" w:hAnsi="Acumin Pro Light" w:cs="Times"/>
          <w:color w:val="000000"/>
          <w:u w:color="0000E9"/>
        </w:rPr>
        <w:t xml:space="preserve"> will be used with proper attributions. Linked-data resources, vocabularies and taxonomic resources collected do not contain any personal </w:t>
      </w:r>
      <w:proofErr w:type="gramStart"/>
      <w:r w:rsidR="004E08E1">
        <w:rPr>
          <w:rFonts w:ascii="Acumin Pro Light" w:hAnsi="Acumin Pro Light" w:cs="Times"/>
          <w:color w:val="000000"/>
          <w:u w:color="0000E9"/>
        </w:rPr>
        <w:t>identifiers, and</w:t>
      </w:r>
      <w:proofErr w:type="gramEnd"/>
      <w:r w:rsidR="004E08E1">
        <w:rPr>
          <w:rFonts w:ascii="Acumin Pro Light" w:hAnsi="Acumin Pro Light" w:cs="Times"/>
          <w:color w:val="000000"/>
          <w:u w:color="0000E9"/>
        </w:rPr>
        <w:t xml:space="preserve"> will be used with proper attributions. </w:t>
      </w:r>
      <w:r>
        <w:rPr>
          <w:rFonts w:ascii="Acumin Pro Light" w:hAnsi="Acumin Pro Light" w:cs="Times"/>
          <w:color w:val="000000"/>
          <w:u w:color="0000E9"/>
        </w:rPr>
        <w:t>Data collected from SBIR.gov does contain personal identifiers corresponding to the Principal Investigators associated with a given grant record.  As this information is not necessary to the work, to minimize exposure of personal information I will remove this data from my dataset as early as possible before continuing the processing, analysis and visualization steps.</w:t>
      </w:r>
    </w:p>
    <w:p w14:paraId="48A156E8" w14:textId="3ACEC00E" w:rsidR="006C1B3D" w:rsidRDefault="006C1B3D" w:rsidP="00E10C75">
      <w:pPr>
        <w:autoSpaceDE w:val="0"/>
        <w:autoSpaceDN w:val="0"/>
        <w:adjustRightInd w:val="0"/>
        <w:spacing w:after="240"/>
        <w:rPr>
          <w:rFonts w:ascii="Acumin Pro Light" w:hAnsi="Acumin Pro Light" w:cs="Times"/>
          <w:color w:val="000000"/>
          <w:u w:color="0000E9"/>
        </w:rPr>
      </w:pPr>
      <w:r>
        <w:rPr>
          <w:rFonts w:ascii="Acumin Pro Light" w:hAnsi="Acumin Pro Light" w:cs="Times"/>
          <w:color w:val="000000"/>
          <w:u w:color="0000E9"/>
        </w:rPr>
        <w:t xml:space="preserve">Regarding data management, I plan to keep a </w:t>
      </w:r>
      <w:proofErr w:type="spellStart"/>
      <w:r>
        <w:rPr>
          <w:rFonts w:ascii="Acumin Pro Light" w:hAnsi="Acumin Pro Light" w:cs="Times"/>
          <w:color w:val="000000"/>
          <w:u w:color="0000E9"/>
        </w:rPr>
        <w:t>Github</w:t>
      </w:r>
      <w:proofErr w:type="spellEnd"/>
      <w:r>
        <w:rPr>
          <w:rFonts w:ascii="Acumin Pro Light" w:hAnsi="Acumin Pro Light" w:cs="Times"/>
          <w:color w:val="000000"/>
          <w:u w:color="0000E9"/>
        </w:rPr>
        <w:t xml:space="preserve"> repository for the project where I will document ideations, design sketches, all processing scripts, data and visualization scripts.  Additionally, </w:t>
      </w:r>
      <w:r w:rsidR="004E08E1">
        <w:rPr>
          <w:rFonts w:ascii="Acumin Pro Light" w:hAnsi="Acumin Pro Light" w:cs="Times"/>
          <w:color w:val="000000"/>
          <w:u w:color="0000E9"/>
        </w:rPr>
        <w:t xml:space="preserve">as I </w:t>
      </w:r>
      <w:proofErr w:type="gramStart"/>
      <w:r w:rsidR="004E08E1">
        <w:rPr>
          <w:rFonts w:ascii="Acumin Pro Light" w:hAnsi="Acumin Pro Light" w:cs="Times"/>
          <w:color w:val="000000"/>
          <w:u w:color="0000E9"/>
        </w:rPr>
        <w:t>work</w:t>
      </w:r>
      <w:proofErr w:type="gramEnd"/>
      <w:r w:rsidR="004E08E1">
        <w:rPr>
          <w:rFonts w:ascii="Acumin Pro Light" w:hAnsi="Acumin Pro Light" w:cs="Times"/>
          <w:color w:val="000000"/>
          <w:u w:color="0000E9"/>
        </w:rPr>
        <w:t xml:space="preserve"> </w:t>
      </w:r>
      <w:r>
        <w:rPr>
          <w:rFonts w:ascii="Acumin Pro Light" w:hAnsi="Acumin Pro Light" w:cs="Times"/>
          <w:color w:val="000000"/>
          <w:u w:color="0000E9"/>
        </w:rPr>
        <w:t xml:space="preserve">I will </w:t>
      </w:r>
      <w:r w:rsidR="004E08E1">
        <w:rPr>
          <w:rFonts w:ascii="Acumin Pro Light" w:hAnsi="Acumin Pro Light" w:cs="Times"/>
          <w:color w:val="000000"/>
          <w:u w:color="0000E9"/>
        </w:rPr>
        <w:t>develop</w:t>
      </w:r>
      <w:r>
        <w:rPr>
          <w:rFonts w:ascii="Acumin Pro Light" w:hAnsi="Acumin Pro Light" w:cs="Times"/>
          <w:color w:val="000000"/>
          <w:u w:color="0000E9"/>
        </w:rPr>
        <w:t xml:space="preserve"> documentation through markdown files</w:t>
      </w:r>
      <w:r w:rsidR="004E08E1">
        <w:rPr>
          <w:rFonts w:ascii="Acumin Pro Light" w:hAnsi="Acumin Pro Light" w:cs="Times"/>
          <w:color w:val="000000"/>
          <w:u w:color="0000E9"/>
        </w:rPr>
        <w:t xml:space="preserve"> that reflect the evaluations driving my processing and data manipulation choices.</w:t>
      </w:r>
    </w:p>
    <w:p w14:paraId="28AABEC4" w14:textId="4F31E436" w:rsidR="004E08E1" w:rsidRDefault="004E08E1" w:rsidP="00E10C75">
      <w:pPr>
        <w:autoSpaceDE w:val="0"/>
        <w:autoSpaceDN w:val="0"/>
        <w:adjustRightInd w:val="0"/>
        <w:spacing w:after="240"/>
        <w:rPr>
          <w:rFonts w:ascii="Acumin Pro Light" w:hAnsi="Acumin Pro Light" w:cs="Times"/>
          <w:b/>
          <w:bCs/>
          <w:color w:val="000000"/>
          <w:u w:color="0000E9"/>
        </w:rPr>
      </w:pPr>
      <w:r>
        <w:rPr>
          <w:rFonts w:ascii="Acumin Pro Light" w:hAnsi="Acumin Pro Light" w:cs="Times"/>
          <w:b/>
          <w:bCs/>
          <w:color w:val="000000"/>
          <w:u w:color="0000E9"/>
        </w:rPr>
        <w:t>Archiving and Digital Deposit Considerations</w:t>
      </w:r>
    </w:p>
    <w:p w14:paraId="480CC1DC" w14:textId="3A8D75C6" w:rsidR="004E08E1" w:rsidRPr="004E08E1" w:rsidRDefault="004E08E1" w:rsidP="00E10C75">
      <w:pPr>
        <w:autoSpaceDE w:val="0"/>
        <w:autoSpaceDN w:val="0"/>
        <w:adjustRightInd w:val="0"/>
        <w:spacing w:after="240"/>
        <w:rPr>
          <w:rFonts w:ascii="Acumin Pro Light" w:hAnsi="Acumin Pro Light" w:cs="Times"/>
          <w:color w:val="000000"/>
          <w:u w:color="0000E9"/>
        </w:rPr>
      </w:pPr>
      <w:r>
        <w:rPr>
          <w:rFonts w:ascii="Acumin Pro Light" w:hAnsi="Acumin Pro Light" w:cs="Times"/>
          <w:color w:val="000000"/>
          <w:u w:color="0000E9"/>
        </w:rPr>
        <w:t xml:space="preserve">Based on a conversation with Stephen Klein… </w:t>
      </w:r>
      <w:r w:rsidR="006F35A9">
        <w:rPr>
          <w:rFonts w:ascii="Acumin Pro Light" w:hAnsi="Acumin Pro Light" w:cs="Times"/>
          <w:color w:val="000000"/>
          <w:u w:color="0000E9"/>
        </w:rPr>
        <w:t>HAPPENING MONDAY FEB 1</w:t>
      </w:r>
    </w:p>
    <w:p w14:paraId="669839A7" w14:textId="77777777" w:rsidR="006D6A4D" w:rsidRDefault="006D6A4D" w:rsidP="00E10C75">
      <w:pPr>
        <w:autoSpaceDE w:val="0"/>
        <w:autoSpaceDN w:val="0"/>
        <w:adjustRightInd w:val="0"/>
        <w:spacing w:after="240"/>
        <w:rPr>
          <w:rFonts w:ascii="Acumin Pro Light" w:hAnsi="Acumin Pro Light" w:cs="Times"/>
          <w:color w:val="000000"/>
          <w:u w:color="0000E9"/>
        </w:rPr>
      </w:pPr>
    </w:p>
    <w:p w14:paraId="00C431B0" w14:textId="1A80B6DD" w:rsidR="006C1B3D" w:rsidRDefault="006C1B3D" w:rsidP="00E10C75">
      <w:pPr>
        <w:autoSpaceDE w:val="0"/>
        <w:autoSpaceDN w:val="0"/>
        <w:adjustRightInd w:val="0"/>
        <w:spacing w:after="240"/>
        <w:rPr>
          <w:rFonts w:ascii="Acumin Pro Light" w:hAnsi="Acumin Pro Light" w:cs="Times"/>
          <w:color w:val="000000"/>
          <w:u w:color="0000E9"/>
        </w:rPr>
      </w:pPr>
      <w:r>
        <w:rPr>
          <w:rFonts w:ascii="Acumin Pro Light" w:hAnsi="Acumin Pro Light" w:cs="Times"/>
          <w:b/>
          <w:bCs/>
          <w:color w:val="000000"/>
          <w:u w:color="0000E9"/>
        </w:rPr>
        <w:lastRenderedPageBreak/>
        <w:t>Workplan</w:t>
      </w:r>
    </w:p>
    <w:p w14:paraId="56F3FD3F" w14:textId="024A92B7" w:rsidR="006C1B3D" w:rsidRDefault="006C1B3D" w:rsidP="00E10C75">
      <w:pPr>
        <w:autoSpaceDE w:val="0"/>
        <w:autoSpaceDN w:val="0"/>
        <w:adjustRightInd w:val="0"/>
        <w:spacing w:after="240"/>
        <w:rPr>
          <w:rFonts w:ascii="Acumin Pro Light" w:hAnsi="Acumin Pro Light" w:cs="Times"/>
          <w:color w:val="000000"/>
          <w:u w:color="0000E9"/>
        </w:rPr>
      </w:pPr>
      <w:r>
        <w:rPr>
          <w:rFonts w:ascii="Acumin Pro Light" w:hAnsi="Acumin Pro Light" w:cs="Times"/>
          <w:color w:val="000000"/>
          <w:u w:color="0000E9"/>
        </w:rPr>
        <w:t>I am using Monday.com to chart my progress for the anticipated completion date of mid-April.  Shown here is the Gantt chart for the project – about 2/3 of phase 1 has already been completed, and the various visualization components are prepared in initial forms.</w:t>
      </w:r>
    </w:p>
    <w:p w14:paraId="01EB29CF" w14:textId="27B0836E" w:rsidR="006C1B3D" w:rsidRDefault="006C1B3D" w:rsidP="00E10C75">
      <w:pPr>
        <w:autoSpaceDE w:val="0"/>
        <w:autoSpaceDN w:val="0"/>
        <w:adjustRightInd w:val="0"/>
        <w:spacing w:after="240"/>
        <w:rPr>
          <w:rFonts w:ascii="Acumin Pro Light" w:hAnsi="Acumin Pro Light" w:cs="Times"/>
          <w:color w:val="000000"/>
          <w:u w:color="0000E9"/>
        </w:rPr>
      </w:pPr>
      <w:r w:rsidRPr="006C1B3D">
        <w:rPr>
          <w:rFonts w:ascii="Acumin Pro Light" w:hAnsi="Acumin Pro Light" w:cs="Times"/>
          <w:noProof/>
          <w:color w:val="000000"/>
          <w:u w:color="0000E9"/>
        </w:rPr>
        <w:drawing>
          <wp:inline distT="0" distB="0" distL="0" distR="0" wp14:anchorId="197230EA" wp14:editId="3DF087BE">
            <wp:extent cx="6597015" cy="2500894"/>
            <wp:effectExtent l="0" t="0" r="0" b="127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rotWithShape="1">
                    <a:blip r:embed="rId8"/>
                    <a:srcRect r="855"/>
                    <a:stretch/>
                  </pic:blipFill>
                  <pic:spPr bwMode="auto">
                    <a:xfrm>
                      <a:off x="0" y="0"/>
                      <a:ext cx="6626325" cy="2512005"/>
                    </a:xfrm>
                    <a:prstGeom prst="rect">
                      <a:avLst/>
                    </a:prstGeom>
                    <a:ln>
                      <a:noFill/>
                    </a:ln>
                    <a:extLst>
                      <a:ext uri="{53640926-AAD7-44D8-BBD7-CCE9431645EC}">
                        <a14:shadowObscured xmlns:a14="http://schemas.microsoft.com/office/drawing/2010/main"/>
                      </a:ext>
                    </a:extLst>
                  </pic:spPr>
                </pic:pic>
              </a:graphicData>
            </a:graphic>
          </wp:inline>
        </w:drawing>
      </w:r>
    </w:p>
    <w:p w14:paraId="39AED858" w14:textId="3DB55385" w:rsidR="006C1B3D" w:rsidRPr="006C1B3D" w:rsidRDefault="006C1B3D" w:rsidP="00E10C75">
      <w:pPr>
        <w:autoSpaceDE w:val="0"/>
        <w:autoSpaceDN w:val="0"/>
        <w:adjustRightInd w:val="0"/>
        <w:spacing w:after="240"/>
        <w:rPr>
          <w:rFonts w:ascii="Acumin Pro Light" w:hAnsi="Acumin Pro Light" w:cs="Times"/>
          <w:color w:val="000000"/>
          <w:u w:color="0000E9"/>
        </w:rPr>
      </w:pPr>
      <w:r w:rsidRPr="006C1B3D">
        <w:rPr>
          <w:rFonts w:ascii="Acumin Pro Light" w:hAnsi="Acumin Pro Light" w:cs="Times"/>
          <w:noProof/>
          <w:color w:val="000000"/>
          <w:u w:color="0000E9"/>
        </w:rPr>
        <w:drawing>
          <wp:inline distT="0" distB="0" distL="0" distR="0" wp14:anchorId="7051FA78" wp14:editId="2EC4DAB9">
            <wp:extent cx="6674338" cy="2061486"/>
            <wp:effectExtent l="0" t="0" r="0" b="0"/>
            <wp:docPr id="2" name="Picture 2" descr="Graphical user interfac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ams&#10;&#10;Description automatically generated"/>
                    <pic:cNvPicPr/>
                  </pic:nvPicPr>
                  <pic:blipFill>
                    <a:blip r:embed="rId9"/>
                    <a:stretch>
                      <a:fillRect/>
                    </a:stretch>
                  </pic:blipFill>
                  <pic:spPr>
                    <a:xfrm>
                      <a:off x="0" y="0"/>
                      <a:ext cx="6715581" cy="2074225"/>
                    </a:xfrm>
                    <a:prstGeom prst="rect">
                      <a:avLst/>
                    </a:prstGeom>
                  </pic:spPr>
                </pic:pic>
              </a:graphicData>
            </a:graphic>
          </wp:inline>
        </w:drawing>
      </w:r>
    </w:p>
    <w:p w14:paraId="31A0B4B9" w14:textId="77777777" w:rsidR="006C1B3D" w:rsidRPr="006C1B3D" w:rsidRDefault="006C1B3D" w:rsidP="006C1B3D">
      <w:pPr>
        <w:pStyle w:val="BodyText"/>
        <w:ind w:left="720"/>
        <w:rPr>
          <w:b/>
          <w:bCs/>
          <w:w w:val="105"/>
        </w:rPr>
      </w:pPr>
    </w:p>
    <w:p w14:paraId="650BABE9" w14:textId="0F72E205" w:rsidR="006C1B3D" w:rsidRPr="006C1B3D" w:rsidRDefault="006C1B3D" w:rsidP="006C1B3D">
      <w:pPr>
        <w:pStyle w:val="BodyText"/>
        <w:rPr>
          <w:b/>
          <w:bCs/>
          <w:w w:val="105"/>
        </w:rPr>
      </w:pPr>
    </w:p>
    <w:p w14:paraId="1ED6B13C" w14:textId="77777777" w:rsidR="006C1B3D" w:rsidRDefault="006C1B3D" w:rsidP="006C1B3D">
      <w:pPr>
        <w:pStyle w:val="BodyText"/>
        <w:ind w:left="720"/>
        <w:rPr>
          <w:w w:val="105"/>
        </w:rPr>
      </w:pPr>
    </w:p>
    <w:p w14:paraId="27AFD688" w14:textId="1FC5EDF0" w:rsidR="000C4D2A" w:rsidRDefault="000C4D2A" w:rsidP="00E10C75">
      <w:pPr>
        <w:autoSpaceDE w:val="0"/>
        <w:autoSpaceDN w:val="0"/>
        <w:adjustRightInd w:val="0"/>
        <w:spacing w:after="240"/>
        <w:rPr>
          <w:rFonts w:ascii="Acumin Pro Light" w:hAnsi="Acumin Pro Light" w:cs="Times"/>
          <w:color w:val="000000"/>
          <w:u w:color="0000E9"/>
        </w:rPr>
      </w:pPr>
    </w:p>
    <w:p w14:paraId="0745C218" w14:textId="37B48022" w:rsidR="000C4D2A" w:rsidRDefault="000C4D2A" w:rsidP="00E10C75">
      <w:pPr>
        <w:autoSpaceDE w:val="0"/>
        <w:autoSpaceDN w:val="0"/>
        <w:adjustRightInd w:val="0"/>
        <w:spacing w:after="240"/>
        <w:rPr>
          <w:rFonts w:ascii="Acumin Pro Light" w:hAnsi="Acumin Pro Light" w:cs="Times"/>
          <w:color w:val="000000"/>
          <w:u w:color="0000E9"/>
        </w:rPr>
      </w:pPr>
    </w:p>
    <w:p w14:paraId="22A4775D" w14:textId="1A83EA8D" w:rsidR="00CF61BA" w:rsidRDefault="00CF61BA" w:rsidP="00E10C75">
      <w:pPr>
        <w:autoSpaceDE w:val="0"/>
        <w:autoSpaceDN w:val="0"/>
        <w:adjustRightInd w:val="0"/>
        <w:spacing w:after="240"/>
        <w:rPr>
          <w:rFonts w:ascii="Acumin Pro Light" w:hAnsi="Acumin Pro Light" w:cs="Times"/>
          <w:color w:val="000000"/>
          <w:u w:color="0000E9"/>
        </w:rPr>
      </w:pPr>
    </w:p>
    <w:p w14:paraId="51C9ECCD" w14:textId="275178BA" w:rsidR="00CF61BA" w:rsidRDefault="00CF61BA" w:rsidP="00E10C75">
      <w:pPr>
        <w:autoSpaceDE w:val="0"/>
        <w:autoSpaceDN w:val="0"/>
        <w:adjustRightInd w:val="0"/>
        <w:spacing w:after="240"/>
        <w:rPr>
          <w:rFonts w:ascii="Acumin Pro Light" w:hAnsi="Acumin Pro Light" w:cs="Times"/>
          <w:color w:val="000000"/>
          <w:u w:color="0000E9"/>
        </w:rPr>
      </w:pPr>
    </w:p>
    <w:p w14:paraId="7B912C51" w14:textId="77777777" w:rsidR="001D707D" w:rsidRDefault="001D707D" w:rsidP="00E10C75">
      <w:pPr>
        <w:autoSpaceDE w:val="0"/>
        <w:autoSpaceDN w:val="0"/>
        <w:adjustRightInd w:val="0"/>
        <w:spacing w:after="240"/>
        <w:rPr>
          <w:rFonts w:ascii="Acumin Pro Light" w:hAnsi="Acumin Pro Light" w:cs="Times"/>
          <w:color w:val="000000"/>
          <w:u w:color="0000E9"/>
        </w:rPr>
      </w:pPr>
    </w:p>
    <w:p w14:paraId="52814C29" w14:textId="4553B0EA" w:rsidR="00CF61BA" w:rsidRDefault="00CF61BA" w:rsidP="00E10C75">
      <w:pPr>
        <w:autoSpaceDE w:val="0"/>
        <w:autoSpaceDN w:val="0"/>
        <w:adjustRightInd w:val="0"/>
        <w:spacing w:after="240"/>
        <w:rPr>
          <w:rFonts w:ascii="Acumin Pro Light" w:hAnsi="Acumin Pro Light" w:cs="Times"/>
          <w:color w:val="000000"/>
          <w:u w:color="0000E9"/>
        </w:rPr>
      </w:pPr>
    </w:p>
    <w:p w14:paraId="1D64461F" w14:textId="77777777" w:rsidR="00CF61BA" w:rsidRPr="008E3607" w:rsidRDefault="00CF61BA" w:rsidP="00B34E28">
      <w:pPr>
        <w:autoSpaceDE w:val="0"/>
        <w:autoSpaceDN w:val="0"/>
        <w:adjustRightInd w:val="0"/>
        <w:rPr>
          <w:rFonts w:ascii="Acumin Pro Medium" w:hAnsi="Acumin Pro Medium" w:cs="Acumin Pro Medium"/>
          <w:b/>
          <w:bCs/>
          <w:color w:val="000000"/>
          <w:sz w:val="28"/>
          <w:szCs w:val="28"/>
        </w:rPr>
      </w:pPr>
      <w:r w:rsidRPr="008E3607">
        <w:rPr>
          <w:rFonts w:ascii="Acumin Pro Medium" w:hAnsi="Acumin Pro Medium" w:cs="Acumin Pro Medium"/>
          <w:b/>
          <w:bCs/>
          <w:color w:val="000000"/>
          <w:sz w:val="28"/>
          <w:szCs w:val="28"/>
        </w:rPr>
        <w:lastRenderedPageBreak/>
        <w:t>Datasets, Scripts, APIs</w:t>
      </w:r>
    </w:p>
    <w:p w14:paraId="2AE2DD4B" w14:textId="77777777" w:rsidR="00CF61BA" w:rsidRPr="003463B6" w:rsidRDefault="00CF61BA" w:rsidP="00B34E28">
      <w:pPr>
        <w:autoSpaceDE w:val="0"/>
        <w:autoSpaceDN w:val="0"/>
        <w:adjustRightInd w:val="0"/>
        <w:rPr>
          <w:rFonts w:ascii="Acumin Pro Medium" w:hAnsi="Acumin Pro Medium" w:cs="Acumin Pro Medium"/>
          <w:color w:val="000000"/>
          <w:sz w:val="28"/>
          <w:szCs w:val="28"/>
        </w:rPr>
      </w:pPr>
    </w:p>
    <w:p w14:paraId="6B5691D9" w14:textId="455FB303" w:rsidR="00B34E28" w:rsidRPr="00B34E28" w:rsidRDefault="00CF61BA" w:rsidP="00B34E28">
      <w:pPr>
        <w:pStyle w:val="Bibliography"/>
        <w:rPr>
          <w:rFonts w:ascii="Acumin Pro Light" w:hAnsi="Acumin Pro Light" w:cs="Acumin Pro Medium"/>
        </w:rPr>
      </w:pPr>
      <w:proofErr w:type="spellStart"/>
      <w:r w:rsidRPr="003463B6">
        <w:rPr>
          <w:rFonts w:ascii="Acumin Pro Light" w:hAnsi="Acumin Pro Light" w:cs="Acumin Pro Medium"/>
          <w:color w:val="000000"/>
          <w:u w:color="0000E9"/>
        </w:rPr>
        <w:t>Achakulvisut</w:t>
      </w:r>
      <w:proofErr w:type="spellEnd"/>
      <w:r w:rsidRPr="003463B6">
        <w:rPr>
          <w:rFonts w:ascii="Acumin Pro Light" w:hAnsi="Acumin Pro Light" w:cs="Acumin Pro Medium"/>
          <w:color w:val="000000"/>
          <w:u w:color="0000E9"/>
        </w:rPr>
        <w:t xml:space="preserve">, T., </w:t>
      </w:r>
      <w:proofErr w:type="spellStart"/>
      <w:r w:rsidRPr="003463B6">
        <w:rPr>
          <w:rFonts w:ascii="Acumin Pro Light" w:hAnsi="Acumin Pro Light" w:cs="Acumin Pro Medium"/>
          <w:color w:val="000000"/>
          <w:u w:color="0000E9"/>
        </w:rPr>
        <w:t>Ruangrong</w:t>
      </w:r>
      <w:proofErr w:type="spellEnd"/>
      <w:r w:rsidRPr="003463B6">
        <w:rPr>
          <w:rFonts w:ascii="Acumin Pro Light" w:hAnsi="Acumin Pro Light" w:cs="Acumin Pro Medium"/>
          <w:color w:val="000000"/>
          <w:u w:color="0000E9"/>
        </w:rPr>
        <w:t xml:space="preserve">, T., Acuna, D. (2018). Grant database: downloader, </w:t>
      </w:r>
      <w:r>
        <w:rPr>
          <w:rFonts w:ascii="Acumin Pro Light" w:hAnsi="Acumin Pro Light" w:cs="Acumin Pro Medium"/>
          <w:color w:val="000000"/>
          <w:u w:color="0000E9"/>
        </w:rPr>
        <w:tab/>
      </w:r>
      <w:r w:rsidRPr="003463B6">
        <w:rPr>
          <w:rFonts w:ascii="Acumin Pro Light" w:hAnsi="Acumin Pro Light" w:cs="Acumin Pro Medium"/>
          <w:color w:val="000000"/>
          <w:u w:color="0000E9"/>
        </w:rPr>
        <w:t xml:space="preserve">preprocessor, parser and </w:t>
      </w:r>
      <w:proofErr w:type="spellStart"/>
      <w:r w:rsidRPr="003463B6">
        <w:rPr>
          <w:rFonts w:ascii="Acumin Pro Light" w:hAnsi="Acumin Pro Light" w:cs="Acumin Pro Medium"/>
          <w:color w:val="000000"/>
          <w:u w:color="0000E9"/>
        </w:rPr>
        <w:t>deduper</w:t>
      </w:r>
      <w:proofErr w:type="spellEnd"/>
      <w:r w:rsidRPr="003463B6">
        <w:rPr>
          <w:rFonts w:ascii="Acumin Pro Light" w:hAnsi="Acumin Pro Light" w:cs="Acumin Pro Medium"/>
          <w:color w:val="000000"/>
          <w:u w:color="0000E9"/>
        </w:rPr>
        <w:t xml:space="preserve"> for NIH and NSF grants. GitHub Repository, </w:t>
      </w:r>
      <w:r w:rsidRPr="00B34E28">
        <w:rPr>
          <w:rFonts w:ascii="Acumin Pro Light" w:hAnsi="Acumin Pro Light" w:cs="Acumin Pro Medium"/>
          <w:u w:color="0000E9"/>
        </w:rPr>
        <w:tab/>
      </w:r>
      <w:hyperlink r:id="rId10" w:history="1">
        <w:r w:rsidR="00B34E28" w:rsidRPr="00204BC7">
          <w:rPr>
            <w:rStyle w:val="Hyperlink"/>
            <w:rFonts w:ascii="Acumin Pro Light" w:hAnsi="Acumin Pro Light" w:cs="Acumin Pro Medium"/>
          </w:rPr>
          <w:t>https://github.com/titipata/grant_database</w:t>
        </w:r>
      </w:hyperlink>
      <w:r w:rsidR="00B34E28">
        <w:rPr>
          <w:rFonts w:ascii="Acumin Pro Light" w:hAnsi="Acumin Pro Light" w:cs="Acumin Pro Medium"/>
        </w:rPr>
        <w:t xml:space="preserve">   </w:t>
      </w:r>
    </w:p>
    <w:p w14:paraId="07C14907" w14:textId="37115FA0" w:rsidR="00B34E28" w:rsidRPr="00B34E28" w:rsidRDefault="00B34E28" w:rsidP="00B34E28">
      <w:pPr>
        <w:pStyle w:val="Heading1"/>
        <w:shd w:val="clear" w:color="auto" w:fill="FFFFFF"/>
        <w:rPr>
          <w:rFonts w:ascii="Acumin Pro Light" w:hAnsi="Acumin Pro Light"/>
          <w:b w:val="0"/>
          <w:bCs w:val="0"/>
          <w:sz w:val="24"/>
          <w:szCs w:val="24"/>
          <w:shd w:val="clear" w:color="auto" w:fill="FFFFFF"/>
        </w:rPr>
      </w:pPr>
      <w:r w:rsidRPr="00B34E28">
        <w:rPr>
          <w:rFonts w:ascii="Acumin Pro Light" w:hAnsi="Acumin Pro Light"/>
          <w:b w:val="0"/>
          <w:bCs w:val="0"/>
          <w:sz w:val="24"/>
          <w:szCs w:val="24"/>
          <w:shd w:val="clear" w:color="auto" w:fill="FFFFFF"/>
        </w:rPr>
        <w:t xml:space="preserve">European Environment Agency (EEA). (2021). GEMET - </w:t>
      </w:r>
      <w:r w:rsidRPr="00B34E28">
        <w:rPr>
          <w:rFonts w:ascii="Acumin Pro Light" w:hAnsi="Acumin Pro Light"/>
          <w:b w:val="0"/>
          <w:bCs w:val="0"/>
          <w:i/>
          <w:iCs/>
          <w:sz w:val="24"/>
          <w:szCs w:val="24"/>
        </w:rPr>
        <w:t xml:space="preserve">General Multilingual Environmental </w:t>
      </w:r>
      <w:r>
        <w:rPr>
          <w:rFonts w:ascii="Acumin Pro Light" w:hAnsi="Acumin Pro Light"/>
          <w:b w:val="0"/>
          <w:bCs w:val="0"/>
          <w:i/>
          <w:iCs/>
          <w:sz w:val="24"/>
          <w:szCs w:val="24"/>
        </w:rPr>
        <w:tab/>
      </w:r>
      <w:r w:rsidRPr="00B34E28">
        <w:rPr>
          <w:rFonts w:ascii="Acumin Pro Light" w:hAnsi="Acumin Pro Light"/>
          <w:b w:val="0"/>
          <w:bCs w:val="0"/>
          <w:i/>
          <w:iCs/>
          <w:sz w:val="24"/>
          <w:szCs w:val="24"/>
        </w:rPr>
        <w:t xml:space="preserve">Thesaurus. </w:t>
      </w:r>
      <w:r w:rsidRPr="00B34E28">
        <w:rPr>
          <w:rFonts w:ascii="Acumin Pro Light" w:hAnsi="Acumin Pro Light"/>
          <w:b w:val="0"/>
          <w:bCs w:val="0"/>
          <w:sz w:val="24"/>
          <w:szCs w:val="24"/>
          <w:shd w:val="clear" w:color="auto" w:fill="FFFFFF"/>
        </w:rPr>
        <w:t xml:space="preserve">Downloaded January 28, 2021. Retrieved from: </w:t>
      </w:r>
      <w:r>
        <w:rPr>
          <w:rFonts w:ascii="Acumin Pro Light" w:hAnsi="Acumin Pro Light"/>
          <w:b w:val="0"/>
          <w:bCs w:val="0"/>
          <w:sz w:val="24"/>
          <w:szCs w:val="24"/>
          <w:shd w:val="clear" w:color="auto" w:fill="FFFFFF"/>
        </w:rPr>
        <w:tab/>
      </w:r>
      <w:hyperlink r:id="rId11" w:history="1">
        <w:r w:rsidRPr="00204BC7">
          <w:rPr>
            <w:rStyle w:val="Hyperlink"/>
            <w:rFonts w:ascii="Acumin Pro Light" w:hAnsi="Acumin Pro Light"/>
            <w:b w:val="0"/>
            <w:bCs w:val="0"/>
            <w:sz w:val="24"/>
            <w:szCs w:val="24"/>
            <w:shd w:val="clear" w:color="auto" w:fill="FFFFFF"/>
          </w:rPr>
          <w:t>https://www.eionet.europa.eu/gemet/en/about/</w:t>
        </w:r>
      </w:hyperlink>
      <w:r w:rsidRPr="00B34E28">
        <w:rPr>
          <w:rFonts w:ascii="Acumin Pro Light" w:hAnsi="Acumin Pro Light"/>
          <w:b w:val="0"/>
          <w:bCs w:val="0"/>
          <w:sz w:val="24"/>
          <w:szCs w:val="24"/>
          <w:shd w:val="clear" w:color="auto" w:fill="FFFFFF"/>
        </w:rPr>
        <w:t xml:space="preserve"> </w:t>
      </w:r>
    </w:p>
    <w:p w14:paraId="1D1B3A88" w14:textId="32C44541" w:rsidR="00B34E28" w:rsidRPr="00B34E28" w:rsidRDefault="00B34E28" w:rsidP="00B34E28">
      <w:pPr>
        <w:rPr>
          <w:rFonts w:ascii="Acumin Pro Light" w:hAnsi="Acumin Pro Light"/>
          <w:shd w:val="clear" w:color="auto" w:fill="FFFFFF"/>
        </w:rPr>
      </w:pPr>
      <w:r w:rsidRPr="00B34E28">
        <w:rPr>
          <w:rFonts w:ascii="Acumin Pro Light" w:hAnsi="Acumin Pro Light" w:cs="Arial"/>
          <w:shd w:val="clear" w:color="auto" w:fill="FFFFFF"/>
        </w:rPr>
        <w:t xml:space="preserve">European Institute for Gender Equality (EIGE). (2021). </w:t>
      </w:r>
      <w:r w:rsidRPr="00B34E28">
        <w:rPr>
          <w:rFonts w:ascii="Acumin Pro Light" w:hAnsi="Acumin Pro Light"/>
          <w:i/>
          <w:iCs/>
          <w:shd w:val="clear" w:color="auto" w:fill="FFFFFF"/>
        </w:rPr>
        <w:t xml:space="preserve">Gender Equality Glossary and </w:t>
      </w:r>
      <w:r>
        <w:rPr>
          <w:rFonts w:ascii="Acumin Pro Light" w:hAnsi="Acumin Pro Light"/>
          <w:i/>
          <w:iCs/>
          <w:shd w:val="clear" w:color="auto" w:fill="FFFFFF"/>
        </w:rPr>
        <w:tab/>
      </w:r>
      <w:r w:rsidRPr="00B34E28">
        <w:rPr>
          <w:rFonts w:ascii="Acumin Pro Light" w:hAnsi="Acumin Pro Light"/>
          <w:i/>
          <w:iCs/>
          <w:shd w:val="clear" w:color="auto" w:fill="FFFFFF"/>
        </w:rPr>
        <w:t>Thesaurus</w:t>
      </w:r>
      <w:r w:rsidRPr="00B34E28">
        <w:rPr>
          <w:rFonts w:ascii="Acumin Pro Light" w:hAnsi="Acumin Pro Light"/>
          <w:shd w:val="clear" w:color="auto" w:fill="FFFFFF"/>
        </w:rPr>
        <w:t xml:space="preserve">. Downloaded January 28, 202. Retrieved from: </w:t>
      </w:r>
      <w:r>
        <w:rPr>
          <w:rFonts w:ascii="Acumin Pro Light" w:hAnsi="Acumin Pro Light"/>
          <w:shd w:val="clear" w:color="auto" w:fill="FFFFFF"/>
        </w:rPr>
        <w:tab/>
      </w:r>
      <w:hyperlink r:id="rId12" w:history="1">
        <w:r w:rsidRPr="00204BC7">
          <w:rPr>
            <w:rStyle w:val="Hyperlink"/>
            <w:rFonts w:ascii="Acumin Pro Light" w:hAnsi="Acumin Pro Light"/>
            <w:shd w:val="clear" w:color="auto" w:fill="FFFFFF"/>
          </w:rPr>
          <w:t>https://eige.europa.eu/thesaurus/about</w:t>
        </w:r>
      </w:hyperlink>
      <w:r w:rsidRPr="00B34E28">
        <w:rPr>
          <w:rFonts w:ascii="Acumin Pro Light" w:hAnsi="Acumin Pro Light"/>
          <w:shd w:val="clear" w:color="auto" w:fill="FFFFFF"/>
        </w:rPr>
        <w:t xml:space="preserve"> </w:t>
      </w:r>
    </w:p>
    <w:p w14:paraId="2BA96EA5" w14:textId="77777777" w:rsidR="00B34E28" w:rsidRPr="00B34E28" w:rsidRDefault="00B34E28" w:rsidP="00B34E28"/>
    <w:p w14:paraId="5D48B381" w14:textId="2EA18D7B" w:rsidR="00B34E28" w:rsidRPr="00B34E28" w:rsidRDefault="00B34E28" w:rsidP="00B34E28">
      <w:pPr>
        <w:rPr>
          <w:rFonts w:ascii="Acumin Pro Light" w:hAnsi="Acumin Pro Light"/>
        </w:rPr>
      </w:pPr>
      <w:r w:rsidRPr="00CF61BA">
        <w:rPr>
          <w:rFonts w:ascii="Acumin Pro Light" w:hAnsi="Acumin Pro Light" w:cs="Arial"/>
          <w:shd w:val="clear" w:color="auto" w:fill="FFFFFF"/>
        </w:rPr>
        <w:t>Food and Agriculture Organization of the United Nations (FAO)</w:t>
      </w:r>
      <w:r w:rsidRPr="00B34E28">
        <w:rPr>
          <w:rFonts w:ascii="Acumin Pro Light" w:hAnsi="Acumin Pro Light"/>
        </w:rPr>
        <w:t xml:space="preserve">. </w:t>
      </w:r>
      <w:r w:rsidRPr="00B34E28">
        <w:rPr>
          <w:rFonts w:ascii="Acumin Pro Light" w:hAnsi="Acumin Pro Light" w:cs="Times"/>
          <w:u w:color="0000E9"/>
        </w:rPr>
        <w:t xml:space="preserve">(2021). </w:t>
      </w:r>
      <w:r w:rsidRPr="00B34E28">
        <w:rPr>
          <w:rFonts w:ascii="Acumin Pro Light" w:hAnsi="Acumin Pro Light" w:cs="Times"/>
          <w:i/>
          <w:iCs/>
          <w:u w:color="0000E9"/>
        </w:rPr>
        <w:t>AGROVOC</w:t>
      </w:r>
      <w:r w:rsidRPr="00B34E28">
        <w:rPr>
          <w:rFonts w:ascii="Acumin Pro Light" w:hAnsi="Acumin Pro Light" w:cs="Times"/>
          <w:u w:color="0000E9"/>
        </w:rPr>
        <w:t xml:space="preserve">. </w:t>
      </w:r>
      <w:r>
        <w:rPr>
          <w:rFonts w:ascii="Acumin Pro Light" w:hAnsi="Acumin Pro Light" w:cs="Times"/>
          <w:u w:color="0000E9"/>
        </w:rPr>
        <w:tab/>
      </w:r>
      <w:r w:rsidRPr="00B34E28">
        <w:rPr>
          <w:rFonts w:ascii="Acumin Pro Light" w:hAnsi="Acumin Pro Light" w:cs="Times"/>
          <w:u w:color="0000E9"/>
        </w:rPr>
        <w:t xml:space="preserve">Downloaded January 28, 2021. Retrieved from </w:t>
      </w:r>
      <w:hyperlink r:id="rId13" w:history="1">
        <w:r w:rsidRPr="00B34E28">
          <w:rPr>
            <w:rStyle w:val="Hyperlink"/>
            <w:rFonts w:ascii="Acumin Pro Light" w:hAnsi="Acumin Pro Light" w:cs="Times"/>
            <w:color w:val="auto"/>
          </w:rPr>
          <w:t>http://www.fao.org/agrovoc/access</w:t>
        </w:r>
      </w:hyperlink>
      <w:r>
        <w:rPr>
          <w:rFonts w:ascii="Acumin Pro Light" w:hAnsi="Acumin Pro Light" w:cs="Times"/>
          <w:u w:color="0000E9"/>
        </w:rPr>
        <w:t xml:space="preserve"> </w:t>
      </w:r>
    </w:p>
    <w:p w14:paraId="0F69A15C" w14:textId="77777777" w:rsidR="00CF61BA" w:rsidRPr="00B34E28" w:rsidRDefault="00CF61BA" w:rsidP="00B34E28">
      <w:pPr>
        <w:rPr>
          <w:rFonts w:ascii="Acumin Pro Light" w:hAnsi="Acumin Pro Light"/>
        </w:rPr>
      </w:pPr>
    </w:p>
    <w:p w14:paraId="62601253" w14:textId="77777777" w:rsidR="00CF61BA" w:rsidRPr="00B34E28" w:rsidRDefault="00CF61BA" w:rsidP="00B34E28">
      <w:pPr>
        <w:rPr>
          <w:rFonts w:ascii="Acumin Pro Light" w:hAnsi="Acumin Pro Light"/>
        </w:rPr>
      </w:pPr>
      <w:r w:rsidRPr="00B34E28">
        <w:rPr>
          <w:rFonts w:ascii="Acumin Pro Light" w:hAnsi="Acumin Pro Light"/>
        </w:rPr>
        <w:t>Hoppe, T.A., Baker, H. (2019). Natural Language Preprocessing (</w:t>
      </w:r>
      <w:proofErr w:type="spellStart"/>
      <w:r w:rsidRPr="00B34E28">
        <w:rPr>
          <w:rFonts w:ascii="Acumin Pro Light" w:hAnsi="Acumin Pro Light"/>
        </w:rPr>
        <w:t>NLPre</w:t>
      </w:r>
      <w:proofErr w:type="spellEnd"/>
      <w:r w:rsidRPr="00B34E28">
        <w:rPr>
          <w:rFonts w:ascii="Acumin Pro Light" w:hAnsi="Acumin Pro Light"/>
        </w:rPr>
        <w:t xml:space="preserve">), </w:t>
      </w:r>
    </w:p>
    <w:p w14:paraId="1AABD412" w14:textId="5B06A1E7" w:rsidR="00CF61BA" w:rsidRDefault="00CF61BA" w:rsidP="00B34E28">
      <w:pPr>
        <w:ind w:firstLine="720"/>
        <w:rPr>
          <w:rFonts w:ascii="Acumin Pro Light" w:hAnsi="Acumin Pro Light"/>
        </w:rPr>
      </w:pPr>
      <w:r w:rsidRPr="00B34E28">
        <w:rPr>
          <w:rFonts w:ascii="Acumin Pro Light" w:hAnsi="Acumin Pro Light"/>
        </w:rPr>
        <w:t xml:space="preserve">GitHub Repository, </w:t>
      </w:r>
      <w:hyperlink r:id="rId14" w:history="1">
        <w:r w:rsidR="00B34E28" w:rsidRPr="00204BC7">
          <w:rPr>
            <w:rStyle w:val="Hyperlink"/>
            <w:rFonts w:ascii="Acumin Pro Light" w:hAnsi="Acumin Pro Light"/>
          </w:rPr>
          <w:t>https://github.com/NIHOPA/NLPre</w:t>
        </w:r>
      </w:hyperlink>
    </w:p>
    <w:p w14:paraId="4CF368D1" w14:textId="77777777" w:rsidR="00CF61BA" w:rsidRPr="00B34E28" w:rsidRDefault="00CF61BA" w:rsidP="00B34E28">
      <w:pPr>
        <w:rPr>
          <w:rFonts w:ascii="Acumin Pro Light" w:hAnsi="Acumin Pro Light"/>
        </w:rPr>
      </w:pPr>
    </w:p>
    <w:p w14:paraId="1A6822E7" w14:textId="10222156" w:rsidR="00B34E28" w:rsidRPr="00B34E28" w:rsidRDefault="00CF61BA" w:rsidP="00B34E28">
      <w:pPr>
        <w:ind w:left="720" w:hanging="720"/>
        <w:rPr>
          <w:rStyle w:val="Hyperlink"/>
          <w:rFonts w:ascii="Acumin Pro Light" w:hAnsi="Acumin Pro Light"/>
          <w:color w:val="auto"/>
        </w:rPr>
      </w:pPr>
      <w:r w:rsidRPr="00B34E28">
        <w:rPr>
          <w:rFonts w:ascii="Acumin Pro Light" w:hAnsi="Acumin Pro Light"/>
        </w:rPr>
        <w:t xml:space="preserve">National Science Foundation. (2020). Awards Database.  Retrieved from </w:t>
      </w:r>
      <w:hyperlink r:id="rId15" w:history="1">
        <w:r w:rsidR="00B34E28" w:rsidRPr="00204BC7">
          <w:rPr>
            <w:rStyle w:val="Hyperlink"/>
            <w:rFonts w:ascii="Acumin Pro Light" w:hAnsi="Acumin Pro Light"/>
          </w:rPr>
          <w:t>https://www.nsf.gov/awardsearch/download.jsp</w:t>
        </w:r>
      </w:hyperlink>
      <w:r w:rsidR="00B34E28">
        <w:rPr>
          <w:rFonts w:ascii="Acumin Pro Light" w:hAnsi="Acumin Pro Light"/>
        </w:rPr>
        <w:t xml:space="preserve"> </w:t>
      </w:r>
    </w:p>
    <w:p w14:paraId="6B128132" w14:textId="3FF3584B" w:rsidR="00B34E28" w:rsidRPr="00B34E28" w:rsidRDefault="00B34E28" w:rsidP="00B34E28">
      <w:pPr>
        <w:ind w:left="720" w:hanging="720"/>
        <w:rPr>
          <w:rStyle w:val="Hyperlink"/>
          <w:rFonts w:ascii="Acumin Pro Light" w:hAnsi="Acumin Pro Light"/>
          <w:color w:val="auto"/>
        </w:rPr>
      </w:pPr>
    </w:p>
    <w:p w14:paraId="758F1C45" w14:textId="7648B6FA" w:rsidR="00B34E28" w:rsidRPr="00B34E28" w:rsidRDefault="00B34E28" w:rsidP="00B34E28">
      <w:pPr>
        <w:ind w:left="720" w:hanging="720"/>
        <w:rPr>
          <w:rFonts w:ascii="Acumin Pro Light" w:hAnsi="Acumin Pro Light"/>
          <w:u w:val="single"/>
        </w:rPr>
      </w:pPr>
      <w:r w:rsidRPr="00B34E28">
        <w:rPr>
          <w:rStyle w:val="Hyperlink"/>
          <w:rFonts w:ascii="Acumin Pro Light" w:hAnsi="Acumin Pro Light"/>
          <w:color w:val="auto"/>
          <w:u w:val="none"/>
        </w:rPr>
        <w:t>Small Business Innovation Research / Small Business Technology Transfer Programs (2021). Awards Database. Downloaded January 8, 2021. Retrieved from:</w:t>
      </w:r>
      <w:r w:rsidRPr="00B34E28">
        <w:rPr>
          <w:rStyle w:val="Hyperlink"/>
          <w:rFonts w:ascii="Acumin Pro Light" w:hAnsi="Acumin Pro Light"/>
          <w:color w:val="auto"/>
        </w:rPr>
        <w:t xml:space="preserve"> </w:t>
      </w:r>
      <w:hyperlink r:id="rId16" w:history="1">
        <w:r w:rsidRPr="00204BC7">
          <w:rPr>
            <w:rStyle w:val="Hyperlink"/>
            <w:rFonts w:ascii="Acumin Pro Light" w:hAnsi="Acumin Pro Light"/>
          </w:rPr>
          <w:t>https://www.sbir.gov/sbirsearch/award/all</w:t>
        </w:r>
      </w:hyperlink>
      <w:r>
        <w:rPr>
          <w:rStyle w:val="Hyperlink"/>
          <w:rFonts w:ascii="Acumin Pro Light" w:hAnsi="Acumin Pro Light"/>
          <w:color w:val="auto"/>
        </w:rPr>
        <w:t xml:space="preserve"> </w:t>
      </w:r>
    </w:p>
    <w:p w14:paraId="3ECD1FC4" w14:textId="77777777" w:rsidR="00CF61BA" w:rsidRPr="00B34E28" w:rsidRDefault="00CF61BA" w:rsidP="00B34E28">
      <w:pPr>
        <w:rPr>
          <w:rFonts w:ascii="Acumin Pro Light" w:hAnsi="Acumin Pro Light"/>
        </w:rPr>
      </w:pPr>
    </w:p>
    <w:p w14:paraId="01886E2A" w14:textId="77777777" w:rsidR="00B34E28" w:rsidRDefault="00CF61BA" w:rsidP="00B34E28">
      <w:pPr>
        <w:pStyle w:val="Bibliography"/>
        <w:rPr>
          <w:rFonts w:ascii="Acumin Pro Light" w:hAnsi="Acumin Pro Light"/>
        </w:rPr>
      </w:pPr>
      <w:r w:rsidRPr="00B34E28">
        <w:rPr>
          <w:rFonts w:ascii="Acumin Pro Light" w:hAnsi="Acumin Pro Light"/>
        </w:rPr>
        <w:t xml:space="preserve">ProPublica. (2020). ProPublica Congress API. </w:t>
      </w:r>
    </w:p>
    <w:p w14:paraId="5E486A6F" w14:textId="54A4BBE9" w:rsidR="00CF61BA" w:rsidRDefault="00A963D5" w:rsidP="00B34E28">
      <w:pPr>
        <w:pStyle w:val="Bibliography"/>
        <w:ind w:firstLine="720"/>
        <w:rPr>
          <w:rStyle w:val="Hyperlink"/>
          <w:rFonts w:ascii="Acumin Pro Light" w:hAnsi="Acumin Pro Light"/>
          <w:color w:val="auto"/>
        </w:rPr>
      </w:pPr>
      <w:hyperlink r:id="rId17" w:history="1">
        <w:r w:rsidR="00B34E28" w:rsidRPr="00204BC7">
          <w:rPr>
            <w:rStyle w:val="Hyperlink"/>
            <w:rFonts w:ascii="Acumin Pro Light" w:hAnsi="Acumin Pro Light"/>
          </w:rPr>
          <w:t>https://projects.propublica.org/api-docs/congress-api/</w:t>
        </w:r>
      </w:hyperlink>
    </w:p>
    <w:p w14:paraId="4794742B" w14:textId="77777777" w:rsidR="0008650A" w:rsidRDefault="0008650A" w:rsidP="00B34E28">
      <w:pPr>
        <w:autoSpaceDE w:val="0"/>
        <w:autoSpaceDN w:val="0"/>
        <w:adjustRightInd w:val="0"/>
        <w:spacing w:after="240"/>
        <w:rPr>
          <w:rFonts w:ascii="Acumin Pro Light" w:hAnsi="Acumin Pro Light" w:cs="Arial"/>
          <w:shd w:val="clear" w:color="auto" w:fill="FFFFFF"/>
        </w:rPr>
      </w:pPr>
    </w:p>
    <w:p w14:paraId="5085FC3B" w14:textId="06DF8240" w:rsidR="00B34E28" w:rsidRPr="00B34E28" w:rsidRDefault="00B34E28" w:rsidP="00B34E28">
      <w:pPr>
        <w:autoSpaceDE w:val="0"/>
        <w:autoSpaceDN w:val="0"/>
        <w:adjustRightInd w:val="0"/>
        <w:spacing w:after="240"/>
        <w:rPr>
          <w:rFonts w:ascii="Acumin Pro Light" w:hAnsi="Acumin Pro Light" w:cs="Arial"/>
          <w:shd w:val="clear" w:color="auto" w:fill="FFFFFF"/>
        </w:rPr>
      </w:pPr>
      <w:r w:rsidRPr="00B34E28">
        <w:rPr>
          <w:rFonts w:ascii="Acumin Pro Light" w:hAnsi="Acumin Pro Light" w:cs="Arial"/>
          <w:shd w:val="clear" w:color="auto" w:fill="FFFFFF"/>
        </w:rPr>
        <w:t xml:space="preserve">Publications Office of the European Union. (2021). </w:t>
      </w:r>
      <w:r w:rsidRPr="00B34E28">
        <w:rPr>
          <w:rFonts w:ascii="Acumin Pro Light" w:hAnsi="Acumin Pro Light" w:cs="Arial"/>
          <w:i/>
          <w:iCs/>
          <w:shd w:val="clear" w:color="auto" w:fill="FFFFFF"/>
        </w:rPr>
        <w:t xml:space="preserve">European Science Vocabulary </w:t>
      </w:r>
      <w:r>
        <w:rPr>
          <w:rFonts w:ascii="Acumin Pro Light" w:hAnsi="Acumin Pro Light" w:cs="Arial"/>
          <w:i/>
          <w:iCs/>
          <w:shd w:val="clear" w:color="auto" w:fill="FFFFFF"/>
        </w:rPr>
        <w:tab/>
      </w:r>
      <w:r w:rsidRPr="00B34E28">
        <w:rPr>
          <w:rFonts w:ascii="Acumin Pro Light" w:hAnsi="Acumin Pro Light" w:cs="Arial"/>
          <w:i/>
          <w:iCs/>
          <w:shd w:val="clear" w:color="auto" w:fill="FFFFFF"/>
        </w:rPr>
        <w:t>(</w:t>
      </w:r>
      <w:proofErr w:type="spellStart"/>
      <w:r w:rsidRPr="00B34E28">
        <w:rPr>
          <w:rFonts w:ascii="Acumin Pro Light" w:hAnsi="Acumin Pro Light" w:cs="Arial"/>
          <w:i/>
          <w:iCs/>
          <w:shd w:val="clear" w:color="auto" w:fill="FFFFFF"/>
        </w:rPr>
        <w:t>EuroSciVoc</w:t>
      </w:r>
      <w:proofErr w:type="spellEnd"/>
      <w:r w:rsidRPr="00B34E28">
        <w:rPr>
          <w:rFonts w:ascii="Acumin Pro Light" w:hAnsi="Acumin Pro Light" w:cs="Arial"/>
          <w:i/>
          <w:iCs/>
          <w:shd w:val="clear" w:color="auto" w:fill="FFFFFF"/>
        </w:rPr>
        <w:t>).</w:t>
      </w:r>
      <w:r w:rsidRPr="00B34E28">
        <w:rPr>
          <w:rFonts w:ascii="Acumin Pro Light" w:hAnsi="Acumin Pro Light" w:cs="Arial"/>
          <w:shd w:val="clear" w:color="auto" w:fill="FFFFFF"/>
        </w:rPr>
        <w:t xml:space="preserve">  Downloaded January 28, 2021. Retrieved from: </w:t>
      </w:r>
      <w:r>
        <w:rPr>
          <w:rFonts w:ascii="Acumin Pro Light" w:hAnsi="Acumin Pro Light" w:cs="Arial"/>
          <w:shd w:val="clear" w:color="auto" w:fill="FFFFFF"/>
        </w:rPr>
        <w:tab/>
      </w:r>
      <w:hyperlink r:id="rId18" w:history="1">
        <w:r w:rsidRPr="00204BC7">
          <w:rPr>
            <w:rStyle w:val="Hyperlink"/>
            <w:rFonts w:ascii="Acumin Pro Light" w:hAnsi="Acumin Pro Light" w:cs="Arial"/>
            <w:shd w:val="clear" w:color="auto" w:fill="FFFFFF"/>
          </w:rPr>
          <w:t>https://op.europa.eu/en/web/eu-vocabularies/dataset/-</w:t>
        </w:r>
        <w:r w:rsidRPr="00B34E28">
          <w:rPr>
            <w:rStyle w:val="Hyperlink"/>
            <w:rFonts w:ascii="Acumin Pro Light" w:hAnsi="Acumin Pro Light" w:cs="Arial"/>
            <w:u w:val="none"/>
            <w:shd w:val="clear" w:color="auto" w:fill="FFFFFF"/>
          </w:rPr>
          <w:tab/>
        </w:r>
        <w:r w:rsidRPr="00204BC7">
          <w:rPr>
            <w:rStyle w:val="Hyperlink"/>
            <w:rFonts w:ascii="Acumin Pro Light" w:hAnsi="Acumin Pro Light" w:cs="Arial"/>
            <w:shd w:val="clear" w:color="auto" w:fill="FFFFFF"/>
          </w:rPr>
          <w:t>/resource?uri=http://publications.europa.eu/resource/dataset/euroscivoc</w:t>
        </w:r>
      </w:hyperlink>
      <w:r w:rsidRPr="00B34E28">
        <w:rPr>
          <w:rFonts w:ascii="Acumin Pro Light" w:hAnsi="Acumin Pro Light" w:cs="Arial"/>
          <w:shd w:val="clear" w:color="auto" w:fill="FFFFFF"/>
        </w:rPr>
        <w:t xml:space="preserve"> </w:t>
      </w:r>
    </w:p>
    <w:p w14:paraId="3F2A3B06" w14:textId="3F94B47F" w:rsidR="00B34E28" w:rsidRPr="00B34E28" w:rsidRDefault="00B34E28" w:rsidP="00B34E28">
      <w:pPr>
        <w:autoSpaceDE w:val="0"/>
        <w:autoSpaceDN w:val="0"/>
        <w:adjustRightInd w:val="0"/>
        <w:spacing w:after="240"/>
        <w:rPr>
          <w:rFonts w:ascii="Acumin Pro Light" w:hAnsi="Acumin Pro Light" w:cs="Arial"/>
          <w:shd w:val="clear" w:color="auto" w:fill="FFFFFF"/>
        </w:rPr>
      </w:pPr>
      <w:r w:rsidRPr="00B34E28">
        <w:rPr>
          <w:rFonts w:ascii="Acumin Pro Light" w:hAnsi="Acumin Pro Light" w:cs="Arial"/>
          <w:shd w:val="clear" w:color="auto" w:fill="FFFFFF"/>
        </w:rPr>
        <w:t xml:space="preserve">Publications Office of the European Union. (2021). </w:t>
      </w:r>
      <w:r w:rsidRPr="00B34E28">
        <w:rPr>
          <w:rFonts w:ascii="Acumin Pro Light" w:hAnsi="Acumin Pro Light" w:cs="Arial"/>
          <w:i/>
          <w:iCs/>
          <w:shd w:val="clear" w:color="auto" w:fill="FFFFFF"/>
        </w:rPr>
        <w:t>EUROVOC.</w:t>
      </w:r>
      <w:r w:rsidRPr="00B34E28">
        <w:rPr>
          <w:rFonts w:ascii="Acumin Pro Light" w:hAnsi="Acumin Pro Light" w:cs="Arial"/>
          <w:shd w:val="clear" w:color="auto" w:fill="FFFFFF"/>
        </w:rPr>
        <w:t xml:space="preserve">  Downloaded January 28, </w:t>
      </w:r>
      <w:r>
        <w:rPr>
          <w:rFonts w:ascii="Acumin Pro Light" w:hAnsi="Acumin Pro Light" w:cs="Arial"/>
          <w:shd w:val="clear" w:color="auto" w:fill="FFFFFF"/>
        </w:rPr>
        <w:tab/>
      </w:r>
      <w:r w:rsidRPr="00B34E28">
        <w:rPr>
          <w:rFonts w:ascii="Acumin Pro Light" w:hAnsi="Acumin Pro Light" w:cs="Arial"/>
          <w:shd w:val="clear" w:color="auto" w:fill="FFFFFF"/>
        </w:rPr>
        <w:t>2021. Retrieved from:</w:t>
      </w:r>
      <w:r w:rsidRPr="00B34E28">
        <w:rPr>
          <w:rFonts w:ascii="Acumin Pro Light" w:hAnsi="Acumin Pro Light"/>
        </w:rPr>
        <w:t xml:space="preserve"> </w:t>
      </w:r>
      <w:hyperlink r:id="rId19" w:history="1">
        <w:r w:rsidRPr="00204BC7">
          <w:rPr>
            <w:rStyle w:val="Hyperlink"/>
            <w:rFonts w:ascii="Acumin Pro Light" w:hAnsi="Acumin Pro Light" w:cs="Arial"/>
            <w:shd w:val="clear" w:color="auto" w:fill="FFFFFF"/>
          </w:rPr>
          <w:t>https://op.europa.eu/en/web/eu-vocabularies/dataset/-</w:t>
        </w:r>
        <w:r w:rsidRPr="00B34E28">
          <w:rPr>
            <w:rStyle w:val="Hyperlink"/>
            <w:rFonts w:ascii="Acumin Pro Light" w:hAnsi="Acumin Pro Light" w:cs="Arial"/>
            <w:u w:val="none"/>
            <w:shd w:val="clear" w:color="auto" w:fill="FFFFFF"/>
          </w:rPr>
          <w:tab/>
        </w:r>
        <w:r w:rsidRPr="00204BC7">
          <w:rPr>
            <w:rStyle w:val="Hyperlink"/>
            <w:rFonts w:ascii="Acumin Pro Light" w:hAnsi="Acumin Pro Light" w:cs="Arial"/>
            <w:shd w:val="clear" w:color="auto" w:fill="FFFFFF"/>
          </w:rPr>
          <w:t>/resource?uri=http://publications.europa.eu/resource/dataset/eurovoc</w:t>
        </w:r>
      </w:hyperlink>
      <w:r w:rsidRPr="00B34E28">
        <w:rPr>
          <w:rFonts w:ascii="Acumin Pro Light" w:hAnsi="Acumin Pro Light" w:cs="Arial"/>
          <w:shd w:val="clear" w:color="auto" w:fill="FFFFFF"/>
        </w:rPr>
        <w:t xml:space="preserve"> </w:t>
      </w:r>
    </w:p>
    <w:p w14:paraId="1B280210" w14:textId="6882A399" w:rsidR="00CF61BA" w:rsidRDefault="00B34E28" w:rsidP="00B34E28">
      <w:pPr>
        <w:rPr>
          <w:rFonts w:ascii="Acumin Pro Light" w:hAnsi="Acumin Pro Light"/>
        </w:rPr>
      </w:pPr>
      <w:r w:rsidRPr="00B34E28">
        <w:rPr>
          <w:rFonts w:ascii="Acumin Pro Light" w:hAnsi="Acumin Pro Light"/>
          <w:shd w:val="clear" w:color="auto" w:fill="FFFFFF"/>
        </w:rPr>
        <w:t xml:space="preserve">Renewable Energy and Energy Efficiency Partnership (REEP). (2021). </w:t>
      </w:r>
      <w:r w:rsidRPr="00B34E28">
        <w:rPr>
          <w:rFonts w:ascii="Acumin Pro Light" w:hAnsi="Acumin Pro Light"/>
          <w:i/>
          <w:iCs/>
          <w:shd w:val="clear" w:color="auto" w:fill="FFFFFF"/>
        </w:rPr>
        <w:t xml:space="preserve">Clean Energy Linked </w:t>
      </w:r>
      <w:r>
        <w:rPr>
          <w:rFonts w:ascii="Acumin Pro Light" w:hAnsi="Acumin Pro Light"/>
          <w:i/>
          <w:iCs/>
          <w:shd w:val="clear" w:color="auto" w:fill="FFFFFF"/>
        </w:rPr>
        <w:tab/>
      </w:r>
      <w:r w:rsidRPr="00B34E28">
        <w:rPr>
          <w:rFonts w:ascii="Acumin Pro Light" w:hAnsi="Acumin Pro Light"/>
          <w:i/>
          <w:iCs/>
          <w:shd w:val="clear" w:color="auto" w:fill="FFFFFF"/>
        </w:rPr>
        <w:t>Open Data</w:t>
      </w:r>
      <w:r w:rsidRPr="00B34E28">
        <w:rPr>
          <w:rFonts w:ascii="Acumin Pro Light" w:hAnsi="Acumin Pro Light"/>
          <w:shd w:val="clear" w:color="auto" w:fill="FFFFFF"/>
        </w:rPr>
        <w:t xml:space="preserve">. Downloaded January 28, 2021. Retrieved from: </w:t>
      </w:r>
      <w:r>
        <w:rPr>
          <w:rFonts w:ascii="Acumin Pro Light" w:hAnsi="Acumin Pro Light"/>
          <w:shd w:val="clear" w:color="auto" w:fill="FFFFFF"/>
        </w:rPr>
        <w:tab/>
      </w:r>
      <w:hyperlink r:id="rId20" w:history="1">
        <w:r w:rsidRPr="00204BC7">
          <w:rPr>
            <w:rStyle w:val="Hyperlink"/>
            <w:rFonts w:ascii="Acumin Pro Light" w:hAnsi="Acumin Pro Light"/>
            <w:shd w:val="clear" w:color="auto" w:fill="FFFFFF"/>
          </w:rPr>
          <w:t>http://poolparty.reegle.info/PoolParty/sparql/glossary</w:t>
        </w:r>
      </w:hyperlink>
      <w:r w:rsidRPr="00B34E28">
        <w:rPr>
          <w:rFonts w:ascii="Acumin Pro Light" w:hAnsi="Acumin Pro Light"/>
          <w:shd w:val="clear" w:color="auto" w:fill="FFFFFF"/>
        </w:rPr>
        <w:t xml:space="preserve"> </w:t>
      </w:r>
    </w:p>
    <w:p w14:paraId="76CB041D" w14:textId="77777777" w:rsidR="00B34E28" w:rsidRPr="00B34E28" w:rsidRDefault="00B34E28" w:rsidP="00B34E28">
      <w:pPr>
        <w:rPr>
          <w:rFonts w:ascii="Acumin Pro Light" w:hAnsi="Acumin Pro Light"/>
        </w:rPr>
      </w:pPr>
    </w:p>
    <w:p w14:paraId="68E3DC34" w14:textId="77777777" w:rsidR="00CF61BA" w:rsidRPr="00B34E28" w:rsidRDefault="00CF61BA" w:rsidP="00B34E28">
      <w:pPr>
        <w:ind w:left="720" w:hanging="720"/>
        <w:rPr>
          <w:rFonts w:ascii="Acumin Pro Light" w:hAnsi="Acumin Pro Light" w:cs="Arial"/>
          <w:spacing w:val="6"/>
          <w:shd w:val="clear" w:color="auto" w:fill="FFFFFF"/>
        </w:rPr>
      </w:pPr>
      <w:r w:rsidRPr="00B34E28">
        <w:rPr>
          <w:rFonts w:ascii="Acumin Pro Light" w:hAnsi="Acumin Pro Light" w:cs="Arial"/>
          <w:spacing w:val="6"/>
          <w:shd w:val="clear" w:color="auto" w:fill="FFFFFF"/>
        </w:rPr>
        <w:lastRenderedPageBreak/>
        <w:t>U.S. Census Bureau. (2018). </w:t>
      </w:r>
      <w:r w:rsidRPr="00B34E28">
        <w:rPr>
          <w:rFonts w:ascii="Acumin Pro Light" w:hAnsi="Acumin Pro Light"/>
          <w:i/>
          <w:iCs/>
          <w:shd w:val="clear" w:color="auto" w:fill="FFFFFF"/>
        </w:rPr>
        <w:t>Geographical mobility in the past year by age for current residence in the United States</w:t>
      </w:r>
      <w:r w:rsidRPr="00B34E28">
        <w:rPr>
          <w:rFonts w:ascii="Acumin Pro Light" w:hAnsi="Acumin Pro Light"/>
          <w:shd w:val="clear" w:color="auto" w:fill="FFFFFF"/>
        </w:rPr>
        <w:t>.</w:t>
      </w:r>
      <w:r w:rsidRPr="00B34E28">
        <w:rPr>
          <w:rFonts w:ascii="Acumin Pro Light" w:hAnsi="Acumin Pro Light"/>
        </w:rPr>
        <w:t xml:space="preserve"> </w:t>
      </w:r>
      <w:r w:rsidRPr="00B34E28">
        <w:rPr>
          <w:rFonts w:ascii="Acumin Pro Light" w:hAnsi="Acumin Pro Light" w:cs="Arial"/>
          <w:spacing w:val="6"/>
          <w:shd w:val="clear" w:color="auto" w:fill="FFFFFF"/>
        </w:rPr>
        <w:t xml:space="preserve">Retrieved from </w:t>
      </w:r>
      <w:hyperlink r:id="rId21" w:history="1">
        <w:r w:rsidRPr="00B34E28">
          <w:rPr>
            <w:rStyle w:val="Hyperlink"/>
            <w:rFonts w:ascii="Acumin Pro Light" w:hAnsi="Acumin Pro Light" w:cs="Arial"/>
            <w:color w:val="auto"/>
            <w:spacing w:val="6"/>
            <w:shd w:val="clear" w:color="auto" w:fill="FFFFFF"/>
          </w:rPr>
          <w:t>https://data.census.gov/cedsci/table?q=ACSDT1Y2019.B07001&amp;tid=ACSDT1Y2019.B07001&amp;hidePreview=true</w:t>
        </w:r>
      </w:hyperlink>
      <w:r w:rsidRPr="00B34E28">
        <w:rPr>
          <w:rFonts w:ascii="Acumin Pro Light" w:hAnsi="Acumin Pro Light" w:cs="Arial"/>
          <w:spacing w:val="6"/>
          <w:shd w:val="clear" w:color="auto" w:fill="FFFFFF"/>
        </w:rPr>
        <w:t xml:space="preserve"> </w:t>
      </w:r>
    </w:p>
    <w:p w14:paraId="0883A02B" w14:textId="77777777" w:rsidR="00CF61BA" w:rsidRPr="00B34E28" w:rsidRDefault="00CF61BA" w:rsidP="00B34E28">
      <w:pPr>
        <w:rPr>
          <w:rFonts w:ascii="Acumin Pro Light" w:hAnsi="Acumin Pro Light" w:cs="Arial"/>
          <w:spacing w:val="6"/>
          <w:shd w:val="clear" w:color="auto" w:fill="FFFFFF"/>
        </w:rPr>
      </w:pPr>
    </w:p>
    <w:p w14:paraId="3CA44CF7" w14:textId="77777777" w:rsidR="00CF61BA" w:rsidRPr="00B34E28" w:rsidRDefault="00CF61BA" w:rsidP="00B34E28">
      <w:pPr>
        <w:ind w:left="720" w:hanging="720"/>
        <w:rPr>
          <w:rFonts w:ascii="Acumin Pro Light" w:hAnsi="Acumin Pro Light"/>
        </w:rPr>
      </w:pPr>
      <w:r w:rsidRPr="00B34E28">
        <w:rPr>
          <w:rFonts w:ascii="Acumin Pro Light" w:hAnsi="Acumin Pro Light"/>
        </w:rPr>
        <w:t xml:space="preserve">U.S. Census Bureau. (2018). </w:t>
      </w:r>
      <w:r w:rsidRPr="00B34E28">
        <w:rPr>
          <w:rFonts w:ascii="Acumin Pro Light" w:hAnsi="Acumin Pro Light"/>
          <w:i/>
          <w:iCs/>
        </w:rPr>
        <w:t>Industry for the civilian employed population 16 years and over</w:t>
      </w:r>
      <w:r w:rsidRPr="00B34E28">
        <w:rPr>
          <w:rFonts w:ascii="Acumin Pro Light" w:hAnsi="Acumin Pro Light"/>
        </w:rPr>
        <w:t xml:space="preserve">. Retrieved from </w:t>
      </w:r>
      <w:hyperlink r:id="rId22" w:history="1">
        <w:r w:rsidRPr="00B34E28">
          <w:rPr>
            <w:rStyle w:val="Hyperlink"/>
            <w:rFonts w:ascii="Acumin Pro Light" w:hAnsi="Acumin Pro Light"/>
            <w:color w:val="auto"/>
          </w:rPr>
          <w:t>https://data.census.gov/cedsci/table?q=Industry%20for%20the%20civilian%20employed%20population%20aged%2016%20and%20older&amp;g=0100000US.50016&amp;tid=ACSST1Y2018.S2403&amp;hidePreview=true</w:t>
        </w:r>
      </w:hyperlink>
    </w:p>
    <w:p w14:paraId="36B6C9B0" w14:textId="207205E4" w:rsidR="00CF61BA" w:rsidRPr="00B34E28" w:rsidRDefault="00CF61BA" w:rsidP="00E10C75">
      <w:pPr>
        <w:autoSpaceDE w:val="0"/>
        <w:autoSpaceDN w:val="0"/>
        <w:adjustRightInd w:val="0"/>
        <w:spacing w:after="240"/>
        <w:rPr>
          <w:rFonts w:ascii="Acumin Pro Light" w:hAnsi="Acumin Pro Light" w:cs="Times"/>
          <w:u w:color="0000E9"/>
        </w:rPr>
      </w:pPr>
    </w:p>
    <w:p w14:paraId="419A46B0" w14:textId="3C7DF4AC" w:rsidR="003A19C9" w:rsidRPr="003A19C9" w:rsidRDefault="003A19C9" w:rsidP="003A19C9"/>
    <w:p w14:paraId="6B231ADF" w14:textId="06AE73F8" w:rsidR="00CF61BA" w:rsidRDefault="00CF61BA" w:rsidP="00E10C75">
      <w:pPr>
        <w:autoSpaceDE w:val="0"/>
        <w:autoSpaceDN w:val="0"/>
        <w:adjustRightInd w:val="0"/>
        <w:spacing w:after="240"/>
        <w:rPr>
          <w:rFonts w:ascii="Arial" w:hAnsi="Arial" w:cs="Arial"/>
          <w:color w:val="212529"/>
          <w:sz w:val="21"/>
          <w:szCs w:val="21"/>
          <w:shd w:val="clear" w:color="auto" w:fill="FFFFFF"/>
        </w:rPr>
      </w:pPr>
    </w:p>
    <w:p w14:paraId="777D2EEB" w14:textId="77777777" w:rsidR="00CF61BA" w:rsidRDefault="00CF61BA" w:rsidP="00E10C75">
      <w:pPr>
        <w:autoSpaceDE w:val="0"/>
        <w:autoSpaceDN w:val="0"/>
        <w:adjustRightInd w:val="0"/>
        <w:spacing w:after="240"/>
        <w:rPr>
          <w:rFonts w:ascii="Acumin Pro Light" w:hAnsi="Acumin Pro Light" w:cs="Times"/>
          <w:color w:val="000000"/>
          <w:u w:color="0000E9"/>
        </w:rPr>
      </w:pPr>
    </w:p>
    <w:p w14:paraId="5110C7BD" w14:textId="77777777" w:rsidR="000C4D2A" w:rsidRDefault="000C4D2A" w:rsidP="00E10C75">
      <w:pPr>
        <w:autoSpaceDE w:val="0"/>
        <w:autoSpaceDN w:val="0"/>
        <w:adjustRightInd w:val="0"/>
        <w:spacing w:after="240"/>
        <w:rPr>
          <w:rFonts w:ascii="Acumin Pro Light" w:hAnsi="Acumin Pro Light" w:cs="Times"/>
          <w:color w:val="000000"/>
          <w:u w:color="0000E9"/>
        </w:rPr>
      </w:pPr>
    </w:p>
    <w:p w14:paraId="19BF8B53" w14:textId="77777777" w:rsidR="001E0111" w:rsidRDefault="001E0111"/>
    <w:sectPr w:rsidR="001E0111" w:rsidSect="00D879E8">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B332C" w14:textId="77777777" w:rsidR="00A963D5" w:rsidRDefault="00A963D5" w:rsidP="001D707D">
      <w:r>
        <w:separator/>
      </w:r>
    </w:p>
  </w:endnote>
  <w:endnote w:type="continuationSeparator" w:id="0">
    <w:p w14:paraId="3051B4C2" w14:textId="77777777" w:rsidR="00A963D5" w:rsidRDefault="00A963D5" w:rsidP="001D7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cumin Pro Medium">
    <w:altName w:val="Calibri"/>
    <w:panose1 w:val="020B0604020202020204"/>
    <w:charset w:val="4D"/>
    <w:family w:val="swiss"/>
    <w:notTrueType/>
    <w:pitch w:val="variable"/>
    <w:sig w:usb0="20000007" w:usb1="00000001" w:usb2="00000000" w:usb3="00000000" w:csb0="00000193" w:csb1="00000000"/>
  </w:font>
  <w:font w:name="Avenir Next LT Pro Light">
    <w:panose1 w:val="020B0304020202020204"/>
    <w:charset w:val="4D"/>
    <w:family w:val="swiss"/>
    <w:pitch w:val="variable"/>
    <w:sig w:usb0="A00000EF" w:usb1="5000204B" w:usb2="00000000" w:usb3="00000000" w:csb0="00000093" w:csb1="00000000"/>
  </w:font>
  <w:font w:name="Times">
    <w:panose1 w:val="00000500000000020000"/>
    <w:charset w:val="00"/>
    <w:family w:val="auto"/>
    <w:pitch w:val="variable"/>
    <w:sig w:usb0="E00002FF" w:usb1="5000205A" w:usb2="00000000" w:usb3="00000000" w:csb0="0000019F" w:csb1="00000000"/>
  </w:font>
  <w:font w:name="Acumin Pro Light">
    <w:altName w:val="Calibri"/>
    <w:panose1 w:val="020B0404020202020204"/>
    <w:charset w:val="4D"/>
    <w:family w:val="swiss"/>
    <w:notTrueType/>
    <w:pitch w:val="variable"/>
    <w:sig w:usb0="20000007" w:usb1="00000001" w:usb2="000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962C8" w14:textId="77777777" w:rsidR="00A963D5" w:rsidRDefault="00A963D5" w:rsidP="001D707D">
      <w:r>
        <w:separator/>
      </w:r>
    </w:p>
  </w:footnote>
  <w:footnote w:type="continuationSeparator" w:id="0">
    <w:p w14:paraId="63CDBC8C" w14:textId="77777777" w:rsidR="00A963D5" w:rsidRDefault="00A963D5" w:rsidP="001D707D">
      <w:r>
        <w:continuationSeparator/>
      </w:r>
    </w:p>
  </w:footnote>
  <w:footnote w:id="1">
    <w:p w14:paraId="63280AF5" w14:textId="33649102" w:rsidR="001D707D" w:rsidRDefault="001D707D">
      <w:pPr>
        <w:pStyle w:val="FootnoteText"/>
      </w:pPr>
      <w:r>
        <w:rPr>
          <w:rStyle w:val="FootnoteReference"/>
        </w:rPr>
        <w:footnoteRef/>
      </w:r>
      <w:r>
        <w:t xml:space="preserve"> </w:t>
      </w:r>
      <w:r>
        <w:rPr>
          <w:rFonts w:ascii="Acumin Pro Light" w:hAnsi="Acumin Pro Light" w:cs="Times"/>
          <w:color w:val="000000"/>
          <w:u w:color="0000E9"/>
        </w:rPr>
        <w:t>A sample of the sources are included in the Data Sources section at the end of this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6E272" w14:textId="1BF5FA87" w:rsidR="00364715" w:rsidRDefault="00364715" w:rsidP="00364715">
    <w:pPr>
      <w:pStyle w:val="Header"/>
      <w:jc w:val="right"/>
      <w:rPr>
        <w:rFonts w:ascii="Acumin Pro Light" w:hAnsi="Acumin Pro Light"/>
      </w:rPr>
    </w:pPr>
    <w:r w:rsidRPr="00364715">
      <w:rPr>
        <w:rFonts w:ascii="Acumin Pro Light" w:hAnsi="Acumin Pro Light"/>
      </w:rPr>
      <w:t>Seth Schimmel</w:t>
    </w:r>
  </w:p>
  <w:p w14:paraId="4698C9CF" w14:textId="05BCF1A8" w:rsidR="00364715" w:rsidRPr="00364715" w:rsidRDefault="00364715" w:rsidP="00364715">
    <w:pPr>
      <w:pStyle w:val="Header"/>
      <w:jc w:val="right"/>
      <w:rPr>
        <w:rFonts w:ascii="Acumin Pro Light" w:hAnsi="Acumin Pro Light"/>
      </w:rPr>
    </w:pPr>
    <w:r>
      <w:rPr>
        <w:rFonts w:ascii="Acumin Pro Light" w:hAnsi="Acumin Pro Light"/>
      </w:rPr>
      <w:t>January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B0002A"/>
    <w:multiLevelType w:val="hybridMultilevel"/>
    <w:tmpl w:val="543A8698"/>
    <w:lvl w:ilvl="0" w:tplc="D71CF70C">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75"/>
    <w:rsid w:val="0008650A"/>
    <w:rsid w:val="000C4D2A"/>
    <w:rsid w:val="001319F0"/>
    <w:rsid w:val="0013776F"/>
    <w:rsid w:val="001D707D"/>
    <w:rsid w:val="001E0111"/>
    <w:rsid w:val="001E4BCF"/>
    <w:rsid w:val="0024301F"/>
    <w:rsid w:val="002F50E0"/>
    <w:rsid w:val="00353737"/>
    <w:rsid w:val="00364715"/>
    <w:rsid w:val="003A19C9"/>
    <w:rsid w:val="004E08E1"/>
    <w:rsid w:val="00602377"/>
    <w:rsid w:val="006350B2"/>
    <w:rsid w:val="006C1B3D"/>
    <w:rsid w:val="006D6A4D"/>
    <w:rsid w:val="006F35A9"/>
    <w:rsid w:val="009A757A"/>
    <w:rsid w:val="009D3F1F"/>
    <w:rsid w:val="00A8378B"/>
    <w:rsid w:val="00A963D5"/>
    <w:rsid w:val="00B34E28"/>
    <w:rsid w:val="00C94368"/>
    <w:rsid w:val="00CF61BA"/>
    <w:rsid w:val="00D46843"/>
    <w:rsid w:val="00D67472"/>
    <w:rsid w:val="00D879E8"/>
    <w:rsid w:val="00E056A0"/>
    <w:rsid w:val="00E10C75"/>
    <w:rsid w:val="00E36DCD"/>
    <w:rsid w:val="00E93485"/>
    <w:rsid w:val="00EE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730B1"/>
  <w15:chartTrackingRefBased/>
  <w15:docId w15:val="{D1A98C16-E084-F846-9D96-D330AF08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9C9"/>
    <w:rPr>
      <w:rFonts w:ascii="Times New Roman" w:eastAsia="Times New Roman" w:hAnsi="Times New Roman" w:cs="Times New Roman"/>
    </w:rPr>
  </w:style>
  <w:style w:type="paragraph" w:styleId="Heading1">
    <w:name w:val="heading 1"/>
    <w:basedOn w:val="Normal"/>
    <w:link w:val="Heading1Char"/>
    <w:uiPriority w:val="9"/>
    <w:qFormat/>
    <w:rsid w:val="003A19C9"/>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0C75"/>
    <w:rPr>
      <w:sz w:val="16"/>
      <w:szCs w:val="16"/>
    </w:rPr>
  </w:style>
  <w:style w:type="paragraph" w:styleId="CommentText">
    <w:name w:val="annotation text"/>
    <w:basedOn w:val="Normal"/>
    <w:link w:val="CommentTextChar"/>
    <w:uiPriority w:val="99"/>
    <w:semiHidden/>
    <w:unhideWhenUsed/>
    <w:rsid w:val="00E10C75"/>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10C75"/>
    <w:rPr>
      <w:sz w:val="20"/>
      <w:szCs w:val="20"/>
    </w:rPr>
  </w:style>
  <w:style w:type="paragraph" w:styleId="BalloonText">
    <w:name w:val="Balloon Text"/>
    <w:basedOn w:val="Normal"/>
    <w:link w:val="BalloonTextChar"/>
    <w:uiPriority w:val="99"/>
    <w:semiHidden/>
    <w:unhideWhenUsed/>
    <w:rsid w:val="00E10C75"/>
    <w:rPr>
      <w:rFonts w:eastAsiaTheme="minorHAnsi"/>
      <w:sz w:val="18"/>
      <w:szCs w:val="18"/>
    </w:rPr>
  </w:style>
  <w:style w:type="character" w:customStyle="1" w:styleId="BalloonTextChar">
    <w:name w:val="Balloon Text Char"/>
    <w:basedOn w:val="DefaultParagraphFont"/>
    <w:link w:val="BalloonText"/>
    <w:uiPriority w:val="99"/>
    <w:semiHidden/>
    <w:rsid w:val="00E10C75"/>
    <w:rPr>
      <w:rFonts w:ascii="Times New Roman" w:hAnsi="Times New Roman" w:cs="Times New Roman"/>
      <w:sz w:val="18"/>
      <w:szCs w:val="18"/>
    </w:rPr>
  </w:style>
  <w:style w:type="character" w:styleId="Hyperlink">
    <w:name w:val="Hyperlink"/>
    <w:basedOn w:val="DefaultParagraphFont"/>
    <w:uiPriority w:val="99"/>
    <w:unhideWhenUsed/>
    <w:rsid w:val="0013776F"/>
    <w:rPr>
      <w:color w:val="0563C1" w:themeColor="hyperlink"/>
      <w:u w:val="single"/>
    </w:rPr>
  </w:style>
  <w:style w:type="character" w:styleId="UnresolvedMention">
    <w:name w:val="Unresolved Mention"/>
    <w:basedOn w:val="DefaultParagraphFont"/>
    <w:uiPriority w:val="99"/>
    <w:semiHidden/>
    <w:unhideWhenUsed/>
    <w:rsid w:val="0013776F"/>
    <w:rPr>
      <w:color w:val="605E5C"/>
      <w:shd w:val="clear" w:color="auto" w:fill="E1DFDD"/>
    </w:rPr>
  </w:style>
  <w:style w:type="paragraph" w:styleId="BodyText">
    <w:name w:val="Body Text"/>
    <w:basedOn w:val="Normal"/>
    <w:link w:val="BodyTextChar"/>
    <w:uiPriority w:val="1"/>
    <w:qFormat/>
    <w:rsid w:val="0024301F"/>
    <w:pPr>
      <w:widowControl w:val="0"/>
      <w:autoSpaceDE w:val="0"/>
      <w:autoSpaceDN w:val="0"/>
    </w:pPr>
    <w:rPr>
      <w:sz w:val="19"/>
      <w:szCs w:val="19"/>
    </w:rPr>
  </w:style>
  <w:style w:type="character" w:customStyle="1" w:styleId="BodyTextChar">
    <w:name w:val="Body Text Char"/>
    <w:basedOn w:val="DefaultParagraphFont"/>
    <w:link w:val="BodyText"/>
    <w:uiPriority w:val="1"/>
    <w:rsid w:val="0024301F"/>
    <w:rPr>
      <w:rFonts w:ascii="Times New Roman" w:eastAsia="Times New Roman" w:hAnsi="Times New Roman" w:cs="Times New Roman"/>
      <w:sz w:val="19"/>
      <w:szCs w:val="19"/>
    </w:rPr>
  </w:style>
  <w:style w:type="character" w:styleId="FollowedHyperlink">
    <w:name w:val="FollowedHyperlink"/>
    <w:basedOn w:val="DefaultParagraphFont"/>
    <w:uiPriority w:val="99"/>
    <w:semiHidden/>
    <w:unhideWhenUsed/>
    <w:rsid w:val="0024301F"/>
    <w:rPr>
      <w:color w:val="954F72" w:themeColor="followedHyperlink"/>
      <w:u w:val="single"/>
    </w:rPr>
  </w:style>
  <w:style w:type="paragraph" w:styleId="Bibliography">
    <w:name w:val="Bibliography"/>
    <w:basedOn w:val="Normal"/>
    <w:next w:val="Normal"/>
    <w:uiPriority w:val="37"/>
    <w:unhideWhenUsed/>
    <w:rsid w:val="00CF61BA"/>
    <w:rPr>
      <w:rFonts w:asciiTheme="minorHAnsi" w:eastAsiaTheme="minorHAnsi" w:hAnsiTheme="minorHAnsi" w:cstheme="minorBidi"/>
    </w:rPr>
  </w:style>
  <w:style w:type="character" w:customStyle="1" w:styleId="Heading1Char">
    <w:name w:val="Heading 1 Char"/>
    <w:basedOn w:val="DefaultParagraphFont"/>
    <w:link w:val="Heading1"/>
    <w:uiPriority w:val="9"/>
    <w:rsid w:val="003A19C9"/>
    <w:rPr>
      <w:rFonts w:ascii="Times New Roman" w:eastAsia="Times New Roman" w:hAnsi="Times New Roman" w:cs="Times New Roman"/>
      <w:b/>
      <w:bCs/>
      <w:kern w:val="36"/>
      <w:sz w:val="48"/>
      <w:szCs w:val="48"/>
    </w:rPr>
  </w:style>
  <w:style w:type="paragraph" w:styleId="FootnoteText">
    <w:name w:val="footnote text"/>
    <w:basedOn w:val="Normal"/>
    <w:link w:val="FootnoteTextChar"/>
    <w:uiPriority w:val="99"/>
    <w:semiHidden/>
    <w:unhideWhenUsed/>
    <w:rsid w:val="001D707D"/>
    <w:rPr>
      <w:sz w:val="20"/>
      <w:szCs w:val="20"/>
    </w:rPr>
  </w:style>
  <w:style w:type="character" w:customStyle="1" w:styleId="FootnoteTextChar">
    <w:name w:val="Footnote Text Char"/>
    <w:basedOn w:val="DefaultParagraphFont"/>
    <w:link w:val="FootnoteText"/>
    <w:uiPriority w:val="99"/>
    <w:semiHidden/>
    <w:rsid w:val="001D707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D707D"/>
    <w:rPr>
      <w:vertAlign w:val="superscript"/>
    </w:rPr>
  </w:style>
  <w:style w:type="paragraph" w:styleId="Header">
    <w:name w:val="header"/>
    <w:basedOn w:val="Normal"/>
    <w:link w:val="HeaderChar"/>
    <w:uiPriority w:val="99"/>
    <w:unhideWhenUsed/>
    <w:rsid w:val="00364715"/>
    <w:pPr>
      <w:tabs>
        <w:tab w:val="center" w:pos="4680"/>
        <w:tab w:val="right" w:pos="9360"/>
      </w:tabs>
    </w:pPr>
  </w:style>
  <w:style w:type="character" w:customStyle="1" w:styleId="HeaderChar">
    <w:name w:val="Header Char"/>
    <w:basedOn w:val="DefaultParagraphFont"/>
    <w:link w:val="Header"/>
    <w:uiPriority w:val="99"/>
    <w:rsid w:val="00364715"/>
    <w:rPr>
      <w:rFonts w:ascii="Times New Roman" w:eastAsia="Times New Roman" w:hAnsi="Times New Roman" w:cs="Times New Roman"/>
    </w:rPr>
  </w:style>
  <w:style w:type="paragraph" w:styleId="Footer">
    <w:name w:val="footer"/>
    <w:basedOn w:val="Normal"/>
    <w:link w:val="FooterChar"/>
    <w:uiPriority w:val="99"/>
    <w:unhideWhenUsed/>
    <w:rsid w:val="00364715"/>
    <w:pPr>
      <w:tabs>
        <w:tab w:val="center" w:pos="4680"/>
        <w:tab w:val="right" w:pos="9360"/>
      </w:tabs>
    </w:pPr>
  </w:style>
  <w:style w:type="character" w:customStyle="1" w:styleId="FooterChar">
    <w:name w:val="Footer Char"/>
    <w:basedOn w:val="DefaultParagraphFont"/>
    <w:link w:val="Footer"/>
    <w:uiPriority w:val="99"/>
    <w:rsid w:val="0036471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538866">
      <w:bodyDiv w:val="1"/>
      <w:marLeft w:val="0"/>
      <w:marRight w:val="0"/>
      <w:marTop w:val="0"/>
      <w:marBottom w:val="0"/>
      <w:divBdr>
        <w:top w:val="none" w:sz="0" w:space="0" w:color="auto"/>
        <w:left w:val="none" w:sz="0" w:space="0" w:color="auto"/>
        <w:bottom w:val="none" w:sz="0" w:space="0" w:color="auto"/>
        <w:right w:val="none" w:sz="0" w:space="0" w:color="auto"/>
      </w:divBdr>
    </w:div>
    <w:div w:id="995107318">
      <w:bodyDiv w:val="1"/>
      <w:marLeft w:val="0"/>
      <w:marRight w:val="0"/>
      <w:marTop w:val="0"/>
      <w:marBottom w:val="0"/>
      <w:divBdr>
        <w:top w:val="none" w:sz="0" w:space="0" w:color="auto"/>
        <w:left w:val="none" w:sz="0" w:space="0" w:color="auto"/>
        <w:bottom w:val="none" w:sz="0" w:space="0" w:color="auto"/>
        <w:right w:val="none" w:sz="0" w:space="0" w:color="auto"/>
      </w:divBdr>
    </w:div>
    <w:div w:id="1242108397">
      <w:bodyDiv w:val="1"/>
      <w:marLeft w:val="0"/>
      <w:marRight w:val="0"/>
      <w:marTop w:val="0"/>
      <w:marBottom w:val="0"/>
      <w:divBdr>
        <w:top w:val="none" w:sz="0" w:space="0" w:color="auto"/>
        <w:left w:val="none" w:sz="0" w:space="0" w:color="auto"/>
        <w:bottom w:val="none" w:sz="0" w:space="0" w:color="auto"/>
        <w:right w:val="none" w:sz="0" w:space="0" w:color="auto"/>
      </w:divBdr>
    </w:div>
    <w:div w:id="1692612356">
      <w:bodyDiv w:val="1"/>
      <w:marLeft w:val="0"/>
      <w:marRight w:val="0"/>
      <w:marTop w:val="0"/>
      <w:marBottom w:val="0"/>
      <w:divBdr>
        <w:top w:val="none" w:sz="0" w:space="0" w:color="auto"/>
        <w:left w:val="none" w:sz="0" w:space="0" w:color="auto"/>
        <w:bottom w:val="none" w:sz="0" w:space="0" w:color="auto"/>
        <w:right w:val="none" w:sz="0" w:space="0" w:color="auto"/>
      </w:divBdr>
    </w:div>
    <w:div w:id="206537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ao.org/agrovoc/access" TargetMode="External"/><Relationship Id="rId18" Type="http://schemas.openxmlformats.org/officeDocument/2006/relationships/hyperlink" Target="https://op.europa.eu/en/web/eu-vocabularies/dataset/-%09/resource?uri=http://publications.europa.eu/resource/dataset/euroscivoc" TargetMode="External"/><Relationship Id="rId3" Type="http://schemas.openxmlformats.org/officeDocument/2006/relationships/settings" Target="settings.xml"/><Relationship Id="rId21" Type="http://schemas.openxmlformats.org/officeDocument/2006/relationships/hyperlink" Target="https://data.census.gov/cedsci/table?q=ACSDT1Y2019.B07001&amp;tid=ACSDT1Y2019.B07001&amp;hidePreview=true" TargetMode="External"/><Relationship Id="rId7" Type="http://schemas.openxmlformats.org/officeDocument/2006/relationships/hyperlink" Target="http://sbir.gov/" TargetMode="External"/><Relationship Id="rId12" Type="http://schemas.openxmlformats.org/officeDocument/2006/relationships/hyperlink" Target="https://eige.europa.eu/thesaurus/about" TargetMode="External"/><Relationship Id="rId17" Type="http://schemas.openxmlformats.org/officeDocument/2006/relationships/hyperlink" Target="https://projects.propublica.org/api-docs/congress-ap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bir.gov/sbirsearch/award/all" TargetMode="External"/><Relationship Id="rId20" Type="http://schemas.openxmlformats.org/officeDocument/2006/relationships/hyperlink" Target="http://poolparty.reegle.info/PoolParty/sparql/glossa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ionet.europa.eu/gemet/en/abou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sf.gov/awardsearch/download.jsp" TargetMode="External"/><Relationship Id="rId23" Type="http://schemas.openxmlformats.org/officeDocument/2006/relationships/header" Target="header1.xml"/><Relationship Id="rId10" Type="http://schemas.openxmlformats.org/officeDocument/2006/relationships/hyperlink" Target="https://github.com/titipata/grant_database" TargetMode="External"/><Relationship Id="rId19" Type="http://schemas.openxmlformats.org/officeDocument/2006/relationships/hyperlink" Target="https://op.europa.eu/en/web/eu-vocabularies/dataset/-%09/resource?uri=http://publications.europa.eu/resource/dataset/eurovo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NIHOPA/NLPre" TargetMode="External"/><Relationship Id="rId22" Type="http://schemas.openxmlformats.org/officeDocument/2006/relationships/hyperlink" Target="https://data.census.gov/cedsci/table?q=Industry%20for%20the%20civilian%20employed%20population%20aged%2016%20and%20older&amp;g=0100000US.50016&amp;tid=ACSST1Y2018.S2403&amp;hidePreview=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10398</Words>
  <Characters>59273</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Schimmel</dc:creator>
  <cp:keywords/>
  <dc:description/>
  <cp:lastModifiedBy>Seth  Schimmel</cp:lastModifiedBy>
  <cp:revision>4</cp:revision>
  <cp:lastPrinted>2021-01-28T22:30:00Z</cp:lastPrinted>
  <dcterms:created xsi:type="dcterms:W3CDTF">2021-01-28T22:30:00Z</dcterms:created>
  <dcterms:modified xsi:type="dcterms:W3CDTF">2021-01-28T22:31:00Z</dcterms:modified>
</cp:coreProperties>
</file>